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0F" w:rsidRDefault="00F1730F" w:rsidP="00F1730F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 w:rsidRPr="00E93348">
        <w:rPr>
          <w:b/>
          <w:sz w:val="28"/>
          <w:szCs w:val="28"/>
          <w:lang w:val="uk-UA"/>
        </w:rPr>
        <w:t>ІНТЕРЛЕЙКІН</w:t>
      </w:r>
      <w:r>
        <w:rPr>
          <w:b/>
          <w:sz w:val="28"/>
          <w:szCs w:val="28"/>
          <w:lang w:val="uk-UA"/>
        </w:rPr>
        <w:t xml:space="preserve">-10 </w:t>
      </w:r>
      <w:r w:rsidRPr="00E93348">
        <w:rPr>
          <w:b/>
          <w:sz w:val="28"/>
          <w:szCs w:val="28"/>
          <w:lang w:val="uk-UA"/>
        </w:rPr>
        <w:t>У ПАЦІЄНТІВ АРТЕРІАЛЬНОЮ ГІПЕРТЕНЗІЄЮ</w:t>
      </w:r>
      <w:r>
        <w:rPr>
          <w:b/>
          <w:sz w:val="28"/>
          <w:szCs w:val="28"/>
          <w:lang w:val="uk-UA"/>
        </w:rPr>
        <w:t xml:space="preserve"> З СУПУТНІМИ ГЛЮКОМЕТАБОЛІЧНИМИ ПОРУШЕННЯМИ </w:t>
      </w:r>
      <w:r w:rsidRPr="00E93348">
        <w:rPr>
          <w:b/>
          <w:sz w:val="28"/>
          <w:szCs w:val="28"/>
          <w:lang w:val="uk-UA"/>
        </w:rPr>
        <w:t xml:space="preserve"> </w:t>
      </w:r>
    </w:p>
    <w:p w:rsidR="00F1730F" w:rsidRDefault="00F1730F" w:rsidP="00F1730F">
      <w:pPr>
        <w:spacing w:line="360" w:lineRule="auto"/>
        <w:ind w:left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Харківський національний медичний університет</w:t>
      </w:r>
    </w:p>
    <w:p w:rsidR="00F1730F" w:rsidRDefault="00F1730F" w:rsidP="00F1730F">
      <w:pPr>
        <w:spacing w:line="360" w:lineRule="auto"/>
        <w:ind w:left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пропедевтики внутрішньої медицини №1, основ біоетики та </w:t>
      </w:r>
      <w:proofErr w:type="spellStart"/>
      <w:r>
        <w:rPr>
          <w:sz w:val="28"/>
          <w:szCs w:val="28"/>
          <w:lang w:val="uk-UA"/>
        </w:rPr>
        <w:t>біобезпеки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F1730F" w:rsidRDefault="00F1730F" w:rsidP="00F173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Ащеулова</w:t>
      </w:r>
      <w:proofErr w:type="spellEnd"/>
      <w:r>
        <w:rPr>
          <w:sz w:val="28"/>
          <w:szCs w:val="28"/>
          <w:lang w:val="uk-UA"/>
        </w:rPr>
        <w:t xml:space="preserve"> Т.В., Ковальова О.М., </w:t>
      </w:r>
      <w:proofErr w:type="spellStart"/>
      <w:r>
        <w:rPr>
          <w:sz w:val="28"/>
          <w:szCs w:val="28"/>
          <w:lang w:val="uk-UA"/>
        </w:rPr>
        <w:t>Амбросова</w:t>
      </w:r>
      <w:proofErr w:type="spellEnd"/>
      <w:r>
        <w:rPr>
          <w:sz w:val="28"/>
          <w:szCs w:val="28"/>
          <w:lang w:val="uk-UA"/>
        </w:rPr>
        <w:t xml:space="preserve"> Т.М., </w:t>
      </w:r>
      <w:proofErr w:type="spellStart"/>
      <w:r>
        <w:rPr>
          <w:sz w:val="28"/>
          <w:szCs w:val="28"/>
          <w:lang w:val="uk-UA"/>
        </w:rPr>
        <w:t>Аль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Шекх</w:t>
      </w:r>
      <w:proofErr w:type="spellEnd"/>
      <w:r>
        <w:rPr>
          <w:sz w:val="28"/>
          <w:szCs w:val="28"/>
          <w:lang w:val="uk-UA"/>
        </w:rPr>
        <w:t xml:space="preserve"> Діб Х.Х.</w:t>
      </w:r>
    </w:p>
    <w:p w:rsidR="00F1730F" w:rsidRDefault="00F1730F" w:rsidP="00F1730F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F1730F" w:rsidRDefault="00F1730F" w:rsidP="00F173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2491D">
        <w:rPr>
          <w:b/>
          <w:sz w:val="28"/>
          <w:szCs w:val="28"/>
          <w:lang w:val="uk-UA"/>
        </w:rPr>
        <w:t>Ключові слова: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імунозапалення</w:t>
      </w:r>
      <w:proofErr w:type="spellEnd"/>
      <w:r>
        <w:rPr>
          <w:sz w:val="28"/>
          <w:szCs w:val="28"/>
          <w:lang w:val="uk-UA"/>
        </w:rPr>
        <w:t xml:space="preserve">, протизапальні </w:t>
      </w:r>
      <w:proofErr w:type="spellStart"/>
      <w:r>
        <w:rPr>
          <w:sz w:val="28"/>
          <w:szCs w:val="28"/>
          <w:lang w:val="uk-UA"/>
        </w:rPr>
        <w:t>цитокіни</w:t>
      </w:r>
      <w:proofErr w:type="spellEnd"/>
      <w:r>
        <w:rPr>
          <w:sz w:val="28"/>
          <w:szCs w:val="28"/>
          <w:lang w:val="uk-UA"/>
        </w:rPr>
        <w:t>, інтерлейкін-10, артеріальна гіпертензія, цукровий діабет 2 типу.</w:t>
      </w:r>
    </w:p>
    <w:p w:rsidR="00F1730F" w:rsidRDefault="00F1730F" w:rsidP="00CF319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CF319B" w:rsidRDefault="00CF319B" w:rsidP="00CF319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Інтерлекіни</w:t>
      </w:r>
      <w:proofErr w:type="spellEnd"/>
      <w:r>
        <w:rPr>
          <w:sz w:val="28"/>
          <w:szCs w:val="28"/>
          <w:lang w:val="uk-UA"/>
        </w:rPr>
        <w:t xml:space="preserve"> це широкий спектр невеликих регуляторних протеїнових молекул, що можуть спричинювати значні ефекти на регуляцію імунної відповідь та патогенез різноманітних захворювань. </w:t>
      </w:r>
      <w:proofErr w:type="spellStart"/>
      <w:r>
        <w:rPr>
          <w:sz w:val="28"/>
          <w:szCs w:val="28"/>
          <w:lang w:val="uk-UA"/>
        </w:rPr>
        <w:t>Інтерлейкіни</w:t>
      </w:r>
      <w:proofErr w:type="spellEnd"/>
      <w:r>
        <w:rPr>
          <w:sz w:val="28"/>
          <w:szCs w:val="28"/>
          <w:lang w:val="uk-UA"/>
        </w:rPr>
        <w:t xml:space="preserve"> продукуються широким спектром клітин, в основному моноцитами, макрофагами, </w:t>
      </w:r>
      <w:proofErr w:type="spellStart"/>
      <w:r>
        <w:rPr>
          <w:sz w:val="28"/>
          <w:szCs w:val="28"/>
          <w:lang w:val="uk-UA"/>
        </w:rPr>
        <w:t>нейтрофі</w:t>
      </w:r>
      <w:r w:rsidR="00F1730F">
        <w:rPr>
          <w:sz w:val="28"/>
          <w:szCs w:val="28"/>
          <w:lang w:val="uk-UA"/>
        </w:rPr>
        <w:t>лами</w:t>
      </w:r>
      <w:proofErr w:type="spellEnd"/>
      <w:r w:rsidR="00F1730F">
        <w:rPr>
          <w:sz w:val="28"/>
          <w:szCs w:val="28"/>
          <w:lang w:val="uk-UA"/>
        </w:rPr>
        <w:t xml:space="preserve">, Т-клітинами, еозинофілами; </w:t>
      </w:r>
      <w:r>
        <w:rPr>
          <w:sz w:val="28"/>
          <w:szCs w:val="28"/>
          <w:lang w:val="uk-UA"/>
        </w:rPr>
        <w:t xml:space="preserve">додатковими джерелами є епітеліальні клітини, фібробласти, </w:t>
      </w:r>
      <w:proofErr w:type="spellStart"/>
      <w:r>
        <w:rPr>
          <w:sz w:val="28"/>
          <w:szCs w:val="28"/>
          <w:lang w:val="uk-UA"/>
        </w:rPr>
        <w:t>гладком’язові</w:t>
      </w:r>
      <w:proofErr w:type="spellEnd"/>
      <w:r>
        <w:rPr>
          <w:sz w:val="28"/>
          <w:szCs w:val="28"/>
          <w:lang w:val="uk-UA"/>
        </w:rPr>
        <w:t xml:space="preserve"> клітини, </w:t>
      </w:r>
      <w:proofErr w:type="spellStart"/>
      <w:r>
        <w:rPr>
          <w:sz w:val="28"/>
          <w:szCs w:val="28"/>
          <w:lang w:val="uk-UA"/>
        </w:rPr>
        <w:t>нейрональні</w:t>
      </w:r>
      <w:proofErr w:type="spellEnd"/>
      <w:r>
        <w:rPr>
          <w:sz w:val="28"/>
          <w:szCs w:val="28"/>
          <w:lang w:val="uk-UA"/>
        </w:rPr>
        <w:t xml:space="preserve"> клітини, клітини пухлин та інш</w:t>
      </w:r>
      <w:r w:rsidR="00F1730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. Перші </w:t>
      </w:r>
      <w:proofErr w:type="spellStart"/>
      <w:r>
        <w:rPr>
          <w:sz w:val="28"/>
          <w:szCs w:val="28"/>
          <w:lang w:val="uk-UA"/>
        </w:rPr>
        <w:t>інтерлейкіни</w:t>
      </w:r>
      <w:proofErr w:type="spellEnd"/>
      <w:r>
        <w:rPr>
          <w:sz w:val="28"/>
          <w:szCs w:val="28"/>
          <w:lang w:val="uk-UA"/>
        </w:rPr>
        <w:t xml:space="preserve"> було </w:t>
      </w:r>
      <w:proofErr w:type="spellStart"/>
      <w:r>
        <w:rPr>
          <w:sz w:val="28"/>
          <w:szCs w:val="28"/>
          <w:lang w:val="uk-UA"/>
        </w:rPr>
        <w:t>клоновано</w:t>
      </w:r>
      <w:proofErr w:type="spellEnd"/>
      <w:r>
        <w:rPr>
          <w:sz w:val="28"/>
          <w:szCs w:val="28"/>
          <w:lang w:val="uk-UA"/>
        </w:rPr>
        <w:t xml:space="preserve"> приблизно три декади тому, та з того часу кількість відомих </w:t>
      </w:r>
      <w:proofErr w:type="spellStart"/>
      <w:r>
        <w:rPr>
          <w:sz w:val="28"/>
          <w:szCs w:val="28"/>
          <w:lang w:val="uk-UA"/>
        </w:rPr>
        <w:t>інтерлейкінів</w:t>
      </w:r>
      <w:proofErr w:type="spellEnd"/>
      <w:r>
        <w:rPr>
          <w:sz w:val="28"/>
          <w:szCs w:val="28"/>
          <w:lang w:val="uk-UA"/>
        </w:rPr>
        <w:t xml:space="preserve"> зростає </w:t>
      </w:r>
      <w:r w:rsidRPr="0013224C">
        <w:rPr>
          <w:sz w:val="28"/>
          <w:szCs w:val="28"/>
          <w:lang w:val="uk-UA"/>
        </w:rPr>
        <w:t>[</w:t>
      </w:r>
      <w:r w:rsidR="000A3FBC" w:rsidRPr="000A3FBC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,</w:t>
      </w:r>
      <w:r w:rsidR="000A3FBC" w:rsidRPr="000A3FBC">
        <w:rPr>
          <w:sz w:val="28"/>
          <w:szCs w:val="28"/>
        </w:rPr>
        <w:t xml:space="preserve"> 2</w:t>
      </w:r>
      <w:r w:rsidRPr="0013224C"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</w:t>
      </w:r>
    </w:p>
    <w:p w:rsidR="00CF319B" w:rsidRPr="0069764D" w:rsidRDefault="00F1730F" w:rsidP="00CF319B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Інтерлекін</w:t>
      </w:r>
      <w:proofErr w:type="spellEnd"/>
      <w:r>
        <w:rPr>
          <w:sz w:val="28"/>
          <w:szCs w:val="28"/>
          <w:lang w:val="uk-UA"/>
        </w:rPr>
        <w:t>-10 (</w:t>
      </w:r>
      <w:r w:rsidR="00CF319B">
        <w:rPr>
          <w:sz w:val="28"/>
          <w:szCs w:val="28"/>
          <w:lang w:val="uk-UA"/>
        </w:rPr>
        <w:t>ІЛ-10</w:t>
      </w:r>
      <w:r>
        <w:rPr>
          <w:sz w:val="28"/>
          <w:szCs w:val="28"/>
          <w:lang w:val="uk-UA"/>
        </w:rPr>
        <w:t>)</w:t>
      </w:r>
      <w:r w:rsidR="00CF319B">
        <w:rPr>
          <w:sz w:val="28"/>
          <w:szCs w:val="28"/>
          <w:lang w:val="uk-UA"/>
        </w:rPr>
        <w:t xml:space="preserve"> є одним із представників сімейства протизапальних </w:t>
      </w:r>
      <w:proofErr w:type="spellStart"/>
      <w:r w:rsidR="00CF319B">
        <w:rPr>
          <w:sz w:val="28"/>
          <w:szCs w:val="28"/>
          <w:lang w:val="uk-UA"/>
        </w:rPr>
        <w:t>цитокінів</w:t>
      </w:r>
      <w:proofErr w:type="spellEnd"/>
      <w:r w:rsidR="00CF319B">
        <w:rPr>
          <w:sz w:val="28"/>
          <w:szCs w:val="28"/>
          <w:lang w:val="uk-UA"/>
        </w:rPr>
        <w:t xml:space="preserve">, цей </w:t>
      </w:r>
      <w:proofErr w:type="spellStart"/>
      <w:r w:rsidR="00CF319B">
        <w:rPr>
          <w:sz w:val="28"/>
          <w:szCs w:val="28"/>
          <w:lang w:val="uk-UA"/>
        </w:rPr>
        <w:t>цитокін</w:t>
      </w:r>
      <w:proofErr w:type="spellEnd"/>
      <w:r w:rsidR="00CF319B">
        <w:rPr>
          <w:sz w:val="28"/>
          <w:szCs w:val="28"/>
          <w:lang w:val="uk-UA"/>
        </w:rPr>
        <w:t xml:space="preserve"> є </w:t>
      </w:r>
      <w:proofErr w:type="spellStart"/>
      <w:r w:rsidR="00CF319B">
        <w:rPr>
          <w:sz w:val="28"/>
          <w:szCs w:val="28"/>
          <w:lang w:val="uk-UA"/>
        </w:rPr>
        <w:t>гомодимером</w:t>
      </w:r>
      <w:proofErr w:type="spellEnd"/>
      <w:r w:rsidR="00CF319B">
        <w:rPr>
          <w:sz w:val="28"/>
          <w:szCs w:val="28"/>
          <w:lang w:val="uk-UA"/>
        </w:rPr>
        <w:t xml:space="preserve"> з молекулярною масою 37 кДж. Кожний мономер складається з 160 амінокислот з молекулярною масою 18,5 кДж. ІЛ-10 продукується активованими лімфоцитами, моноцитами/макрофагами та </w:t>
      </w:r>
      <w:proofErr w:type="spellStart"/>
      <w:r w:rsidR="00CF319B">
        <w:rPr>
          <w:sz w:val="28"/>
          <w:szCs w:val="28"/>
          <w:lang w:val="uk-UA"/>
        </w:rPr>
        <w:t>тканьовими</w:t>
      </w:r>
      <w:proofErr w:type="spellEnd"/>
      <w:r w:rsidR="00CF319B">
        <w:rPr>
          <w:sz w:val="28"/>
          <w:szCs w:val="28"/>
          <w:lang w:val="uk-UA"/>
        </w:rPr>
        <w:t xml:space="preserve"> базофілами; має багатофункціональні </w:t>
      </w:r>
      <w:proofErr w:type="spellStart"/>
      <w:r w:rsidR="00CF319B">
        <w:rPr>
          <w:sz w:val="28"/>
          <w:szCs w:val="28"/>
          <w:lang w:val="uk-UA"/>
        </w:rPr>
        <w:t>антизапальні</w:t>
      </w:r>
      <w:proofErr w:type="spellEnd"/>
      <w:r w:rsidR="00CF319B">
        <w:rPr>
          <w:sz w:val="28"/>
          <w:szCs w:val="28"/>
          <w:lang w:val="uk-UA"/>
        </w:rPr>
        <w:t xml:space="preserve"> властивості; активується після зв’язування з клітинними рецепторами високого ступеня </w:t>
      </w:r>
      <w:proofErr w:type="spellStart"/>
      <w:r w:rsidR="00CF319B">
        <w:rPr>
          <w:sz w:val="28"/>
          <w:szCs w:val="28"/>
          <w:lang w:val="uk-UA"/>
        </w:rPr>
        <w:t>спорідненності</w:t>
      </w:r>
      <w:proofErr w:type="spellEnd"/>
      <w:r w:rsidR="00CF319B">
        <w:rPr>
          <w:sz w:val="28"/>
          <w:szCs w:val="28"/>
          <w:lang w:val="uk-UA"/>
        </w:rPr>
        <w:t>.</w:t>
      </w:r>
      <w:r w:rsidR="000A3FBC">
        <w:rPr>
          <w:sz w:val="28"/>
          <w:szCs w:val="28"/>
          <w:lang w:val="uk-UA"/>
        </w:rPr>
        <w:t xml:space="preserve"> </w:t>
      </w:r>
      <w:r w:rsidR="00CF319B">
        <w:rPr>
          <w:sz w:val="28"/>
          <w:szCs w:val="28"/>
          <w:lang w:val="uk-UA"/>
        </w:rPr>
        <w:t xml:space="preserve">Секреція ІЛ-10 може пригнічувати продукцію </w:t>
      </w:r>
      <w:proofErr w:type="spellStart"/>
      <w:r w:rsidR="00CF319B">
        <w:rPr>
          <w:sz w:val="28"/>
          <w:szCs w:val="28"/>
          <w:lang w:val="uk-UA"/>
        </w:rPr>
        <w:t>цитокінів</w:t>
      </w:r>
      <w:proofErr w:type="spellEnd"/>
      <w:r w:rsidR="00CF319B">
        <w:rPr>
          <w:sz w:val="28"/>
          <w:szCs w:val="28"/>
          <w:lang w:val="uk-UA"/>
        </w:rPr>
        <w:t xml:space="preserve">, експресію </w:t>
      </w:r>
      <w:proofErr w:type="spellStart"/>
      <w:r w:rsidR="00CF319B">
        <w:rPr>
          <w:sz w:val="28"/>
          <w:szCs w:val="28"/>
          <w:lang w:val="uk-UA"/>
        </w:rPr>
        <w:t>ізоформ</w:t>
      </w:r>
      <w:proofErr w:type="spellEnd"/>
      <w:r w:rsidR="00CF319B">
        <w:rPr>
          <w:sz w:val="28"/>
          <w:szCs w:val="28"/>
          <w:lang w:val="uk-UA"/>
        </w:rPr>
        <w:t xml:space="preserve"> ММР та блокувати </w:t>
      </w:r>
      <w:proofErr w:type="spellStart"/>
      <w:r w:rsidR="00CF319B">
        <w:rPr>
          <w:sz w:val="28"/>
          <w:szCs w:val="28"/>
          <w:lang w:val="uk-UA"/>
        </w:rPr>
        <w:t>апоптоз</w:t>
      </w:r>
      <w:proofErr w:type="spellEnd"/>
      <w:r w:rsidR="00CF319B">
        <w:rPr>
          <w:sz w:val="28"/>
          <w:szCs w:val="28"/>
          <w:lang w:val="uk-UA"/>
        </w:rPr>
        <w:t xml:space="preserve"> макрофагів та моноцитів після інфекції. Як було показано, всі ці запальні механізми відіграють пілотну роль у розвитку та </w:t>
      </w:r>
      <w:r w:rsidR="00CF319B">
        <w:rPr>
          <w:sz w:val="28"/>
          <w:szCs w:val="28"/>
          <w:lang w:val="uk-UA"/>
        </w:rPr>
        <w:lastRenderedPageBreak/>
        <w:t xml:space="preserve">прогресуванні атеросклерозу, що свідчить про позитивну регуляторну роль ІЛ-10. Більш того, чисельні експериментальні дослідження показали, що як системна, так і локальна активність ІЛ-10 пригнічує </w:t>
      </w:r>
      <w:proofErr w:type="spellStart"/>
      <w:r w:rsidR="00CF319B">
        <w:rPr>
          <w:sz w:val="28"/>
          <w:szCs w:val="28"/>
          <w:lang w:val="uk-UA"/>
        </w:rPr>
        <w:t>атерогенез</w:t>
      </w:r>
      <w:proofErr w:type="spellEnd"/>
      <w:r w:rsidR="00CF319B">
        <w:rPr>
          <w:sz w:val="28"/>
          <w:szCs w:val="28"/>
          <w:lang w:val="uk-UA"/>
        </w:rPr>
        <w:t xml:space="preserve"> </w:t>
      </w:r>
      <w:r w:rsidR="00CF319B" w:rsidRPr="006A06EF">
        <w:rPr>
          <w:sz w:val="28"/>
          <w:szCs w:val="28"/>
          <w:lang w:val="uk-UA"/>
        </w:rPr>
        <w:t>[</w:t>
      </w:r>
      <w:r w:rsidR="000A3FBC" w:rsidRPr="000A3FBC">
        <w:rPr>
          <w:sz w:val="28"/>
          <w:szCs w:val="28"/>
        </w:rPr>
        <w:t>3</w:t>
      </w:r>
      <w:r w:rsidR="000A3FBC">
        <w:rPr>
          <w:sz w:val="28"/>
          <w:szCs w:val="28"/>
          <w:lang w:val="uk-UA"/>
        </w:rPr>
        <w:t xml:space="preserve">, </w:t>
      </w:r>
      <w:r w:rsidR="000A3FBC" w:rsidRPr="000A3FBC">
        <w:rPr>
          <w:sz w:val="28"/>
          <w:szCs w:val="28"/>
        </w:rPr>
        <w:t>4</w:t>
      </w:r>
      <w:r w:rsidR="00CF319B" w:rsidRPr="006A06EF">
        <w:rPr>
          <w:sz w:val="28"/>
          <w:szCs w:val="28"/>
          <w:lang w:val="uk-UA"/>
        </w:rPr>
        <w:t>]</w:t>
      </w:r>
      <w:r w:rsidR="00CF319B">
        <w:rPr>
          <w:sz w:val="28"/>
          <w:szCs w:val="28"/>
          <w:lang w:val="uk-UA"/>
        </w:rPr>
        <w:t xml:space="preserve">.    </w:t>
      </w:r>
    </w:p>
    <w:p w:rsidR="00CF319B" w:rsidRPr="000A3FBC" w:rsidRDefault="00CF319B" w:rsidP="00CF319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Експресію ІЛ-10 відзначено у хворих з атеросклерозом, що асоціювалося зі зниженням експресії </w:t>
      </w:r>
      <w:proofErr w:type="spellStart"/>
      <w:r>
        <w:rPr>
          <w:sz w:val="28"/>
          <w:szCs w:val="28"/>
          <w:lang w:val="uk-UA"/>
        </w:rPr>
        <w:t>індуцибільної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NO</w:t>
      </w:r>
      <w:r w:rsidRPr="00D3476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синтази</w:t>
      </w:r>
      <w:proofErr w:type="spellEnd"/>
      <w:r>
        <w:rPr>
          <w:sz w:val="28"/>
          <w:szCs w:val="28"/>
          <w:lang w:val="uk-UA"/>
        </w:rPr>
        <w:t xml:space="preserve"> та низьким рівнем </w:t>
      </w:r>
      <w:proofErr w:type="spellStart"/>
      <w:r>
        <w:rPr>
          <w:sz w:val="28"/>
          <w:szCs w:val="28"/>
          <w:lang w:val="uk-UA"/>
        </w:rPr>
        <w:t>апоптозу</w:t>
      </w:r>
      <w:proofErr w:type="spellEnd"/>
      <w:r>
        <w:rPr>
          <w:sz w:val="28"/>
          <w:szCs w:val="28"/>
          <w:lang w:val="uk-UA"/>
        </w:rPr>
        <w:t xml:space="preserve">, що є ще одним підтвердженням проективної ролі даного протизапального </w:t>
      </w:r>
      <w:proofErr w:type="spellStart"/>
      <w:r>
        <w:rPr>
          <w:sz w:val="28"/>
          <w:szCs w:val="28"/>
          <w:lang w:val="uk-UA"/>
        </w:rPr>
        <w:t>цитокіну</w:t>
      </w:r>
      <w:proofErr w:type="spellEnd"/>
      <w:r>
        <w:rPr>
          <w:sz w:val="28"/>
          <w:szCs w:val="28"/>
          <w:lang w:val="uk-UA"/>
        </w:rPr>
        <w:t xml:space="preserve">. Зниження рівню ІЛ-10 у сироватці крові є не тільки маркером нестабільності атеросклеротичної бляшки, що сприяє розвитку гострого коронарного синдрому, але й, що більш важливо, асоціюється з погіршенням прогнозу при виникненні гострих ішемічних подій, викликаних нестабільністю бляшки. Слід відзначити, що за даними деяких досліджень благотворні ефекти підвищеного сироваткового рівню ІЛ-10 обмежені підвищеним рівнем СРБ у сироватці крові, що вказує на розширення системної запальної відповіді </w:t>
      </w:r>
      <w:r w:rsidRPr="006A06EF">
        <w:rPr>
          <w:sz w:val="28"/>
          <w:szCs w:val="28"/>
          <w:lang w:val="uk-UA"/>
        </w:rPr>
        <w:t>[</w:t>
      </w:r>
      <w:r w:rsidR="000A3FBC">
        <w:rPr>
          <w:sz w:val="28"/>
          <w:szCs w:val="28"/>
          <w:lang w:val="uk-UA"/>
        </w:rPr>
        <w:t>4</w:t>
      </w:r>
      <w:r w:rsidRPr="006A06EF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.    </w:t>
      </w:r>
    </w:p>
    <w:p w:rsidR="00CF319B" w:rsidRPr="00CF319B" w:rsidRDefault="00F1730F" w:rsidP="00F173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rStyle w:val="longtext"/>
          <w:sz w:val="28"/>
          <w:szCs w:val="28"/>
          <w:lang w:val="uk-UA"/>
        </w:rPr>
        <w:t>П</w:t>
      </w:r>
      <w:r w:rsidR="00CF319B" w:rsidRPr="00F01189">
        <w:rPr>
          <w:rStyle w:val="longtext"/>
          <w:sz w:val="28"/>
          <w:szCs w:val="28"/>
          <w:lang w:val="uk-UA"/>
        </w:rPr>
        <w:t xml:space="preserve">роблема поєднання </w:t>
      </w:r>
      <w:proofErr w:type="spellStart"/>
      <w:r w:rsidR="00CF319B" w:rsidRPr="00F01189">
        <w:rPr>
          <w:rStyle w:val="longtext"/>
          <w:sz w:val="28"/>
          <w:szCs w:val="28"/>
          <w:lang w:val="uk-UA"/>
        </w:rPr>
        <w:t>кардіальної</w:t>
      </w:r>
      <w:proofErr w:type="spellEnd"/>
      <w:r w:rsidR="00CF319B" w:rsidRPr="00F01189">
        <w:rPr>
          <w:rStyle w:val="longtext"/>
          <w:sz w:val="28"/>
          <w:szCs w:val="28"/>
          <w:lang w:val="uk-UA"/>
        </w:rPr>
        <w:t xml:space="preserve"> патології і ЦД </w:t>
      </w:r>
      <w:r w:rsidR="00CF319B">
        <w:rPr>
          <w:rStyle w:val="longtext"/>
          <w:sz w:val="28"/>
          <w:szCs w:val="28"/>
          <w:lang w:val="uk-UA"/>
        </w:rPr>
        <w:t xml:space="preserve">2 типу </w:t>
      </w:r>
      <w:r w:rsidR="00CF319B" w:rsidRPr="00F01189">
        <w:rPr>
          <w:rStyle w:val="longtext"/>
          <w:sz w:val="28"/>
          <w:szCs w:val="28"/>
          <w:lang w:val="uk-UA"/>
        </w:rPr>
        <w:t>в останні роки набуває ще більшої актуальності</w:t>
      </w:r>
      <w:r w:rsidR="00CF319B" w:rsidRPr="00DE2579">
        <w:rPr>
          <w:rStyle w:val="longtext"/>
          <w:sz w:val="28"/>
          <w:szCs w:val="28"/>
          <w:lang w:val="uk-UA"/>
        </w:rPr>
        <w:t xml:space="preserve"> </w:t>
      </w:r>
      <w:r w:rsidR="00CF319B" w:rsidRPr="00F01189">
        <w:rPr>
          <w:rStyle w:val="longtext"/>
          <w:sz w:val="28"/>
          <w:szCs w:val="28"/>
          <w:lang w:val="uk-UA"/>
        </w:rPr>
        <w:t xml:space="preserve">в </w:t>
      </w:r>
      <w:r w:rsidR="00CF319B">
        <w:rPr>
          <w:rStyle w:val="longtext"/>
          <w:sz w:val="28"/>
          <w:szCs w:val="28"/>
          <w:lang w:val="uk-UA"/>
        </w:rPr>
        <w:t xml:space="preserve">економічно-розвинутих </w:t>
      </w:r>
      <w:r w:rsidR="00CF319B" w:rsidRPr="00F01189">
        <w:rPr>
          <w:rStyle w:val="longtext"/>
          <w:sz w:val="28"/>
          <w:szCs w:val="28"/>
          <w:lang w:val="uk-UA"/>
        </w:rPr>
        <w:t xml:space="preserve">індустріальних країнах, у тому числі і в Україні. </w:t>
      </w:r>
      <w:r w:rsidR="00CF319B">
        <w:rPr>
          <w:rStyle w:val="longtext"/>
          <w:sz w:val="28"/>
          <w:szCs w:val="28"/>
          <w:lang w:val="uk-UA"/>
        </w:rPr>
        <w:t xml:space="preserve">Це обумовлює необхідність більш детального з’ясування спільних ланок патогенезу АГ та ЦД 2 типу, а саме </w:t>
      </w:r>
      <w:proofErr w:type="spellStart"/>
      <w:r w:rsidR="00CF319B">
        <w:rPr>
          <w:rStyle w:val="longtext"/>
          <w:sz w:val="28"/>
          <w:szCs w:val="28"/>
          <w:lang w:val="uk-UA"/>
        </w:rPr>
        <w:t>імунозапальної</w:t>
      </w:r>
      <w:proofErr w:type="spellEnd"/>
      <w:r w:rsidR="00CF319B">
        <w:rPr>
          <w:rStyle w:val="longtext"/>
          <w:sz w:val="28"/>
          <w:szCs w:val="28"/>
          <w:lang w:val="uk-UA"/>
        </w:rPr>
        <w:t xml:space="preserve"> активації та параметрів вуглеводного метаболізму. </w:t>
      </w:r>
      <w:r w:rsidR="00CF319B" w:rsidRPr="00F01189">
        <w:rPr>
          <w:sz w:val="28"/>
          <w:szCs w:val="28"/>
          <w:lang w:val="uk-UA"/>
        </w:rPr>
        <w:t xml:space="preserve">Хоча у літературі ми </w:t>
      </w:r>
      <w:r w:rsidR="00CF319B">
        <w:rPr>
          <w:sz w:val="28"/>
          <w:szCs w:val="28"/>
          <w:lang w:val="uk-UA"/>
        </w:rPr>
        <w:t xml:space="preserve">і </w:t>
      </w:r>
      <w:r w:rsidR="00CF319B" w:rsidRPr="00F01189">
        <w:rPr>
          <w:sz w:val="28"/>
          <w:szCs w:val="28"/>
          <w:lang w:val="uk-UA"/>
        </w:rPr>
        <w:t xml:space="preserve">зустріли роботи по вивченню взаємозв’язків АГ та ЦД 2 типу, майже не проводилось досліджень </w:t>
      </w:r>
      <w:r w:rsidR="00CF319B">
        <w:rPr>
          <w:sz w:val="28"/>
          <w:szCs w:val="28"/>
          <w:lang w:val="uk-UA"/>
        </w:rPr>
        <w:t xml:space="preserve">щодо комплексного аналізу активності </w:t>
      </w:r>
      <w:r>
        <w:rPr>
          <w:sz w:val="28"/>
          <w:szCs w:val="28"/>
          <w:lang w:val="uk-UA"/>
        </w:rPr>
        <w:t xml:space="preserve">протизапального </w:t>
      </w:r>
      <w:proofErr w:type="spellStart"/>
      <w:r>
        <w:rPr>
          <w:sz w:val="28"/>
          <w:szCs w:val="28"/>
          <w:lang w:val="uk-UA"/>
        </w:rPr>
        <w:t>цитокіну</w:t>
      </w:r>
      <w:proofErr w:type="spellEnd"/>
      <w:r>
        <w:rPr>
          <w:sz w:val="28"/>
          <w:szCs w:val="28"/>
          <w:lang w:val="uk-UA"/>
        </w:rPr>
        <w:t xml:space="preserve"> – ІЛ-10 та</w:t>
      </w:r>
      <w:r w:rsidRPr="00F01189">
        <w:rPr>
          <w:sz w:val="28"/>
          <w:szCs w:val="28"/>
          <w:lang w:val="uk-UA"/>
        </w:rPr>
        <w:t xml:space="preserve"> </w:t>
      </w:r>
      <w:proofErr w:type="spellStart"/>
      <w:r w:rsidR="00CF319B" w:rsidRPr="00F01189">
        <w:rPr>
          <w:sz w:val="28"/>
          <w:szCs w:val="28"/>
          <w:lang w:val="uk-UA"/>
        </w:rPr>
        <w:t>прозапальн</w:t>
      </w:r>
      <w:r w:rsidR="00CF319B">
        <w:rPr>
          <w:sz w:val="28"/>
          <w:szCs w:val="28"/>
          <w:lang w:val="uk-UA"/>
        </w:rPr>
        <w:t>ого</w:t>
      </w:r>
      <w:proofErr w:type="spellEnd"/>
      <w:r w:rsidR="00CF319B">
        <w:rPr>
          <w:sz w:val="28"/>
          <w:szCs w:val="28"/>
          <w:lang w:val="uk-UA"/>
        </w:rPr>
        <w:t xml:space="preserve"> </w:t>
      </w:r>
      <w:proofErr w:type="spellStart"/>
      <w:r w:rsidR="00CF319B" w:rsidRPr="00F01189">
        <w:rPr>
          <w:sz w:val="28"/>
          <w:szCs w:val="28"/>
          <w:lang w:val="uk-UA"/>
        </w:rPr>
        <w:t>цитокін</w:t>
      </w:r>
      <w:r w:rsidR="00CF319B">
        <w:rPr>
          <w:sz w:val="28"/>
          <w:szCs w:val="28"/>
          <w:lang w:val="uk-UA"/>
        </w:rPr>
        <w:t>у</w:t>
      </w:r>
      <w:proofErr w:type="spellEnd"/>
      <w:r w:rsidR="00CF319B">
        <w:rPr>
          <w:sz w:val="28"/>
          <w:szCs w:val="28"/>
          <w:lang w:val="uk-UA"/>
        </w:rPr>
        <w:t xml:space="preserve"> – ІЛ-18 у взаємозв’язку з показниками </w:t>
      </w:r>
      <w:proofErr w:type="spellStart"/>
      <w:r w:rsidR="00CF319B">
        <w:rPr>
          <w:sz w:val="28"/>
          <w:szCs w:val="28"/>
          <w:lang w:val="uk-UA"/>
        </w:rPr>
        <w:t>глікемічного</w:t>
      </w:r>
      <w:proofErr w:type="spellEnd"/>
      <w:r w:rsidR="00CF319B">
        <w:rPr>
          <w:sz w:val="28"/>
          <w:szCs w:val="28"/>
          <w:lang w:val="uk-UA"/>
        </w:rPr>
        <w:t xml:space="preserve"> профілю</w:t>
      </w:r>
      <w:r w:rsidR="00CF319B" w:rsidRPr="00F01189">
        <w:rPr>
          <w:sz w:val="28"/>
          <w:szCs w:val="28"/>
          <w:lang w:val="uk-UA"/>
        </w:rPr>
        <w:t>, що може м</w:t>
      </w:r>
      <w:r w:rsidR="00CF319B">
        <w:rPr>
          <w:sz w:val="28"/>
          <w:szCs w:val="28"/>
          <w:lang w:val="uk-UA"/>
        </w:rPr>
        <w:t>а</w:t>
      </w:r>
      <w:r w:rsidR="00CF319B" w:rsidRPr="00F01189">
        <w:rPr>
          <w:sz w:val="28"/>
          <w:szCs w:val="28"/>
          <w:lang w:val="uk-UA"/>
        </w:rPr>
        <w:t xml:space="preserve">ти велике значення у розумінні патогенезу </w:t>
      </w:r>
      <w:proofErr w:type="spellStart"/>
      <w:r w:rsidR="00CF319B">
        <w:rPr>
          <w:sz w:val="28"/>
          <w:szCs w:val="28"/>
          <w:lang w:val="uk-UA"/>
        </w:rPr>
        <w:t>кардіометаболічних</w:t>
      </w:r>
      <w:proofErr w:type="spellEnd"/>
      <w:r w:rsidR="00CF319B">
        <w:rPr>
          <w:sz w:val="28"/>
          <w:szCs w:val="28"/>
          <w:lang w:val="uk-UA"/>
        </w:rPr>
        <w:t xml:space="preserve"> порушень, що, відповідно, дасть змогу розробити адекватну тактику терапевтичної корекції даних порушень</w:t>
      </w:r>
      <w:r w:rsidR="00CF319B" w:rsidRPr="00F01189">
        <w:rPr>
          <w:sz w:val="28"/>
          <w:szCs w:val="28"/>
          <w:lang w:val="uk-UA"/>
        </w:rPr>
        <w:t>.</w:t>
      </w:r>
    </w:p>
    <w:p w:rsidR="00F1730F" w:rsidRDefault="00F1730F" w:rsidP="00F1730F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Метою нашого дослідження було вивчення плазматичної активності протизапального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цитокіну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– ІЛ-10</w:t>
      </w:r>
      <w:r w:rsidR="00225848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взаємозв’язку з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25848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антропометричними показниками, рівнем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прозапального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цитокіну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– ІЛ-18</w:t>
      </w:r>
      <w:r w:rsidR="00225848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, параметрами вуглеводного метаболізму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у пацієнтів АГ з супутнім ЦД 2 типу. </w:t>
      </w:r>
    </w:p>
    <w:p w:rsidR="00871AC9" w:rsidRDefault="00871AC9" w:rsidP="00871AC9">
      <w:pPr>
        <w:pStyle w:val="a3"/>
        <w:tabs>
          <w:tab w:val="clear" w:pos="4153"/>
          <w:tab w:val="clear" w:pos="8306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2491D">
        <w:rPr>
          <w:b/>
          <w:sz w:val="28"/>
          <w:szCs w:val="28"/>
          <w:lang w:val="uk-UA"/>
        </w:rPr>
        <w:lastRenderedPageBreak/>
        <w:t xml:space="preserve">Матеріали і методи дослідження. </w:t>
      </w:r>
      <w:r w:rsidRPr="008222DC">
        <w:rPr>
          <w:color w:val="000000"/>
          <w:sz w:val="28"/>
          <w:szCs w:val="28"/>
          <w:shd w:val="clear" w:color="auto" w:fill="FFFFFF"/>
          <w:lang w:val="uk-UA"/>
        </w:rPr>
        <w:t xml:space="preserve">Обстежено </w:t>
      </w:r>
      <w:r>
        <w:rPr>
          <w:sz w:val="28"/>
          <w:szCs w:val="28"/>
          <w:lang w:val="uk-UA"/>
        </w:rPr>
        <w:t xml:space="preserve">103 пацієнта на АГ: 58 жінок, що становило 56,3 % та 45 чоловіків (43,7 %), </w:t>
      </w:r>
      <w:r w:rsidRPr="008222DC">
        <w:rPr>
          <w:sz w:val="28"/>
          <w:szCs w:val="28"/>
          <w:lang w:val="uk-UA"/>
        </w:rPr>
        <w:t>яким було проведено загально-клінічне та лабораторно-інструментальне обстеження</w:t>
      </w:r>
      <w:r>
        <w:rPr>
          <w:sz w:val="28"/>
          <w:szCs w:val="28"/>
          <w:lang w:val="uk-UA"/>
        </w:rPr>
        <w:t xml:space="preserve"> та 10 практично здорових осіб, що склали контрольну групу</w:t>
      </w:r>
      <w:r w:rsidRPr="008222DC">
        <w:rPr>
          <w:sz w:val="28"/>
          <w:szCs w:val="28"/>
          <w:lang w:val="uk-UA"/>
        </w:rPr>
        <w:t xml:space="preserve">. Верифікацію діагнозу, визначення стадії та ступеня АГ проведено згідно критеріїв, рекомендованих Українським товариством кардіологів та Європейським товариством з артеріальної гіпертензії / Європейським товариством з кардіології </w:t>
      </w:r>
      <w:r>
        <w:rPr>
          <w:sz w:val="28"/>
          <w:szCs w:val="28"/>
          <w:lang w:val="uk-UA"/>
        </w:rPr>
        <w:t>[</w:t>
      </w:r>
      <w:r w:rsidR="000A3FB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]</w:t>
      </w:r>
      <w:r w:rsidRPr="008222DC">
        <w:rPr>
          <w:sz w:val="28"/>
          <w:szCs w:val="28"/>
          <w:lang w:val="uk-UA"/>
        </w:rPr>
        <w:t>.</w:t>
      </w:r>
    </w:p>
    <w:p w:rsidR="00871AC9" w:rsidRDefault="00871AC9" w:rsidP="00871AC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дослідження не включали пацієнтів з вторинною АГ, за наявності супутньої </w:t>
      </w:r>
      <w:proofErr w:type="spellStart"/>
      <w:r>
        <w:rPr>
          <w:sz w:val="28"/>
          <w:szCs w:val="28"/>
          <w:lang w:val="uk-UA"/>
        </w:rPr>
        <w:t>аутоімунної</w:t>
      </w:r>
      <w:proofErr w:type="spellEnd"/>
      <w:r>
        <w:rPr>
          <w:sz w:val="28"/>
          <w:szCs w:val="28"/>
          <w:lang w:val="uk-UA"/>
        </w:rPr>
        <w:t xml:space="preserve">, онкологічної патології, гострих та хронічних захворюваннях печінки та нирок, запальних процесів чи захворювань, виражених порушень серцевого ритму та провідності, </w:t>
      </w:r>
      <w:r w:rsidRPr="003F1AEC">
        <w:rPr>
          <w:sz w:val="28"/>
          <w:szCs w:val="28"/>
          <w:lang w:val="uk-UA"/>
        </w:rPr>
        <w:t xml:space="preserve">гострого інфаркту міокарда чи інсульту, гострої </w:t>
      </w:r>
      <w:proofErr w:type="spellStart"/>
      <w:r w:rsidRPr="003F1AEC">
        <w:rPr>
          <w:sz w:val="28"/>
          <w:szCs w:val="28"/>
          <w:lang w:val="uk-UA"/>
        </w:rPr>
        <w:t>ліво-</w:t>
      </w:r>
      <w:proofErr w:type="spellEnd"/>
      <w:r w:rsidRPr="003F1AEC">
        <w:rPr>
          <w:sz w:val="28"/>
          <w:szCs w:val="28"/>
          <w:lang w:val="uk-UA"/>
        </w:rPr>
        <w:t xml:space="preserve"> чи </w:t>
      </w:r>
      <w:proofErr w:type="spellStart"/>
      <w:r w:rsidRPr="003F1AEC">
        <w:rPr>
          <w:sz w:val="28"/>
          <w:szCs w:val="28"/>
          <w:lang w:val="uk-UA"/>
        </w:rPr>
        <w:t>правошлуночкової</w:t>
      </w:r>
      <w:proofErr w:type="spellEnd"/>
      <w:r w:rsidRPr="003F1AEC">
        <w:rPr>
          <w:sz w:val="28"/>
          <w:szCs w:val="28"/>
          <w:lang w:val="uk-UA"/>
        </w:rPr>
        <w:t xml:space="preserve"> недостатності</w:t>
      </w:r>
      <w:r>
        <w:rPr>
          <w:sz w:val="28"/>
          <w:szCs w:val="28"/>
          <w:lang w:val="uk-UA"/>
        </w:rPr>
        <w:t xml:space="preserve">, хронічної серцевої недостатності </w:t>
      </w:r>
      <w:r w:rsidRPr="003F1AEC">
        <w:rPr>
          <w:sz w:val="28"/>
          <w:szCs w:val="28"/>
          <w:lang w:val="uk-UA"/>
        </w:rPr>
        <w:t>ІІІ</w:t>
      </w:r>
      <w:r>
        <w:rPr>
          <w:sz w:val="28"/>
          <w:szCs w:val="28"/>
          <w:lang w:val="uk-UA"/>
        </w:rPr>
        <w:t xml:space="preserve"> ст., супутніх психічних захворювань, наркоманії, алкоголізму. </w:t>
      </w:r>
    </w:p>
    <w:p w:rsidR="00871AC9" w:rsidRPr="00764F74" w:rsidRDefault="00871AC9" w:rsidP="00871AC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026475">
        <w:rPr>
          <w:sz w:val="28"/>
          <w:szCs w:val="28"/>
          <w:lang w:val="uk-UA"/>
        </w:rPr>
        <w:t>міст глюкози та інсуліну в плазмі крові визначали натще після 8-14-годинного нічного голодування</w:t>
      </w:r>
      <w:r>
        <w:rPr>
          <w:sz w:val="28"/>
          <w:szCs w:val="28"/>
          <w:lang w:val="uk-UA"/>
        </w:rPr>
        <w:t xml:space="preserve">. </w:t>
      </w:r>
      <w:r w:rsidRPr="00026475">
        <w:rPr>
          <w:sz w:val="28"/>
          <w:szCs w:val="28"/>
          <w:lang w:val="uk-UA"/>
        </w:rPr>
        <w:t xml:space="preserve">Дослідження концентрації глюкози в плазмі </w:t>
      </w:r>
      <w:r>
        <w:rPr>
          <w:sz w:val="28"/>
          <w:szCs w:val="28"/>
          <w:lang w:val="uk-UA"/>
        </w:rPr>
        <w:t xml:space="preserve">венозної </w:t>
      </w:r>
      <w:r w:rsidRPr="00026475">
        <w:rPr>
          <w:sz w:val="28"/>
          <w:szCs w:val="28"/>
          <w:lang w:val="uk-UA"/>
        </w:rPr>
        <w:t>крові натще</w:t>
      </w:r>
      <w:r>
        <w:rPr>
          <w:sz w:val="28"/>
          <w:szCs w:val="28"/>
          <w:lang w:val="uk-UA"/>
        </w:rPr>
        <w:t xml:space="preserve"> проведено</w:t>
      </w:r>
      <w:r w:rsidRPr="00026475">
        <w:rPr>
          <w:sz w:val="28"/>
          <w:szCs w:val="28"/>
          <w:lang w:val="uk-UA"/>
        </w:rPr>
        <w:t xml:space="preserve"> ферментативним методом з використанням стандартних наборів</w:t>
      </w:r>
      <w:r>
        <w:rPr>
          <w:sz w:val="28"/>
          <w:szCs w:val="28"/>
          <w:lang w:val="uk-UA"/>
        </w:rPr>
        <w:t xml:space="preserve">. </w:t>
      </w:r>
      <w:r w:rsidRPr="00026475">
        <w:rPr>
          <w:sz w:val="28"/>
          <w:szCs w:val="28"/>
          <w:lang w:val="uk-UA"/>
        </w:rPr>
        <w:t xml:space="preserve">Визначення концентрації інсуліну </w:t>
      </w:r>
      <w:r>
        <w:rPr>
          <w:sz w:val="28"/>
          <w:szCs w:val="28"/>
          <w:lang w:val="uk-UA"/>
        </w:rPr>
        <w:t xml:space="preserve">в крові </w:t>
      </w:r>
      <w:r w:rsidRPr="00026475">
        <w:rPr>
          <w:sz w:val="28"/>
          <w:szCs w:val="28"/>
          <w:lang w:val="uk-UA"/>
        </w:rPr>
        <w:t xml:space="preserve">натще проведено з використанням набору реактивів DRG® Інсулін (EIA-2935), (DRG </w:t>
      </w:r>
      <w:proofErr w:type="spellStart"/>
      <w:r w:rsidRPr="00026475">
        <w:rPr>
          <w:sz w:val="28"/>
          <w:szCs w:val="28"/>
          <w:lang w:val="uk-UA"/>
        </w:rPr>
        <w:t>Instruments</w:t>
      </w:r>
      <w:proofErr w:type="spellEnd"/>
      <w:r w:rsidRPr="00026475">
        <w:rPr>
          <w:sz w:val="28"/>
          <w:szCs w:val="28"/>
          <w:lang w:val="uk-UA"/>
        </w:rPr>
        <w:t xml:space="preserve"> </w:t>
      </w:r>
      <w:proofErr w:type="spellStart"/>
      <w:r w:rsidRPr="00026475">
        <w:rPr>
          <w:sz w:val="28"/>
          <w:szCs w:val="28"/>
          <w:lang w:val="uk-UA"/>
        </w:rPr>
        <w:t>GmbH</w:t>
      </w:r>
      <w:proofErr w:type="spellEnd"/>
      <w:r w:rsidRPr="00026475">
        <w:rPr>
          <w:sz w:val="28"/>
          <w:szCs w:val="28"/>
          <w:lang w:val="uk-UA"/>
        </w:rPr>
        <w:t xml:space="preserve">, Німеччина, </w:t>
      </w:r>
      <w:proofErr w:type="spellStart"/>
      <w:r w:rsidRPr="00026475">
        <w:rPr>
          <w:sz w:val="28"/>
          <w:szCs w:val="28"/>
          <w:lang w:val="uk-UA"/>
        </w:rPr>
        <w:t>Марбург</w:t>
      </w:r>
      <w:proofErr w:type="spellEnd"/>
      <w:r w:rsidRPr="0002647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Згідно нормативів використаної методики, плазматичний вміст інсуліну натще, що перевищував 12,2 </w:t>
      </w:r>
      <w:proofErr w:type="spellStart"/>
      <w:r>
        <w:rPr>
          <w:sz w:val="28"/>
          <w:szCs w:val="28"/>
          <w:lang w:val="uk-UA"/>
        </w:rPr>
        <w:t>млОд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 xml:space="preserve"> вважався за критерій </w:t>
      </w:r>
      <w:proofErr w:type="spellStart"/>
      <w:r>
        <w:rPr>
          <w:sz w:val="28"/>
          <w:szCs w:val="28"/>
          <w:lang w:val="uk-UA"/>
        </w:rPr>
        <w:t>гіперінсулінемії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871AC9" w:rsidRDefault="00871AC9" w:rsidP="00871AC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оцінки наявності </w:t>
      </w:r>
      <w:proofErr w:type="spellStart"/>
      <w:r w:rsidRPr="00026475">
        <w:rPr>
          <w:sz w:val="28"/>
          <w:szCs w:val="28"/>
          <w:lang w:val="uk-UA"/>
        </w:rPr>
        <w:t>інсулінорезистентності</w:t>
      </w:r>
      <w:proofErr w:type="spellEnd"/>
      <w:r w:rsidRPr="00026475">
        <w:rPr>
          <w:sz w:val="28"/>
          <w:szCs w:val="28"/>
          <w:lang w:val="uk-UA"/>
        </w:rPr>
        <w:t xml:space="preserve"> використовувалася </w:t>
      </w:r>
      <w:r>
        <w:rPr>
          <w:sz w:val="28"/>
          <w:szCs w:val="28"/>
          <w:lang w:val="uk-UA"/>
        </w:rPr>
        <w:t xml:space="preserve">індекс </w:t>
      </w:r>
      <w:r w:rsidRPr="00026475">
        <w:rPr>
          <w:sz w:val="28"/>
          <w:szCs w:val="28"/>
          <w:lang w:val="uk-UA"/>
        </w:rPr>
        <w:t>HOMA (</w:t>
      </w:r>
      <w:proofErr w:type="spellStart"/>
      <w:r w:rsidRPr="00CB4D04">
        <w:rPr>
          <w:b/>
          <w:sz w:val="28"/>
          <w:szCs w:val="28"/>
          <w:lang w:val="uk-UA"/>
        </w:rPr>
        <w:t>H</w:t>
      </w:r>
      <w:r>
        <w:rPr>
          <w:b/>
          <w:sz w:val="28"/>
          <w:szCs w:val="28"/>
          <w:lang w:val="uk-UA"/>
        </w:rPr>
        <w:t>О</w:t>
      </w:r>
      <w:r w:rsidRPr="00026475">
        <w:rPr>
          <w:sz w:val="28"/>
          <w:szCs w:val="28"/>
          <w:lang w:val="uk-UA"/>
        </w:rPr>
        <w:t>meostasis</w:t>
      </w:r>
      <w:proofErr w:type="spellEnd"/>
      <w:r w:rsidRPr="00026475">
        <w:rPr>
          <w:sz w:val="28"/>
          <w:szCs w:val="28"/>
          <w:lang w:val="uk-UA"/>
        </w:rPr>
        <w:t xml:space="preserve"> </w:t>
      </w:r>
      <w:r w:rsidRPr="00CB4D04">
        <w:rPr>
          <w:b/>
          <w:sz w:val="28"/>
          <w:szCs w:val="28"/>
          <w:lang w:val="en-US"/>
        </w:rPr>
        <w:t>M</w:t>
      </w:r>
      <w:proofErr w:type="spellStart"/>
      <w:r w:rsidRPr="00026475">
        <w:rPr>
          <w:sz w:val="28"/>
          <w:szCs w:val="28"/>
          <w:lang w:val="uk-UA"/>
        </w:rPr>
        <w:t>odel</w:t>
      </w:r>
      <w:proofErr w:type="spellEnd"/>
      <w:r w:rsidRPr="00026475">
        <w:rPr>
          <w:sz w:val="28"/>
          <w:szCs w:val="28"/>
          <w:lang w:val="uk-UA"/>
        </w:rPr>
        <w:t xml:space="preserve"> </w:t>
      </w:r>
      <w:r w:rsidRPr="00CB4D04">
        <w:rPr>
          <w:b/>
          <w:sz w:val="28"/>
          <w:szCs w:val="28"/>
          <w:lang w:val="en-US"/>
        </w:rPr>
        <w:t>A</w:t>
      </w:r>
      <w:proofErr w:type="spellStart"/>
      <w:r>
        <w:rPr>
          <w:sz w:val="28"/>
          <w:szCs w:val="28"/>
          <w:lang w:val="uk-UA"/>
        </w:rPr>
        <w:t>ssessment</w:t>
      </w:r>
      <w:proofErr w:type="spellEnd"/>
      <w:r>
        <w:rPr>
          <w:sz w:val="28"/>
          <w:szCs w:val="28"/>
          <w:lang w:val="uk-UA"/>
        </w:rPr>
        <w:t>), який розраховували за формулою:</w:t>
      </w:r>
    </w:p>
    <w:p w:rsidR="00871AC9" w:rsidRDefault="00871AC9" w:rsidP="00871AC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НОМА=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 xml:space="preserve">інсулін натще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мкОд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мл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  <w:lang w:val="uk-UA"/>
              </w:rPr>
              <m:t xml:space="preserve"> х глюкоза натще 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ммоль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л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uk-UA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22,5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,</m:t>
        </m:r>
      </m:oMath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71AC9" w:rsidRDefault="00871AC9" w:rsidP="00871AC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Значення </w:t>
      </w:r>
      <w:r w:rsidRPr="00026475">
        <w:rPr>
          <w:sz w:val="28"/>
          <w:szCs w:val="28"/>
          <w:lang w:val="uk-UA"/>
        </w:rPr>
        <w:t>НОМА</w:t>
      </w:r>
      <w:r>
        <w:rPr>
          <w:sz w:val="28"/>
          <w:szCs w:val="28"/>
          <w:lang w:val="uk-UA"/>
        </w:rPr>
        <w:t>, що перевищує</w:t>
      </w:r>
      <w:r w:rsidRPr="00026475">
        <w:rPr>
          <w:sz w:val="28"/>
          <w:szCs w:val="28"/>
          <w:lang w:val="uk-UA"/>
        </w:rPr>
        <w:t xml:space="preserve"> 2,77 вважається</w:t>
      </w:r>
      <w:r>
        <w:rPr>
          <w:sz w:val="28"/>
          <w:szCs w:val="28"/>
          <w:lang w:val="uk-UA"/>
        </w:rPr>
        <w:t xml:space="preserve"> критерієм</w:t>
      </w:r>
      <w:r w:rsidRPr="00026475">
        <w:rPr>
          <w:sz w:val="28"/>
          <w:szCs w:val="28"/>
          <w:lang w:val="uk-UA"/>
        </w:rPr>
        <w:t xml:space="preserve"> </w:t>
      </w:r>
      <w:proofErr w:type="spellStart"/>
      <w:r w:rsidRPr="00793E50">
        <w:rPr>
          <w:sz w:val="28"/>
          <w:szCs w:val="28"/>
          <w:lang w:val="uk-UA"/>
        </w:rPr>
        <w:t>інсулінорезистентності</w:t>
      </w:r>
      <w:proofErr w:type="spellEnd"/>
      <w:r w:rsidRPr="00793E50">
        <w:rPr>
          <w:sz w:val="28"/>
          <w:szCs w:val="28"/>
          <w:lang w:val="uk-UA"/>
        </w:rPr>
        <w:t>.</w:t>
      </w:r>
    </w:p>
    <w:p w:rsidR="00871AC9" w:rsidRDefault="00871AC9" w:rsidP="00871AC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26475">
        <w:rPr>
          <w:sz w:val="28"/>
          <w:szCs w:val="28"/>
          <w:lang w:val="uk-UA"/>
        </w:rPr>
        <w:lastRenderedPageBreak/>
        <w:t xml:space="preserve">Визначення </w:t>
      </w:r>
      <w:proofErr w:type="spellStart"/>
      <w:r w:rsidRPr="00026475">
        <w:rPr>
          <w:sz w:val="28"/>
          <w:szCs w:val="28"/>
          <w:lang w:val="uk-UA"/>
        </w:rPr>
        <w:t>глікозільованого</w:t>
      </w:r>
      <w:proofErr w:type="spellEnd"/>
      <w:r w:rsidRPr="00026475">
        <w:rPr>
          <w:sz w:val="28"/>
          <w:szCs w:val="28"/>
          <w:lang w:val="uk-UA"/>
        </w:rPr>
        <w:t xml:space="preserve"> гемоглобіну (HbA1c) проводилось за реакцією з </w:t>
      </w:r>
      <w:proofErr w:type="spellStart"/>
      <w:r w:rsidRPr="00026475">
        <w:rPr>
          <w:sz w:val="28"/>
          <w:szCs w:val="28"/>
          <w:lang w:val="uk-UA"/>
        </w:rPr>
        <w:t>тіобарбітуровою</w:t>
      </w:r>
      <w:proofErr w:type="spellEnd"/>
      <w:r w:rsidRPr="00026475">
        <w:rPr>
          <w:sz w:val="28"/>
          <w:szCs w:val="28"/>
          <w:lang w:val="uk-UA"/>
        </w:rPr>
        <w:t xml:space="preserve"> кислотою</w:t>
      </w:r>
      <w:r>
        <w:rPr>
          <w:sz w:val="28"/>
          <w:szCs w:val="28"/>
          <w:lang w:val="uk-UA"/>
        </w:rPr>
        <w:t xml:space="preserve">. </w:t>
      </w:r>
    </w:p>
    <w:p w:rsidR="00871AC9" w:rsidRPr="003509A7" w:rsidRDefault="00871AC9" w:rsidP="00871AC9">
      <w:pPr>
        <w:spacing w:line="360" w:lineRule="auto"/>
        <w:ind w:firstLine="708"/>
        <w:jc w:val="both"/>
        <w:rPr>
          <w:sz w:val="28"/>
          <w:szCs w:val="28"/>
        </w:rPr>
      </w:pPr>
      <w:r w:rsidRPr="00E66A0F">
        <w:rPr>
          <w:sz w:val="28"/>
          <w:szCs w:val="28"/>
          <w:lang w:val="uk-UA"/>
        </w:rPr>
        <w:t>Визначення плазматичного рівню ІЛ-10</w:t>
      </w:r>
      <w:r>
        <w:rPr>
          <w:i/>
          <w:sz w:val="28"/>
          <w:szCs w:val="28"/>
          <w:lang w:val="uk-UA"/>
        </w:rPr>
        <w:t xml:space="preserve"> </w:t>
      </w:r>
      <w:r w:rsidRPr="0007580C">
        <w:rPr>
          <w:sz w:val="28"/>
          <w:szCs w:val="28"/>
          <w:lang w:val="uk-UA"/>
        </w:rPr>
        <w:t>проводилося з</w:t>
      </w:r>
      <w:r>
        <w:rPr>
          <w:sz w:val="28"/>
          <w:szCs w:val="28"/>
          <w:lang w:val="uk-UA"/>
        </w:rPr>
        <w:t xml:space="preserve"> використанням набору реагентів «</w:t>
      </w:r>
      <w:r>
        <w:rPr>
          <w:sz w:val="28"/>
          <w:szCs w:val="28"/>
        </w:rPr>
        <w:t xml:space="preserve">Интерлейкин-10-ИФА-БЕСТ» </w:t>
      </w:r>
      <w:proofErr w:type="spellStart"/>
      <w:r>
        <w:rPr>
          <w:sz w:val="28"/>
          <w:szCs w:val="28"/>
        </w:rPr>
        <w:t>виробництва</w:t>
      </w:r>
      <w:proofErr w:type="spellEnd"/>
      <w:r>
        <w:rPr>
          <w:sz w:val="28"/>
          <w:szCs w:val="28"/>
        </w:rPr>
        <w:t xml:space="preserve"> «Вектор-Бест», Новосибирск, Россия. </w:t>
      </w:r>
    </w:p>
    <w:p w:rsidR="00871AC9" w:rsidRDefault="00871AC9" w:rsidP="00871AC9">
      <w:pPr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793E50">
        <w:rPr>
          <w:sz w:val="28"/>
          <w:szCs w:val="28"/>
          <w:lang w:val="uk-UA"/>
        </w:rPr>
        <w:t xml:space="preserve">Визначення плазматичного рівню ІЛ-18 </w:t>
      </w:r>
      <w:r>
        <w:rPr>
          <w:sz w:val="28"/>
          <w:szCs w:val="28"/>
          <w:lang w:val="uk-UA"/>
        </w:rPr>
        <w:t xml:space="preserve">проводилося </w:t>
      </w:r>
      <w:proofErr w:type="spellStart"/>
      <w:r>
        <w:rPr>
          <w:sz w:val="28"/>
          <w:szCs w:val="28"/>
          <w:lang w:val="uk-UA"/>
        </w:rPr>
        <w:t>імуноферментним</w:t>
      </w:r>
      <w:proofErr w:type="spellEnd"/>
      <w:r>
        <w:rPr>
          <w:sz w:val="28"/>
          <w:szCs w:val="28"/>
          <w:lang w:val="uk-UA"/>
        </w:rPr>
        <w:t xml:space="preserve"> методом з використанням набору реагентів </w:t>
      </w:r>
      <w:r w:rsidRPr="005552C4">
        <w:rPr>
          <w:sz w:val="28"/>
          <w:szCs w:val="28"/>
          <w:lang w:val="uk-UA"/>
        </w:rPr>
        <w:t>“</w:t>
      </w:r>
      <w:r>
        <w:rPr>
          <w:sz w:val="28"/>
          <w:szCs w:val="28"/>
          <w:lang w:val="en-US"/>
        </w:rPr>
        <w:t>Human</w:t>
      </w:r>
      <w:r w:rsidRPr="005552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Interleukin</w:t>
      </w:r>
      <w:r w:rsidRPr="005552C4">
        <w:rPr>
          <w:sz w:val="28"/>
          <w:szCs w:val="28"/>
          <w:lang w:val="uk-UA"/>
        </w:rPr>
        <w:t xml:space="preserve"> 18, </w:t>
      </w:r>
      <w:r>
        <w:rPr>
          <w:sz w:val="28"/>
          <w:szCs w:val="28"/>
          <w:lang w:val="en-US"/>
        </w:rPr>
        <w:t>IL</w:t>
      </w:r>
      <w:r w:rsidRPr="005552C4">
        <w:rPr>
          <w:sz w:val="28"/>
          <w:szCs w:val="28"/>
          <w:lang w:val="uk-UA"/>
        </w:rPr>
        <w:t xml:space="preserve">-18 </w:t>
      </w:r>
      <w:r>
        <w:rPr>
          <w:sz w:val="28"/>
          <w:szCs w:val="28"/>
          <w:lang w:val="en-US"/>
        </w:rPr>
        <w:t>ELISA</w:t>
      </w:r>
      <w:r w:rsidRPr="005552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Kit</w:t>
      </w:r>
      <w:r w:rsidRPr="005552C4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виробництва </w:t>
      </w:r>
      <w:r w:rsidRPr="00747871">
        <w:rPr>
          <w:sz w:val="28"/>
          <w:szCs w:val="28"/>
          <w:lang w:val="uk-UA"/>
        </w:rPr>
        <w:t>“</w:t>
      </w:r>
      <w:r w:rsidRPr="003675C8">
        <w:rPr>
          <w:bCs/>
          <w:color w:val="000000"/>
          <w:sz w:val="28"/>
          <w:szCs w:val="28"/>
          <w:shd w:val="clear" w:color="auto" w:fill="FFFFFF"/>
          <w:lang w:val="en-US"/>
        </w:rPr>
        <w:t>Wuhan</w:t>
      </w:r>
      <w:r w:rsidRPr="0074787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675C8">
        <w:rPr>
          <w:bCs/>
          <w:color w:val="000000"/>
          <w:sz w:val="28"/>
          <w:szCs w:val="28"/>
          <w:shd w:val="clear" w:color="auto" w:fill="FFFFFF"/>
          <w:lang w:val="en-US"/>
        </w:rPr>
        <w:t>EIAab</w:t>
      </w:r>
      <w:proofErr w:type="spellEnd"/>
      <w:r w:rsidRPr="0074787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675C8">
        <w:rPr>
          <w:bCs/>
          <w:color w:val="000000"/>
          <w:sz w:val="28"/>
          <w:szCs w:val="28"/>
          <w:shd w:val="clear" w:color="auto" w:fill="FFFFFF"/>
          <w:lang w:val="en-US"/>
        </w:rPr>
        <w:t>Science</w:t>
      </w:r>
      <w:r w:rsidRPr="0074787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675C8">
        <w:rPr>
          <w:bCs/>
          <w:color w:val="000000"/>
          <w:sz w:val="28"/>
          <w:szCs w:val="28"/>
          <w:shd w:val="clear" w:color="auto" w:fill="FFFFFF"/>
          <w:lang w:val="en-US"/>
        </w:rPr>
        <w:t>Co</w:t>
      </w:r>
      <w:r w:rsidRPr="00747871">
        <w:rPr>
          <w:bCs/>
          <w:color w:val="000000"/>
          <w:sz w:val="28"/>
          <w:szCs w:val="28"/>
          <w:shd w:val="clear" w:color="auto" w:fill="FFFFFF"/>
          <w:lang w:val="uk-UA"/>
        </w:rPr>
        <w:t>.,</w:t>
      </w:r>
      <w:r w:rsidRPr="003675C8">
        <w:rPr>
          <w:bCs/>
          <w:color w:val="000000"/>
          <w:sz w:val="28"/>
          <w:szCs w:val="28"/>
          <w:shd w:val="clear" w:color="auto" w:fill="FFFFFF"/>
          <w:lang w:val="en-US"/>
        </w:rPr>
        <w:t>Ltd</w:t>
      </w:r>
      <w:r w:rsidRPr="00747871">
        <w:rPr>
          <w:bCs/>
          <w:color w:val="000000"/>
          <w:sz w:val="28"/>
          <w:szCs w:val="28"/>
          <w:shd w:val="clear" w:color="auto" w:fill="FFFFFF"/>
          <w:lang w:val="uk-UA"/>
        </w:rPr>
        <w:t>”,</w:t>
      </w:r>
      <w:r w:rsidRPr="003675C8">
        <w:rPr>
          <w:color w:val="000000"/>
          <w:sz w:val="28"/>
          <w:szCs w:val="28"/>
          <w:shd w:val="clear" w:color="auto" w:fill="FFFFFF"/>
          <w:lang w:val="en-US"/>
        </w:rPr>
        <w:t> China</w:t>
      </w:r>
      <w:r w:rsidRPr="003675C8">
        <w:rPr>
          <w:sz w:val="28"/>
          <w:szCs w:val="28"/>
          <w:lang w:val="uk-UA"/>
        </w:rPr>
        <w:t xml:space="preserve">. </w:t>
      </w:r>
    </w:p>
    <w:p w:rsidR="00871AC9" w:rsidRDefault="00871AC9" w:rsidP="00871AC9">
      <w:pPr>
        <w:pStyle w:val="2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595B16">
        <w:rPr>
          <w:sz w:val="28"/>
          <w:szCs w:val="28"/>
          <w:lang w:val="uk-UA"/>
        </w:rPr>
        <w:t>Статистичн</w:t>
      </w:r>
      <w:r>
        <w:rPr>
          <w:sz w:val="28"/>
          <w:szCs w:val="28"/>
          <w:lang w:val="uk-UA"/>
        </w:rPr>
        <w:t>у</w:t>
      </w:r>
      <w:r w:rsidRPr="00595B16">
        <w:rPr>
          <w:sz w:val="28"/>
          <w:szCs w:val="28"/>
          <w:lang w:val="uk-UA"/>
        </w:rPr>
        <w:t xml:space="preserve"> обробк</w:t>
      </w:r>
      <w:r>
        <w:rPr>
          <w:sz w:val="28"/>
          <w:szCs w:val="28"/>
          <w:lang w:val="uk-UA"/>
        </w:rPr>
        <w:t>у</w:t>
      </w:r>
      <w:r w:rsidRPr="00595B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отриманих даних проведено методами непараметричної статистики з використанням пакету статистичних програм </w:t>
      </w:r>
      <w:proofErr w:type="spellStart"/>
      <w:r>
        <w:rPr>
          <w:sz w:val="28"/>
          <w:szCs w:val="28"/>
          <w:lang w:val="en-US"/>
        </w:rPr>
        <w:t>Statistica</w:t>
      </w:r>
      <w:proofErr w:type="spellEnd"/>
      <w:r w:rsidRPr="00AE45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.0</w:t>
      </w:r>
      <w:r w:rsidRPr="00AE45B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F751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 w:rsidRPr="00F7518E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Statsoft</w:t>
      </w:r>
      <w:proofErr w:type="spellEnd"/>
      <w:r w:rsidRPr="00F7518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USA</w:t>
      </w:r>
      <w:r w:rsidRPr="00F7518E">
        <w:rPr>
          <w:sz w:val="28"/>
          <w:szCs w:val="28"/>
        </w:rPr>
        <w:t xml:space="preserve">). </w:t>
      </w:r>
      <w:r>
        <w:rPr>
          <w:sz w:val="28"/>
          <w:szCs w:val="28"/>
          <w:lang w:val="uk-UA"/>
        </w:rPr>
        <w:t xml:space="preserve">Для характеристики центральної закономірності та варіабельності ознак у групах обстежених осіб обчислювали медіану </w:t>
      </w:r>
      <w:r w:rsidRPr="00CB769F">
        <w:rPr>
          <w:sz w:val="28"/>
          <w:szCs w:val="28"/>
          <w:lang w:val="uk-UA"/>
        </w:rPr>
        <w:t>(</w:t>
      </w:r>
      <w:proofErr w:type="spellStart"/>
      <w:r w:rsidRPr="00897321">
        <w:rPr>
          <w:sz w:val="28"/>
          <w:szCs w:val="28"/>
          <w:lang w:val="uk-UA"/>
        </w:rPr>
        <w:t>M</w:t>
      </w:r>
      <w:r>
        <w:rPr>
          <w:sz w:val="28"/>
          <w:szCs w:val="28"/>
          <w:lang w:val="uk-UA"/>
        </w:rPr>
        <w:t>е</w:t>
      </w:r>
      <w:proofErr w:type="spellEnd"/>
      <w:r w:rsidRPr="00CB769F">
        <w:rPr>
          <w:sz w:val="28"/>
          <w:szCs w:val="28"/>
          <w:lang w:val="uk-UA"/>
        </w:rPr>
        <w:t xml:space="preserve">) </w:t>
      </w:r>
      <w:r w:rsidRPr="007A4875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міжквартильний</w:t>
      </w:r>
      <w:proofErr w:type="spellEnd"/>
      <w:r>
        <w:rPr>
          <w:sz w:val="28"/>
          <w:szCs w:val="28"/>
          <w:lang w:val="uk-UA"/>
        </w:rPr>
        <w:t xml:space="preserve"> інтервал із наведенням значень нижнього, 25 % </w:t>
      </w:r>
      <w:proofErr w:type="spellStart"/>
      <w:r>
        <w:rPr>
          <w:sz w:val="28"/>
          <w:szCs w:val="28"/>
          <w:lang w:val="uk-UA"/>
        </w:rPr>
        <w:t>квартиля</w:t>
      </w:r>
      <w:proofErr w:type="spellEnd"/>
      <w:r>
        <w:rPr>
          <w:sz w:val="28"/>
          <w:szCs w:val="28"/>
          <w:lang w:val="uk-UA"/>
        </w:rPr>
        <w:t xml:space="preserve"> </w:t>
      </w:r>
      <w:r w:rsidRPr="007A4875"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LQ</w:t>
      </w:r>
      <w:r w:rsidRPr="007A4875">
        <w:rPr>
          <w:sz w:val="28"/>
          <w:szCs w:val="28"/>
          <w:lang w:val="uk-UA"/>
        </w:rPr>
        <w:t>) та верхнього</w:t>
      </w:r>
      <w:r>
        <w:rPr>
          <w:sz w:val="28"/>
          <w:szCs w:val="28"/>
          <w:lang w:val="uk-UA"/>
        </w:rPr>
        <w:t>,</w:t>
      </w:r>
      <w:r w:rsidRPr="007A4875">
        <w:rPr>
          <w:sz w:val="28"/>
          <w:szCs w:val="28"/>
          <w:lang w:val="uk-UA"/>
        </w:rPr>
        <w:t xml:space="preserve"> 75</w:t>
      </w:r>
      <w:r>
        <w:rPr>
          <w:sz w:val="28"/>
          <w:szCs w:val="28"/>
          <w:lang w:val="uk-UA"/>
        </w:rPr>
        <w:t xml:space="preserve"> </w:t>
      </w:r>
      <w:r w:rsidRPr="007A4875">
        <w:rPr>
          <w:sz w:val="28"/>
          <w:szCs w:val="28"/>
          <w:lang w:val="uk-UA"/>
        </w:rPr>
        <w:t xml:space="preserve">% </w:t>
      </w:r>
      <w:proofErr w:type="spellStart"/>
      <w:r w:rsidRPr="007A4875">
        <w:rPr>
          <w:sz w:val="28"/>
          <w:szCs w:val="28"/>
          <w:lang w:val="uk-UA"/>
        </w:rPr>
        <w:t>кварт</w:t>
      </w:r>
      <w:r>
        <w:rPr>
          <w:sz w:val="28"/>
          <w:szCs w:val="28"/>
          <w:lang w:val="uk-UA"/>
        </w:rPr>
        <w:t>иля</w:t>
      </w:r>
      <w:proofErr w:type="spellEnd"/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en-US"/>
        </w:rPr>
        <w:t>UQ</w:t>
      </w:r>
      <w:r w:rsidRPr="007A4875">
        <w:rPr>
          <w:sz w:val="28"/>
          <w:szCs w:val="28"/>
          <w:lang w:val="uk-UA"/>
        </w:rPr>
        <w:t xml:space="preserve">), </w:t>
      </w:r>
      <w:r w:rsidRPr="00CB769F">
        <w:rPr>
          <w:sz w:val="28"/>
          <w:szCs w:val="28"/>
          <w:lang w:val="uk-UA"/>
        </w:rPr>
        <w:t>результат виражали у вигляд</w:t>
      </w:r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en-US"/>
        </w:rPr>
        <w:t>Me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en-US"/>
        </w:rPr>
        <w:t>LQ</w:t>
      </w:r>
      <w:r w:rsidRPr="007A4875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en-US"/>
        </w:rPr>
        <w:t>UQ</w:t>
      </w:r>
      <w:r>
        <w:rPr>
          <w:sz w:val="28"/>
          <w:szCs w:val="28"/>
          <w:lang w:val="uk-UA"/>
        </w:rPr>
        <w:t xml:space="preserve">). Визначення </w:t>
      </w:r>
      <w:proofErr w:type="spellStart"/>
      <w:r>
        <w:rPr>
          <w:sz w:val="28"/>
          <w:szCs w:val="28"/>
          <w:lang w:val="uk-UA"/>
        </w:rPr>
        <w:t>тертилів</w:t>
      </w:r>
      <w:proofErr w:type="spellEnd"/>
      <w:r>
        <w:rPr>
          <w:sz w:val="28"/>
          <w:szCs w:val="28"/>
          <w:lang w:val="uk-UA"/>
        </w:rPr>
        <w:t xml:space="preserve"> проведено за 33,3 та 66,6 </w:t>
      </w:r>
      <w:proofErr w:type="spellStart"/>
      <w:r>
        <w:rPr>
          <w:sz w:val="28"/>
          <w:szCs w:val="28"/>
          <w:lang w:val="uk-UA"/>
        </w:rPr>
        <w:t>процентилями</w:t>
      </w:r>
      <w:proofErr w:type="spellEnd"/>
      <w:r>
        <w:rPr>
          <w:sz w:val="28"/>
          <w:szCs w:val="28"/>
          <w:lang w:val="uk-UA"/>
        </w:rPr>
        <w:t xml:space="preserve">. </w:t>
      </w:r>
      <w:r w:rsidRPr="00CB769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ірогідність відмінностей у незалежних групах оцінювали за допомогою </w:t>
      </w:r>
      <w:r>
        <w:rPr>
          <w:sz w:val="28"/>
          <w:szCs w:val="28"/>
          <w:lang w:val="en-US"/>
        </w:rPr>
        <w:t>U</w:t>
      </w:r>
      <w:proofErr w:type="spellStart"/>
      <w:r w:rsidRPr="007A4875">
        <w:rPr>
          <w:sz w:val="28"/>
          <w:szCs w:val="28"/>
          <w:lang w:val="uk-UA"/>
        </w:rPr>
        <w:t>-</w:t>
      </w:r>
      <w:r w:rsidRPr="00897321">
        <w:rPr>
          <w:sz w:val="28"/>
          <w:szCs w:val="28"/>
          <w:lang w:val="uk-UA"/>
        </w:rPr>
        <w:t>критер</w:t>
      </w:r>
      <w:r>
        <w:rPr>
          <w:sz w:val="28"/>
          <w:szCs w:val="28"/>
          <w:lang w:val="uk-UA"/>
        </w:rPr>
        <w:t>ія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A4875">
        <w:rPr>
          <w:sz w:val="28"/>
          <w:szCs w:val="28"/>
          <w:lang w:val="uk-UA"/>
        </w:rPr>
        <w:t>Манна-У</w:t>
      </w:r>
      <w:r>
        <w:rPr>
          <w:sz w:val="28"/>
          <w:szCs w:val="28"/>
          <w:lang w:val="uk-UA"/>
        </w:rPr>
        <w:t>і</w:t>
      </w:r>
      <w:r w:rsidRPr="007A4875">
        <w:rPr>
          <w:sz w:val="28"/>
          <w:szCs w:val="28"/>
          <w:lang w:val="uk-UA"/>
        </w:rPr>
        <w:t>тн</w:t>
      </w:r>
      <w:r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en-US"/>
        </w:rPr>
        <w:t>Mann</w:t>
      </w:r>
      <w:r w:rsidRPr="007A4875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Whitney</w:t>
      </w:r>
      <w:r w:rsidRPr="007A4875">
        <w:rPr>
          <w:sz w:val="28"/>
          <w:szCs w:val="28"/>
          <w:lang w:val="uk-UA"/>
        </w:rPr>
        <w:t>).</w:t>
      </w:r>
      <w:r w:rsidRPr="003E359C">
        <w:rPr>
          <w:sz w:val="28"/>
          <w:szCs w:val="28"/>
          <w:lang w:val="uk-UA"/>
        </w:rPr>
        <w:t xml:space="preserve"> </w:t>
      </w:r>
      <w:r w:rsidRPr="002D1126">
        <w:rPr>
          <w:sz w:val="28"/>
          <w:szCs w:val="28"/>
          <w:lang w:val="uk-UA"/>
        </w:rPr>
        <w:t>У вс</w:t>
      </w:r>
      <w:r>
        <w:rPr>
          <w:sz w:val="28"/>
          <w:szCs w:val="28"/>
          <w:lang w:val="uk-UA"/>
        </w:rPr>
        <w:t xml:space="preserve">іх статистичних розрахунках </w:t>
      </w:r>
      <w:proofErr w:type="spellStart"/>
      <w:r>
        <w:rPr>
          <w:sz w:val="28"/>
          <w:szCs w:val="28"/>
          <w:lang w:val="uk-UA"/>
        </w:rPr>
        <w:t>пороговою</w:t>
      </w:r>
      <w:proofErr w:type="spellEnd"/>
      <w:r>
        <w:rPr>
          <w:sz w:val="28"/>
          <w:szCs w:val="28"/>
          <w:lang w:val="uk-UA"/>
        </w:rPr>
        <w:t xml:space="preserve"> величиною рівня значимості р обрано 0,05.</w:t>
      </w:r>
    </w:p>
    <w:p w:rsidR="001A00EB" w:rsidRDefault="00871AC9" w:rsidP="001A00EB">
      <w:pPr>
        <w:pStyle w:val="2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3501AD">
        <w:rPr>
          <w:b/>
          <w:sz w:val="28"/>
          <w:szCs w:val="28"/>
          <w:lang w:val="uk-UA"/>
        </w:rPr>
        <w:t xml:space="preserve">Результати та їх обговорення. </w:t>
      </w:r>
      <w:r w:rsidR="001928DD">
        <w:rPr>
          <w:sz w:val="28"/>
          <w:szCs w:val="28"/>
          <w:lang w:val="uk-UA"/>
        </w:rPr>
        <w:t xml:space="preserve">Як було встановлено, під час запальної реакції спостерігається продукція </w:t>
      </w:r>
      <w:r w:rsidR="000A3FBC">
        <w:rPr>
          <w:sz w:val="28"/>
          <w:szCs w:val="28"/>
          <w:lang w:val="uk-UA"/>
        </w:rPr>
        <w:t>як</w:t>
      </w:r>
      <w:r w:rsidR="001928DD">
        <w:rPr>
          <w:sz w:val="28"/>
          <w:szCs w:val="28"/>
          <w:lang w:val="uk-UA"/>
        </w:rPr>
        <w:t xml:space="preserve"> </w:t>
      </w:r>
      <w:proofErr w:type="spellStart"/>
      <w:r w:rsidR="001928DD">
        <w:rPr>
          <w:sz w:val="28"/>
          <w:szCs w:val="28"/>
          <w:lang w:val="uk-UA"/>
        </w:rPr>
        <w:t>прозапальних</w:t>
      </w:r>
      <w:proofErr w:type="spellEnd"/>
      <w:r w:rsidR="001928DD">
        <w:rPr>
          <w:sz w:val="28"/>
          <w:szCs w:val="28"/>
          <w:lang w:val="uk-UA"/>
        </w:rPr>
        <w:t xml:space="preserve"> </w:t>
      </w:r>
      <w:proofErr w:type="spellStart"/>
      <w:r w:rsidR="001928DD">
        <w:rPr>
          <w:sz w:val="28"/>
          <w:szCs w:val="28"/>
          <w:lang w:val="uk-UA"/>
        </w:rPr>
        <w:t>цитокінів</w:t>
      </w:r>
      <w:proofErr w:type="spellEnd"/>
      <w:r w:rsidR="001928DD">
        <w:rPr>
          <w:sz w:val="28"/>
          <w:szCs w:val="28"/>
          <w:lang w:val="uk-UA"/>
        </w:rPr>
        <w:t xml:space="preserve">, </w:t>
      </w:r>
      <w:r w:rsidR="000A3FBC">
        <w:rPr>
          <w:sz w:val="28"/>
          <w:szCs w:val="28"/>
          <w:lang w:val="uk-UA"/>
        </w:rPr>
        <w:t>так</w:t>
      </w:r>
      <w:r w:rsidR="001928DD">
        <w:rPr>
          <w:sz w:val="28"/>
          <w:szCs w:val="28"/>
          <w:lang w:val="uk-UA"/>
        </w:rPr>
        <w:t xml:space="preserve"> й протизапальних </w:t>
      </w:r>
      <w:proofErr w:type="spellStart"/>
      <w:r w:rsidR="001928DD">
        <w:rPr>
          <w:sz w:val="28"/>
          <w:szCs w:val="28"/>
          <w:lang w:val="uk-UA"/>
        </w:rPr>
        <w:t>цитокінів</w:t>
      </w:r>
      <w:proofErr w:type="spellEnd"/>
      <w:r w:rsidR="001928DD">
        <w:rPr>
          <w:sz w:val="28"/>
          <w:szCs w:val="28"/>
          <w:lang w:val="uk-UA"/>
        </w:rPr>
        <w:t xml:space="preserve"> з тенденцією модуляції запального процесу. Ми вивчили, у цьому контексті, вміст протизапального </w:t>
      </w:r>
      <w:proofErr w:type="spellStart"/>
      <w:r w:rsidR="001928DD">
        <w:rPr>
          <w:sz w:val="28"/>
          <w:szCs w:val="28"/>
          <w:lang w:val="uk-UA"/>
        </w:rPr>
        <w:t>цитокіну</w:t>
      </w:r>
      <w:proofErr w:type="spellEnd"/>
      <w:r w:rsidR="001928DD">
        <w:rPr>
          <w:sz w:val="28"/>
          <w:szCs w:val="28"/>
          <w:lang w:val="uk-UA"/>
        </w:rPr>
        <w:t xml:space="preserve"> – ІЛ-10 у плазмі хворих обстежених пацієнтів з АГ</w:t>
      </w:r>
      <w:r w:rsidR="001A00EB">
        <w:rPr>
          <w:sz w:val="28"/>
          <w:szCs w:val="28"/>
          <w:lang w:val="uk-UA"/>
        </w:rPr>
        <w:t xml:space="preserve"> залежно від наявності супутнього ЦД 2 типу.</w:t>
      </w:r>
      <w:r w:rsidR="001928DD">
        <w:rPr>
          <w:sz w:val="28"/>
          <w:szCs w:val="28"/>
          <w:lang w:val="uk-UA"/>
        </w:rPr>
        <w:t xml:space="preserve"> </w:t>
      </w:r>
      <w:r w:rsidR="001A00EB">
        <w:rPr>
          <w:sz w:val="28"/>
          <w:szCs w:val="28"/>
          <w:lang w:val="uk-UA"/>
        </w:rPr>
        <w:t xml:space="preserve">Пацієнтів АГ було розділено на групи залежно від наявності у них супутнього ЦД 2 типу: 1 група 72 пацієнта (66,0 %) АГ та 2 група 31 пацієнт (34,0 %) АГ з супутнім ЦД 2 типу. </w:t>
      </w:r>
    </w:p>
    <w:p w:rsidR="001A00EB" w:rsidRDefault="001A00EB" w:rsidP="001A00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-1766570</wp:posOffset>
            </wp:positionH>
            <wp:positionV relativeFrom="paragraph">
              <wp:posOffset>1812925</wp:posOffset>
            </wp:positionV>
            <wp:extent cx="7684770" cy="2548255"/>
            <wp:effectExtent l="19050" t="0" r="0" b="0"/>
            <wp:wrapNone/>
            <wp:docPr id="265" name="Объект 2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sz w:val="28"/>
          <w:szCs w:val="28"/>
          <w:lang w:val="uk-UA"/>
        </w:rPr>
        <w:t xml:space="preserve">При порівнянні рівню маркерів </w:t>
      </w:r>
      <w:proofErr w:type="spellStart"/>
      <w:r>
        <w:rPr>
          <w:sz w:val="28"/>
          <w:szCs w:val="28"/>
          <w:lang w:val="uk-UA"/>
        </w:rPr>
        <w:t>імунозапалення</w:t>
      </w:r>
      <w:proofErr w:type="spellEnd"/>
      <w:r>
        <w:rPr>
          <w:sz w:val="28"/>
          <w:szCs w:val="28"/>
          <w:lang w:val="uk-UA"/>
        </w:rPr>
        <w:t xml:space="preserve"> у осіб контрольної групи та пацієнтів АГ залежно від наявності у них ЦД 2 типу, нами визначено, що рівень ІЛ-10 (90,30 (88,30; 90,80) </w:t>
      </w:r>
      <w:proofErr w:type="spellStart"/>
      <w:r>
        <w:rPr>
          <w:sz w:val="28"/>
          <w:szCs w:val="28"/>
          <w:lang w:val="uk-UA"/>
        </w:rPr>
        <w:t>пг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 xml:space="preserve">) та ІЛ-18 (180 (173;186) </w:t>
      </w:r>
      <w:proofErr w:type="spellStart"/>
      <w:r>
        <w:rPr>
          <w:sz w:val="28"/>
          <w:szCs w:val="28"/>
          <w:lang w:val="uk-UA"/>
        </w:rPr>
        <w:lastRenderedPageBreak/>
        <w:t>пг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 xml:space="preserve">) пацієнтів АГ перевищував рівень </w:t>
      </w:r>
      <w:proofErr w:type="spellStart"/>
      <w:r>
        <w:rPr>
          <w:sz w:val="28"/>
          <w:szCs w:val="28"/>
          <w:lang w:val="uk-UA"/>
        </w:rPr>
        <w:t>цитокінів</w:t>
      </w:r>
      <w:proofErr w:type="spellEnd"/>
      <w:r>
        <w:rPr>
          <w:sz w:val="28"/>
          <w:szCs w:val="28"/>
          <w:lang w:val="uk-UA"/>
        </w:rPr>
        <w:t xml:space="preserve"> контрольної групи (ІЛ-10 – 61,50 (61,30; 62,10) </w:t>
      </w:r>
      <w:proofErr w:type="spellStart"/>
      <w:r>
        <w:rPr>
          <w:sz w:val="28"/>
          <w:szCs w:val="28"/>
          <w:lang w:val="uk-UA"/>
        </w:rPr>
        <w:t>пг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 xml:space="preserve">; ІЛ-18 – 85 (83; 88) </w:t>
      </w:r>
      <w:proofErr w:type="spellStart"/>
      <w:r>
        <w:rPr>
          <w:sz w:val="28"/>
          <w:szCs w:val="28"/>
          <w:lang w:val="uk-UA"/>
        </w:rPr>
        <w:t>пг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en-US"/>
        </w:rPr>
        <w:t>p</w:t>
      </w:r>
      <w:r w:rsidRPr="00A2439D">
        <w:rPr>
          <w:sz w:val="28"/>
          <w:szCs w:val="28"/>
          <w:lang w:val="uk-UA"/>
        </w:rPr>
        <w:t>&lt;0,05</w:t>
      </w:r>
      <w:r>
        <w:rPr>
          <w:sz w:val="28"/>
          <w:szCs w:val="28"/>
          <w:lang w:val="uk-UA"/>
        </w:rPr>
        <w:t xml:space="preserve"> в обох випадках) (рис. 1). </w:t>
      </w:r>
    </w:p>
    <w:p w:rsidR="000A3FBC" w:rsidRDefault="000A3FBC" w:rsidP="001A00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-1680210</wp:posOffset>
            </wp:positionH>
            <wp:positionV relativeFrom="paragraph">
              <wp:posOffset>100965</wp:posOffset>
            </wp:positionV>
            <wp:extent cx="7684770" cy="2548255"/>
            <wp:effectExtent l="19050" t="0" r="0" b="0"/>
            <wp:wrapNone/>
            <wp:docPr id="1" name="Объект 2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1A00EB" w:rsidRDefault="001A00EB" w:rsidP="001A00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A00EB" w:rsidRDefault="001A00EB" w:rsidP="001A00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A00EB" w:rsidRDefault="001A00EB" w:rsidP="001A00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A00EB" w:rsidRDefault="001A00EB" w:rsidP="001A00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A00EB" w:rsidRDefault="001A00EB" w:rsidP="001A00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A00EB" w:rsidRDefault="001A00EB" w:rsidP="001A00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A00EB" w:rsidRDefault="001A00EB" w:rsidP="001A00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A00EB" w:rsidRDefault="001A00EB" w:rsidP="001A00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A00EB" w:rsidRDefault="001A00EB" w:rsidP="001A00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A00EB" w:rsidRPr="00256D7F" w:rsidRDefault="001A00EB" w:rsidP="001A00EB">
      <w:pPr>
        <w:spacing w:line="360" w:lineRule="auto"/>
        <w:jc w:val="center"/>
        <w:rPr>
          <w:lang w:val="uk-UA"/>
        </w:rPr>
      </w:pPr>
      <w:r w:rsidRPr="00256D7F">
        <w:rPr>
          <w:b/>
          <w:lang w:val="uk-UA"/>
        </w:rPr>
        <w:t>Рис.</w:t>
      </w:r>
      <w:r>
        <w:rPr>
          <w:b/>
          <w:lang w:val="uk-UA"/>
        </w:rPr>
        <w:t>1</w:t>
      </w:r>
      <w:r w:rsidRPr="00256D7F">
        <w:rPr>
          <w:b/>
          <w:lang w:val="uk-UA"/>
        </w:rPr>
        <w:t>.</w:t>
      </w:r>
      <w:r w:rsidRPr="00256D7F">
        <w:rPr>
          <w:lang w:val="uk-UA"/>
        </w:rPr>
        <w:t xml:space="preserve">  Плазматичний вміст ІЛ-18, ІЛ-10 у обстежених пацієнтів та осіб групи контролю</w:t>
      </w:r>
    </w:p>
    <w:p w:rsidR="001A00EB" w:rsidRDefault="001A00EB" w:rsidP="001A00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A00EB" w:rsidRDefault="001A00EB" w:rsidP="001A00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пацієнтів АГ, що супроводжувалася супутнім ЦД 2 типу рівень ІЛ-10 знижувався в порівнянні з пацієнтами АГ без ЦД 2 типу (78,54 (75,50; 80,12) </w:t>
      </w:r>
      <w:proofErr w:type="spellStart"/>
      <w:r>
        <w:rPr>
          <w:sz w:val="28"/>
          <w:szCs w:val="28"/>
          <w:lang w:val="uk-UA"/>
        </w:rPr>
        <w:t>пг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en-US"/>
        </w:rPr>
        <w:t>p</w:t>
      </w:r>
      <w:r w:rsidRPr="00A2439D">
        <w:rPr>
          <w:sz w:val="28"/>
          <w:szCs w:val="28"/>
          <w:lang w:val="uk-UA"/>
        </w:rPr>
        <w:t>&lt;0,05</w:t>
      </w:r>
      <w:r>
        <w:rPr>
          <w:sz w:val="28"/>
          <w:szCs w:val="28"/>
          <w:lang w:val="uk-UA"/>
        </w:rPr>
        <w:t>), але був вищим за рівень ІЛ-10 у групі контролю (</w:t>
      </w:r>
      <w:r>
        <w:rPr>
          <w:sz w:val="28"/>
          <w:szCs w:val="28"/>
          <w:lang w:val="en-US"/>
        </w:rPr>
        <w:t>p</w:t>
      </w:r>
      <w:r w:rsidRPr="00A2439D">
        <w:rPr>
          <w:sz w:val="28"/>
          <w:szCs w:val="28"/>
          <w:lang w:val="uk-UA"/>
        </w:rPr>
        <w:t>&lt;0,05</w:t>
      </w:r>
      <w:r>
        <w:rPr>
          <w:sz w:val="28"/>
          <w:szCs w:val="28"/>
          <w:lang w:val="uk-UA"/>
        </w:rPr>
        <w:t xml:space="preserve">). Плазматична активність ІЛ-18 характеризувалася подібними до ІЛ-10 змінами, тобто його рівень у пацієнтів АГ був достовірно вищим проти контролю. Та відзначено зменшення вмісту ІЛ-18 у пацієнтів АГ, що асоційована з ЦД 2 типу (150 (136; 164) </w:t>
      </w:r>
      <w:proofErr w:type="spellStart"/>
      <w:r>
        <w:rPr>
          <w:sz w:val="28"/>
          <w:szCs w:val="28"/>
          <w:lang w:val="uk-UA"/>
        </w:rPr>
        <w:t>пг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en-US"/>
        </w:rPr>
        <w:t>p</w:t>
      </w:r>
      <w:r w:rsidRPr="00A2439D">
        <w:rPr>
          <w:sz w:val="28"/>
          <w:szCs w:val="28"/>
          <w:lang w:val="uk-UA"/>
        </w:rPr>
        <w:t>&lt;0,05</w:t>
      </w:r>
      <w:r>
        <w:rPr>
          <w:sz w:val="28"/>
          <w:szCs w:val="28"/>
          <w:lang w:val="uk-UA"/>
        </w:rPr>
        <w:t>), що однак було вищим за аналогічне значення контрольної групи (</w:t>
      </w:r>
      <w:r>
        <w:rPr>
          <w:sz w:val="28"/>
          <w:szCs w:val="28"/>
          <w:lang w:val="en-US"/>
        </w:rPr>
        <w:t>p</w:t>
      </w:r>
      <w:r w:rsidRPr="00A2439D">
        <w:rPr>
          <w:sz w:val="28"/>
          <w:szCs w:val="28"/>
          <w:lang w:val="uk-UA"/>
        </w:rPr>
        <w:t>&lt;0,05</w:t>
      </w:r>
      <w:r>
        <w:rPr>
          <w:sz w:val="28"/>
          <w:szCs w:val="28"/>
          <w:lang w:val="uk-UA"/>
        </w:rPr>
        <w:t xml:space="preserve">).       </w:t>
      </w:r>
    </w:p>
    <w:p w:rsidR="001928DD" w:rsidRDefault="001A00EB" w:rsidP="001928D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A00EB">
        <w:rPr>
          <w:sz w:val="28"/>
          <w:lang w:val="uk-UA"/>
        </w:rPr>
        <w:t>Для</w:t>
      </w:r>
      <w:r>
        <w:rPr>
          <w:sz w:val="28"/>
          <w:lang w:val="uk-UA"/>
        </w:rPr>
        <w:t xml:space="preserve"> </w:t>
      </w:r>
      <w:r w:rsidR="00727D4B">
        <w:rPr>
          <w:sz w:val="28"/>
          <w:lang w:val="uk-UA"/>
        </w:rPr>
        <w:t xml:space="preserve">більш ретельного аналізу, ми розділили пацієнтів на тертильні групи залежно від рівню ІЛ-10. </w:t>
      </w:r>
      <w:proofErr w:type="spellStart"/>
      <w:r w:rsidR="001928DD">
        <w:rPr>
          <w:sz w:val="28"/>
          <w:szCs w:val="28"/>
          <w:lang w:val="uk-UA"/>
        </w:rPr>
        <w:t>Тертилі</w:t>
      </w:r>
      <w:proofErr w:type="spellEnd"/>
      <w:r w:rsidR="001928DD">
        <w:rPr>
          <w:sz w:val="28"/>
          <w:szCs w:val="28"/>
          <w:lang w:val="uk-UA"/>
        </w:rPr>
        <w:t xml:space="preserve"> за рівнем ІЛ-10 становили 80,7 </w:t>
      </w:r>
      <w:proofErr w:type="spellStart"/>
      <w:r w:rsidR="001928DD">
        <w:rPr>
          <w:sz w:val="28"/>
          <w:szCs w:val="28"/>
          <w:lang w:val="uk-UA"/>
        </w:rPr>
        <w:t>пг</w:t>
      </w:r>
      <w:proofErr w:type="spellEnd"/>
      <w:r w:rsidR="001928DD">
        <w:rPr>
          <w:sz w:val="28"/>
          <w:szCs w:val="28"/>
          <w:lang w:val="uk-UA"/>
        </w:rPr>
        <w:t>/</w:t>
      </w:r>
      <w:proofErr w:type="spellStart"/>
      <w:r w:rsidR="001928DD">
        <w:rPr>
          <w:sz w:val="28"/>
          <w:szCs w:val="28"/>
          <w:lang w:val="uk-UA"/>
        </w:rPr>
        <w:t>мл</w:t>
      </w:r>
      <w:proofErr w:type="spellEnd"/>
      <w:r w:rsidR="001928DD">
        <w:rPr>
          <w:sz w:val="28"/>
          <w:szCs w:val="28"/>
          <w:lang w:val="uk-UA"/>
        </w:rPr>
        <w:t xml:space="preserve"> та 90,4 </w:t>
      </w:r>
      <w:proofErr w:type="spellStart"/>
      <w:r w:rsidR="001928DD">
        <w:rPr>
          <w:sz w:val="28"/>
          <w:szCs w:val="28"/>
          <w:lang w:val="uk-UA"/>
        </w:rPr>
        <w:t>пг</w:t>
      </w:r>
      <w:proofErr w:type="spellEnd"/>
      <w:r w:rsidR="001928DD">
        <w:rPr>
          <w:sz w:val="28"/>
          <w:szCs w:val="28"/>
          <w:lang w:val="uk-UA"/>
        </w:rPr>
        <w:t>/</w:t>
      </w:r>
      <w:proofErr w:type="spellStart"/>
      <w:r w:rsidR="001928DD">
        <w:rPr>
          <w:sz w:val="28"/>
          <w:szCs w:val="28"/>
          <w:lang w:val="uk-UA"/>
        </w:rPr>
        <w:t>мл</w:t>
      </w:r>
      <w:proofErr w:type="spellEnd"/>
      <w:r w:rsidR="001928DD">
        <w:rPr>
          <w:sz w:val="28"/>
          <w:szCs w:val="28"/>
          <w:lang w:val="uk-UA"/>
        </w:rPr>
        <w:t>, таким чином виділено тертильні групи: 1 групу (</w:t>
      </w:r>
      <w:r w:rsidR="001928DD" w:rsidRPr="00A9130C">
        <w:rPr>
          <w:sz w:val="28"/>
          <w:szCs w:val="28"/>
          <w:lang w:val="en-US"/>
        </w:rPr>
        <w:t>n</w:t>
      </w:r>
      <w:r w:rsidR="001928DD">
        <w:rPr>
          <w:sz w:val="28"/>
          <w:szCs w:val="28"/>
          <w:lang w:val="uk-UA"/>
        </w:rPr>
        <w:t>=32) з інтервалом значень менше 80,7 </w:t>
      </w:r>
      <w:proofErr w:type="spellStart"/>
      <w:r w:rsidR="001928DD">
        <w:rPr>
          <w:sz w:val="28"/>
          <w:szCs w:val="28"/>
          <w:lang w:val="uk-UA"/>
        </w:rPr>
        <w:t>пг</w:t>
      </w:r>
      <w:proofErr w:type="spellEnd"/>
      <w:r w:rsidR="001928DD">
        <w:rPr>
          <w:sz w:val="28"/>
          <w:szCs w:val="28"/>
          <w:lang w:val="uk-UA"/>
        </w:rPr>
        <w:t>/</w:t>
      </w:r>
      <w:proofErr w:type="spellStart"/>
      <w:r w:rsidR="001928DD">
        <w:rPr>
          <w:sz w:val="28"/>
          <w:szCs w:val="28"/>
          <w:lang w:val="uk-UA"/>
        </w:rPr>
        <w:t>мл</w:t>
      </w:r>
      <w:proofErr w:type="spellEnd"/>
      <w:r w:rsidR="001928DD">
        <w:rPr>
          <w:sz w:val="28"/>
          <w:szCs w:val="28"/>
          <w:lang w:val="uk-UA"/>
        </w:rPr>
        <w:t>, 2 групу (</w:t>
      </w:r>
      <w:r w:rsidR="001928DD" w:rsidRPr="00A9130C">
        <w:rPr>
          <w:sz w:val="28"/>
          <w:szCs w:val="28"/>
          <w:lang w:val="en-US"/>
        </w:rPr>
        <w:t>n</w:t>
      </w:r>
      <w:r w:rsidR="001928DD">
        <w:rPr>
          <w:sz w:val="28"/>
          <w:szCs w:val="28"/>
          <w:lang w:val="uk-UA"/>
        </w:rPr>
        <w:t>=35) з інтервалом значень 80,7–90,3 </w:t>
      </w:r>
      <w:proofErr w:type="spellStart"/>
      <w:r w:rsidR="001928DD">
        <w:rPr>
          <w:sz w:val="28"/>
          <w:szCs w:val="28"/>
          <w:lang w:val="uk-UA"/>
        </w:rPr>
        <w:t>пг</w:t>
      </w:r>
      <w:proofErr w:type="spellEnd"/>
      <w:r w:rsidR="001928DD">
        <w:rPr>
          <w:sz w:val="28"/>
          <w:szCs w:val="28"/>
          <w:lang w:val="uk-UA"/>
        </w:rPr>
        <w:t>/</w:t>
      </w:r>
      <w:proofErr w:type="spellStart"/>
      <w:r w:rsidR="001928DD">
        <w:rPr>
          <w:sz w:val="28"/>
          <w:szCs w:val="28"/>
          <w:lang w:val="uk-UA"/>
        </w:rPr>
        <w:t>мл</w:t>
      </w:r>
      <w:proofErr w:type="spellEnd"/>
      <w:r w:rsidR="001928DD">
        <w:rPr>
          <w:sz w:val="28"/>
          <w:szCs w:val="28"/>
          <w:lang w:val="uk-UA"/>
        </w:rPr>
        <w:t>, 3 групу (</w:t>
      </w:r>
      <w:r w:rsidR="001928DD" w:rsidRPr="00A9130C">
        <w:rPr>
          <w:sz w:val="28"/>
          <w:szCs w:val="28"/>
          <w:lang w:val="en-US"/>
        </w:rPr>
        <w:t>n</w:t>
      </w:r>
      <w:r w:rsidR="001928DD">
        <w:rPr>
          <w:sz w:val="28"/>
          <w:szCs w:val="28"/>
          <w:lang w:val="uk-UA"/>
        </w:rPr>
        <w:t>=36) з інтервалом значень 90,4 </w:t>
      </w:r>
      <w:proofErr w:type="spellStart"/>
      <w:r w:rsidR="001928DD">
        <w:rPr>
          <w:sz w:val="28"/>
          <w:szCs w:val="28"/>
          <w:lang w:val="uk-UA"/>
        </w:rPr>
        <w:t>пг</w:t>
      </w:r>
      <w:proofErr w:type="spellEnd"/>
      <w:r w:rsidR="001928DD">
        <w:rPr>
          <w:sz w:val="28"/>
          <w:szCs w:val="28"/>
          <w:lang w:val="uk-UA"/>
        </w:rPr>
        <w:t>/</w:t>
      </w:r>
      <w:proofErr w:type="spellStart"/>
      <w:r w:rsidR="001928DD">
        <w:rPr>
          <w:sz w:val="28"/>
          <w:szCs w:val="28"/>
          <w:lang w:val="uk-UA"/>
        </w:rPr>
        <w:t>мл</w:t>
      </w:r>
      <w:proofErr w:type="spellEnd"/>
      <w:r w:rsidR="001928DD">
        <w:rPr>
          <w:sz w:val="28"/>
          <w:szCs w:val="28"/>
          <w:lang w:val="uk-UA"/>
        </w:rPr>
        <w:t xml:space="preserve"> і більше.</w:t>
      </w:r>
    </w:p>
    <w:p w:rsidR="001928DD" w:rsidRDefault="001928DD" w:rsidP="001928D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кожній групі ми визначили абсолютну та відсоткову кількість обстежених осіб, у яких діагностовано АГ без ЦД 2 типу, АГ з ЦД 2 типу, та </w:t>
      </w:r>
      <w:r>
        <w:rPr>
          <w:sz w:val="28"/>
          <w:szCs w:val="28"/>
          <w:lang w:val="uk-UA"/>
        </w:rPr>
        <w:lastRenderedPageBreak/>
        <w:t xml:space="preserve">які мали інші фактори ризику, такі як АО, надмірну маса тіла чи ожиріння різного ступеню, </w:t>
      </w:r>
      <w:proofErr w:type="spellStart"/>
      <w:r>
        <w:rPr>
          <w:sz w:val="28"/>
          <w:szCs w:val="28"/>
          <w:lang w:val="uk-UA"/>
        </w:rPr>
        <w:t>інсулінорезистентність</w:t>
      </w:r>
      <w:proofErr w:type="spellEnd"/>
      <w:r>
        <w:rPr>
          <w:sz w:val="28"/>
          <w:szCs w:val="28"/>
          <w:lang w:val="uk-UA"/>
        </w:rPr>
        <w:t xml:space="preserve">, гіперглікемію натще та </w:t>
      </w:r>
      <w:proofErr w:type="spellStart"/>
      <w:r>
        <w:rPr>
          <w:sz w:val="28"/>
          <w:szCs w:val="28"/>
          <w:lang w:val="uk-UA"/>
        </w:rPr>
        <w:t>гіперінсулінемію</w:t>
      </w:r>
      <w:proofErr w:type="spellEnd"/>
      <w:r>
        <w:rPr>
          <w:sz w:val="28"/>
          <w:szCs w:val="28"/>
          <w:lang w:val="uk-UA"/>
        </w:rPr>
        <w:t xml:space="preserve"> натще (табл. 1).  </w:t>
      </w:r>
    </w:p>
    <w:p w:rsidR="001928DD" w:rsidRPr="005C5E89" w:rsidRDefault="001928DD" w:rsidP="001928DD">
      <w:pPr>
        <w:keepNext/>
        <w:keepLines/>
        <w:jc w:val="right"/>
      </w:pPr>
      <w:proofErr w:type="spellStart"/>
      <w:r w:rsidRPr="005C5E89">
        <w:t>Таблиця</w:t>
      </w:r>
      <w:proofErr w:type="spellEnd"/>
      <w:r w:rsidRPr="005C5E89">
        <w:t xml:space="preserve"> </w:t>
      </w:r>
      <w:r>
        <w:rPr>
          <w:lang w:val="uk-UA"/>
        </w:rPr>
        <w:t>1</w:t>
      </w:r>
    </w:p>
    <w:p w:rsidR="001928DD" w:rsidRPr="005C5E89" w:rsidRDefault="001928DD" w:rsidP="001928DD">
      <w:pPr>
        <w:keepNext/>
        <w:keepLines/>
        <w:jc w:val="center"/>
        <w:rPr>
          <w:b/>
        </w:rPr>
      </w:pPr>
      <w:r w:rsidRPr="005C5E89">
        <w:rPr>
          <w:b/>
          <w:lang w:val="uk-UA"/>
        </w:rPr>
        <w:t>Порівняльна х</w:t>
      </w:r>
      <w:proofErr w:type="spellStart"/>
      <w:r w:rsidRPr="005C5E89">
        <w:rPr>
          <w:b/>
        </w:rPr>
        <w:t>арактеристика</w:t>
      </w:r>
      <w:proofErr w:type="spellEnd"/>
      <w:r w:rsidRPr="005C5E89">
        <w:rPr>
          <w:b/>
        </w:rPr>
        <w:t xml:space="preserve"> </w:t>
      </w:r>
      <w:r w:rsidRPr="005C5E89">
        <w:rPr>
          <w:b/>
          <w:lang w:val="uk-UA"/>
        </w:rPr>
        <w:t xml:space="preserve">факторів </w:t>
      </w:r>
      <w:proofErr w:type="spellStart"/>
      <w:r w:rsidRPr="005C5E89">
        <w:rPr>
          <w:b/>
          <w:lang w:val="uk-UA"/>
        </w:rPr>
        <w:t>кардіометаболічного</w:t>
      </w:r>
      <w:proofErr w:type="spellEnd"/>
      <w:r w:rsidRPr="005C5E89">
        <w:rPr>
          <w:b/>
          <w:lang w:val="uk-UA"/>
        </w:rPr>
        <w:t xml:space="preserve"> ризику у пацієнтів АГ за </w:t>
      </w:r>
      <w:proofErr w:type="spellStart"/>
      <w:r w:rsidRPr="005C5E89">
        <w:rPr>
          <w:b/>
          <w:lang w:val="uk-UA"/>
        </w:rPr>
        <w:t>тертильними</w:t>
      </w:r>
      <w:proofErr w:type="spellEnd"/>
      <w:r w:rsidRPr="005C5E89">
        <w:rPr>
          <w:b/>
          <w:lang w:val="uk-UA"/>
        </w:rPr>
        <w:t xml:space="preserve"> групами рівню ІЛ-10 в крові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701"/>
        <w:gridCol w:w="1559"/>
        <w:gridCol w:w="1559"/>
        <w:gridCol w:w="1418"/>
      </w:tblGrid>
      <w:tr w:rsidR="001928DD" w:rsidRPr="005C5E89" w:rsidTr="00EB01E1">
        <w:tc>
          <w:tcPr>
            <w:tcW w:w="2660" w:type="dxa"/>
            <w:vMerge w:val="restart"/>
            <w:shd w:val="clear" w:color="auto" w:fill="auto"/>
          </w:tcPr>
          <w:p w:rsidR="001928DD" w:rsidRPr="005C5E8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 xml:space="preserve">Пацієнти, </w:t>
            </w:r>
            <w:r w:rsidRPr="005C5E89">
              <w:rPr>
                <w:lang w:val="uk-UA"/>
              </w:rPr>
              <w:br/>
              <w:t>кількість осіб (%</w:t>
            </w:r>
            <w:r w:rsidRPr="005C5E89">
              <w:rPr>
                <w:vertAlign w:val="superscript"/>
                <w:lang w:val="uk-UA"/>
              </w:rPr>
              <w:t>*</w:t>
            </w:r>
            <w:r w:rsidRPr="005C5E89">
              <w:rPr>
                <w:lang w:val="uk-UA"/>
              </w:rPr>
              <w:t>)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1928DD" w:rsidRPr="005C5E8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 xml:space="preserve">Групи за </w:t>
            </w:r>
            <w:proofErr w:type="spellStart"/>
            <w:r w:rsidRPr="005C5E89">
              <w:rPr>
                <w:lang w:val="uk-UA"/>
              </w:rPr>
              <w:t>тертилями</w:t>
            </w:r>
            <w:proofErr w:type="spellEnd"/>
            <w:r w:rsidRPr="005C5E89">
              <w:rPr>
                <w:lang w:val="uk-UA"/>
              </w:rPr>
              <w:t xml:space="preserve"> рівня ІЛ-10 в крові</w:t>
            </w:r>
          </w:p>
        </w:tc>
        <w:tc>
          <w:tcPr>
            <w:tcW w:w="1418" w:type="dxa"/>
            <w:vMerge w:val="restart"/>
          </w:tcPr>
          <w:p w:rsidR="001928DD" w:rsidRPr="005C5E8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Всього</w:t>
            </w:r>
          </w:p>
        </w:tc>
      </w:tr>
      <w:tr w:rsidR="001928DD" w:rsidRPr="005C5E89" w:rsidTr="00EB01E1">
        <w:tc>
          <w:tcPr>
            <w:tcW w:w="2660" w:type="dxa"/>
            <w:vMerge/>
            <w:shd w:val="clear" w:color="auto" w:fill="auto"/>
          </w:tcPr>
          <w:p w:rsidR="001928DD" w:rsidRPr="005C5E89" w:rsidRDefault="001928DD" w:rsidP="00EB01E1">
            <w:pPr>
              <w:keepNext/>
              <w:keepLines/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1928DD" w:rsidRPr="005C5E89" w:rsidRDefault="001928DD" w:rsidP="00EB01E1">
            <w:pPr>
              <w:keepNext/>
              <w:keepLines/>
              <w:ind w:left="-90" w:right="-175"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1 група,</w:t>
            </w:r>
            <w:r w:rsidRPr="005C5E89">
              <w:rPr>
                <w:lang w:val="uk-UA"/>
              </w:rPr>
              <w:br/>
            </w:r>
            <w:r w:rsidRPr="005C5E89">
              <w:rPr>
                <w:lang w:val="en-US"/>
              </w:rPr>
              <w:t>n</w:t>
            </w:r>
            <w:r w:rsidRPr="005C5E89">
              <w:rPr>
                <w:lang w:val="uk-UA"/>
              </w:rPr>
              <w:t>=3</w:t>
            </w:r>
            <w:r>
              <w:rPr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928DD" w:rsidRPr="005C5E8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2 група,</w:t>
            </w:r>
            <w:r w:rsidRPr="005C5E89">
              <w:rPr>
                <w:lang w:val="uk-UA"/>
              </w:rPr>
              <w:br/>
            </w:r>
            <w:r w:rsidRPr="005C5E89">
              <w:rPr>
                <w:lang w:val="en-US"/>
              </w:rPr>
              <w:t>n</w:t>
            </w:r>
            <w:r w:rsidRPr="005C5E89">
              <w:rPr>
                <w:lang w:val="uk-UA"/>
              </w:rPr>
              <w:t>=3</w:t>
            </w:r>
            <w:r>
              <w:rPr>
                <w:lang w:val="uk-UA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928DD" w:rsidRPr="005C5E89" w:rsidRDefault="001928DD" w:rsidP="00EB01E1">
            <w:pPr>
              <w:keepNext/>
              <w:keepLines/>
              <w:ind w:left="-120" w:right="-144"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3 група,</w:t>
            </w:r>
            <w:r w:rsidRPr="005C5E89">
              <w:rPr>
                <w:lang w:val="uk-UA"/>
              </w:rPr>
              <w:br/>
            </w:r>
            <w:r w:rsidRPr="005C5E89">
              <w:rPr>
                <w:lang w:val="en-US"/>
              </w:rPr>
              <w:t>n</w:t>
            </w:r>
            <w:r w:rsidRPr="005C5E89">
              <w:rPr>
                <w:lang w:val="uk-UA"/>
              </w:rPr>
              <w:t>=3</w:t>
            </w:r>
            <w:r>
              <w:rPr>
                <w:lang w:val="uk-UA"/>
              </w:rPr>
              <w:t>6</w:t>
            </w:r>
          </w:p>
        </w:tc>
        <w:tc>
          <w:tcPr>
            <w:tcW w:w="1418" w:type="dxa"/>
            <w:vMerge/>
          </w:tcPr>
          <w:p w:rsidR="001928DD" w:rsidRPr="005C5E89" w:rsidRDefault="001928DD" w:rsidP="00EB01E1">
            <w:pPr>
              <w:keepNext/>
              <w:keepLines/>
              <w:ind w:left="-120" w:right="-144"/>
              <w:jc w:val="center"/>
              <w:rPr>
                <w:lang w:val="uk-UA"/>
              </w:rPr>
            </w:pPr>
          </w:p>
        </w:tc>
      </w:tr>
      <w:tr w:rsidR="001928DD" w:rsidRPr="005C5E89" w:rsidTr="00EB01E1">
        <w:tc>
          <w:tcPr>
            <w:tcW w:w="2660" w:type="dxa"/>
            <w:shd w:val="clear" w:color="auto" w:fill="auto"/>
          </w:tcPr>
          <w:p w:rsidR="001928DD" w:rsidRPr="00792064" w:rsidRDefault="001928DD" w:rsidP="00EB01E1">
            <w:pPr>
              <w:keepNext/>
              <w:keepLines/>
              <w:rPr>
                <w:lang w:val="uk-UA"/>
              </w:rPr>
            </w:pPr>
            <w:r w:rsidRPr="00792064">
              <w:rPr>
                <w:lang w:val="uk-UA"/>
              </w:rPr>
              <w:t xml:space="preserve"> АГ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28DD" w:rsidRPr="005C5E8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2 (2,7 %)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8DD" w:rsidRPr="005C5E8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35 (47,9 %)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8DD" w:rsidRPr="005C5E8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36 (49,3 %)</w:t>
            </w:r>
          </w:p>
        </w:tc>
        <w:tc>
          <w:tcPr>
            <w:tcW w:w="1418" w:type="dxa"/>
          </w:tcPr>
          <w:p w:rsidR="001928DD" w:rsidRPr="005C5E89" w:rsidRDefault="001928DD" w:rsidP="00EB01E1">
            <w:pPr>
              <w:keepNext/>
              <w:keepLines/>
              <w:jc w:val="right"/>
              <w:rPr>
                <w:lang w:val="uk-UA"/>
              </w:rPr>
            </w:pPr>
            <w:r w:rsidRPr="005C5E89">
              <w:rPr>
                <w:lang w:val="uk-UA"/>
              </w:rPr>
              <w:t>73 (100 %)</w:t>
            </w:r>
          </w:p>
        </w:tc>
      </w:tr>
      <w:tr w:rsidR="001928DD" w:rsidRPr="005C5E89" w:rsidTr="00EB01E1">
        <w:tc>
          <w:tcPr>
            <w:tcW w:w="2660" w:type="dxa"/>
            <w:shd w:val="clear" w:color="auto" w:fill="auto"/>
          </w:tcPr>
          <w:p w:rsidR="001928DD" w:rsidRPr="00792064" w:rsidRDefault="001928DD" w:rsidP="00EB01E1">
            <w:pPr>
              <w:keepNext/>
              <w:keepLines/>
              <w:rPr>
                <w:lang w:val="uk-UA"/>
              </w:rPr>
            </w:pPr>
            <w:r w:rsidRPr="00792064">
              <w:rPr>
                <w:lang w:val="uk-UA"/>
              </w:rPr>
              <w:t>АГ та ЦД</w:t>
            </w:r>
            <w:r>
              <w:rPr>
                <w:lang w:val="uk-UA"/>
              </w:rPr>
              <w:t xml:space="preserve"> 2 типу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28DD" w:rsidRPr="005C5E8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27 (87,1 %)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8DD" w:rsidRPr="005C5E8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1 (3,2 %)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8DD" w:rsidRPr="005C5E8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3 (9,7 %)</w:t>
            </w:r>
          </w:p>
        </w:tc>
        <w:tc>
          <w:tcPr>
            <w:tcW w:w="1418" w:type="dxa"/>
          </w:tcPr>
          <w:p w:rsidR="001928DD" w:rsidRPr="005C5E89" w:rsidRDefault="001928DD" w:rsidP="00EB01E1">
            <w:pPr>
              <w:keepNext/>
              <w:keepLines/>
              <w:jc w:val="right"/>
              <w:rPr>
                <w:lang w:val="uk-UA"/>
              </w:rPr>
            </w:pPr>
            <w:r w:rsidRPr="005C5E89">
              <w:rPr>
                <w:lang w:val="uk-UA"/>
              </w:rPr>
              <w:t>31 (100 %)</w:t>
            </w:r>
          </w:p>
        </w:tc>
      </w:tr>
      <w:tr w:rsidR="001928DD" w:rsidRPr="005C5E89" w:rsidTr="00EB01E1">
        <w:tc>
          <w:tcPr>
            <w:tcW w:w="2660" w:type="dxa"/>
            <w:shd w:val="clear" w:color="auto" w:fill="auto"/>
          </w:tcPr>
          <w:p w:rsidR="001928DD" w:rsidRPr="00792064" w:rsidRDefault="001928DD" w:rsidP="00EB01E1">
            <w:pPr>
              <w:keepNext/>
              <w:keepLines/>
              <w:ind w:right="-108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792064">
              <w:rPr>
                <w:lang w:val="uk-UA"/>
              </w:rPr>
              <w:t>бдомінальн</w:t>
            </w:r>
            <w:r>
              <w:rPr>
                <w:lang w:val="uk-UA"/>
              </w:rPr>
              <w:t>е</w:t>
            </w:r>
            <w:r w:rsidRPr="00792064">
              <w:rPr>
                <w:lang w:val="uk-UA"/>
              </w:rPr>
              <w:t xml:space="preserve"> ожиріння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28DD" w:rsidRPr="005C5E8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28 (35,9 %)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8DD" w:rsidRPr="005C5E8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21 (26,9 %)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8DD" w:rsidRPr="005C5E8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29 (37,2 %)</w:t>
            </w:r>
          </w:p>
        </w:tc>
        <w:tc>
          <w:tcPr>
            <w:tcW w:w="1418" w:type="dxa"/>
          </w:tcPr>
          <w:p w:rsidR="001928DD" w:rsidRPr="005C5E89" w:rsidRDefault="001928DD" w:rsidP="00EB01E1">
            <w:pPr>
              <w:keepNext/>
              <w:keepLines/>
              <w:jc w:val="right"/>
              <w:rPr>
                <w:lang w:val="uk-UA"/>
              </w:rPr>
            </w:pPr>
            <w:r w:rsidRPr="005C5E89">
              <w:rPr>
                <w:lang w:val="uk-UA"/>
              </w:rPr>
              <w:t>78 (100 %)</w:t>
            </w:r>
          </w:p>
        </w:tc>
      </w:tr>
      <w:tr w:rsidR="001928DD" w:rsidRPr="005C5E89" w:rsidTr="00EB01E1">
        <w:tc>
          <w:tcPr>
            <w:tcW w:w="2660" w:type="dxa"/>
            <w:shd w:val="clear" w:color="auto" w:fill="auto"/>
          </w:tcPr>
          <w:p w:rsidR="001928DD" w:rsidRPr="00792064" w:rsidRDefault="001928DD" w:rsidP="00EB01E1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792064">
              <w:rPr>
                <w:lang w:val="uk-UA"/>
              </w:rPr>
              <w:t>ормальн</w:t>
            </w:r>
            <w:r>
              <w:rPr>
                <w:lang w:val="uk-UA"/>
              </w:rPr>
              <w:t>а</w:t>
            </w:r>
            <w:r w:rsidRPr="00792064">
              <w:rPr>
                <w:lang w:val="uk-UA"/>
              </w:rPr>
              <w:t xml:space="preserve"> мас</w:t>
            </w:r>
            <w:r>
              <w:rPr>
                <w:lang w:val="uk-UA"/>
              </w:rPr>
              <w:t xml:space="preserve">а </w:t>
            </w:r>
            <w:r w:rsidRPr="00792064">
              <w:rPr>
                <w:lang w:val="uk-UA"/>
              </w:rPr>
              <w:t>тіла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28DD" w:rsidRPr="005C5E8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10 (45,5 %)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8DD" w:rsidRPr="005C5E8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6 (27,3 %)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8DD" w:rsidRPr="005C5E8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6 (27,3 %)</w:t>
            </w:r>
          </w:p>
        </w:tc>
        <w:tc>
          <w:tcPr>
            <w:tcW w:w="1418" w:type="dxa"/>
          </w:tcPr>
          <w:p w:rsidR="001928DD" w:rsidRPr="005C5E89" w:rsidRDefault="001928DD" w:rsidP="00EB01E1">
            <w:pPr>
              <w:keepNext/>
              <w:keepLines/>
              <w:jc w:val="right"/>
              <w:rPr>
                <w:lang w:val="uk-UA"/>
              </w:rPr>
            </w:pPr>
            <w:r w:rsidRPr="005C5E89">
              <w:rPr>
                <w:lang w:val="uk-UA"/>
              </w:rPr>
              <w:t>22 (100 %)</w:t>
            </w:r>
          </w:p>
        </w:tc>
      </w:tr>
      <w:tr w:rsidR="001928DD" w:rsidRPr="005C5E89" w:rsidTr="00EB01E1">
        <w:tc>
          <w:tcPr>
            <w:tcW w:w="2660" w:type="dxa"/>
            <w:shd w:val="clear" w:color="auto" w:fill="auto"/>
          </w:tcPr>
          <w:p w:rsidR="001928DD" w:rsidRPr="00792064" w:rsidRDefault="001928DD" w:rsidP="00EB01E1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792064">
              <w:rPr>
                <w:lang w:val="uk-UA"/>
              </w:rPr>
              <w:t>ад</w:t>
            </w:r>
            <w:r>
              <w:rPr>
                <w:lang w:val="uk-UA"/>
              </w:rPr>
              <w:t>мірна</w:t>
            </w:r>
            <w:r w:rsidRPr="00792064">
              <w:rPr>
                <w:lang w:val="uk-UA"/>
              </w:rPr>
              <w:t xml:space="preserve"> мас</w:t>
            </w:r>
            <w:r>
              <w:rPr>
                <w:lang w:val="uk-UA"/>
              </w:rPr>
              <w:t>а</w:t>
            </w:r>
            <w:r w:rsidRPr="00792064">
              <w:rPr>
                <w:lang w:val="uk-UA"/>
              </w:rPr>
              <w:t xml:space="preserve"> тіла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28DD" w:rsidRPr="005C5E8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15 (34,9 %)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8DD" w:rsidRPr="005C5E8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14 (32,6 %)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8DD" w:rsidRPr="005C5E8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14 (32,6 %)</w:t>
            </w:r>
          </w:p>
        </w:tc>
        <w:tc>
          <w:tcPr>
            <w:tcW w:w="1418" w:type="dxa"/>
          </w:tcPr>
          <w:p w:rsidR="001928DD" w:rsidRPr="005C5E89" w:rsidRDefault="001928DD" w:rsidP="00EB01E1">
            <w:pPr>
              <w:keepNext/>
              <w:keepLines/>
              <w:jc w:val="right"/>
              <w:rPr>
                <w:lang w:val="uk-UA"/>
              </w:rPr>
            </w:pPr>
            <w:r w:rsidRPr="005C5E89">
              <w:rPr>
                <w:lang w:val="uk-UA"/>
              </w:rPr>
              <w:t>43 (100 %)</w:t>
            </w:r>
          </w:p>
        </w:tc>
      </w:tr>
      <w:tr w:rsidR="001928DD" w:rsidRPr="005C5E89" w:rsidTr="00EB01E1">
        <w:tc>
          <w:tcPr>
            <w:tcW w:w="2660" w:type="dxa"/>
            <w:shd w:val="clear" w:color="auto" w:fill="auto"/>
          </w:tcPr>
          <w:p w:rsidR="001928DD" w:rsidRPr="00792064" w:rsidRDefault="001928DD" w:rsidP="00EB01E1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792064">
              <w:rPr>
                <w:lang w:val="uk-UA"/>
              </w:rPr>
              <w:t>жиріння 1 ступеня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28DD" w:rsidRPr="005C5E8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6 (26,1 %)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8DD" w:rsidRPr="005C5E8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12 (52,2 %)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8DD" w:rsidRPr="005C5E8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5 (21,7 %)</w:t>
            </w:r>
          </w:p>
        </w:tc>
        <w:tc>
          <w:tcPr>
            <w:tcW w:w="1418" w:type="dxa"/>
          </w:tcPr>
          <w:p w:rsidR="001928DD" w:rsidRPr="005C5E89" w:rsidRDefault="001928DD" w:rsidP="00EB01E1">
            <w:pPr>
              <w:keepNext/>
              <w:keepLines/>
              <w:jc w:val="right"/>
              <w:rPr>
                <w:lang w:val="uk-UA"/>
              </w:rPr>
            </w:pPr>
            <w:r w:rsidRPr="005C5E89">
              <w:rPr>
                <w:lang w:val="uk-UA"/>
              </w:rPr>
              <w:t>23 (100 %)</w:t>
            </w:r>
          </w:p>
        </w:tc>
      </w:tr>
      <w:tr w:rsidR="001928DD" w:rsidRPr="005C5E89" w:rsidTr="00EB01E1">
        <w:tc>
          <w:tcPr>
            <w:tcW w:w="2660" w:type="dxa"/>
            <w:shd w:val="clear" w:color="auto" w:fill="auto"/>
          </w:tcPr>
          <w:p w:rsidR="001928DD" w:rsidRPr="00792064" w:rsidRDefault="001928DD" w:rsidP="00EB01E1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792064">
              <w:rPr>
                <w:lang w:val="uk-UA"/>
              </w:rPr>
              <w:t>жиріння 2 ступеня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28DD" w:rsidRPr="005C5E8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7 (31,8 %)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8DD" w:rsidRPr="005C5E8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4 (18,2 %)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8DD" w:rsidRPr="005C5E8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11 (50,0 %)</w:t>
            </w:r>
          </w:p>
        </w:tc>
        <w:tc>
          <w:tcPr>
            <w:tcW w:w="1418" w:type="dxa"/>
          </w:tcPr>
          <w:p w:rsidR="001928DD" w:rsidRPr="005C5E89" w:rsidRDefault="001928DD" w:rsidP="00EB01E1">
            <w:pPr>
              <w:keepNext/>
              <w:keepLines/>
              <w:jc w:val="right"/>
              <w:rPr>
                <w:lang w:val="uk-UA"/>
              </w:rPr>
            </w:pPr>
            <w:r w:rsidRPr="005C5E89">
              <w:rPr>
                <w:lang w:val="uk-UA"/>
              </w:rPr>
              <w:t>22 (100 %)</w:t>
            </w:r>
          </w:p>
        </w:tc>
      </w:tr>
      <w:tr w:rsidR="001928DD" w:rsidRPr="005C5E89" w:rsidTr="00EB01E1">
        <w:tc>
          <w:tcPr>
            <w:tcW w:w="2660" w:type="dxa"/>
            <w:shd w:val="clear" w:color="auto" w:fill="auto"/>
          </w:tcPr>
          <w:p w:rsidR="001928DD" w:rsidRPr="00792064" w:rsidRDefault="001928DD" w:rsidP="00EB01E1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792064">
              <w:rPr>
                <w:lang w:val="uk-UA"/>
              </w:rPr>
              <w:t>жиріння 3 ступеня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28DD" w:rsidRPr="005C5E8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8DD" w:rsidRPr="005C5E8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8DD" w:rsidRPr="005C5E8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3 (100 %)</w:t>
            </w:r>
          </w:p>
        </w:tc>
        <w:tc>
          <w:tcPr>
            <w:tcW w:w="1418" w:type="dxa"/>
          </w:tcPr>
          <w:p w:rsidR="001928DD" w:rsidRPr="005C5E89" w:rsidRDefault="001928DD" w:rsidP="00EB01E1">
            <w:pPr>
              <w:keepNext/>
              <w:keepLines/>
              <w:jc w:val="right"/>
              <w:rPr>
                <w:lang w:val="uk-UA"/>
              </w:rPr>
            </w:pPr>
            <w:r w:rsidRPr="005C5E89">
              <w:rPr>
                <w:lang w:val="uk-UA"/>
              </w:rPr>
              <w:t>3 (100 %)</w:t>
            </w:r>
          </w:p>
        </w:tc>
      </w:tr>
      <w:tr w:rsidR="001928DD" w:rsidRPr="005C5E89" w:rsidTr="00EB01E1">
        <w:tc>
          <w:tcPr>
            <w:tcW w:w="2660" w:type="dxa"/>
            <w:shd w:val="clear" w:color="auto" w:fill="auto"/>
          </w:tcPr>
          <w:p w:rsidR="001928DD" w:rsidRPr="00792064" w:rsidRDefault="001928DD" w:rsidP="00EB01E1">
            <w:pPr>
              <w:keepNext/>
              <w:keepLines/>
              <w:rPr>
                <w:lang w:val="uk-UA"/>
              </w:rPr>
            </w:pPr>
            <w:proofErr w:type="spellStart"/>
            <w:r>
              <w:rPr>
                <w:lang w:val="uk-UA"/>
              </w:rPr>
              <w:t>І</w:t>
            </w:r>
            <w:r w:rsidRPr="00792064">
              <w:rPr>
                <w:lang w:val="uk-UA"/>
              </w:rPr>
              <w:t>нсулінорезистентніст</w:t>
            </w:r>
            <w:r>
              <w:rPr>
                <w:lang w:val="uk-UA"/>
              </w:rPr>
              <w:t>ь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928DD" w:rsidRPr="005C5E8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10 (28,6 %)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8DD" w:rsidRPr="005C5E8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12 (34,3 %)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8DD" w:rsidRPr="005C5E8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13 (37,1 %)</w:t>
            </w:r>
          </w:p>
        </w:tc>
        <w:tc>
          <w:tcPr>
            <w:tcW w:w="1418" w:type="dxa"/>
          </w:tcPr>
          <w:p w:rsidR="001928DD" w:rsidRPr="005C5E89" w:rsidRDefault="001928DD" w:rsidP="00EB01E1">
            <w:pPr>
              <w:keepNext/>
              <w:keepLines/>
              <w:jc w:val="right"/>
              <w:rPr>
                <w:lang w:val="uk-UA"/>
              </w:rPr>
            </w:pPr>
            <w:r w:rsidRPr="005C5E89">
              <w:rPr>
                <w:lang w:val="uk-UA"/>
              </w:rPr>
              <w:t>35 (100 %)</w:t>
            </w:r>
          </w:p>
        </w:tc>
      </w:tr>
      <w:tr w:rsidR="001928DD" w:rsidRPr="005C5E89" w:rsidTr="00EB01E1">
        <w:tc>
          <w:tcPr>
            <w:tcW w:w="2660" w:type="dxa"/>
            <w:shd w:val="clear" w:color="auto" w:fill="auto"/>
          </w:tcPr>
          <w:p w:rsidR="001928DD" w:rsidRPr="00792064" w:rsidRDefault="001928DD" w:rsidP="00EB01E1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792064">
              <w:rPr>
                <w:lang w:val="uk-UA"/>
              </w:rPr>
              <w:t>іперглікемі</w:t>
            </w:r>
            <w:r>
              <w:rPr>
                <w:lang w:val="uk-UA"/>
              </w:rPr>
              <w:t>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28DD" w:rsidRPr="005C5E8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15 (62,5 %)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8DD" w:rsidRPr="005C5E8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8 (33,3 %)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8DD" w:rsidRPr="005C5E8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1 (4,2 %)</w:t>
            </w:r>
          </w:p>
        </w:tc>
        <w:tc>
          <w:tcPr>
            <w:tcW w:w="1418" w:type="dxa"/>
          </w:tcPr>
          <w:p w:rsidR="001928DD" w:rsidRPr="005C5E89" w:rsidRDefault="001928DD" w:rsidP="00EB01E1">
            <w:pPr>
              <w:keepNext/>
              <w:keepLines/>
              <w:jc w:val="right"/>
              <w:rPr>
                <w:lang w:val="uk-UA"/>
              </w:rPr>
            </w:pPr>
            <w:r w:rsidRPr="005C5E89">
              <w:rPr>
                <w:lang w:val="uk-UA"/>
              </w:rPr>
              <w:t>24 (100 %)</w:t>
            </w:r>
          </w:p>
        </w:tc>
      </w:tr>
      <w:tr w:rsidR="001928DD" w:rsidRPr="005C5E89" w:rsidTr="00EB01E1">
        <w:tc>
          <w:tcPr>
            <w:tcW w:w="2660" w:type="dxa"/>
            <w:shd w:val="clear" w:color="auto" w:fill="auto"/>
          </w:tcPr>
          <w:p w:rsidR="001928DD" w:rsidRPr="00792064" w:rsidRDefault="001928DD" w:rsidP="00EB01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</w:t>
            </w:r>
            <w:r w:rsidRPr="00792064">
              <w:rPr>
                <w:lang w:val="uk-UA"/>
              </w:rPr>
              <w:t>іперінсулінемі</w:t>
            </w:r>
            <w:r>
              <w:rPr>
                <w:lang w:val="uk-UA"/>
              </w:rPr>
              <w:t>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928DD" w:rsidRPr="005C5E89" w:rsidRDefault="001928DD" w:rsidP="00EB01E1">
            <w:pPr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6 (23,1 %)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8DD" w:rsidRPr="005C5E89" w:rsidRDefault="001928DD" w:rsidP="00EB01E1">
            <w:pPr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6 (23,1 %)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8DD" w:rsidRPr="005C5E89" w:rsidRDefault="001928DD" w:rsidP="00EB01E1">
            <w:pPr>
              <w:jc w:val="center"/>
              <w:rPr>
                <w:lang w:val="uk-UA"/>
              </w:rPr>
            </w:pPr>
            <w:r w:rsidRPr="005C5E89">
              <w:rPr>
                <w:lang w:val="uk-UA"/>
              </w:rPr>
              <w:t>14 (53,8 %)</w:t>
            </w:r>
          </w:p>
        </w:tc>
        <w:tc>
          <w:tcPr>
            <w:tcW w:w="1418" w:type="dxa"/>
          </w:tcPr>
          <w:p w:rsidR="001928DD" w:rsidRPr="005C5E89" w:rsidRDefault="001928DD" w:rsidP="00EB01E1">
            <w:pPr>
              <w:jc w:val="right"/>
              <w:rPr>
                <w:lang w:val="uk-UA"/>
              </w:rPr>
            </w:pPr>
            <w:r w:rsidRPr="005C5E89">
              <w:rPr>
                <w:lang w:val="uk-UA"/>
              </w:rPr>
              <w:t>26 (100 %)</w:t>
            </w:r>
          </w:p>
        </w:tc>
      </w:tr>
    </w:tbl>
    <w:p w:rsidR="001928DD" w:rsidRDefault="001928DD" w:rsidP="001928DD">
      <w:pPr>
        <w:rPr>
          <w:lang w:val="uk-UA"/>
        </w:rPr>
      </w:pPr>
      <w:r w:rsidRPr="005C5E89">
        <w:rPr>
          <w:b/>
          <w:lang w:val="uk-UA"/>
        </w:rPr>
        <w:t>Примітка</w:t>
      </w:r>
      <w:r>
        <w:rPr>
          <w:b/>
          <w:lang w:val="uk-UA"/>
        </w:rPr>
        <w:t>:</w:t>
      </w:r>
      <w:r w:rsidRPr="005C5E89">
        <w:rPr>
          <w:lang w:val="uk-UA"/>
        </w:rPr>
        <w:t xml:space="preserve"> </w:t>
      </w:r>
      <w:r w:rsidRPr="005C5E89">
        <w:rPr>
          <w:vertAlign w:val="superscript"/>
          <w:lang w:val="uk-UA"/>
        </w:rPr>
        <w:t>*</w:t>
      </w:r>
      <w:r w:rsidRPr="005C5E89">
        <w:rPr>
          <w:lang w:val="uk-UA"/>
        </w:rPr>
        <w:t xml:space="preserve"> — відсотки від загальної кількості пацієнтів відповідного контингент</w:t>
      </w:r>
      <w:r>
        <w:rPr>
          <w:lang w:val="uk-UA"/>
        </w:rPr>
        <w:t>у</w:t>
      </w:r>
      <w:r w:rsidRPr="005C5E89">
        <w:rPr>
          <w:lang w:val="uk-UA"/>
        </w:rPr>
        <w:t>.</w:t>
      </w:r>
    </w:p>
    <w:p w:rsidR="001928DD" w:rsidRDefault="001928DD" w:rsidP="001928DD">
      <w:pPr>
        <w:rPr>
          <w:lang w:val="uk-UA"/>
        </w:rPr>
      </w:pPr>
    </w:p>
    <w:p w:rsidR="001928DD" w:rsidRDefault="001928DD" w:rsidP="001928D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Найбільша кількість та частота пацієнтів АГ без ЦД 2 типу була у 2 і 3 </w:t>
      </w:r>
      <w:proofErr w:type="spellStart"/>
      <w:r>
        <w:rPr>
          <w:sz w:val="28"/>
          <w:szCs w:val="28"/>
          <w:lang w:val="uk-UA"/>
        </w:rPr>
        <w:t>тертильній</w:t>
      </w:r>
      <w:proofErr w:type="spellEnd"/>
      <w:r>
        <w:rPr>
          <w:sz w:val="28"/>
          <w:szCs w:val="28"/>
          <w:lang w:val="uk-UA"/>
        </w:rPr>
        <w:t xml:space="preserve"> групі, в той час як пацієнти АГ з ЦД 2 типу в основному належали до 1 </w:t>
      </w:r>
      <w:proofErr w:type="spellStart"/>
      <w:r>
        <w:rPr>
          <w:sz w:val="28"/>
          <w:szCs w:val="28"/>
          <w:lang w:val="uk-UA"/>
        </w:rPr>
        <w:t>тертилю</w:t>
      </w:r>
      <w:proofErr w:type="spellEnd"/>
      <w:r>
        <w:rPr>
          <w:sz w:val="28"/>
          <w:szCs w:val="28"/>
          <w:lang w:val="uk-UA"/>
        </w:rPr>
        <w:t xml:space="preserve">. АО зустрічалося приблизно з однаковою частотою у трьох тертильних групах. Щодо характеристики маси тіла, то нормальна маса тіла асоціювалася з низьким рівнем ІЛ-10, надмірна маса тіла зустрічалася з однаковою частотою у всіх </w:t>
      </w:r>
      <w:proofErr w:type="spellStart"/>
      <w:r>
        <w:rPr>
          <w:sz w:val="28"/>
          <w:szCs w:val="28"/>
          <w:lang w:val="uk-UA"/>
        </w:rPr>
        <w:t>тертильніх</w:t>
      </w:r>
      <w:proofErr w:type="spellEnd"/>
      <w:r>
        <w:rPr>
          <w:sz w:val="28"/>
          <w:szCs w:val="28"/>
          <w:lang w:val="uk-UA"/>
        </w:rPr>
        <w:t xml:space="preserve"> групах, ожиріння різних ступенів не мало чіткої тенденції частоти залежно від рівню ІЛ-10, що стосувалося і наявності </w:t>
      </w:r>
      <w:proofErr w:type="spellStart"/>
      <w:r>
        <w:rPr>
          <w:sz w:val="28"/>
          <w:szCs w:val="28"/>
          <w:lang w:val="uk-UA"/>
        </w:rPr>
        <w:t>інсулінорезистентності</w:t>
      </w:r>
      <w:proofErr w:type="spellEnd"/>
      <w:r>
        <w:rPr>
          <w:sz w:val="28"/>
          <w:szCs w:val="28"/>
          <w:lang w:val="uk-UA"/>
        </w:rPr>
        <w:t xml:space="preserve">. Гіперглікемія найчастіше мало місце у 1 </w:t>
      </w:r>
      <w:proofErr w:type="spellStart"/>
      <w:r>
        <w:rPr>
          <w:sz w:val="28"/>
          <w:szCs w:val="28"/>
          <w:lang w:val="uk-UA"/>
        </w:rPr>
        <w:t>тертілі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гіпер</w:t>
      </w:r>
      <w:r w:rsidR="00C843F7">
        <w:rPr>
          <w:sz w:val="28"/>
          <w:szCs w:val="28"/>
          <w:lang w:val="uk-UA"/>
        </w:rPr>
        <w:t>інсуліне</w:t>
      </w:r>
      <w:r>
        <w:rPr>
          <w:sz w:val="28"/>
          <w:szCs w:val="28"/>
          <w:lang w:val="uk-UA"/>
        </w:rPr>
        <w:t>мія</w:t>
      </w:r>
      <w:proofErr w:type="spellEnd"/>
      <w:r>
        <w:rPr>
          <w:sz w:val="28"/>
          <w:szCs w:val="28"/>
          <w:lang w:val="uk-UA"/>
        </w:rPr>
        <w:t xml:space="preserve"> – у пацієнтів 3 </w:t>
      </w:r>
      <w:proofErr w:type="spellStart"/>
      <w:r>
        <w:rPr>
          <w:sz w:val="28"/>
          <w:szCs w:val="28"/>
          <w:lang w:val="uk-UA"/>
        </w:rPr>
        <w:t>тертілю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1928DD" w:rsidRPr="005C5E89" w:rsidRDefault="001928DD" w:rsidP="001928D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Порівняльну характеристику антропометричних, </w:t>
      </w:r>
      <w:proofErr w:type="spellStart"/>
      <w:r>
        <w:rPr>
          <w:sz w:val="28"/>
          <w:szCs w:val="28"/>
          <w:lang w:val="uk-UA"/>
        </w:rPr>
        <w:t>гемодинамічних</w:t>
      </w:r>
      <w:proofErr w:type="spellEnd"/>
      <w:r>
        <w:rPr>
          <w:sz w:val="28"/>
          <w:szCs w:val="28"/>
          <w:lang w:val="uk-UA"/>
        </w:rPr>
        <w:t xml:space="preserve"> показників, </w:t>
      </w:r>
      <w:proofErr w:type="spellStart"/>
      <w:r>
        <w:rPr>
          <w:sz w:val="28"/>
          <w:szCs w:val="28"/>
          <w:lang w:val="uk-UA"/>
        </w:rPr>
        <w:t>глюкометаболічних</w:t>
      </w:r>
      <w:proofErr w:type="spellEnd"/>
      <w:r>
        <w:rPr>
          <w:sz w:val="28"/>
          <w:szCs w:val="28"/>
          <w:lang w:val="uk-UA"/>
        </w:rPr>
        <w:t xml:space="preserve"> параметрів представлено у пацієнтів АГ, розділених на тертильні групи залежно від плазматичного рівню ІЛ-10 (табл. 2). </w:t>
      </w:r>
    </w:p>
    <w:p w:rsidR="001928DD" w:rsidRPr="00BF6DC0" w:rsidRDefault="001928DD" w:rsidP="001928DD">
      <w:pPr>
        <w:keepNext/>
        <w:keepLines/>
        <w:spacing w:line="360" w:lineRule="auto"/>
        <w:jc w:val="right"/>
        <w:rPr>
          <w:szCs w:val="28"/>
          <w:lang w:val="uk-UA"/>
        </w:rPr>
      </w:pPr>
      <w:r w:rsidRPr="00BF6DC0">
        <w:rPr>
          <w:szCs w:val="28"/>
          <w:lang w:val="uk-UA"/>
        </w:rPr>
        <w:lastRenderedPageBreak/>
        <w:t xml:space="preserve">Таблиця </w:t>
      </w:r>
      <w:r w:rsidR="00BF6DC0" w:rsidRPr="00BF6DC0">
        <w:rPr>
          <w:szCs w:val="28"/>
          <w:lang w:val="uk-UA"/>
        </w:rPr>
        <w:t>2</w:t>
      </w:r>
    </w:p>
    <w:p w:rsidR="001928DD" w:rsidRDefault="001928DD" w:rsidP="001928DD">
      <w:pPr>
        <w:keepNext/>
        <w:keepLines/>
        <w:jc w:val="center"/>
        <w:rPr>
          <w:b/>
          <w:lang w:val="uk-UA"/>
        </w:rPr>
      </w:pPr>
      <w:r w:rsidRPr="004714C3">
        <w:rPr>
          <w:b/>
          <w:lang w:val="uk-UA"/>
        </w:rPr>
        <w:t xml:space="preserve">Антропометричні, </w:t>
      </w:r>
      <w:proofErr w:type="spellStart"/>
      <w:r w:rsidRPr="004714C3">
        <w:rPr>
          <w:b/>
          <w:lang w:val="uk-UA"/>
        </w:rPr>
        <w:t>гемодинамічні</w:t>
      </w:r>
      <w:proofErr w:type="spellEnd"/>
      <w:r w:rsidRPr="004714C3">
        <w:rPr>
          <w:b/>
          <w:lang w:val="uk-UA"/>
        </w:rPr>
        <w:t xml:space="preserve">, вуглеводні показники пацієнтів на АГ, розподілених за </w:t>
      </w:r>
      <w:proofErr w:type="spellStart"/>
      <w:r w:rsidRPr="004714C3">
        <w:rPr>
          <w:b/>
          <w:lang w:val="uk-UA"/>
        </w:rPr>
        <w:t>тертилями</w:t>
      </w:r>
      <w:proofErr w:type="spellEnd"/>
      <w:r w:rsidRPr="004714C3">
        <w:rPr>
          <w:b/>
          <w:lang w:val="uk-UA"/>
        </w:rPr>
        <w:t xml:space="preserve"> рівня ІЛ-1</w:t>
      </w:r>
      <w:r>
        <w:rPr>
          <w:b/>
          <w:lang w:val="uk-UA"/>
        </w:rPr>
        <w:t>0</w:t>
      </w:r>
      <w:r w:rsidRPr="004714C3">
        <w:rPr>
          <w:b/>
          <w:lang w:val="uk-UA"/>
        </w:rPr>
        <w:t xml:space="preserve"> в крові, </w:t>
      </w:r>
    </w:p>
    <w:p w:rsidR="001928DD" w:rsidRPr="00D14179" w:rsidRDefault="001928DD" w:rsidP="001928DD">
      <w:pPr>
        <w:keepNext/>
        <w:keepLines/>
        <w:jc w:val="center"/>
        <w:rPr>
          <w:b/>
          <w:lang w:val="uk-UA"/>
        </w:rPr>
      </w:pPr>
      <w:r w:rsidRPr="00D14179">
        <w:rPr>
          <w:b/>
          <w:lang w:val="en-US"/>
        </w:rPr>
        <w:t>Me</w:t>
      </w:r>
      <w:r w:rsidRPr="00D14179">
        <w:rPr>
          <w:b/>
          <w:lang w:val="uk-UA"/>
        </w:rPr>
        <w:t xml:space="preserve"> (</w:t>
      </w:r>
      <w:r w:rsidRPr="00D14179">
        <w:rPr>
          <w:b/>
          <w:lang w:val="en-US"/>
        </w:rPr>
        <w:t>LQ</w:t>
      </w:r>
      <w:r w:rsidRPr="00D14179">
        <w:rPr>
          <w:b/>
          <w:lang w:val="uk-UA"/>
        </w:rPr>
        <w:t xml:space="preserve">; </w:t>
      </w:r>
      <w:r w:rsidRPr="00D14179">
        <w:rPr>
          <w:b/>
          <w:lang w:val="en-US"/>
        </w:rPr>
        <w:t>UQ</w:t>
      </w:r>
      <w:r w:rsidRPr="00D14179">
        <w:rPr>
          <w:b/>
          <w:lang w:val="uk-UA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7"/>
        <w:gridCol w:w="2054"/>
        <w:gridCol w:w="2053"/>
        <w:gridCol w:w="2220"/>
      </w:tblGrid>
      <w:tr w:rsidR="001928DD" w:rsidRPr="00D14179" w:rsidTr="00EB01E1">
        <w:tc>
          <w:tcPr>
            <w:tcW w:w="3137" w:type="dxa"/>
            <w:vMerge w:val="restart"/>
            <w:shd w:val="clear" w:color="auto" w:fill="auto"/>
          </w:tcPr>
          <w:p w:rsidR="001928DD" w:rsidRPr="00D14179" w:rsidRDefault="00336F02" w:rsidP="00EB01E1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928DD" w:rsidRPr="00D14179">
              <w:rPr>
                <w:lang w:val="uk-UA"/>
              </w:rPr>
              <w:t>оказники</w:t>
            </w:r>
          </w:p>
        </w:tc>
        <w:tc>
          <w:tcPr>
            <w:tcW w:w="6327" w:type="dxa"/>
            <w:gridSpan w:val="3"/>
            <w:shd w:val="clear" w:color="auto" w:fill="auto"/>
          </w:tcPr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Групи за </w:t>
            </w:r>
            <w:proofErr w:type="spellStart"/>
            <w:r w:rsidRPr="00D14179">
              <w:rPr>
                <w:lang w:val="uk-UA"/>
              </w:rPr>
              <w:t>тертилями</w:t>
            </w:r>
            <w:proofErr w:type="spellEnd"/>
            <w:r w:rsidRPr="00D14179">
              <w:rPr>
                <w:lang w:val="uk-UA"/>
              </w:rPr>
              <w:t xml:space="preserve"> рівня ІЛ-10 в крові</w:t>
            </w:r>
          </w:p>
        </w:tc>
      </w:tr>
      <w:tr w:rsidR="001928DD" w:rsidRPr="00D14179" w:rsidTr="00EB01E1">
        <w:tc>
          <w:tcPr>
            <w:tcW w:w="3137" w:type="dxa"/>
            <w:vMerge/>
            <w:shd w:val="clear" w:color="auto" w:fill="auto"/>
          </w:tcPr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</w:p>
        </w:tc>
        <w:tc>
          <w:tcPr>
            <w:tcW w:w="2054" w:type="dxa"/>
            <w:shd w:val="clear" w:color="auto" w:fill="auto"/>
          </w:tcPr>
          <w:p w:rsidR="001928DD" w:rsidRPr="00D14179" w:rsidRDefault="001928DD" w:rsidP="00EB01E1">
            <w:pPr>
              <w:keepNext/>
              <w:keepLines/>
              <w:ind w:left="-90" w:right="-175"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1 група,</w:t>
            </w:r>
            <w:r w:rsidRPr="00D14179">
              <w:rPr>
                <w:lang w:val="uk-UA"/>
              </w:rPr>
              <w:br/>
            </w:r>
            <w:r w:rsidRPr="00D14179">
              <w:rPr>
                <w:lang w:val="en-US"/>
              </w:rPr>
              <w:t>n</w:t>
            </w:r>
            <w:r w:rsidRPr="00D14179">
              <w:rPr>
                <w:lang w:val="uk-UA"/>
              </w:rPr>
              <w:t>=</w:t>
            </w:r>
            <w:r>
              <w:rPr>
                <w:lang w:val="uk-UA"/>
              </w:rPr>
              <w:t>3</w:t>
            </w:r>
            <w:r w:rsidRPr="00D14179">
              <w:rPr>
                <w:lang w:val="uk-UA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2 група,</w:t>
            </w:r>
            <w:r w:rsidRPr="00D14179">
              <w:rPr>
                <w:lang w:val="uk-UA"/>
              </w:rPr>
              <w:br/>
            </w:r>
            <w:r w:rsidRPr="00D14179">
              <w:rPr>
                <w:lang w:val="en-US"/>
              </w:rPr>
              <w:t>n</w:t>
            </w:r>
            <w:r w:rsidRPr="00D14179">
              <w:rPr>
                <w:lang w:val="uk-UA"/>
              </w:rPr>
              <w:t>=35</w:t>
            </w:r>
          </w:p>
        </w:tc>
        <w:tc>
          <w:tcPr>
            <w:tcW w:w="2220" w:type="dxa"/>
            <w:shd w:val="clear" w:color="auto" w:fill="auto"/>
          </w:tcPr>
          <w:p w:rsidR="001928DD" w:rsidRPr="00D14179" w:rsidRDefault="001928DD" w:rsidP="00EB01E1">
            <w:pPr>
              <w:keepNext/>
              <w:keepLines/>
              <w:ind w:left="-120" w:right="-144"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3 група,</w:t>
            </w:r>
            <w:r w:rsidRPr="00D14179">
              <w:rPr>
                <w:lang w:val="uk-UA"/>
              </w:rPr>
              <w:br/>
            </w:r>
            <w:r w:rsidRPr="00D14179">
              <w:rPr>
                <w:lang w:val="en-US"/>
              </w:rPr>
              <w:t>n</w:t>
            </w:r>
            <w:r w:rsidRPr="00D14179">
              <w:rPr>
                <w:lang w:val="uk-UA"/>
              </w:rPr>
              <w:t>=36</w:t>
            </w:r>
          </w:p>
        </w:tc>
      </w:tr>
      <w:tr w:rsidR="001928DD" w:rsidRPr="00D14179" w:rsidTr="00EB01E1">
        <w:tc>
          <w:tcPr>
            <w:tcW w:w="3137" w:type="dxa"/>
            <w:shd w:val="clear" w:color="auto" w:fill="auto"/>
          </w:tcPr>
          <w:p w:rsidR="001928DD" w:rsidRPr="00D14179" w:rsidRDefault="001928DD" w:rsidP="00EB01E1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D14179">
              <w:rPr>
                <w:lang w:val="uk-UA"/>
              </w:rPr>
              <w:t>ік, років</w:t>
            </w:r>
          </w:p>
        </w:tc>
        <w:tc>
          <w:tcPr>
            <w:tcW w:w="2054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62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(53; 71)</w:t>
            </w:r>
          </w:p>
        </w:tc>
        <w:tc>
          <w:tcPr>
            <w:tcW w:w="2053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60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(47; 69)</w:t>
            </w:r>
          </w:p>
        </w:tc>
        <w:tc>
          <w:tcPr>
            <w:tcW w:w="2220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56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(44; 64)</w:t>
            </w:r>
            <w:r w:rsidRPr="00D14179">
              <w:rPr>
                <w:vertAlign w:val="superscript"/>
                <w:lang w:val="uk-UA"/>
              </w:rPr>
              <w:t>*</w:t>
            </w:r>
          </w:p>
        </w:tc>
      </w:tr>
      <w:tr w:rsidR="001928DD" w:rsidRPr="00D14179" w:rsidTr="00EB01E1">
        <w:tc>
          <w:tcPr>
            <w:tcW w:w="3137" w:type="dxa"/>
            <w:shd w:val="clear" w:color="auto" w:fill="auto"/>
          </w:tcPr>
          <w:p w:rsidR="001928DD" w:rsidRPr="00D14179" w:rsidRDefault="001928DD" w:rsidP="00EB01E1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D14179">
              <w:rPr>
                <w:lang w:val="uk-UA"/>
              </w:rPr>
              <w:t>ріст, м</w:t>
            </w:r>
          </w:p>
        </w:tc>
        <w:tc>
          <w:tcPr>
            <w:tcW w:w="2054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1,65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(1,50; 1,79)</w:t>
            </w:r>
          </w:p>
        </w:tc>
        <w:tc>
          <w:tcPr>
            <w:tcW w:w="2053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1,72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(1,56; 1,85)</w:t>
            </w:r>
            <w:r w:rsidRPr="00D14179">
              <w:rPr>
                <w:vertAlign w:val="superscript"/>
                <w:lang w:val="uk-UA"/>
              </w:rPr>
              <w:t>*</w:t>
            </w:r>
          </w:p>
        </w:tc>
        <w:tc>
          <w:tcPr>
            <w:tcW w:w="2220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1,68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(1,60; 1,82)</w:t>
            </w:r>
          </w:p>
        </w:tc>
      </w:tr>
      <w:tr w:rsidR="001928DD" w:rsidRPr="00D14179" w:rsidTr="00EB01E1">
        <w:tc>
          <w:tcPr>
            <w:tcW w:w="3137" w:type="dxa"/>
            <w:shd w:val="clear" w:color="auto" w:fill="auto"/>
          </w:tcPr>
          <w:p w:rsidR="001928DD" w:rsidRPr="00D14179" w:rsidRDefault="001928DD" w:rsidP="00EB01E1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>Маса тіла</w:t>
            </w:r>
            <w:r w:rsidRPr="00D14179">
              <w:rPr>
                <w:lang w:val="uk-UA"/>
              </w:rPr>
              <w:t>, кг</w:t>
            </w:r>
          </w:p>
        </w:tc>
        <w:tc>
          <w:tcPr>
            <w:tcW w:w="2054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83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(65; 101)</w:t>
            </w:r>
          </w:p>
        </w:tc>
        <w:tc>
          <w:tcPr>
            <w:tcW w:w="2053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85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(70; 100)</w:t>
            </w:r>
          </w:p>
        </w:tc>
        <w:tc>
          <w:tcPr>
            <w:tcW w:w="2220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87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(68; 120)</w:t>
            </w:r>
          </w:p>
        </w:tc>
      </w:tr>
      <w:tr w:rsidR="001928DD" w:rsidRPr="00D14179" w:rsidTr="00EB01E1">
        <w:tc>
          <w:tcPr>
            <w:tcW w:w="3137" w:type="dxa"/>
            <w:shd w:val="clear" w:color="auto" w:fill="auto"/>
          </w:tcPr>
          <w:p w:rsidR="001928DD" w:rsidRPr="00D14179" w:rsidRDefault="001928DD" w:rsidP="00EB01E1">
            <w:pPr>
              <w:keepNext/>
              <w:keepLines/>
              <w:rPr>
                <w:lang w:val="uk-UA"/>
              </w:rPr>
            </w:pPr>
            <w:r w:rsidRPr="00D14179">
              <w:rPr>
                <w:lang w:val="uk-UA"/>
              </w:rPr>
              <w:t>ІМТ, кг/м</w:t>
            </w:r>
            <w:r w:rsidRPr="00D14179">
              <w:rPr>
                <w:vertAlign w:val="superscript"/>
                <w:lang w:val="uk-UA"/>
              </w:rPr>
              <w:t>2</w:t>
            </w:r>
          </w:p>
        </w:tc>
        <w:tc>
          <w:tcPr>
            <w:tcW w:w="2054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28,34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(23,31; 37,38)</w:t>
            </w:r>
          </w:p>
        </w:tc>
        <w:tc>
          <w:tcPr>
            <w:tcW w:w="2053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28,54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(24,49; 35,38)</w:t>
            </w:r>
          </w:p>
        </w:tc>
        <w:tc>
          <w:tcPr>
            <w:tcW w:w="2220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29,39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(24,49; 39,64)</w:t>
            </w:r>
          </w:p>
        </w:tc>
      </w:tr>
      <w:tr w:rsidR="001928DD" w:rsidRPr="00D14179" w:rsidTr="00EB01E1">
        <w:tc>
          <w:tcPr>
            <w:tcW w:w="3137" w:type="dxa"/>
            <w:shd w:val="clear" w:color="auto" w:fill="auto"/>
          </w:tcPr>
          <w:p w:rsidR="001928DD" w:rsidRPr="00D14179" w:rsidRDefault="001928DD" w:rsidP="00EB01E1">
            <w:pPr>
              <w:keepNext/>
              <w:keepLines/>
              <w:rPr>
                <w:lang w:val="uk-UA"/>
              </w:rPr>
            </w:pPr>
            <w:r w:rsidRPr="00D14179">
              <w:rPr>
                <w:lang w:val="uk-UA"/>
              </w:rPr>
              <w:t>ОТ, см</w:t>
            </w:r>
          </w:p>
        </w:tc>
        <w:tc>
          <w:tcPr>
            <w:tcW w:w="2054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100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(86; 120)</w:t>
            </w:r>
          </w:p>
        </w:tc>
        <w:tc>
          <w:tcPr>
            <w:tcW w:w="2053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99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(79; 117)</w:t>
            </w:r>
          </w:p>
        </w:tc>
        <w:tc>
          <w:tcPr>
            <w:tcW w:w="2220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100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(83; 121)</w:t>
            </w:r>
          </w:p>
        </w:tc>
      </w:tr>
      <w:tr w:rsidR="001928DD" w:rsidRPr="00D14179" w:rsidTr="00EB01E1">
        <w:tc>
          <w:tcPr>
            <w:tcW w:w="3137" w:type="dxa"/>
            <w:shd w:val="clear" w:color="auto" w:fill="auto"/>
          </w:tcPr>
          <w:p w:rsidR="001928DD" w:rsidRPr="00D14179" w:rsidRDefault="001928DD" w:rsidP="00EB01E1">
            <w:pPr>
              <w:keepNext/>
              <w:keepLines/>
              <w:rPr>
                <w:lang w:val="uk-UA"/>
              </w:rPr>
            </w:pPr>
            <w:r w:rsidRPr="00D14179">
              <w:rPr>
                <w:lang w:val="uk-UA"/>
              </w:rPr>
              <w:t>ОС, см</w:t>
            </w:r>
          </w:p>
        </w:tc>
        <w:tc>
          <w:tcPr>
            <w:tcW w:w="2054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105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(92; 131)</w:t>
            </w:r>
          </w:p>
        </w:tc>
        <w:tc>
          <w:tcPr>
            <w:tcW w:w="2053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106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(92; 124)</w:t>
            </w:r>
          </w:p>
        </w:tc>
        <w:tc>
          <w:tcPr>
            <w:tcW w:w="2220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105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(94; 126)</w:t>
            </w:r>
          </w:p>
        </w:tc>
      </w:tr>
      <w:tr w:rsidR="001928DD" w:rsidRPr="00D14179" w:rsidTr="00EB01E1">
        <w:tc>
          <w:tcPr>
            <w:tcW w:w="3137" w:type="dxa"/>
            <w:shd w:val="clear" w:color="auto" w:fill="auto"/>
          </w:tcPr>
          <w:p w:rsidR="001928DD" w:rsidRPr="00D14179" w:rsidRDefault="001928DD" w:rsidP="00EB01E1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D14179">
              <w:rPr>
                <w:lang w:val="uk-UA"/>
              </w:rPr>
              <w:t>ривалість АГ, років</w:t>
            </w:r>
          </w:p>
        </w:tc>
        <w:tc>
          <w:tcPr>
            <w:tcW w:w="2054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10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(2; 20)</w:t>
            </w:r>
          </w:p>
        </w:tc>
        <w:tc>
          <w:tcPr>
            <w:tcW w:w="2053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7,50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(1,00; 25,00)</w:t>
            </w:r>
          </w:p>
        </w:tc>
        <w:tc>
          <w:tcPr>
            <w:tcW w:w="2220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6,00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(2,00; 15,00)</w:t>
            </w:r>
          </w:p>
        </w:tc>
      </w:tr>
      <w:tr w:rsidR="001928DD" w:rsidRPr="00D14179" w:rsidTr="00EB01E1">
        <w:tc>
          <w:tcPr>
            <w:tcW w:w="3137" w:type="dxa"/>
            <w:shd w:val="clear" w:color="auto" w:fill="auto"/>
          </w:tcPr>
          <w:p w:rsidR="001928DD" w:rsidRPr="00D14179" w:rsidRDefault="001928DD" w:rsidP="00EB01E1">
            <w:pPr>
              <w:keepNext/>
              <w:keepLines/>
              <w:rPr>
                <w:lang w:val="uk-UA"/>
              </w:rPr>
            </w:pPr>
            <w:r w:rsidRPr="00D14179">
              <w:rPr>
                <w:lang w:val="uk-UA"/>
              </w:rPr>
              <w:t xml:space="preserve">САТ, мм </w:t>
            </w:r>
            <w:proofErr w:type="spellStart"/>
            <w:r w:rsidRPr="00D14179">
              <w:rPr>
                <w:lang w:val="uk-UA"/>
              </w:rPr>
              <w:t>рт</w:t>
            </w:r>
            <w:proofErr w:type="spellEnd"/>
            <w:r w:rsidRPr="00D14179">
              <w:rPr>
                <w:lang w:val="uk-UA"/>
              </w:rPr>
              <w:t xml:space="preserve">. </w:t>
            </w:r>
            <w:proofErr w:type="spellStart"/>
            <w:r w:rsidRPr="00D14179">
              <w:rPr>
                <w:lang w:val="uk-UA"/>
              </w:rPr>
              <w:t>ст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140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(130; 200)</w:t>
            </w:r>
          </w:p>
        </w:tc>
        <w:tc>
          <w:tcPr>
            <w:tcW w:w="2053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150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(130; 200)</w:t>
            </w:r>
          </w:p>
        </w:tc>
        <w:tc>
          <w:tcPr>
            <w:tcW w:w="2220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140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(120; 180)</w:t>
            </w:r>
          </w:p>
        </w:tc>
      </w:tr>
      <w:tr w:rsidR="001928DD" w:rsidRPr="00D14179" w:rsidTr="00EB01E1">
        <w:tc>
          <w:tcPr>
            <w:tcW w:w="3137" w:type="dxa"/>
            <w:shd w:val="clear" w:color="auto" w:fill="auto"/>
          </w:tcPr>
          <w:p w:rsidR="001928DD" w:rsidRPr="00D14179" w:rsidRDefault="001928DD" w:rsidP="00EB01E1">
            <w:pPr>
              <w:keepNext/>
              <w:keepLines/>
              <w:rPr>
                <w:lang w:val="uk-UA"/>
              </w:rPr>
            </w:pPr>
            <w:r w:rsidRPr="00D14179">
              <w:rPr>
                <w:lang w:val="uk-UA"/>
              </w:rPr>
              <w:t xml:space="preserve">ДАТ, мм </w:t>
            </w:r>
            <w:proofErr w:type="spellStart"/>
            <w:r w:rsidRPr="00D14179">
              <w:rPr>
                <w:lang w:val="uk-UA"/>
              </w:rPr>
              <w:t>рт</w:t>
            </w:r>
            <w:proofErr w:type="spellEnd"/>
            <w:r w:rsidRPr="00D14179">
              <w:rPr>
                <w:lang w:val="uk-UA"/>
              </w:rPr>
              <w:t xml:space="preserve">. </w:t>
            </w:r>
            <w:proofErr w:type="spellStart"/>
            <w:r w:rsidRPr="00D14179">
              <w:rPr>
                <w:lang w:val="uk-UA"/>
              </w:rPr>
              <w:t>ст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90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(80; 100)</w:t>
            </w:r>
          </w:p>
        </w:tc>
        <w:tc>
          <w:tcPr>
            <w:tcW w:w="2053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90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(80; 110)</w:t>
            </w:r>
          </w:p>
        </w:tc>
        <w:tc>
          <w:tcPr>
            <w:tcW w:w="2220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90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(80; 100)</w:t>
            </w:r>
          </w:p>
        </w:tc>
      </w:tr>
      <w:tr w:rsidR="001928DD" w:rsidRPr="00D14179" w:rsidTr="00EB01E1">
        <w:tc>
          <w:tcPr>
            <w:tcW w:w="3137" w:type="dxa"/>
            <w:shd w:val="clear" w:color="auto" w:fill="auto"/>
          </w:tcPr>
          <w:p w:rsidR="001928DD" w:rsidRPr="00D14179" w:rsidRDefault="001928DD" w:rsidP="00EB01E1">
            <w:pPr>
              <w:keepNext/>
              <w:keepLines/>
              <w:rPr>
                <w:lang w:val="uk-UA"/>
              </w:rPr>
            </w:pPr>
            <w:r w:rsidRPr="00D14179">
              <w:rPr>
                <w:lang w:val="uk-UA"/>
              </w:rPr>
              <w:t xml:space="preserve">ЧСС, </w:t>
            </w:r>
            <w:proofErr w:type="spellStart"/>
            <w:r>
              <w:rPr>
                <w:lang w:val="uk-UA"/>
              </w:rPr>
              <w:t>уд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хв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84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(76; 96)</w:t>
            </w:r>
            <w:r w:rsidRPr="00D14179">
              <w:rPr>
                <w:vertAlign w:val="superscript"/>
                <w:lang w:val="uk-UA"/>
              </w:rPr>
              <w:t>‡</w:t>
            </w:r>
          </w:p>
        </w:tc>
        <w:tc>
          <w:tcPr>
            <w:tcW w:w="2053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80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(68; 95)</w:t>
            </w:r>
          </w:p>
        </w:tc>
        <w:tc>
          <w:tcPr>
            <w:tcW w:w="2220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80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(65; 92)</w:t>
            </w:r>
          </w:p>
        </w:tc>
      </w:tr>
      <w:tr w:rsidR="001928DD" w:rsidRPr="00D14179" w:rsidTr="00EB01E1">
        <w:tc>
          <w:tcPr>
            <w:tcW w:w="3137" w:type="dxa"/>
            <w:shd w:val="clear" w:color="auto" w:fill="auto"/>
          </w:tcPr>
          <w:p w:rsidR="001928DD" w:rsidRPr="00D14179" w:rsidRDefault="001928DD" w:rsidP="00EB01E1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D14179">
              <w:rPr>
                <w:lang w:val="uk-UA"/>
              </w:rPr>
              <w:t xml:space="preserve">нсулін, </w:t>
            </w:r>
            <w:proofErr w:type="spellStart"/>
            <w:r w:rsidRPr="00D14179">
              <w:rPr>
                <w:lang w:val="uk-UA"/>
              </w:rPr>
              <w:t>мклОД</w:t>
            </w:r>
            <w:proofErr w:type="spellEnd"/>
            <w:r w:rsidRPr="00D14179">
              <w:rPr>
                <w:lang w:val="uk-UA"/>
              </w:rPr>
              <w:t>/</w:t>
            </w:r>
            <w:proofErr w:type="spellStart"/>
            <w:r w:rsidRPr="00D14179">
              <w:rPr>
                <w:lang w:val="uk-UA"/>
              </w:rPr>
              <w:t>мл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8,80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(7,20; 22,63)</w:t>
            </w:r>
          </w:p>
        </w:tc>
        <w:tc>
          <w:tcPr>
            <w:tcW w:w="2053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8,88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(7,53; 28,42)</w:t>
            </w:r>
          </w:p>
        </w:tc>
        <w:tc>
          <w:tcPr>
            <w:tcW w:w="2220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9,13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(7,30; 26,67)</w:t>
            </w:r>
          </w:p>
        </w:tc>
      </w:tr>
      <w:tr w:rsidR="001928DD" w:rsidRPr="00D14179" w:rsidTr="00EB01E1">
        <w:tc>
          <w:tcPr>
            <w:tcW w:w="3137" w:type="dxa"/>
            <w:shd w:val="clear" w:color="auto" w:fill="auto"/>
          </w:tcPr>
          <w:p w:rsidR="001928DD" w:rsidRPr="00D14179" w:rsidRDefault="001928DD" w:rsidP="00EB01E1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D14179">
              <w:rPr>
                <w:lang w:val="uk-UA"/>
              </w:rPr>
              <w:t xml:space="preserve">люкоза, </w:t>
            </w:r>
            <w:proofErr w:type="spellStart"/>
            <w:r w:rsidRPr="00D14179">
              <w:rPr>
                <w:lang w:val="uk-UA"/>
              </w:rPr>
              <w:t>ммоль</w:t>
            </w:r>
            <w:proofErr w:type="spellEnd"/>
            <w:r w:rsidRPr="00D14179">
              <w:rPr>
                <w:lang w:val="uk-UA"/>
              </w:rPr>
              <w:t>/л</w:t>
            </w:r>
          </w:p>
        </w:tc>
        <w:tc>
          <w:tcPr>
            <w:tcW w:w="2054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5,60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(4,39; 7,80)</w:t>
            </w:r>
          </w:p>
        </w:tc>
        <w:tc>
          <w:tcPr>
            <w:tcW w:w="2053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4,79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(3,97; 6,70)</w:t>
            </w:r>
            <w:r w:rsidRPr="00D14179">
              <w:rPr>
                <w:vertAlign w:val="superscript"/>
                <w:lang w:val="uk-UA"/>
              </w:rPr>
              <w:t>*</w:t>
            </w:r>
          </w:p>
        </w:tc>
        <w:tc>
          <w:tcPr>
            <w:tcW w:w="2220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4,59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(4,00; 5,37)</w:t>
            </w:r>
            <w:r w:rsidRPr="00D14179">
              <w:rPr>
                <w:vertAlign w:val="superscript"/>
                <w:lang w:val="uk-UA"/>
              </w:rPr>
              <w:t>*</w:t>
            </w:r>
          </w:p>
        </w:tc>
      </w:tr>
      <w:tr w:rsidR="001928DD" w:rsidRPr="00D14179" w:rsidTr="00EB01E1">
        <w:tc>
          <w:tcPr>
            <w:tcW w:w="3137" w:type="dxa"/>
            <w:shd w:val="clear" w:color="auto" w:fill="auto"/>
          </w:tcPr>
          <w:p w:rsidR="001928DD" w:rsidRPr="00D14179" w:rsidRDefault="001928DD" w:rsidP="00EB01E1">
            <w:pPr>
              <w:keepNext/>
              <w:keepLines/>
              <w:rPr>
                <w:lang w:val="uk-UA"/>
              </w:rPr>
            </w:pPr>
            <w:proofErr w:type="spellStart"/>
            <w:r w:rsidRPr="00D14179">
              <w:rPr>
                <w:bCs/>
                <w:color w:val="000000"/>
                <w:shd w:val="clear" w:color="auto" w:fill="FFFFFF"/>
              </w:rPr>
              <w:t>Hb</w:t>
            </w:r>
            <w:r w:rsidRPr="00D14179">
              <w:rPr>
                <w:bCs/>
                <w:color w:val="000000"/>
                <w:shd w:val="clear" w:color="auto" w:fill="FFFFFF"/>
                <w:vertAlign w:val="subscript"/>
              </w:rPr>
              <w:t>A</w:t>
            </w:r>
            <w:proofErr w:type="spellEnd"/>
            <w:r w:rsidRPr="00D14179">
              <w:rPr>
                <w:bCs/>
                <w:color w:val="000000"/>
                <w:shd w:val="clear" w:color="auto" w:fill="FFFFFF"/>
                <w:vertAlign w:val="subscript"/>
                <w:lang w:val="uk-UA"/>
              </w:rPr>
              <w:t>1</w:t>
            </w:r>
            <w:proofErr w:type="spellStart"/>
            <w:r w:rsidRPr="00D14179">
              <w:rPr>
                <w:bCs/>
                <w:color w:val="000000"/>
                <w:shd w:val="clear" w:color="auto" w:fill="FFFFFF"/>
                <w:vertAlign w:val="subscript"/>
              </w:rPr>
              <w:t>c</w:t>
            </w:r>
            <w:proofErr w:type="spellEnd"/>
            <w:r w:rsidRPr="00D14179">
              <w:rPr>
                <w:lang w:val="uk-UA"/>
              </w:rPr>
              <w:t>, %</w:t>
            </w:r>
          </w:p>
        </w:tc>
        <w:tc>
          <w:tcPr>
            <w:tcW w:w="2054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7,50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(3,98; 10,40)</w:t>
            </w:r>
          </w:p>
        </w:tc>
        <w:tc>
          <w:tcPr>
            <w:tcW w:w="2053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5,50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(4,10; 7,30)</w:t>
            </w:r>
            <w:r w:rsidRPr="00D14179">
              <w:rPr>
                <w:vertAlign w:val="superscript"/>
                <w:lang w:val="uk-UA"/>
              </w:rPr>
              <w:t>*</w:t>
            </w:r>
          </w:p>
        </w:tc>
        <w:tc>
          <w:tcPr>
            <w:tcW w:w="2220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6,77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(3,99; 8,10)</w:t>
            </w:r>
          </w:p>
        </w:tc>
      </w:tr>
      <w:tr w:rsidR="001928DD" w:rsidRPr="00D14179" w:rsidTr="00EB01E1">
        <w:tc>
          <w:tcPr>
            <w:tcW w:w="3137" w:type="dxa"/>
            <w:shd w:val="clear" w:color="auto" w:fill="auto"/>
          </w:tcPr>
          <w:p w:rsidR="001928DD" w:rsidRPr="00D14179" w:rsidRDefault="001928DD" w:rsidP="00EB01E1">
            <w:pPr>
              <w:keepNext/>
              <w:keepLines/>
              <w:rPr>
                <w:lang w:val="uk-UA"/>
              </w:rPr>
            </w:pPr>
            <w:r w:rsidRPr="00D14179">
              <w:rPr>
                <w:lang w:val="en-US"/>
              </w:rPr>
              <w:t>HOMA</w:t>
            </w:r>
          </w:p>
        </w:tc>
        <w:tc>
          <w:tcPr>
            <w:tcW w:w="2054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2,43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(1,52; 5,40)</w:t>
            </w:r>
          </w:p>
        </w:tc>
        <w:tc>
          <w:tcPr>
            <w:tcW w:w="2053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1,91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(1,39; 8,02)</w:t>
            </w:r>
          </w:p>
        </w:tc>
        <w:tc>
          <w:tcPr>
            <w:tcW w:w="2220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1,92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(1,36; 6,26)</w:t>
            </w:r>
          </w:p>
        </w:tc>
      </w:tr>
      <w:tr w:rsidR="001928DD" w:rsidRPr="00D14179" w:rsidTr="00EB01E1">
        <w:tc>
          <w:tcPr>
            <w:tcW w:w="3137" w:type="dxa"/>
            <w:shd w:val="clear" w:color="auto" w:fill="auto"/>
          </w:tcPr>
          <w:p w:rsidR="001928DD" w:rsidRPr="00D14179" w:rsidRDefault="001928DD" w:rsidP="00EB01E1">
            <w:pPr>
              <w:keepNext/>
              <w:keepLines/>
              <w:rPr>
                <w:lang w:val="uk-UA"/>
              </w:rPr>
            </w:pPr>
            <w:r w:rsidRPr="00D14179">
              <w:rPr>
                <w:lang w:val="uk-UA"/>
              </w:rPr>
              <w:t xml:space="preserve">ІЛ-18, </w:t>
            </w:r>
            <w:proofErr w:type="spellStart"/>
            <w:r w:rsidRPr="00D14179">
              <w:rPr>
                <w:lang w:val="uk-UA"/>
              </w:rPr>
              <w:t>пг</w:t>
            </w:r>
            <w:proofErr w:type="spellEnd"/>
            <w:r w:rsidRPr="00D14179">
              <w:rPr>
                <w:lang w:val="uk-UA"/>
              </w:rPr>
              <w:t>/</w:t>
            </w:r>
            <w:proofErr w:type="spellStart"/>
            <w:r w:rsidRPr="00D14179">
              <w:rPr>
                <w:lang w:val="uk-UA"/>
              </w:rPr>
              <w:t>мл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150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(125; 165)</w:t>
            </w:r>
          </w:p>
        </w:tc>
        <w:tc>
          <w:tcPr>
            <w:tcW w:w="2053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179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(168; 203)</w:t>
            </w:r>
            <w:r w:rsidRPr="00D14179">
              <w:rPr>
                <w:vertAlign w:val="superscript"/>
                <w:lang w:val="uk-UA"/>
              </w:rPr>
              <w:t>*</w:t>
            </w:r>
          </w:p>
        </w:tc>
        <w:tc>
          <w:tcPr>
            <w:tcW w:w="2220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180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(170; 204)</w:t>
            </w:r>
            <w:r w:rsidRPr="00D14179">
              <w:rPr>
                <w:vertAlign w:val="superscript"/>
                <w:lang w:val="uk-UA"/>
              </w:rPr>
              <w:t>*</w:t>
            </w:r>
          </w:p>
        </w:tc>
      </w:tr>
      <w:tr w:rsidR="001928DD" w:rsidRPr="00D14179" w:rsidTr="00EB01E1">
        <w:tc>
          <w:tcPr>
            <w:tcW w:w="3137" w:type="dxa"/>
            <w:shd w:val="clear" w:color="auto" w:fill="auto"/>
          </w:tcPr>
          <w:p w:rsidR="001928DD" w:rsidRPr="00D14179" w:rsidRDefault="001928DD" w:rsidP="00EB01E1">
            <w:pPr>
              <w:keepNext/>
              <w:keepLines/>
              <w:rPr>
                <w:lang w:val="uk-UA"/>
              </w:rPr>
            </w:pPr>
            <w:r w:rsidRPr="00D14179">
              <w:rPr>
                <w:lang w:val="uk-UA"/>
              </w:rPr>
              <w:t xml:space="preserve">ІЛ-10, </w:t>
            </w:r>
            <w:proofErr w:type="spellStart"/>
            <w:r w:rsidRPr="00D14179">
              <w:rPr>
                <w:lang w:val="uk-UA"/>
              </w:rPr>
              <w:t>пг</w:t>
            </w:r>
            <w:proofErr w:type="spellEnd"/>
            <w:r w:rsidRPr="00D14179">
              <w:rPr>
                <w:lang w:val="uk-UA"/>
              </w:rPr>
              <w:t>/</w:t>
            </w:r>
            <w:proofErr w:type="spellStart"/>
            <w:r w:rsidRPr="00D14179">
              <w:rPr>
                <w:lang w:val="uk-UA"/>
              </w:rPr>
              <w:t>мл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1928DD" w:rsidRDefault="001928DD" w:rsidP="00EB01E1">
            <w:pPr>
              <w:keepNext/>
              <w:keepLines/>
              <w:ind w:left="-77"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78,40 </w:t>
            </w:r>
          </w:p>
          <w:p w:rsidR="001928DD" w:rsidRPr="00D14179" w:rsidRDefault="001928DD" w:rsidP="00EB01E1">
            <w:pPr>
              <w:keepNext/>
              <w:keepLines/>
              <w:ind w:left="-77"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(71,20; 80,45)</w:t>
            </w:r>
          </w:p>
        </w:tc>
        <w:tc>
          <w:tcPr>
            <w:tcW w:w="2053" w:type="dxa"/>
            <w:shd w:val="clear" w:color="auto" w:fill="auto"/>
          </w:tcPr>
          <w:p w:rsidR="001928DD" w:rsidRDefault="001928DD" w:rsidP="00EB01E1">
            <w:pPr>
              <w:keepNext/>
              <w:keepLines/>
              <w:ind w:left="-151"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88,35 </w:t>
            </w:r>
          </w:p>
          <w:p w:rsidR="001928DD" w:rsidRPr="00D14179" w:rsidRDefault="001928DD" w:rsidP="00EB01E1">
            <w:pPr>
              <w:keepNext/>
              <w:keepLines/>
              <w:ind w:left="-151"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(86,10; 90,20)</w:t>
            </w:r>
            <w:r w:rsidRPr="00D14179">
              <w:rPr>
                <w:vertAlign w:val="superscript"/>
                <w:lang w:val="uk-UA"/>
              </w:rPr>
              <w:t>*</w:t>
            </w:r>
          </w:p>
        </w:tc>
        <w:tc>
          <w:tcPr>
            <w:tcW w:w="2220" w:type="dxa"/>
            <w:shd w:val="clear" w:color="auto" w:fill="auto"/>
          </w:tcPr>
          <w:p w:rsidR="001928DD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 xml:space="preserve">90,90 </w:t>
            </w:r>
          </w:p>
          <w:p w:rsidR="001928DD" w:rsidRPr="00D14179" w:rsidRDefault="001928DD" w:rsidP="00EB01E1">
            <w:pPr>
              <w:keepNext/>
              <w:keepLines/>
              <w:jc w:val="center"/>
              <w:rPr>
                <w:lang w:val="uk-UA"/>
              </w:rPr>
            </w:pPr>
            <w:r w:rsidRPr="00D14179">
              <w:rPr>
                <w:lang w:val="uk-UA"/>
              </w:rPr>
              <w:t>(90,50; 95,60)</w:t>
            </w:r>
            <w:r w:rsidRPr="00D14179">
              <w:rPr>
                <w:vertAlign w:val="superscript"/>
                <w:lang w:val="uk-UA"/>
              </w:rPr>
              <w:t>*†</w:t>
            </w:r>
          </w:p>
        </w:tc>
      </w:tr>
    </w:tbl>
    <w:p w:rsidR="001928DD" w:rsidRPr="00D14179" w:rsidRDefault="001928DD" w:rsidP="001928DD">
      <w:pPr>
        <w:rPr>
          <w:lang w:val="uk-UA"/>
        </w:rPr>
      </w:pPr>
      <w:r w:rsidRPr="00D14179">
        <w:rPr>
          <w:b/>
          <w:lang w:val="uk-UA"/>
        </w:rPr>
        <w:t>Примітка</w:t>
      </w:r>
      <w:r>
        <w:rPr>
          <w:lang w:val="uk-UA"/>
        </w:rPr>
        <w:t>:</w:t>
      </w:r>
    </w:p>
    <w:p w:rsidR="001928DD" w:rsidRPr="00D14179" w:rsidRDefault="001928DD" w:rsidP="001928DD">
      <w:pPr>
        <w:rPr>
          <w:lang w:val="uk-UA"/>
        </w:rPr>
      </w:pPr>
      <w:r w:rsidRPr="00D14179">
        <w:rPr>
          <w:lang w:val="uk-UA"/>
        </w:rPr>
        <w:t xml:space="preserve">1. </w:t>
      </w:r>
      <w:r w:rsidRPr="00D14179">
        <w:rPr>
          <w:vertAlign w:val="superscript"/>
          <w:lang w:val="uk-UA"/>
        </w:rPr>
        <w:t>*</w:t>
      </w:r>
      <w:r w:rsidRPr="00D14179">
        <w:rPr>
          <w:lang w:val="uk-UA"/>
        </w:rPr>
        <w:t xml:space="preserve"> — відмінності відносно 1 </w:t>
      </w:r>
      <w:proofErr w:type="spellStart"/>
      <w:r w:rsidRPr="00D14179">
        <w:rPr>
          <w:lang w:val="uk-UA"/>
        </w:rPr>
        <w:t>тертильної</w:t>
      </w:r>
      <w:proofErr w:type="spellEnd"/>
      <w:r w:rsidRPr="00D14179">
        <w:rPr>
          <w:lang w:val="uk-UA"/>
        </w:rPr>
        <w:t xml:space="preserve"> групи вірогідні при р&lt;0,05;</w:t>
      </w:r>
    </w:p>
    <w:p w:rsidR="001928DD" w:rsidRPr="00D14179" w:rsidRDefault="001928DD" w:rsidP="001928DD">
      <w:pPr>
        <w:rPr>
          <w:lang w:val="uk-UA"/>
        </w:rPr>
      </w:pPr>
      <w:r w:rsidRPr="00D14179">
        <w:rPr>
          <w:lang w:val="uk-UA"/>
        </w:rPr>
        <w:t xml:space="preserve">2. </w:t>
      </w:r>
      <w:r w:rsidRPr="00D14179">
        <w:rPr>
          <w:vertAlign w:val="superscript"/>
          <w:lang w:val="uk-UA"/>
        </w:rPr>
        <w:t>†</w:t>
      </w:r>
      <w:r w:rsidRPr="00D14179">
        <w:rPr>
          <w:lang w:val="uk-UA"/>
        </w:rPr>
        <w:t xml:space="preserve"> — відмінності відносно 2 </w:t>
      </w:r>
      <w:proofErr w:type="spellStart"/>
      <w:r w:rsidRPr="00D14179">
        <w:rPr>
          <w:lang w:val="uk-UA"/>
        </w:rPr>
        <w:t>тертильної</w:t>
      </w:r>
      <w:proofErr w:type="spellEnd"/>
      <w:r w:rsidRPr="00D14179">
        <w:rPr>
          <w:lang w:val="uk-UA"/>
        </w:rPr>
        <w:t xml:space="preserve"> групи вірогідні при р&lt;0,05;</w:t>
      </w:r>
    </w:p>
    <w:p w:rsidR="001928DD" w:rsidRPr="000A3FBC" w:rsidRDefault="001928DD" w:rsidP="001928D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928DD" w:rsidRDefault="001928DD" w:rsidP="001928DD">
      <w:pPr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0A3FB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При аналізі антропометричних та </w:t>
      </w:r>
      <w:proofErr w:type="spellStart"/>
      <w:r>
        <w:rPr>
          <w:sz w:val="28"/>
          <w:szCs w:val="28"/>
          <w:lang w:val="uk-UA"/>
        </w:rPr>
        <w:t>гемодинамічних</w:t>
      </w:r>
      <w:proofErr w:type="spellEnd"/>
      <w:r>
        <w:rPr>
          <w:sz w:val="28"/>
          <w:szCs w:val="28"/>
          <w:lang w:val="uk-UA"/>
        </w:rPr>
        <w:t xml:space="preserve"> показників не виявлено їх суттєвих відмінностей поміж групами пацієнтів АГ залежно від рівню ІЛ-10, окрім тривалості АГ, найбільша величина якої асоціювалася з найменшим рівнем ІЛ-10. </w:t>
      </w:r>
    </w:p>
    <w:p w:rsidR="001928DD" w:rsidRPr="00F208BD" w:rsidRDefault="001928DD" w:rsidP="001928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По відношенню до ЦД, експериментальні дослідження з використанням піддослідних тварин забезпечили прямі докази того, що ІЛ-10 може мати деякі проективні властивості проти </w:t>
      </w:r>
      <w:proofErr w:type="spellStart"/>
      <w:r>
        <w:rPr>
          <w:sz w:val="28"/>
          <w:szCs w:val="28"/>
          <w:lang w:val="uk-UA"/>
        </w:rPr>
        <w:t>ендотеліальної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дисфункції</w:t>
      </w:r>
      <w:proofErr w:type="spellEnd"/>
      <w:r>
        <w:rPr>
          <w:sz w:val="28"/>
          <w:szCs w:val="28"/>
          <w:lang w:val="uk-UA"/>
        </w:rPr>
        <w:t xml:space="preserve"> при ЦД та що ці ефекти </w:t>
      </w:r>
      <w:proofErr w:type="spellStart"/>
      <w:r>
        <w:rPr>
          <w:sz w:val="28"/>
          <w:szCs w:val="28"/>
          <w:lang w:val="uk-UA"/>
        </w:rPr>
        <w:t>медійовано</w:t>
      </w:r>
      <w:proofErr w:type="spellEnd"/>
      <w:r>
        <w:rPr>
          <w:sz w:val="28"/>
          <w:szCs w:val="28"/>
          <w:lang w:val="uk-UA"/>
        </w:rPr>
        <w:t xml:space="preserve"> пригніченням зростання О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у кровоносних судинах. Також було показано, що ендогенний ІЛ-10 є важливою противагою механізмам, що є причиною розвитку </w:t>
      </w:r>
      <w:proofErr w:type="spellStart"/>
      <w:r>
        <w:rPr>
          <w:sz w:val="28"/>
          <w:szCs w:val="28"/>
          <w:lang w:val="uk-UA"/>
        </w:rPr>
        <w:t>ендотеліальної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дисфункції</w:t>
      </w:r>
      <w:proofErr w:type="spellEnd"/>
      <w:r>
        <w:rPr>
          <w:sz w:val="28"/>
          <w:szCs w:val="28"/>
          <w:lang w:val="uk-UA"/>
        </w:rPr>
        <w:t xml:space="preserve"> під час ЦД. Введення ІЛ-10 у слизову підвищує пероральну толерантність як при </w:t>
      </w:r>
      <w:proofErr w:type="spellStart"/>
      <w:r>
        <w:rPr>
          <w:sz w:val="28"/>
          <w:szCs w:val="28"/>
          <w:lang w:val="uk-UA"/>
        </w:rPr>
        <w:t>аутоімунному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енцефаломіеліті</w:t>
      </w:r>
      <w:proofErr w:type="spellEnd"/>
      <w:r>
        <w:rPr>
          <w:sz w:val="28"/>
          <w:szCs w:val="28"/>
          <w:lang w:val="uk-UA"/>
        </w:rPr>
        <w:t xml:space="preserve">, так і при ЦД </w:t>
      </w:r>
      <w:r w:rsidRPr="006A06EF">
        <w:rPr>
          <w:sz w:val="28"/>
          <w:szCs w:val="28"/>
          <w:lang w:val="uk-UA"/>
        </w:rPr>
        <w:t>[</w:t>
      </w:r>
      <w:r w:rsidRPr="007B741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, </w:t>
      </w:r>
      <w:r w:rsidR="00BF6DC0">
        <w:rPr>
          <w:sz w:val="28"/>
          <w:szCs w:val="28"/>
          <w:lang w:val="uk-UA"/>
        </w:rPr>
        <w:t>7</w:t>
      </w:r>
      <w:r w:rsidRPr="006A06EF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. Ці результати підтверджують концепцію про те, що ІЛ-10 є також важливою проективною молекулою при ЦД </w:t>
      </w:r>
      <w:r w:rsidRPr="00F208BD">
        <w:rPr>
          <w:sz w:val="28"/>
          <w:szCs w:val="28"/>
        </w:rPr>
        <w:t>[</w:t>
      </w:r>
      <w:r w:rsidR="00BF6DC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, </w:t>
      </w:r>
      <w:r w:rsidR="00BF6DC0">
        <w:rPr>
          <w:sz w:val="28"/>
          <w:szCs w:val="28"/>
          <w:lang w:val="uk-UA"/>
        </w:rPr>
        <w:t>9</w:t>
      </w:r>
      <w:r w:rsidRPr="00F208BD">
        <w:rPr>
          <w:sz w:val="28"/>
          <w:szCs w:val="28"/>
        </w:rPr>
        <w:t>].</w:t>
      </w:r>
    </w:p>
    <w:p w:rsidR="001928DD" w:rsidRPr="001928DD" w:rsidRDefault="001928DD" w:rsidP="001928D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Відомості щодо активності ІЛ-10 при </w:t>
      </w:r>
      <w:proofErr w:type="spellStart"/>
      <w:r>
        <w:rPr>
          <w:sz w:val="28"/>
          <w:szCs w:val="28"/>
          <w:lang w:val="uk-UA"/>
        </w:rPr>
        <w:t>кардіометаболічних</w:t>
      </w:r>
      <w:proofErr w:type="spellEnd"/>
      <w:r>
        <w:rPr>
          <w:sz w:val="28"/>
          <w:szCs w:val="28"/>
          <w:lang w:val="uk-UA"/>
        </w:rPr>
        <w:t xml:space="preserve"> порушеннях дещо </w:t>
      </w:r>
      <w:proofErr w:type="spellStart"/>
      <w:r>
        <w:rPr>
          <w:sz w:val="28"/>
          <w:szCs w:val="28"/>
          <w:lang w:val="uk-UA"/>
        </w:rPr>
        <w:t>протиречиві</w:t>
      </w:r>
      <w:proofErr w:type="spellEnd"/>
      <w:r>
        <w:rPr>
          <w:sz w:val="28"/>
          <w:szCs w:val="28"/>
          <w:lang w:val="uk-UA"/>
        </w:rPr>
        <w:t>. Так за даними одних дослідників, з</w:t>
      </w:r>
      <w:r w:rsidRPr="007C681E">
        <w:rPr>
          <w:sz w:val="28"/>
          <w:szCs w:val="28"/>
          <w:lang w:val="uk-UA"/>
        </w:rPr>
        <w:t>’яс</w:t>
      </w:r>
      <w:r>
        <w:rPr>
          <w:sz w:val="28"/>
          <w:szCs w:val="28"/>
          <w:lang w:val="uk-UA"/>
        </w:rPr>
        <w:t>о</w:t>
      </w:r>
      <w:r w:rsidRPr="007C681E">
        <w:rPr>
          <w:sz w:val="28"/>
          <w:szCs w:val="28"/>
          <w:lang w:val="uk-UA"/>
        </w:rPr>
        <w:t>ва</w:t>
      </w:r>
      <w:r>
        <w:rPr>
          <w:sz w:val="28"/>
          <w:szCs w:val="28"/>
          <w:lang w:val="uk-UA"/>
        </w:rPr>
        <w:t>но</w:t>
      </w:r>
      <w:r w:rsidRPr="007C681E">
        <w:rPr>
          <w:sz w:val="28"/>
          <w:szCs w:val="28"/>
          <w:lang w:val="uk-UA"/>
        </w:rPr>
        <w:t xml:space="preserve"> підвищений циркулюючий рівень</w:t>
      </w:r>
      <w:r>
        <w:rPr>
          <w:sz w:val="28"/>
          <w:szCs w:val="28"/>
          <w:lang w:val="uk-UA"/>
        </w:rPr>
        <w:t xml:space="preserve"> ІЛ-10 при ожирінні та низький рівень ІЛ-10, що був асоційованим з метаболічним синдромом </w:t>
      </w:r>
      <w:r w:rsidRPr="00793E80">
        <w:rPr>
          <w:sz w:val="28"/>
          <w:szCs w:val="28"/>
          <w:lang w:val="uk-UA"/>
        </w:rPr>
        <w:t>[</w:t>
      </w:r>
      <w:r w:rsidR="00BF6DC0">
        <w:rPr>
          <w:sz w:val="28"/>
          <w:szCs w:val="28"/>
          <w:lang w:val="uk-UA"/>
        </w:rPr>
        <w:t>10</w:t>
      </w:r>
      <w:r w:rsidRPr="007C681E"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У іншому дослідженні пацієнтів з ожирінням рівень ІЛ-10 також був підвищеним, однак метаболічний синдром не був асоційованим зі зниженням рівню ІЛ-10</w:t>
      </w:r>
      <w:r w:rsidRPr="00A138C9">
        <w:rPr>
          <w:sz w:val="28"/>
          <w:szCs w:val="28"/>
          <w:lang w:val="uk-UA"/>
        </w:rPr>
        <w:t xml:space="preserve"> </w:t>
      </w:r>
      <w:r w:rsidRPr="00793E80">
        <w:rPr>
          <w:sz w:val="28"/>
          <w:szCs w:val="28"/>
          <w:lang w:val="uk-UA"/>
        </w:rPr>
        <w:t>[</w:t>
      </w:r>
      <w:r w:rsidR="00BF6DC0">
        <w:rPr>
          <w:sz w:val="28"/>
          <w:szCs w:val="28"/>
          <w:lang w:val="uk-UA"/>
        </w:rPr>
        <w:t>11</w:t>
      </w:r>
      <w:r w:rsidRPr="007C681E"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Продемонстровано значну позитивну кореляцію між циркулюючим рівнем ІЛ-10 та </w:t>
      </w:r>
      <w:proofErr w:type="spellStart"/>
      <w:r>
        <w:rPr>
          <w:sz w:val="28"/>
          <w:szCs w:val="28"/>
          <w:lang w:val="uk-UA"/>
        </w:rPr>
        <w:t>тканьовою</w:t>
      </w:r>
      <w:proofErr w:type="spellEnd"/>
      <w:r>
        <w:rPr>
          <w:sz w:val="28"/>
          <w:szCs w:val="28"/>
          <w:lang w:val="uk-UA"/>
        </w:rPr>
        <w:t xml:space="preserve"> чутливістю до інсуліну. Крім того, ІЛ-10 також асоціювався з іншими показниками, щільно пов’язаними з чутливістю до інсуліну, такими як вміст інсуліну натще та після навантаження глюкозою </w:t>
      </w:r>
      <w:r w:rsidRPr="00793E80">
        <w:rPr>
          <w:sz w:val="28"/>
          <w:szCs w:val="28"/>
          <w:lang w:val="uk-UA"/>
        </w:rPr>
        <w:t>[</w:t>
      </w:r>
      <w:r w:rsidR="00BF6DC0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,</w:t>
      </w:r>
      <w:r w:rsidR="00BF6DC0">
        <w:rPr>
          <w:sz w:val="28"/>
          <w:szCs w:val="28"/>
          <w:lang w:val="uk-UA"/>
        </w:rPr>
        <w:t xml:space="preserve"> 13</w:t>
      </w:r>
      <w:r w:rsidRPr="007C681E">
        <w:rPr>
          <w:sz w:val="28"/>
          <w:szCs w:val="28"/>
          <w:lang w:val="uk-UA"/>
        </w:rPr>
        <w:t>].</w:t>
      </w:r>
    </w:p>
    <w:p w:rsidR="001928DD" w:rsidRDefault="001928DD" w:rsidP="001928DD">
      <w:pPr>
        <w:spacing w:line="360" w:lineRule="auto"/>
        <w:ind w:firstLine="708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У на</w:t>
      </w:r>
      <w:r w:rsidR="00C3655E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ому дослідження отримано дані щодо асоціації низького рівня ІЛ-10 з підвищенням рівню глюкози натще, рівню </w:t>
      </w:r>
      <w:proofErr w:type="spellStart"/>
      <w:r w:rsidRPr="00D04649">
        <w:rPr>
          <w:bCs/>
          <w:color w:val="000000"/>
          <w:sz w:val="28"/>
          <w:szCs w:val="28"/>
          <w:shd w:val="clear" w:color="auto" w:fill="FFFFFF"/>
        </w:rPr>
        <w:t>Hb</w:t>
      </w:r>
      <w:r w:rsidRPr="00D04649">
        <w:rPr>
          <w:bCs/>
          <w:color w:val="000000"/>
          <w:sz w:val="28"/>
          <w:szCs w:val="28"/>
          <w:shd w:val="clear" w:color="auto" w:fill="FFFFFF"/>
          <w:vertAlign w:val="subscript"/>
        </w:rPr>
        <w:t>A</w:t>
      </w:r>
      <w:proofErr w:type="spellEnd"/>
      <w:r w:rsidRPr="00D04649">
        <w:rPr>
          <w:bCs/>
          <w:color w:val="000000"/>
          <w:sz w:val="28"/>
          <w:szCs w:val="28"/>
          <w:shd w:val="clear" w:color="auto" w:fill="FFFFFF"/>
          <w:vertAlign w:val="subscript"/>
          <w:lang w:val="uk-UA"/>
        </w:rPr>
        <w:t>1</w:t>
      </w:r>
      <w:proofErr w:type="spellStart"/>
      <w:r w:rsidRPr="00D04649">
        <w:rPr>
          <w:bCs/>
          <w:color w:val="000000"/>
          <w:sz w:val="28"/>
          <w:szCs w:val="28"/>
          <w:shd w:val="clear" w:color="auto" w:fill="FFFFFF"/>
          <w:vertAlign w:val="subscript"/>
        </w:rPr>
        <w:t>c</w:t>
      </w:r>
      <w:proofErr w:type="spellEnd"/>
      <w:r w:rsidRPr="00D0464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та величини НОМА. </w:t>
      </w:r>
      <w:r w:rsidR="00C3655E">
        <w:rPr>
          <w:bCs/>
          <w:color w:val="000000"/>
          <w:sz w:val="28"/>
          <w:szCs w:val="28"/>
          <w:shd w:val="clear" w:color="auto" w:fill="FFFFFF"/>
          <w:lang w:val="uk-UA"/>
        </w:rPr>
        <w:t>Так, п</w:t>
      </w:r>
      <w:r>
        <w:rPr>
          <w:sz w:val="28"/>
          <w:szCs w:val="28"/>
          <w:lang w:val="uk-UA"/>
        </w:rPr>
        <w:t xml:space="preserve">ерша </w:t>
      </w:r>
      <w:proofErr w:type="spellStart"/>
      <w:r>
        <w:rPr>
          <w:sz w:val="28"/>
          <w:szCs w:val="28"/>
          <w:lang w:val="uk-UA"/>
        </w:rPr>
        <w:t>тертильна</w:t>
      </w:r>
      <w:proofErr w:type="spellEnd"/>
      <w:r>
        <w:rPr>
          <w:sz w:val="28"/>
          <w:szCs w:val="28"/>
          <w:lang w:val="uk-UA"/>
        </w:rPr>
        <w:t xml:space="preserve"> група </w:t>
      </w:r>
      <w:r w:rsidR="00C3655E">
        <w:rPr>
          <w:sz w:val="28"/>
          <w:szCs w:val="28"/>
          <w:lang w:val="uk-UA"/>
        </w:rPr>
        <w:t xml:space="preserve"> з мінімальним рівнем ІЛ-10 </w:t>
      </w:r>
      <w:r>
        <w:rPr>
          <w:sz w:val="28"/>
          <w:szCs w:val="28"/>
          <w:lang w:val="uk-UA"/>
        </w:rPr>
        <w:t>характеризувалася вищим</w:t>
      </w:r>
      <w:r w:rsidR="00C3655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значенням глюкози </w:t>
      </w:r>
      <w:r w:rsidRPr="00D04649">
        <w:rPr>
          <w:sz w:val="28"/>
          <w:szCs w:val="28"/>
          <w:lang w:val="uk-UA"/>
        </w:rPr>
        <w:t xml:space="preserve">натще, </w:t>
      </w:r>
      <w:proofErr w:type="spellStart"/>
      <w:r w:rsidRPr="00D04649">
        <w:rPr>
          <w:bCs/>
          <w:color w:val="000000"/>
          <w:sz w:val="28"/>
          <w:szCs w:val="28"/>
          <w:shd w:val="clear" w:color="auto" w:fill="FFFFFF"/>
        </w:rPr>
        <w:t>Hb</w:t>
      </w:r>
      <w:r w:rsidRPr="00D04649">
        <w:rPr>
          <w:bCs/>
          <w:color w:val="000000"/>
          <w:sz w:val="28"/>
          <w:szCs w:val="28"/>
          <w:shd w:val="clear" w:color="auto" w:fill="FFFFFF"/>
          <w:vertAlign w:val="subscript"/>
        </w:rPr>
        <w:t>A</w:t>
      </w:r>
      <w:proofErr w:type="spellEnd"/>
      <w:r w:rsidRPr="00D04649">
        <w:rPr>
          <w:bCs/>
          <w:color w:val="000000"/>
          <w:sz w:val="28"/>
          <w:szCs w:val="28"/>
          <w:shd w:val="clear" w:color="auto" w:fill="FFFFFF"/>
          <w:vertAlign w:val="subscript"/>
          <w:lang w:val="uk-UA"/>
        </w:rPr>
        <w:t>1</w:t>
      </w:r>
      <w:proofErr w:type="spellStart"/>
      <w:r w:rsidRPr="00D04649">
        <w:rPr>
          <w:bCs/>
          <w:color w:val="000000"/>
          <w:sz w:val="28"/>
          <w:szCs w:val="28"/>
          <w:shd w:val="clear" w:color="auto" w:fill="FFFFFF"/>
          <w:vertAlign w:val="subscript"/>
        </w:rPr>
        <w:t>c</w:t>
      </w:r>
      <w:proofErr w:type="spellEnd"/>
      <w:r w:rsidRPr="00D04649">
        <w:rPr>
          <w:bCs/>
          <w:color w:val="000000"/>
          <w:sz w:val="28"/>
          <w:szCs w:val="28"/>
          <w:shd w:val="clear" w:color="auto" w:fill="FFFFFF"/>
          <w:lang w:val="uk-UA"/>
        </w:rPr>
        <w:t>, НОМА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. В той час, як рівень інсуліну натще практично не відрізнявся поміж групами. </w:t>
      </w:r>
      <w:r w:rsidR="00C3655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Отже наші дані частково узгоджуються з існуючими щодо існування взаємозв’язку між зниженням рівню ІЛ-10 та формуванням </w:t>
      </w:r>
      <w:proofErr w:type="spellStart"/>
      <w:r w:rsidR="00C3655E">
        <w:rPr>
          <w:bCs/>
          <w:color w:val="000000"/>
          <w:sz w:val="28"/>
          <w:szCs w:val="28"/>
          <w:shd w:val="clear" w:color="auto" w:fill="FFFFFF"/>
          <w:lang w:val="uk-UA"/>
        </w:rPr>
        <w:t>глюкометаболічних</w:t>
      </w:r>
      <w:proofErr w:type="spellEnd"/>
      <w:r w:rsidR="00C3655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порушень.  </w:t>
      </w:r>
    </w:p>
    <w:p w:rsidR="0004178B" w:rsidRPr="00CF319B" w:rsidRDefault="0004178B" w:rsidP="0004178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color w:val="231F20"/>
          <w:sz w:val="28"/>
          <w:szCs w:val="28"/>
          <w:lang w:val="uk-UA"/>
        </w:rPr>
        <w:t xml:space="preserve">ІЛ-18 є </w:t>
      </w:r>
      <w:proofErr w:type="spellStart"/>
      <w:r>
        <w:rPr>
          <w:color w:val="231F20"/>
          <w:sz w:val="28"/>
          <w:szCs w:val="28"/>
          <w:lang w:val="uk-UA"/>
        </w:rPr>
        <w:t>прозапальним</w:t>
      </w:r>
      <w:proofErr w:type="spellEnd"/>
      <w:r>
        <w:rPr>
          <w:color w:val="231F20"/>
          <w:sz w:val="28"/>
          <w:szCs w:val="28"/>
          <w:lang w:val="uk-UA"/>
        </w:rPr>
        <w:t xml:space="preserve"> </w:t>
      </w:r>
      <w:proofErr w:type="spellStart"/>
      <w:r>
        <w:rPr>
          <w:color w:val="231F20"/>
          <w:sz w:val="28"/>
          <w:szCs w:val="28"/>
          <w:lang w:val="uk-UA"/>
        </w:rPr>
        <w:t>цитокіном</w:t>
      </w:r>
      <w:proofErr w:type="spellEnd"/>
      <w:r>
        <w:rPr>
          <w:color w:val="231F20"/>
          <w:sz w:val="28"/>
          <w:szCs w:val="28"/>
          <w:lang w:val="uk-UA"/>
        </w:rPr>
        <w:t xml:space="preserve"> з багатьма біологічними функціями. У взаємодії з ІЛ-12, ІЛ-18 стимулює ТН1 </w:t>
      </w:r>
      <w:proofErr w:type="spellStart"/>
      <w:r>
        <w:rPr>
          <w:color w:val="231F20"/>
          <w:sz w:val="28"/>
          <w:szCs w:val="28"/>
          <w:lang w:val="uk-UA"/>
        </w:rPr>
        <w:t>медійовану</w:t>
      </w:r>
      <w:proofErr w:type="spellEnd"/>
      <w:r>
        <w:rPr>
          <w:color w:val="231F20"/>
          <w:sz w:val="28"/>
          <w:szCs w:val="28"/>
          <w:lang w:val="uk-UA"/>
        </w:rPr>
        <w:t xml:space="preserve"> імунну відповідь. В </w:t>
      </w:r>
      <w:r>
        <w:rPr>
          <w:color w:val="231F20"/>
          <w:sz w:val="28"/>
          <w:szCs w:val="28"/>
          <w:lang w:val="uk-UA"/>
        </w:rPr>
        <w:lastRenderedPageBreak/>
        <w:t xml:space="preserve">додаток, він сам може стимулювати продукцію </w:t>
      </w:r>
      <w:proofErr w:type="spellStart"/>
      <w:r>
        <w:rPr>
          <w:color w:val="231F20"/>
          <w:sz w:val="28"/>
          <w:szCs w:val="28"/>
          <w:lang w:val="uk-UA"/>
        </w:rPr>
        <w:t>цитокінів</w:t>
      </w:r>
      <w:proofErr w:type="spellEnd"/>
      <w:r>
        <w:rPr>
          <w:color w:val="231F20"/>
          <w:sz w:val="28"/>
          <w:szCs w:val="28"/>
          <w:lang w:val="uk-UA"/>
        </w:rPr>
        <w:t xml:space="preserve"> Т-клітинами</w:t>
      </w:r>
      <w:r w:rsidRPr="004C77D5">
        <w:rPr>
          <w:color w:val="231F20"/>
          <w:sz w:val="28"/>
          <w:szCs w:val="28"/>
          <w:lang w:val="uk-UA"/>
        </w:rPr>
        <w:t>.</w:t>
      </w:r>
      <w:r w:rsidRPr="005269DC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  <w:lang w:val="uk-UA"/>
        </w:rPr>
        <w:t xml:space="preserve">ІЛ-18 відіграє центральну роль в оркестрі </w:t>
      </w:r>
      <w:proofErr w:type="spellStart"/>
      <w:r>
        <w:rPr>
          <w:color w:val="231F20"/>
          <w:sz w:val="28"/>
          <w:szCs w:val="28"/>
          <w:lang w:val="uk-UA"/>
        </w:rPr>
        <w:t>цитокінового</w:t>
      </w:r>
      <w:proofErr w:type="spellEnd"/>
      <w:r>
        <w:rPr>
          <w:color w:val="231F20"/>
          <w:sz w:val="28"/>
          <w:szCs w:val="28"/>
          <w:lang w:val="uk-UA"/>
        </w:rPr>
        <w:t xml:space="preserve"> каскаду та прискорює розвиток атеросклерозу та нестабільності атеросклеротичної бляшку у моделях експериментальних тварин. Рівень ІЛ-18 у сироватці крові визначено у якості потужного незалежного </w:t>
      </w:r>
      <w:proofErr w:type="spellStart"/>
      <w:r>
        <w:rPr>
          <w:color w:val="231F20"/>
          <w:sz w:val="28"/>
          <w:szCs w:val="28"/>
          <w:lang w:val="uk-UA"/>
        </w:rPr>
        <w:t>предиктору</w:t>
      </w:r>
      <w:proofErr w:type="spellEnd"/>
      <w:r>
        <w:rPr>
          <w:color w:val="231F20"/>
          <w:sz w:val="28"/>
          <w:szCs w:val="28"/>
          <w:lang w:val="uk-UA"/>
        </w:rPr>
        <w:t xml:space="preserve"> смерті від </w:t>
      </w:r>
      <w:proofErr w:type="spellStart"/>
      <w:r>
        <w:rPr>
          <w:color w:val="231F20"/>
          <w:sz w:val="28"/>
          <w:szCs w:val="28"/>
          <w:lang w:val="uk-UA"/>
        </w:rPr>
        <w:t>кардіальних</w:t>
      </w:r>
      <w:proofErr w:type="spellEnd"/>
      <w:r>
        <w:rPr>
          <w:color w:val="231F20"/>
          <w:sz w:val="28"/>
          <w:szCs w:val="28"/>
          <w:lang w:val="uk-UA"/>
        </w:rPr>
        <w:t xml:space="preserve"> причин у хворих ІХС незалежно від клінічного статусу, що підтверджує нещодавні експериментальні свідчення щодо ІЛ-18 </w:t>
      </w:r>
      <w:proofErr w:type="spellStart"/>
      <w:r>
        <w:rPr>
          <w:color w:val="231F20"/>
          <w:sz w:val="28"/>
          <w:szCs w:val="28"/>
          <w:lang w:val="uk-UA"/>
        </w:rPr>
        <w:t>медійованого</w:t>
      </w:r>
      <w:proofErr w:type="spellEnd"/>
      <w:r>
        <w:rPr>
          <w:color w:val="231F20"/>
          <w:sz w:val="28"/>
          <w:szCs w:val="28"/>
          <w:lang w:val="uk-UA"/>
        </w:rPr>
        <w:t xml:space="preserve"> запалення, що призводило нестабільності атеросклеротичної бляшки</w:t>
      </w:r>
      <w:r w:rsidRPr="004C77D5">
        <w:rPr>
          <w:color w:val="231F20"/>
          <w:sz w:val="28"/>
          <w:szCs w:val="28"/>
          <w:lang w:val="uk-UA"/>
        </w:rPr>
        <w:t>.</w:t>
      </w:r>
      <w:r w:rsidRPr="005269DC">
        <w:rPr>
          <w:color w:val="231F20"/>
          <w:sz w:val="28"/>
          <w:szCs w:val="28"/>
          <w:lang w:val="uk-UA"/>
        </w:rPr>
        <w:t xml:space="preserve"> </w:t>
      </w:r>
      <w:r>
        <w:rPr>
          <w:color w:val="231F20"/>
          <w:sz w:val="28"/>
          <w:szCs w:val="28"/>
          <w:lang w:val="uk-UA"/>
        </w:rPr>
        <w:t xml:space="preserve"> Крім того, концентрація ІЛ-18 зростає у пацієнтів з ХСН, що корелює з погіршенням функціонального класу СН та рівнем ФНП-α. Не виключена можливість, що ІЛ-18 може приймати участь у патофізіології застійної СН</w:t>
      </w:r>
      <w:r w:rsidRPr="004C77D5">
        <w:rPr>
          <w:color w:val="231F20"/>
          <w:sz w:val="28"/>
          <w:szCs w:val="28"/>
          <w:lang w:val="uk-UA"/>
        </w:rPr>
        <w:t>.</w:t>
      </w:r>
      <w:r w:rsidRPr="005269DC">
        <w:rPr>
          <w:color w:val="231F20"/>
          <w:sz w:val="28"/>
          <w:szCs w:val="28"/>
          <w:lang w:val="uk-UA"/>
        </w:rPr>
        <w:t xml:space="preserve"> </w:t>
      </w:r>
      <w:r>
        <w:rPr>
          <w:color w:val="231F20"/>
          <w:sz w:val="28"/>
          <w:szCs w:val="28"/>
          <w:lang w:val="uk-UA"/>
        </w:rPr>
        <w:t xml:space="preserve">Зібрані докази свідчать про те, що подібна активність підтримується такими </w:t>
      </w:r>
      <w:proofErr w:type="spellStart"/>
      <w:r>
        <w:rPr>
          <w:color w:val="231F20"/>
          <w:sz w:val="28"/>
          <w:szCs w:val="28"/>
          <w:lang w:val="uk-UA"/>
        </w:rPr>
        <w:t>прозапальними</w:t>
      </w:r>
      <w:proofErr w:type="spellEnd"/>
      <w:r>
        <w:rPr>
          <w:color w:val="231F20"/>
          <w:sz w:val="28"/>
          <w:szCs w:val="28"/>
          <w:lang w:val="uk-UA"/>
        </w:rPr>
        <w:t xml:space="preserve"> </w:t>
      </w:r>
      <w:proofErr w:type="spellStart"/>
      <w:r>
        <w:rPr>
          <w:color w:val="231F20"/>
          <w:sz w:val="28"/>
          <w:szCs w:val="28"/>
          <w:lang w:val="uk-UA"/>
        </w:rPr>
        <w:t>цитокінами</w:t>
      </w:r>
      <w:proofErr w:type="spellEnd"/>
      <w:r>
        <w:rPr>
          <w:color w:val="231F20"/>
          <w:sz w:val="28"/>
          <w:szCs w:val="28"/>
          <w:lang w:val="uk-UA"/>
        </w:rPr>
        <w:t xml:space="preserve">, як ФНП-α, ІЛ-1β та ІЛ-6. Ідентифіковано, що дія </w:t>
      </w:r>
      <w:proofErr w:type="spellStart"/>
      <w:r>
        <w:rPr>
          <w:color w:val="231F20"/>
          <w:sz w:val="28"/>
          <w:szCs w:val="28"/>
          <w:lang w:val="uk-UA"/>
        </w:rPr>
        <w:t>цитокіну</w:t>
      </w:r>
      <w:proofErr w:type="spellEnd"/>
      <w:r>
        <w:rPr>
          <w:color w:val="231F20"/>
          <w:sz w:val="28"/>
          <w:szCs w:val="28"/>
          <w:lang w:val="uk-UA"/>
        </w:rPr>
        <w:t xml:space="preserve"> прямо сприяє системному катаболізму, </w:t>
      </w:r>
      <w:proofErr w:type="spellStart"/>
      <w:r>
        <w:rPr>
          <w:color w:val="231F20"/>
          <w:sz w:val="28"/>
          <w:szCs w:val="28"/>
          <w:lang w:val="uk-UA"/>
        </w:rPr>
        <w:t>міокардіальній</w:t>
      </w:r>
      <w:proofErr w:type="spellEnd"/>
      <w:r>
        <w:rPr>
          <w:color w:val="231F20"/>
          <w:sz w:val="28"/>
          <w:szCs w:val="28"/>
          <w:lang w:val="uk-UA"/>
        </w:rPr>
        <w:t xml:space="preserve"> депресії, </w:t>
      </w:r>
      <w:proofErr w:type="spellStart"/>
      <w:r>
        <w:rPr>
          <w:color w:val="231F20"/>
          <w:sz w:val="28"/>
          <w:szCs w:val="28"/>
          <w:lang w:val="uk-UA"/>
        </w:rPr>
        <w:t>кардіальній</w:t>
      </w:r>
      <w:proofErr w:type="spellEnd"/>
      <w:r>
        <w:rPr>
          <w:color w:val="231F20"/>
          <w:sz w:val="28"/>
          <w:szCs w:val="28"/>
          <w:lang w:val="uk-UA"/>
        </w:rPr>
        <w:t xml:space="preserve"> гіпертрофії і </w:t>
      </w:r>
      <w:proofErr w:type="spellStart"/>
      <w:r>
        <w:rPr>
          <w:color w:val="231F20"/>
          <w:sz w:val="28"/>
          <w:szCs w:val="28"/>
          <w:lang w:val="uk-UA"/>
        </w:rPr>
        <w:t>апоптозу</w:t>
      </w:r>
      <w:proofErr w:type="spellEnd"/>
      <w:r>
        <w:rPr>
          <w:color w:val="231F20"/>
          <w:sz w:val="28"/>
          <w:szCs w:val="28"/>
          <w:lang w:val="uk-UA"/>
        </w:rPr>
        <w:t xml:space="preserve"> міозитів при ХСН. Нещодавні дослідження виявили зростання плазматичного рівню ІЛ-18 у пацієнтів з цукровим діабетом 2 типу та у осіб з надмірною масою тіла і ожирінням </w:t>
      </w:r>
      <w:r w:rsidRPr="004C77D5">
        <w:rPr>
          <w:color w:val="231F20"/>
          <w:sz w:val="28"/>
          <w:szCs w:val="28"/>
          <w:lang w:val="uk-UA"/>
        </w:rPr>
        <w:t>[</w:t>
      </w:r>
      <w:r w:rsidR="00BF6DC0">
        <w:rPr>
          <w:color w:val="231F20"/>
          <w:sz w:val="28"/>
          <w:szCs w:val="28"/>
          <w:lang w:val="uk-UA"/>
        </w:rPr>
        <w:t>14</w:t>
      </w:r>
      <w:r>
        <w:rPr>
          <w:color w:val="231F20"/>
          <w:sz w:val="28"/>
          <w:szCs w:val="28"/>
          <w:lang w:val="uk-UA"/>
        </w:rPr>
        <w:t>-</w:t>
      </w:r>
      <w:r w:rsidR="00BF6DC0">
        <w:rPr>
          <w:color w:val="231F20"/>
          <w:sz w:val="28"/>
          <w:szCs w:val="28"/>
          <w:lang w:val="uk-UA"/>
        </w:rPr>
        <w:t>1</w:t>
      </w:r>
      <w:r>
        <w:rPr>
          <w:color w:val="231F20"/>
          <w:sz w:val="28"/>
          <w:szCs w:val="28"/>
          <w:lang w:val="uk-UA"/>
        </w:rPr>
        <w:t>8</w:t>
      </w:r>
      <w:r w:rsidRPr="004C77D5">
        <w:rPr>
          <w:color w:val="231F20"/>
          <w:sz w:val="28"/>
          <w:szCs w:val="28"/>
          <w:lang w:val="uk-UA"/>
        </w:rPr>
        <w:t>]</w:t>
      </w:r>
      <w:r>
        <w:rPr>
          <w:color w:val="231F20"/>
          <w:sz w:val="28"/>
          <w:szCs w:val="28"/>
          <w:lang w:val="uk-UA"/>
        </w:rPr>
        <w:t>.</w:t>
      </w:r>
    </w:p>
    <w:p w:rsidR="001928DD" w:rsidRDefault="0004178B" w:rsidP="0004178B">
      <w:pPr>
        <w:spacing w:line="360" w:lineRule="auto"/>
        <w:ind w:firstLine="708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>За нашими результатами в</w:t>
      </w:r>
      <w:r w:rsidR="001928D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міст ІЛ-18 у 2 </w:t>
      </w:r>
      <w:proofErr w:type="spellStart"/>
      <w:r w:rsidR="001928DD">
        <w:rPr>
          <w:bCs/>
          <w:color w:val="000000"/>
          <w:sz w:val="28"/>
          <w:szCs w:val="28"/>
          <w:shd w:val="clear" w:color="auto" w:fill="FFFFFF"/>
          <w:lang w:val="uk-UA"/>
        </w:rPr>
        <w:t>тертильній</w:t>
      </w:r>
      <w:proofErr w:type="spellEnd"/>
      <w:r w:rsidR="001928D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групі та у 3 </w:t>
      </w:r>
      <w:proofErr w:type="spellStart"/>
      <w:r w:rsidR="001928DD">
        <w:rPr>
          <w:bCs/>
          <w:color w:val="000000"/>
          <w:sz w:val="28"/>
          <w:szCs w:val="28"/>
          <w:shd w:val="clear" w:color="auto" w:fill="FFFFFF"/>
          <w:lang w:val="uk-UA"/>
        </w:rPr>
        <w:t>тертильній</w:t>
      </w:r>
      <w:proofErr w:type="spellEnd"/>
      <w:r w:rsidR="001928D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групі достовірно перевищував вміст ІЛ-18 </w:t>
      </w:r>
      <w:r w:rsidR="00336F0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у пацієнтів 1 </w:t>
      </w:r>
      <w:proofErr w:type="spellStart"/>
      <w:r w:rsidR="00336F02">
        <w:rPr>
          <w:bCs/>
          <w:color w:val="000000"/>
          <w:sz w:val="28"/>
          <w:szCs w:val="28"/>
          <w:shd w:val="clear" w:color="auto" w:fill="FFFFFF"/>
          <w:lang w:val="uk-UA"/>
        </w:rPr>
        <w:t>тертильної</w:t>
      </w:r>
      <w:proofErr w:type="spellEnd"/>
      <w:r w:rsidR="00336F0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групи,  тобто рівень ІЛ-18 зростав паралельно рівню ІЛ-10. </w:t>
      </w:r>
    </w:p>
    <w:p w:rsidR="00336F02" w:rsidRDefault="00CF319B" w:rsidP="00336F0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При проведенні кореляційного аналізу у 1 за рівнем ІЛ-10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тертильній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групі встановлено </w:t>
      </w:r>
      <w:r w:rsidR="00336F02">
        <w:rPr>
          <w:sz w:val="28"/>
          <w:szCs w:val="28"/>
          <w:lang w:val="uk-UA"/>
        </w:rPr>
        <w:t>зворотну залежність між рівнем ІЛ-10 та САТ (</w:t>
      </w:r>
      <w:r w:rsidR="00336F02">
        <w:rPr>
          <w:sz w:val="28"/>
          <w:szCs w:val="28"/>
          <w:lang w:val="en-US"/>
        </w:rPr>
        <w:t>r</w:t>
      </w:r>
      <w:r w:rsidR="00336F02" w:rsidRPr="00A2439D">
        <w:rPr>
          <w:sz w:val="28"/>
          <w:szCs w:val="28"/>
          <w:lang w:val="uk-UA"/>
        </w:rPr>
        <w:t>=</w:t>
      </w:r>
      <w:r w:rsidR="00336F02">
        <w:rPr>
          <w:sz w:val="28"/>
          <w:szCs w:val="28"/>
          <w:lang w:val="uk-UA"/>
        </w:rPr>
        <w:t>-0,32;</w:t>
      </w:r>
      <w:r w:rsidR="00336F02" w:rsidRPr="00A2439D">
        <w:rPr>
          <w:sz w:val="28"/>
          <w:szCs w:val="28"/>
          <w:lang w:val="uk-UA"/>
        </w:rPr>
        <w:t xml:space="preserve"> </w:t>
      </w:r>
      <w:r w:rsidR="00336F02">
        <w:rPr>
          <w:sz w:val="28"/>
          <w:szCs w:val="28"/>
          <w:lang w:val="en-US"/>
        </w:rPr>
        <w:t>p</w:t>
      </w:r>
      <w:r w:rsidR="00336F02" w:rsidRPr="00A2439D">
        <w:rPr>
          <w:sz w:val="28"/>
          <w:szCs w:val="28"/>
          <w:lang w:val="uk-UA"/>
        </w:rPr>
        <w:t>&lt;0,05</w:t>
      </w:r>
      <w:r w:rsidR="00336F02">
        <w:rPr>
          <w:sz w:val="28"/>
          <w:szCs w:val="28"/>
          <w:lang w:val="uk-UA"/>
        </w:rPr>
        <w:t>), ДАТ (</w:t>
      </w:r>
      <w:r w:rsidR="00336F02">
        <w:rPr>
          <w:sz w:val="28"/>
          <w:szCs w:val="28"/>
          <w:lang w:val="en-US"/>
        </w:rPr>
        <w:t>r</w:t>
      </w:r>
      <w:r w:rsidR="00336F02" w:rsidRPr="00A2439D">
        <w:rPr>
          <w:sz w:val="28"/>
          <w:szCs w:val="28"/>
          <w:lang w:val="uk-UA"/>
        </w:rPr>
        <w:t>=</w:t>
      </w:r>
      <w:r w:rsidR="00336F02">
        <w:rPr>
          <w:sz w:val="28"/>
          <w:szCs w:val="28"/>
          <w:lang w:val="uk-UA"/>
        </w:rPr>
        <w:t>-0,41;</w:t>
      </w:r>
      <w:r w:rsidR="00336F02" w:rsidRPr="00A2439D">
        <w:rPr>
          <w:sz w:val="28"/>
          <w:szCs w:val="28"/>
          <w:lang w:val="uk-UA"/>
        </w:rPr>
        <w:t xml:space="preserve"> </w:t>
      </w:r>
      <w:r w:rsidR="00336F02">
        <w:rPr>
          <w:sz w:val="28"/>
          <w:szCs w:val="28"/>
          <w:lang w:val="en-US"/>
        </w:rPr>
        <w:t>p</w:t>
      </w:r>
      <w:r w:rsidR="00336F02" w:rsidRPr="00A2439D">
        <w:rPr>
          <w:sz w:val="28"/>
          <w:szCs w:val="28"/>
          <w:lang w:val="uk-UA"/>
        </w:rPr>
        <w:t>&lt;0,05</w:t>
      </w:r>
      <w:r w:rsidR="00336F02">
        <w:rPr>
          <w:sz w:val="28"/>
          <w:szCs w:val="28"/>
          <w:lang w:val="uk-UA"/>
        </w:rPr>
        <w:t>), інсуліном (</w:t>
      </w:r>
      <w:r w:rsidR="00336F02">
        <w:rPr>
          <w:sz w:val="28"/>
          <w:szCs w:val="28"/>
          <w:lang w:val="en-US"/>
        </w:rPr>
        <w:t>r</w:t>
      </w:r>
      <w:r w:rsidR="00336F02" w:rsidRPr="00A2439D">
        <w:rPr>
          <w:sz w:val="28"/>
          <w:szCs w:val="28"/>
          <w:lang w:val="uk-UA"/>
        </w:rPr>
        <w:t>=</w:t>
      </w:r>
      <w:r w:rsidR="00336F02">
        <w:rPr>
          <w:sz w:val="28"/>
          <w:szCs w:val="28"/>
          <w:lang w:val="uk-UA"/>
        </w:rPr>
        <w:t>-0,29;</w:t>
      </w:r>
      <w:r w:rsidR="00336F02" w:rsidRPr="00A2439D">
        <w:rPr>
          <w:sz w:val="28"/>
          <w:szCs w:val="28"/>
          <w:lang w:val="uk-UA"/>
        </w:rPr>
        <w:t xml:space="preserve"> </w:t>
      </w:r>
      <w:r w:rsidR="00336F02">
        <w:rPr>
          <w:sz w:val="28"/>
          <w:szCs w:val="28"/>
          <w:lang w:val="en-US"/>
        </w:rPr>
        <w:t>p</w:t>
      </w:r>
      <w:r w:rsidR="00336F02" w:rsidRPr="00A2439D">
        <w:rPr>
          <w:sz w:val="28"/>
          <w:szCs w:val="28"/>
          <w:lang w:val="uk-UA"/>
        </w:rPr>
        <w:t>&lt;0,05</w:t>
      </w:r>
      <w:r w:rsidR="00336F02">
        <w:rPr>
          <w:sz w:val="28"/>
          <w:szCs w:val="28"/>
          <w:lang w:val="uk-UA"/>
        </w:rPr>
        <w:t>), глюкозою (</w:t>
      </w:r>
      <w:r w:rsidR="00336F02">
        <w:rPr>
          <w:sz w:val="28"/>
          <w:szCs w:val="28"/>
          <w:lang w:val="en-US"/>
        </w:rPr>
        <w:t>r</w:t>
      </w:r>
      <w:r w:rsidR="00336F02" w:rsidRPr="00A2439D">
        <w:rPr>
          <w:sz w:val="28"/>
          <w:szCs w:val="28"/>
          <w:lang w:val="uk-UA"/>
        </w:rPr>
        <w:t>=</w:t>
      </w:r>
      <w:r w:rsidR="00336F02">
        <w:rPr>
          <w:sz w:val="28"/>
          <w:szCs w:val="28"/>
          <w:lang w:val="uk-UA"/>
        </w:rPr>
        <w:t>-0,44;</w:t>
      </w:r>
      <w:r w:rsidR="00336F02" w:rsidRPr="00A2439D">
        <w:rPr>
          <w:sz w:val="28"/>
          <w:szCs w:val="28"/>
          <w:lang w:val="uk-UA"/>
        </w:rPr>
        <w:t xml:space="preserve"> </w:t>
      </w:r>
      <w:r w:rsidR="00336F02">
        <w:rPr>
          <w:sz w:val="28"/>
          <w:szCs w:val="28"/>
          <w:lang w:val="en-US"/>
        </w:rPr>
        <w:t>p</w:t>
      </w:r>
      <w:r w:rsidR="00336F02" w:rsidRPr="00A2439D">
        <w:rPr>
          <w:sz w:val="28"/>
          <w:szCs w:val="28"/>
          <w:lang w:val="uk-UA"/>
        </w:rPr>
        <w:t>&lt;0,05</w:t>
      </w:r>
      <w:r w:rsidR="00336F02">
        <w:rPr>
          <w:sz w:val="28"/>
          <w:szCs w:val="28"/>
          <w:lang w:val="uk-UA"/>
        </w:rPr>
        <w:t>).</w:t>
      </w:r>
      <w:r w:rsidR="00336F02" w:rsidRPr="00336F02">
        <w:rPr>
          <w:sz w:val="28"/>
          <w:szCs w:val="28"/>
          <w:lang w:val="uk-UA"/>
        </w:rPr>
        <w:t xml:space="preserve"> </w:t>
      </w:r>
      <w:r w:rsidR="00336F02">
        <w:rPr>
          <w:sz w:val="28"/>
          <w:szCs w:val="28"/>
          <w:lang w:val="uk-UA"/>
        </w:rPr>
        <w:t>Позитивна залежність мала місце між ІЛ-18 та інсуліном</w:t>
      </w:r>
      <w:r w:rsidR="00336F02" w:rsidRPr="008B2712">
        <w:rPr>
          <w:sz w:val="28"/>
          <w:szCs w:val="28"/>
          <w:lang w:val="uk-UA"/>
        </w:rPr>
        <w:t xml:space="preserve"> </w:t>
      </w:r>
      <w:r w:rsidR="00336F02">
        <w:rPr>
          <w:sz w:val="28"/>
          <w:szCs w:val="28"/>
          <w:lang w:val="uk-UA"/>
        </w:rPr>
        <w:t>(</w:t>
      </w:r>
      <w:r w:rsidR="00336F02">
        <w:rPr>
          <w:sz w:val="28"/>
          <w:szCs w:val="28"/>
          <w:lang w:val="en-US"/>
        </w:rPr>
        <w:t>r</w:t>
      </w:r>
      <w:r w:rsidR="00336F02" w:rsidRPr="00A2439D">
        <w:rPr>
          <w:sz w:val="28"/>
          <w:szCs w:val="28"/>
          <w:lang w:val="uk-UA"/>
        </w:rPr>
        <w:t>=</w:t>
      </w:r>
      <w:r w:rsidR="00336F02">
        <w:rPr>
          <w:sz w:val="28"/>
          <w:szCs w:val="28"/>
          <w:lang w:val="uk-UA"/>
        </w:rPr>
        <w:t>0,29;</w:t>
      </w:r>
      <w:r w:rsidR="00336F02" w:rsidRPr="00A2439D">
        <w:rPr>
          <w:sz w:val="28"/>
          <w:szCs w:val="28"/>
          <w:lang w:val="uk-UA"/>
        </w:rPr>
        <w:t xml:space="preserve"> </w:t>
      </w:r>
      <w:r w:rsidR="00336F02">
        <w:rPr>
          <w:sz w:val="28"/>
          <w:szCs w:val="28"/>
          <w:lang w:val="en-US"/>
        </w:rPr>
        <w:t>p</w:t>
      </w:r>
      <w:r w:rsidR="00336F02" w:rsidRPr="00A2439D">
        <w:rPr>
          <w:sz w:val="28"/>
          <w:szCs w:val="28"/>
          <w:lang w:val="uk-UA"/>
        </w:rPr>
        <w:t>&lt;0,05</w:t>
      </w:r>
      <w:r w:rsidR="00336F02">
        <w:rPr>
          <w:sz w:val="28"/>
          <w:szCs w:val="28"/>
          <w:lang w:val="uk-UA"/>
        </w:rPr>
        <w:t>), глюкозою</w:t>
      </w:r>
      <w:r w:rsidR="00336F02" w:rsidRPr="008B2712">
        <w:rPr>
          <w:sz w:val="28"/>
          <w:szCs w:val="28"/>
          <w:lang w:val="uk-UA"/>
        </w:rPr>
        <w:t xml:space="preserve"> </w:t>
      </w:r>
      <w:r w:rsidR="00336F02">
        <w:rPr>
          <w:sz w:val="28"/>
          <w:szCs w:val="28"/>
          <w:lang w:val="uk-UA"/>
        </w:rPr>
        <w:t>(</w:t>
      </w:r>
      <w:r w:rsidR="00336F02">
        <w:rPr>
          <w:sz w:val="28"/>
          <w:szCs w:val="28"/>
          <w:lang w:val="en-US"/>
        </w:rPr>
        <w:t>r</w:t>
      </w:r>
      <w:r w:rsidR="00336F02" w:rsidRPr="00A2439D">
        <w:rPr>
          <w:sz w:val="28"/>
          <w:szCs w:val="28"/>
          <w:lang w:val="uk-UA"/>
        </w:rPr>
        <w:t>=</w:t>
      </w:r>
      <w:r w:rsidR="00336F02">
        <w:rPr>
          <w:sz w:val="28"/>
          <w:szCs w:val="28"/>
          <w:lang w:val="uk-UA"/>
        </w:rPr>
        <w:t>0,45;</w:t>
      </w:r>
      <w:r w:rsidR="00336F02" w:rsidRPr="00A2439D">
        <w:rPr>
          <w:sz w:val="28"/>
          <w:szCs w:val="28"/>
          <w:lang w:val="uk-UA"/>
        </w:rPr>
        <w:t xml:space="preserve"> </w:t>
      </w:r>
      <w:r w:rsidR="00336F02">
        <w:rPr>
          <w:sz w:val="28"/>
          <w:szCs w:val="28"/>
          <w:lang w:val="en-US"/>
        </w:rPr>
        <w:t>p</w:t>
      </w:r>
      <w:r w:rsidR="00336F02" w:rsidRPr="00A2439D">
        <w:rPr>
          <w:sz w:val="28"/>
          <w:szCs w:val="28"/>
          <w:lang w:val="uk-UA"/>
        </w:rPr>
        <w:t>&lt;0,05</w:t>
      </w:r>
      <w:r w:rsidR="00336F02">
        <w:rPr>
          <w:sz w:val="28"/>
          <w:szCs w:val="28"/>
          <w:lang w:val="uk-UA"/>
        </w:rPr>
        <w:t>), НОМА (</w:t>
      </w:r>
      <w:r w:rsidR="00336F02">
        <w:rPr>
          <w:sz w:val="28"/>
          <w:szCs w:val="28"/>
          <w:lang w:val="en-US"/>
        </w:rPr>
        <w:t>r</w:t>
      </w:r>
      <w:r w:rsidR="00336F02" w:rsidRPr="00A2439D">
        <w:rPr>
          <w:sz w:val="28"/>
          <w:szCs w:val="28"/>
          <w:lang w:val="uk-UA"/>
        </w:rPr>
        <w:t>=</w:t>
      </w:r>
      <w:r w:rsidR="00336F02">
        <w:rPr>
          <w:sz w:val="28"/>
          <w:szCs w:val="28"/>
          <w:lang w:val="uk-UA"/>
        </w:rPr>
        <w:t>0,38;</w:t>
      </w:r>
      <w:r w:rsidR="00336F02" w:rsidRPr="00A2439D">
        <w:rPr>
          <w:sz w:val="28"/>
          <w:szCs w:val="28"/>
          <w:lang w:val="uk-UA"/>
        </w:rPr>
        <w:t xml:space="preserve"> </w:t>
      </w:r>
      <w:r w:rsidR="00336F02">
        <w:rPr>
          <w:sz w:val="28"/>
          <w:szCs w:val="28"/>
          <w:lang w:val="en-US"/>
        </w:rPr>
        <w:t>p</w:t>
      </w:r>
      <w:r w:rsidR="00336F02" w:rsidRPr="00A2439D">
        <w:rPr>
          <w:sz w:val="28"/>
          <w:szCs w:val="28"/>
          <w:lang w:val="uk-UA"/>
        </w:rPr>
        <w:t>&lt;0,05</w:t>
      </w:r>
      <w:r w:rsidR="00336F02">
        <w:rPr>
          <w:sz w:val="28"/>
          <w:szCs w:val="28"/>
          <w:lang w:val="uk-UA"/>
        </w:rPr>
        <w:t>).</w:t>
      </w:r>
    </w:p>
    <w:p w:rsidR="00336F02" w:rsidRDefault="00336F02" w:rsidP="00336F02">
      <w:pPr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CF319B" w:rsidRPr="009451BD" w:rsidRDefault="00CF319B" w:rsidP="00CF31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CF319B" w:rsidRDefault="00CF319B" w:rsidP="00CF31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F319B" w:rsidRDefault="00CF319B" w:rsidP="00CF319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F319B" w:rsidRDefault="00336F02" w:rsidP="00CF319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</w:t>
      </w:r>
      <w:r w:rsidR="00CF319B">
        <w:rPr>
          <w:sz w:val="28"/>
          <w:szCs w:val="28"/>
          <w:lang w:val="uk-UA"/>
        </w:rPr>
        <w:t xml:space="preserve"> 2 </w:t>
      </w:r>
      <w:proofErr w:type="spellStart"/>
      <w:r w:rsidR="00CF319B">
        <w:rPr>
          <w:sz w:val="28"/>
          <w:szCs w:val="28"/>
          <w:lang w:val="uk-UA"/>
        </w:rPr>
        <w:t>тертильній</w:t>
      </w:r>
      <w:proofErr w:type="spellEnd"/>
      <w:r w:rsidR="00CF319B">
        <w:rPr>
          <w:sz w:val="28"/>
          <w:szCs w:val="28"/>
          <w:lang w:val="uk-UA"/>
        </w:rPr>
        <w:t xml:space="preserve"> групі з </w:t>
      </w:r>
      <w:r w:rsidR="00CF319B" w:rsidRPr="00C60726">
        <w:rPr>
          <w:sz w:val="28"/>
          <w:szCs w:val="28"/>
          <w:lang w:val="uk-UA"/>
        </w:rPr>
        <w:t>рівн</w:t>
      </w:r>
      <w:r w:rsidR="00CF319B">
        <w:rPr>
          <w:sz w:val="28"/>
          <w:szCs w:val="28"/>
          <w:lang w:val="uk-UA"/>
        </w:rPr>
        <w:t>ем</w:t>
      </w:r>
      <w:r w:rsidR="00CF319B" w:rsidRPr="00C60726">
        <w:rPr>
          <w:sz w:val="28"/>
          <w:szCs w:val="28"/>
          <w:lang w:val="uk-UA"/>
        </w:rPr>
        <w:t xml:space="preserve"> ІЛ-10 в крові</w:t>
      </w:r>
      <w:r w:rsidR="00CF319B">
        <w:rPr>
          <w:sz w:val="28"/>
          <w:szCs w:val="28"/>
          <w:lang w:val="uk-UA"/>
        </w:rPr>
        <w:t xml:space="preserve"> від</w:t>
      </w:r>
      <w:r w:rsidR="00CF319B" w:rsidRPr="00C60726">
        <w:rPr>
          <w:sz w:val="28"/>
          <w:szCs w:val="28"/>
          <w:lang w:val="uk-UA"/>
        </w:rPr>
        <w:t xml:space="preserve">  80,7</w:t>
      </w:r>
      <w:r w:rsidR="00CF319B">
        <w:rPr>
          <w:sz w:val="28"/>
          <w:szCs w:val="28"/>
          <w:lang w:val="uk-UA"/>
        </w:rPr>
        <w:t xml:space="preserve"> до </w:t>
      </w:r>
      <w:r w:rsidR="00CF319B" w:rsidRPr="00C60726">
        <w:rPr>
          <w:sz w:val="28"/>
          <w:szCs w:val="28"/>
          <w:lang w:val="uk-UA"/>
        </w:rPr>
        <w:t xml:space="preserve">90,3 </w:t>
      </w:r>
      <w:proofErr w:type="spellStart"/>
      <w:r w:rsidR="00CF319B" w:rsidRPr="00C60726">
        <w:rPr>
          <w:sz w:val="28"/>
          <w:szCs w:val="28"/>
          <w:lang w:val="uk-UA"/>
        </w:rPr>
        <w:t>пг</w:t>
      </w:r>
      <w:proofErr w:type="spellEnd"/>
      <w:r w:rsidR="00CF319B" w:rsidRPr="00C60726">
        <w:rPr>
          <w:sz w:val="28"/>
          <w:szCs w:val="28"/>
          <w:lang w:val="uk-UA"/>
        </w:rPr>
        <w:t>/</w:t>
      </w:r>
      <w:proofErr w:type="spellStart"/>
      <w:r w:rsidR="00CF319B" w:rsidRPr="00C60726">
        <w:rPr>
          <w:sz w:val="28"/>
          <w:szCs w:val="28"/>
          <w:lang w:val="uk-UA"/>
        </w:rPr>
        <w:t>мл</w:t>
      </w:r>
      <w:proofErr w:type="spellEnd"/>
      <w:r w:rsidR="00CF31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CF319B" w:rsidRPr="00D86026">
        <w:rPr>
          <w:sz w:val="28"/>
          <w:szCs w:val="28"/>
          <w:lang w:val="uk-UA"/>
        </w:rPr>
        <w:t xml:space="preserve">рямий достовірний взаємозв’язок </w:t>
      </w:r>
      <w:r w:rsidR="00CF319B">
        <w:rPr>
          <w:sz w:val="28"/>
          <w:szCs w:val="28"/>
          <w:lang w:val="uk-UA"/>
        </w:rPr>
        <w:t>відзначено між рівнем ІЛ-10 та ІЛ-18 (</w:t>
      </w:r>
      <w:r w:rsidR="00CF319B">
        <w:rPr>
          <w:sz w:val="28"/>
          <w:szCs w:val="28"/>
          <w:lang w:val="en-US"/>
        </w:rPr>
        <w:t>r</w:t>
      </w:r>
      <w:r w:rsidR="00CF319B" w:rsidRPr="00A2439D">
        <w:rPr>
          <w:sz w:val="28"/>
          <w:szCs w:val="28"/>
          <w:lang w:val="uk-UA"/>
        </w:rPr>
        <w:t>=</w:t>
      </w:r>
      <w:r w:rsidR="00CF319B">
        <w:rPr>
          <w:sz w:val="28"/>
          <w:szCs w:val="28"/>
          <w:lang w:val="uk-UA"/>
        </w:rPr>
        <w:t>0,23;</w:t>
      </w:r>
      <w:r w:rsidR="00CF319B" w:rsidRPr="00A2439D">
        <w:rPr>
          <w:sz w:val="28"/>
          <w:szCs w:val="28"/>
          <w:lang w:val="uk-UA"/>
        </w:rPr>
        <w:t xml:space="preserve"> </w:t>
      </w:r>
      <w:r w:rsidR="00CF319B">
        <w:rPr>
          <w:sz w:val="28"/>
          <w:szCs w:val="28"/>
          <w:lang w:val="en-US"/>
        </w:rPr>
        <w:t>p</w:t>
      </w:r>
      <w:r w:rsidR="00CF319B" w:rsidRPr="00A2439D">
        <w:rPr>
          <w:sz w:val="28"/>
          <w:szCs w:val="28"/>
          <w:lang w:val="uk-UA"/>
        </w:rPr>
        <w:t>&lt;0,05</w:t>
      </w:r>
      <w:r w:rsidR="00CF319B">
        <w:rPr>
          <w:sz w:val="28"/>
          <w:szCs w:val="28"/>
          <w:lang w:val="uk-UA"/>
        </w:rPr>
        <w:t>), глюкозою (</w:t>
      </w:r>
      <w:r w:rsidR="00CF319B">
        <w:rPr>
          <w:sz w:val="28"/>
          <w:szCs w:val="28"/>
          <w:lang w:val="en-US"/>
        </w:rPr>
        <w:t>r</w:t>
      </w:r>
      <w:r w:rsidR="00CF319B" w:rsidRPr="00A2439D">
        <w:rPr>
          <w:sz w:val="28"/>
          <w:szCs w:val="28"/>
          <w:lang w:val="uk-UA"/>
        </w:rPr>
        <w:t>=</w:t>
      </w:r>
      <w:r w:rsidR="00CF319B">
        <w:rPr>
          <w:sz w:val="28"/>
          <w:szCs w:val="28"/>
          <w:lang w:val="uk-UA"/>
        </w:rPr>
        <w:t>0,21;</w:t>
      </w:r>
      <w:r w:rsidR="00CF319B" w:rsidRPr="00A2439D">
        <w:rPr>
          <w:sz w:val="28"/>
          <w:szCs w:val="28"/>
          <w:lang w:val="uk-UA"/>
        </w:rPr>
        <w:t xml:space="preserve"> </w:t>
      </w:r>
      <w:r w:rsidR="00CF319B">
        <w:rPr>
          <w:sz w:val="28"/>
          <w:szCs w:val="28"/>
          <w:lang w:val="en-US"/>
        </w:rPr>
        <w:t>p</w:t>
      </w:r>
      <w:r w:rsidR="00CF319B" w:rsidRPr="00A2439D">
        <w:rPr>
          <w:sz w:val="28"/>
          <w:szCs w:val="28"/>
          <w:lang w:val="uk-UA"/>
        </w:rPr>
        <w:t>&lt;0,05</w:t>
      </w:r>
      <w:r w:rsidR="00CF319B">
        <w:rPr>
          <w:sz w:val="28"/>
          <w:szCs w:val="28"/>
          <w:lang w:val="uk-UA"/>
        </w:rPr>
        <w:t>). Зворотний достовірний взаємозв’язок відзначено між рівнем ІЛ-10 та тривалістю АГ (</w:t>
      </w:r>
      <w:r w:rsidR="00CF319B">
        <w:rPr>
          <w:sz w:val="28"/>
          <w:szCs w:val="28"/>
          <w:lang w:val="en-US"/>
        </w:rPr>
        <w:t>r</w:t>
      </w:r>
      <w:r w:rsidR="00CF319B" w:rsidRPr="00A2439D">
        <w:rPr>
          <w:sz w:val="28"/>
          <w:szCs w:val="28"/>
          <w:lang w:val="uk-UA"/>
        </w:rPr>
        <w:t>=</w:t>
      </w:r>
      <w:r w:rsidR="00CF319B">
        <w:rPr>
          <w:sz w:val="28"/>
          <w:szCs w:val="28"/>
          <w:lang w:val="uk-UA"/>
        </w:rPr>
        <w:t>-0,21;</w:t>
      </w:r>
      <w:r w:rsidR="00CF319B" w:rsidRPr="00A2439D">
        <w:rPr>
          <w:sz w:val="28"/>
          <w:szCs w:val="28"/>
          <w:lang w:val="uk-UA"/>
        </w:rPr>
        <w:t xml:space="preserve"> </w:t>
      </w:r>
      <w:r w:rsidR="00CF319B">
        <w:rPr>
          <w:sz w:val="28"/>
          <w:szCs w:val="28"/>
          <w:lang w:val="en-US"/>
        </w:rPr>
        <w:t>p</w:t>
      </w:r>
      <w:r w:rsidR="00CF319B" w:rsidRPr="00A2439D">
        <w:rPr>
          <w:sz w:val="28"/>
          <w:szCs w:val="28"/>
          <w:lang w:val="uk-UA"/>
        </w:rPr>
        <w:t>&lt;0,05</w:t>
      </w:r>
      <w:r w:rsidR="00CF319B">
        <w:rPr>
          <w:sz w:val="28"/>
          <w:szCs w:val="28"/>
          <w:lang w:val="uk-UA"/>
        </w:rPr>
        <w:t>). Вміст ІЛ-18 позитивно корелював з величиною ОС. Значення ІМТ залежало від віку пацієнтів (</w:t>
      </w:r>
      <w:r w:rsidR="00CF319B">
        <w:rPr>
          <w:sz w:val="28"/>
          <w:szCs w:val="28"/>
          <w:lang w:val="en-US"/>
        </w:rPr>
        <w:t>r</w:t>
      </w:r>
      <w:r w:rsidR="00CF319B" w:rsidRPr="00A2439D">
        <w:rPr>
          <w:sz w:val="28"/>
          <w:szCs w:val="28"/>
          <w:lang w:val="uk-UA"/>
        </w:rPr>
        <w:t>=</w:t>
      </w:r>
      <w:r w:rsidR="00CF319B">
        <w:rPr>
          <w:sz w:val="28"/>
          <w:szCs w:val="28"/>
          <w:lang w:val="uk-UA"/>
        </w:rPr>
        <w:t>0,45;</w:t>
      </w:r>
      <w:r w:rsidR="00CF319B" w:rsidRPr="00A2439D">
        <w:rPr>
          <w:sz w:val="28"/>
          <w:szCs w:val="28"/>
          <w:lang w:val="uk-UA"/>
        </w:rPr>
        <w:t xml:space="preserve"> </w:t>
      </w:r>
      <w:r w:rsidR="00CF319B">
        <w:rPr>
          <w:sz w:val="28"/>
          <w:szCs w:val="28"/>
          <w:lang w:val="en-US"/>
        </w:rPr>
        <w:t>p</w:t>
      </w:r>
      <w:r w:rsidR="00CF319B" w:rsidRPr="00A2439D">
        <w:rPr>
          <w:sz w:val="28"/>
          <w:szCs w:val="28"/>
          <w:lang w:val="uk-UA"/>
        </w:rPr>
        <w:t>&lt;0,05</w:t>
      </w:r>
      <w:r w:rsidR="00CF319B">
        <w:rPr>
          <w:sz w:val="28"/>
          <w:szCs w:val="28"/>
          <w:lang w:val="uk-UA"/>
        </w:rPr>
        <w:t>). Пряма залежність, також, мала місце між ІМТ та ОТ (</w:t>
      </w:r>
      <w:r w:rsidR="00CF319B">
        <w:rPr>
          <w:sz w:val="28"/>
          <w:szCs w:val="28"/>
          <w:lang w:val="en-US"/>
        </w:rPr>
        <w:t>r</w:t>
      </w:r>
      <w:r w:rsidR="00CF319B" w:rsidRPr="00A2439D">
        <w:rPr>
          <w:sz w:val="28"/>
          <w:szCs w:val="28"/>
          <w:lang w:val="uk-UA"/>
        </w:rPr>
        <w:t>=</w:t>
      </w:r>
      <w:r w:rsidR="00CF319B">
        <w:rPr>
          <w:sz w:val="28"/>
          <w:szCs w:val="28"/>
          <w:lang w:val="uk-UA"/>
        </w:rPr>
        <w:t>0,71;</w:t>
      </w:r>
      <w:r w:rsidR="00CF319B" w:rsidRPr="00A2439D">
        <w:rPr>
          <w:sz w:val="28"/>
          <w:szCs w:val="28"/>
          <w:lang w:val="uk-UA"/>
        </w:rPr>
        <w:t xml:space="preserve"> </w:t>
      </w:r>
      <w:r w:rsidR="00CF319B">
        <w:rPr>
          <w:sz w:val="28"/>
          <w:szCs w:val="28"/>
          <w:lang w:val="en-US"/>
        </w:rPr>
        <w:t>p</w:t>
      </w:r>
      <w:r w:rsidR="00CF319B" w:rsidRPr="00A2439D">
        <w:rPr>
          <w:sz w:val="28"/>
          <w:szCs w:val="28"/>
          <w:lang w:val="uk-UA"/>
        </w:rPr>
        <w:t>&lt;0,05</w:t>
      </w:r>
      <w:r w:rsidR="00CF319B">
        <w:rPr>
          <w:sz w:val="28"/>
          <w:szCs w:val="28"/>
          <w:lang w:val="uk-UA"/>
        </w:rPr>
        <w:t>), ОС (</w:t>
      </w:r>
      <w:r w:rsidR="00CF319B">
        <w:rPr>
          <w:sz w:val="28"/>
          <w:szCs w:val="28"/>
          <w:lang w:val="en-US"/>
        </w:rPr>
        <w:t>r</w:t>
      </w:r>
      <w:r w:rsidR="00CF319B" w:rsidRPr="00A2439D">
        <w:rPr>
          <w:sz w:val="28"/>
          <w:szCs w:val="28"/>
          <w:lang w:val="uk-UA"/>
        </w:rPr>
        <w:t>=</w:t>
      </w:r>
      <w:r w:rsidR="00CF319B">
        <w:rPr>
          <w:sz w:val="28"/>
          <w:szCs w:val="28"/>
          <w:lang w:val="uk-UA"/>
        </w:rPr>
        <w:t>0,66;</w:t>
      </w:r>
      <w:r w:rsidR="00CF319B" w:rsidRPr="00A2439D">
        <w:rPr>
          <w:sz w:val="28"/>
          <w:szCs w:val="28"/>
          <w:lang w:val="uk-UA"/>
        </w:rPr>
        <w:t xml:space="preserve"> </w:t>
      </w:r>
      <w:r w:rsidR="00CF319B">
        <w:rPr>
          <w:sz w:val="28"/>
          <w:szCs w:val="28"/>
          <w:lang w:val="en-US"/>
        </w:rPr>
        <w:t>p</w:t>
      </w:r>
      <w:r w:rsidR="00CF319B" w:rsidRPr="00A2439D">
        <w:rPr>
          <w:sz w:val="28"/>
          <w:szCs w:val="28"/>
          <w:lang w:val="uk-UA"/>
        </w:rPr>
        <w:t>&lt;0,05</w:t>
      </w:r>
      <w:r w:rsidR="00CF319B">
        <w:rPr>
          <w:sz w:val="28"/>
          <w:szCs w:val="28"/>
          <w:lang w:val="uk-UA"/>
        </w:rPr>
        <w:t xml:space="preserve">) у цій </w:t>
      </w:r>
      <w:proofErr w:type="spellStart"/>
      <w:r w:rsidR="00CF319B">
        <w:rPr>
          <w:sz w:val="28"/>
          <w:szCs w:val="28"/>
          <w:lang w:val="uk-UA"/>
        </w:rPr>
        <w:t>тертильній</w:t>
      </w:r>
      <w:proofErr w:type="spellEnd"/>
      <w:r w:rsidR="00CF319B">
        <w:rPr>
          <w:sz w:val="28"/>
          <w:szCs w:val="28"/>
          <w:lang w:val="uk-UA"/>
        </w:rPr>
        <w:t xml:space="preserve"> групі.   </w:t>
      </w:r>
    </w:p>
    <w:p w:rsidR="00CF319B" w:rsidRPr="00572FAE" w:rsidRDefault="00CF319B" w:rsidP="00CF319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Пацієнти 3 </w:t>
      </w:r>
      <w:proofErr w:type="spellStart"/>
      <w:r>
        <w:rPr>
          <w:sz w:val="28"/>
          <w:szCs w:val="28"/>
          <w:lang w:val="uk-UA"/>
        </w:rPr>
        <w:t>тертильної</w:t>
      </w:r>
      <w:proofErr w:type="spellEnd"/>
      <w:r>
        <w:rPr>
          <w:sz w:val="28"/>
          <w:szCs w:val="28"/>
          <w:lang w:val="uk-UA"/>
        </w:rPr>
        <w:t xml:space="preserve"> групи з рівнем ІЛ-10 90,4</w:t>
      </w:r>
      <w:r w:rsidRPr="00101739">
        <w:rPr>
          <w:sz w:val="28"/>
          <w:szCs w:val="28"/>
          <w:lang w:val="uk-UA"/>
        </w:rPr>
        <w:t xml:space="preserve"> </w:t>
      </w:r>
      <w:proofErr w:type="spellStart"/>
      <w:r w:rsidRPr="00101739">
        <w:rPr>
          <w:sz w:val="28"/>
          <w:szCs w:val="28"/>
          <w:lang w:val="uk-UA"/>
        </w:rPr>
        <w:t>пг</w:t>
      </w:r>
      <w:proofErr w:type="spellEnd"/>
      <w:r w:rsidRPr="00101739">
        <w:rPr>
          <w:sz w:val="28"/>
          <w:szCs w:val="28"/>
          <w:lang w:val="uk-UA"/>
        </w:rPr>
        <w:t>/</w:t>
      </w:r>
      <w:proofErr w:type="spellStart"/>
      <w:r w:rsidRPr="00101739">
        <w:rPr>
          <w:sz w:val="28"/>
          <w:szCs w:val="28"/>
          <w:lang w:val="uk-UA"/>
        </w:rPr>
        <w:t>мл</w:t>
      </w:r>
      <w:proofErr w:type="spellEnd"/>
      <w:r w:rsidRPr="00101739">
        <w:rPr>
          <w:sz w:val="28"/>
          <w:szCs w:val="28"/>
          <w:lang w:val="uk-UA"/>
        </w:rPr>
        <w:t xml:space="preserve"> і більше</w:t>
      </w:r>
      <w:r w:rsidR="00336F02">
        <w:rPr>
          <w:sz w:val="28"/>
          <w:szCs w:val="28"/>
          <w:lang w:val="uk-UA"/>
        </w:rPr>
        <w:t xml:space="preserve"> с</w:t>
      </w:r>
      <w:r w:rsidRPr="00042F42">
        <w:rPr>
          <w:sz w:val="28"/>
          <w:szCs w:val="28"/>
          <w:lang w:val="uk-UA"/>
        </w:rPr>
        <w:t xml:space="preserve">еред найбільш суттєвих взаємозв’язків слід зазначити пряму залежність між </w:t>
      </w:r>
      <w:r>
        <w:rPr>
          <w:sz w:val="28"/>
          <w:szCs w:val="28"/>
          <w:lang w:val="uk-UA"/>
        </w:rPr>
        <w:t>ІЛ-10 та величиною ЧСС (</w:t>
      </w:r>
      <w:r>
        <w:rPr>
          <w:sz w:val="28"/>
          <w:szCs w:val="28"/>
          <w:lang w:val="en-US"/>
        </w:rPr>
        <w:t>r</w:t>
      </w:r>
      <w:r w:rsidRPr="00A2439D">
        <w:rPr>
          <w:sz w:val="28"/>
          <w:szCs w:val="28"/>
          <w:lang w:val="uk-UA"/>
        </w:rPr>
        <w:t>=</w:t>
      </w:r>
      <w:r>
        <w:rPr>
          <w:sz w:val="28"/>
          <w:szCs w:val="28"/>
          <w:lang w:val="uk-UA"/>
        </w:rPr>
        <w:t>0,40;</w:t>
      </w:r>
      <w:r w:rsidRPr="00A243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</w:t>
      </w:r>
      <w:r w:rsidRPr="00A2439D">
        <w:rPr>
          <w:sz w:val="28"/>
          <w:szCs w:val="28"/>
          <w:lang w:val="uk-UA"/>
        </w:rPr>
        <w:t>&lt;0,05</w:t>
      </w:r>
      <w:r>
        <w:rPr>
          <w:sz w:val="28"/>
          <w:szCs w:val="28"/>
          <w:lang w:val="uk-UA"/>
        </w:rPr>
        <w:t xml:space="preserve">), зворотну – між рівнем ІЛ-18 та рівнем </w:t>
      </w:r>
      <w:proofErr w:type="spellStart"/>
      <w:r>
        <w:rPr>
          <w:sz w:val="28"/>
          <w:szCs w:val="28"/>
          <w:lang w:val="en-US"/>
        </w:rPr>
        <w:t>Hb</w:t>
      </w:r>
      <w:r w:rsidRPr="00B967C2">
        <w:rPr>
          <w:sz w:val="28"/>
          <w:szCs w:val="28"/>
          <w:vertAlign w:val="subscript"/>
          <w:lang w:val="en-US"/>
        </w:rPr>
        <w:t>A</w:t>
      </w:r>
      <w:proofErr w:type="spellEnd"/>
      <w:r w:rsidRPr="00A05D6B">
        <w:rPr>
          <w:sz w:val="28"/>
          <w:szCs w:val="28"/>
          <w:vertAlign w:val="subscript"/>
          <w:lang w:val="uk-UA"/>
        </w:rPr>
        <w:t>1</w:t>
      </w:r>
      <w:r w:rsidRPr="00B967C2">
        <w:rPr>
          <w:sz w:val="28"/>
          <w:szCs w:val="28"/>
          <w:vertAlign w:val="subscript"/>
          <w:lang w:val="en-US"/>
        </w:rPr>
        <w:t>c</w:t>
      </w:r>
      <w:r>
        <w:rPr>
          <w:sz w:val="28"/>
          <w:szCs w:val="28"/>
          <w:vertAlign w:val="subscript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r</w:t>
      </w:r>
      <w:r w:rsidRPr="00A2439D">
        <w:rPr>
          <w:sz w:val="28"/>
          <w:szCs w:val="28"/>
          <w:lang w:val="uk-UA"/>
        </w:rPr>
        <w:t>=</w:t>
      </w:r>
      <w:r>
        <w:rPr>
          <w:sz w:val="28"/>
          <w:szCs w:val="28"/>
          <w:lang w:val="uk-UA"/>
        </w:rPr>
        <w:t>-0,32;</w:t>
      </w:r>
      <w:r w:rsidRPr="00A243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</w:t>
      </w:r>
      <w:r w:rsidRPr="00A2439D">
        <w:rPr>
          <w:sz w:val="28"/>
          <w:szCs w:val="28"/>
          <w:lang w:val="uk-UA"/>
        </w:rPr>
        <w:t>&lt;0,05</w:t>
      </w:r>
      <w:r>
        <w:rPr>
          <w:sz w:val="28"/>
          <w:szCs w:val="28"/>
          <w:lang w:val="uk-UA"/>
        </w:rPr>
        <w:t>).</w:t>
      </w:r>
    </w:p>
    <w:p w:rsidR="00CF319B" w:rsidRDefault="00336F02" w:rsidP="00336F0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36F02">
        <w:rPr>
          <w:b/>
          <w:sz w:val="28"/>
          <w:szCs w:val="28"/>
          <w:lang w:val="uk-UA"/>
        </w:rPr>
        <w:t>Висновки</w:t>
      </w:r>
      <w:r>
        <w:rPr>
          <w:sz w:val="28"/>
          <w:szCs w:val="28"/>
          <w:lang w:val="uk-UA"/>
        </w:rPr>
        <w:t xml:space="preserve"> </w:t>
      </w:r>
    </w:p>
    <w:p w:rsidR="00BF6DC0" w:rsidRPr="00A7712E" w:rsidRDefault="00BF6DC0" w:rsidP="00A7712E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A7712E">
        <w:rPr>
          <w:sz w:val="28"/>
          <w:szCs w:val="28"/>
          <w:lang w:val="uk-UA"/>
        </w:rPr>
        <w:t xml:space="preserve">Отримані нами дані підтверджують гіпотезу про те, що активація протизапального </w:t>
      </w:r>
      <w:proofErr w:type="spellStart"/>
      <w:r w:rsidRPr="00A7712E">
        <w:rPr>
          <w:sz w:val="28"/>
          <w:szCs w:val="28"/>
          <w:lang w:val="uk-UA"/>
        </w:rPr>
        <w:t>цитокіну</w:t>
      </w:r>
      <w:proofErr w:type="spellEnd"/>
      <w:r w:rsidRPr="00A7712E">
        <w:rPr>
          <w:sz w:val="28"/>
          <w:szCs w:val="28"/>
          <w:lang w:val="uk-UA"/>
        </w:rPr>
        <w:t xml:space="preserve"> – ІЛ-10 та </w:t>
      </w:r>
      <w:proofErr w:type="spellStart"/>
      <w:r w:rsidRPr="00A7712E">
        <w:rPr>
          <w:sz w:val="28"/>
          <w:szCs w:val="28"/>
          <w:lang w:val="uk-UA"/>
        </w:rPr>
        <w:t>прозапального</w:t>
      </w:r>
      <w:proofErr w:type="spellEnd"/>
      <w:r w:rsidRPr="00A7712E">
        <w:rPr>
          <w:sz w:val="28"/>
          <w:szCs w:val="28"/>
          <w:lang w:val="uk-UA"/>
        </w:rPr>
        <w:t xml:space="preserve"> </w:t>
      </w:r>
      <w:proofErr w:type="spellStart"/>
      <w:r w:rsidRPr="00A7712E">
        <w:rPr>
          <w:sz w:val="28"/>
          <w:szCs w:val="28"/>
          <w:lang w:val="uk-UA"/>
        </w:rPr>
        <w:t>цитокіна</w:t>
      </w:r>
      <w:proofErr w:type="spellEnd"/>
      <w:r w:rsidRPr="00A7712E">
        <w:rPr>
          <w:sz w:val="28"/>
          <w:szCs w:val="28"/>
          <w:lang w:val="uk-UA"/>
        </w:rPr>
        <w:t xml:space="preserve"> - ІЛ-18 може формувати зв’язок між метаболічними факторами ризику, ЦД 2 типу та АГ. </w:t>
      </w:r>
    </w:p>
    <w:p w:rsidR="00CF319B" w:rsidRPr="00A7712E" w:rsidRDefault="00CF319B" w:rsidP="00A7712E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A7712E">
        <w:rPr>
          <w:sz w:val="28"/>
          <w:szCs w:val="28"/>
          <w:lang w:val="uk-UA"/>
        </w:rPr>
        <w:t xml:space="preserve">Виявлене нами підвищення вмісту протизапального </w:t>
      </w:r>
      <w:proofErr w:type="spellStart"/>
      <w:r w:rsidRPr="00A7712E">
        <w:rPr>
          <w:sz w:val="28"/>
          <w:szCs w:val="28"/>
          <w:lang w:val="uk-UA"/>
        </w:rPr>
        <w:t>цитокіну</w:t>
      </w:r>
      <w:proofErr w:type="spellEnd"/>
      <w:r w:rsidRPr="00A7712E">
        <w:rPr>
          <w:sz w:val="28"/>
          <w:szCs w:val="28"/>
          <w:lang w:val="uk-UA"/>
        </w:rPr>
        <w:t xml:space="preserve"> ІЛ-10 у хворих на АГ може розглядатися як </w:t>
      </w:r>
      <w:proofErr w:type="spellStart"/>
      <w:r w:rsidRPr="00A7712E">
        <w:rPr>
          <w:sz w:val="28"/>
          <w:szCs w:val="28"/>
          <w:lang w:val="uk-UA"/>
        </w:rPr>
        <w:t>протективна</w:t>
      </w:r>
      <w:proofErr w:type="spellEnd"/>
      <w:r w:rsidRPr="00A7712E">
        <w:rPr>
          <w:sz w:val="28"/>
          <w:szCs w:val="28"/>
          <w:lang w:val="uk-UA"/>
        </w:rPr>
        <w:t xml:space="preserve"> реакція з метою пригнічення активності протизапальних </w:t>
      </w:r>
      <w:proofErr w:type="spellStart"/>
      <w:r w:rsidRPr="00A7712E">
        <w:rPr>
          <w:sz w:val="28"/>
          <w:szCs w:val="28"/>
          <w:lang w:val="uk-UA"/>
        </w:rPr>
        <w:t>цитокінів</w:t>
      </w:r>
      <w:proofErr w:type="spellEnd"/>
      <w:r w:rsidRPr="00A7712E">
        <w:rPr>
          <w:sz w:val="28"/>
          <w:szCs w:val="28"/>
          <w:lang w:val="uk-UA"/>
        </w:rPr>
        <w:t>.</w:t>
      </w:r>
    </w:p>
    <w:p w:rsidR="00BF6DC0" w:rsidRPr="00C64803" w:rsidRDefault="00BF6DC0" w:rsidP="00A7712E">
      <w:pPr>
        <w:pStyle w:val="2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Зменшення рівню ІЛ-10 у хворих на АГ з ЦД 2 типу та наявність взаємозв’язків між його рівнем та параметрами вуглеводного обміну може підтверджувати патогенетичний зв’язок між низькою концентрацією ІЛ-10 та розвитком ЦД 2 типу.   </w:t>
      </w:r>
      <w:r w:rsidRPr="00C64803">
        <w:rPr>
          <w:sz w:val="28"/>
          <w:szCs w:val="28"/>
          <w:lang w:val="uk-UA"/>
        </w:rPr>
        <w:t xml:space="preserve">  </w:t>
      </w:r>
    </w:p>
    <w:p w:rsidR="00BF6DC0" w:rsidRDefault="00BF6DC0" w:rsidP="00CF319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F319B" w:rsidRPr="00BF6DC0" w:rsidRDefault="00BF6DC0" w:rsidP="00BF6DC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F6DC0">
        <w:rPr>
          <w:b/>
          <w:sz w:val="28"/>
          <w:szCs w:val="28"/>
          <w:lang w:val="uk-UA"/>
        </w:rPr>
        <w:t>Перелік літератури</w:t>
      </w:r>
    </w:p>
    <w:p w:rsidR="00BF6DC0" w:rsidRPr="00A53967" w:rsidRDefault="00BF6DC0" w:rsidP="00BF6DC0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8C5533">
        <w:rPr>
          <w:sz w:val="28"/>
          <w:szCs w:val="28"/>
          <w:lang w:val="en-US"/>
        </w:rPr>
        <w:t>Fisman</w:t>
      </w:r>
      <w:proofErr w:type="spellEnd"/>
      <w:r w:rsidRPr="008C5533">
        <w:rPr>
          <w:sz w:val="28"/>
          <w:szCs w:val="28"/>
          <w:lang w:val="en-US"/>
        </w:rPr>
        <w:t xml:space="preserve"> E</w:t>
      </w:r>
      <w:r w:rsidRPr="008C5533">
        <w:rPr>
          <w:sz w:val="28"/>
          <w:szCs w:val="28"/>
          <w:lang w:val="uk-UA"/>
        </w:rPr>
        <w:t>.</w:t>
      </w:r>
      <w:r w:rsidRPr="008C5533">
        <w:rPr>
          <w:sz w:val="28"/>
          <w:szCs w:val="28"/>
          <w:lang w:val="en-US"/>
        </w:rPr>
        <w:t>Z</w:t>
      </w:r>
      <w:r w:rsidRPr="008C5533">
        <w:rPr>
          <w:sz w:val="28"/>
          <w:szCs w:val="28"/>
          <w:lang w:val="uk-UA"/>
        </w:rPr>
        <w:t>.</w:t>
      </w:r>
      <w:r w:rsidRPr="008C5533">
        <w:rPr>
          <w:sz w:val="28"/>
          <w:szCs w:val="28"/>
          <w:lang w:val="en-US"/>
        </w:rPr>
        <w:t xml:space="preserve"> C</w:t>
      </w:r>
      <w:proofErr w:type="spellStart"/>
      <w:r w:rsidRPr="008C5533">
        <w:rPr>
          <w:sz w:val="28"/>
          <w:szCs w:val="28"/>
          <w:lang w:val="uk-UA"/>
        </w:rPr>
        <w:t>ardiovascular</w:t>
      </w:r>
      <w:proofErr w:type="spellEnd"/>
      <w:r w:rsidRPr="008C5533">
        <w:rPr>
          <w:sz w:val="28"/>
          <w:szCs w:val="28"/>
          <w:lang w:val="uk-UA"/>
        </w:rPr>
        <w:t xml:space="preserve"> </w:t>
      </w:r>
      <w:proofErr w:type="spellStart"/>
      <w:r w:rsidRPr="008C5533">
        <w:rPr>
          <w:sz w:val="28"/>
          <w:szCs w:val="28"/>
          <w:lang w:val="uk-UA"/>
        </w:rPr>
        <w:t>diabetology</w:t>
      </w:r>
      <w:proofErr w:type="spellEnd"/>
      <w:r w:rsidRPr="008C5533">
        <w:rPr>
          <w:sz w:val="28"/>
          <w:szCs w:val="28"/>
          <w:lang w:val="uk-UA"/>
        </w:rPr>
        <w:t xml:space="preserve"> </w:t>
      </w:r>
      <w:r w:rsidRPr="008C5533">
        <w:rPr>
          <w:sz w:val="28"/>
          <w:szCs w:val="28"/>
          <w:lang w:val="en-US"/>
        </w:rPr>
        <w:t xml:space="preserve">in the core of novel interleukins classification: the bad, the good and the aloof / </w:t>
      </w:r>
      <w:proofErr w:type="spellStart"/>
      <w:r w:rsidRPr="008C5533">
        <w:rPr>
          <w:sz w:val="28"/>
          <w:szCs w:val="28"/>
          <w:lang w:val="en-US"/>
        </w:rPr>
        <w:t>Fisman</w:t>
      </w:r>
      <w:proofErr w:type="spellEnd"/>
      <w:r w:rsidRPr="008C5533">
        <w:rPr>
          <w:sz w:val="28"/>
          <w:szCs w:val="28"/>
          <w:lang w:val="en-US"/>
        </w:rPr>
        <w:t>, M</w:t>
      </w:r>
      <w:r w:rsidRPr="008C5533">
        <w:rPr>
          <w:sz w:val="28"/>
          <w:szCs w:val="28"/>
          <w:lang w:val="uk-UA"/>
        </w:rPr>
        <w:t xml:space="preserve">. </w:t>
      </w:r>
      <w:proofErr w:type="spellStart"/>
      <w:r w:rsidRPr="008C5533">
        <w:rPr>
          <w:sz w:val="28"/>
          <w:szCs w:val="28"/>
          <w:lang w:val="en-US"/>
        </w:rPr>
        <w:t>Motro</w:t>
      </w:r>
      <w:proofErr w:type="spellEnd"/>
      <w:r w:rsidRPr="008C5533">
        <w:rPr>
          <w:sz w:val="28"/>
          <w:szCs w:val="28"/>
          <w:lang w:val="uk-UA"/>
        </w:rPr>
        <w:t>,</w:t>
      </w:r>
      <w:r w:rsidRPr="008C5533">
        <w:rPr>
          <w:sz w:val="28"/>
          <w:szCs w:val="28"/>
          <w:lang w:val="en-US"/>
        </w:rPr>
        <w:t xml:space="preserve"> A</w:t>
      </w:r>
      <w:r w:rsidRPr="008C5533">
        <w:rPr>
          <w:sz w:val="28"/>
          <w:szCs w:val="28"/>
          <w:lang w:val="uk-UA"/>
        </w:rPr>
        <w:t>.</w:t>
      </w:r>
      <w:r w:rsidRPr="008C5533">
        <w:rPr>
          <w:sz w:val="28"/>
          <w:szCs w:val="28"/>
          <w:lang w:val="en-US"/>
        </w:rPr>
        <w:t xml:space="preserve"> </w:t>
      </w:r>
      <w:proofErr w:type="spellStart"/>
      <w:r w:rsidRPr="008C5533">
        <w:rPr>
          <w:sz w:val="28"/>
          <w:szCs w:val="28"/>
          <w:lang w:val="en-US"/>
        </w:rPr>
        <w:t>Tenenbaum</w:t>
      </w:r>
      <w:proofErr w:type="spellEnd"/>
      <w:r w:rsidRPr="008C5533">
        <w:rPr>
          <w:sz w:val="28"/>
          <w:szCs w:val="28"/>
          <w:lang w:val="en-US"/>
        </w:rPr>
        <w:t xml:space="preserve"> // Cardiovascular </w:t>
      </w:r>
      <w:proofErr w:type="spellStart"/>
      <w:r w:rsidRPr="008C5533">
        <w:rPr>
          <w:sz w:val="28"/>
          <w:szCs w:val="28"/>
          <w:lang w:val="en-US"/>
        </w:rPr>
        <w:t>Diabetology</w:t>
      </w:r>
      <w:proofErr w:type="spellEnd"/>
      <w:r w:rsidRPr="008C5533">
        <w:rPr>
          <w:sz w:val="28"/>
          <w:szCs w:val="28"/>
          <w:lang w:val="en-US"/>
        </w:rPr>
        <w:t xml:space="preserve">. – 2003. – Vol.2. – P.11-21. </w:t>
      </w:r>
    </w:p>
    <w:p w:rsidR="00BF6DC0" w:rsidRPr="000F4AFB" w:rsidRDefault="00BF6DC0" w:rsidP="00BF6DC0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0F4AFB">
        <w:rPr>
          <w:sz w:val="28"/>
          <w:szCs w:val="28"/>
          <w:lang w:val="en-US"/>
        </w:rPr>
        <w:lastRenderedPageBreak/>
        <w:t>Gadina</w:t>
      </w:r>
      <w:proofErr w:type="spellEnd"/>
      <w:r w:rsidRPr="000F4AFB">
        <w:rPr>
          <w:sz w:val="28"/>
          <w:szCs w:val="28"/>
          <w:lang w:val="en-US"/>
        </w:rPr>
        <w:t xml:space="preserve"> M</w:t>
      </w:r>
      <w:r w:rsidRPr="000F4AFB">
        <w:rPr>
          <w:sz w:val="28"/>
          <w:szCs w:val="28"/>
          <w:lang w:val="uk-UA"/>
        </w:rPr>
        <w:t>.</w:t>
      </w:r>
      <w:r w:rsidRPr="000F4AFB">
        <w:rPr>
          <w:sz w:val="28"/>
          <w:szCs w:val="28"/>
          <w:lang w:val="en-US"/>
        </w:rPr>
        <w:t xml:space="preserve"> New interleukins: are</w:t>
      </w:r>
      <w:r w:rsidRPr="000F4AFB">
        <w:rPr>
          <w:sz w:val="28"/>
          <w:szCs w:val="28"/>
          <w:lang w:val="uk-UA"/>
        </w:rPr>
        <w:t xml:space="preserve"> </w:t>
      </w:r>
      <w:r w:rsidRPr="000F4AFB">
        <w:rPr>
          <w:sz w:val="28"/>
          <w:szCs w:val="28"/>
          <w:lang w:val="en-US"/>
        </w:rPr>
        <w:t xml:space="preserve">there any more? M </w:t>
      </w:r>
      <w:proofErr w:type="spellStart"/>
      <w:r w:rsidRPr="000F4AFB">
        <w:rPr>
          <w:sz w:val="28"/>
          <w:szCs w:val="28"/>
          <w:lang w:val="en-US"/>
        </w:rPr>
        <w:t>Gadina</w:t>
      </w:r>
      <w:proofErr w:type="spellEnd"/>
      <w:r w:rsidRPr="000F4AFB">
        <w:rPr>
          <w:sz w:val="28"/>
          <w:szCs w:val="28"/>
          <w:lang w:val="en-US"/>
        </w:rPr>
        <w:t>, PR Ferguson</w:t>
      </w:r>
      <w:r w:rsidRPr="000F4AFB">
        <w:rPr>
          <w:sz w:val="28"/>
          <w:szCs w:val="28"/>
          <w:lang w:val="uk-UA"/>
        </w:rPr>
        <w:t>,</w:t>
      </w:r>
      <w:r w:rsidRPr="000F4AFB">
        <w:rPr>
          <w:sz w:val="28"/>
          <w:szCs w:val="28"/>
          <w:lang w:val="en-US"/>
        </w:rPr>
        <w:t xml:space="preserve"> JA Johnston // </w:t>
      </w:r>
      <w:proofErr w:type="spellStart"/>
      <w:r w:rsidRPr="000F4AFB">
        <w:rPr>
          <w:sz w:val="28"/>
          <w:szCs w:val="28"/>
          <w:lang w:val="en-US"/>
        </w:rPr>
        <w:t>Curr</w:t>
      </w:r>
      <w:proofErr w:type="spellEnd"/>
      <w:r w:rsidRPr="000F4AFB">
        <w:rPr>
          <w:sz w:val="28"/>
          <w:szCs w:val="28"/>
          <w:lang w:val="en-US"/>
        </w:rPr>
        <w:t xml:space="preserve"> </w:t>
      </w:r>
      <w:proofErr w:type="spellStart"/>
      <w:r w:rsidRPr="000F4AFB">
        <w:rPr>
          <w:sz w:val="28"/>
          <w:szCs w:val="28"/>
          <w:lang w:val="en-US"/>
        </w:rPr>
        <w:t>Opin</w:t>
      </w:r>
      <w:proofErr w:type="spellEnd"/>
      <w:r w:rsidRPr="000F4AFB">
        <w:rPr>
          <w:sz w:val="28"/>
          <w:szCs w:val="28"/>
          <w:lang w:val="en-US"/>
        </w:rPr>
        <w:t xml:space="preserve"> Infect Dis. – 2003. – Vol. 16. – P.211-217.</w:t>
      </w:r>
    </w:p>
    <w:p w:rsidR="00BF6DC0" w:rsidRPr="000F4AFB" w:rsidRDefault="00BF6DC0" w:rsidP="00BF6D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en-US" w:eastAsia="en-US"/>
        </w:rPr>
      </w:pPr>
      <w:proofErr w:type="spellStart"/>
      <w:r w:rsidRPr="000F4AFB">
        <w:rPr>
          <w:sz w:val="28"/>
          <w:szCs w:val="28"/>
          <w:lang w:val="en-US"/>
        </w:rPr>
        <w:t>Mälarstig</w:t>
      </w:r>
      <w:proofErr w:type="spellEnd"/>
      <w:r w:rsidRPr="000F4AFB">
        <w:rPr>
          <w:sz w:val="28"/>
          <w:szCs w:val="28"/>
          <w:lang w:val="en-US"/>
        </w:rPr>
        <w:t xml:space="preserve"> A. Raised interleukin-10 is an indicator of poor outcome and enhanced systemic inflammation in patients with acute coronary syndrome / A. </w:t>
      </w:r>
      <w:proofErr w:type="spellStart"/>
      <w:r w:rsidRPr="000F4AFB">
        <w:rPr>
          <w:sz w:val="28"/>
          <w:szCs w:val="28"/>
          <w:lang w:val="en-US"/>
        </w:rPr>
        <w:t>Mälarstig</w:t>
      </w:r>
      <w:proofErr w:type="spellEnd"/>
      <w:r w:rsidRPr="000F4AFB">
        <w:rPr>
          <w:sz w:val="28"/>
          <w:szCs w:val="28"/>
          <w:lang w:val="en-US"/>
        </w:rPr>
        <w:t xml:space="preserve">, P. Eriksson, A. </w:t>
      </w:r>
      <w:proofErr w:type="spellStart"/>
      <w:r w:rsidRPr="000F4AFB">
        <w:rPr>
          <w:sz w:val="28"/>
          <w:szCs w:val="28"/>
          <w:lang w:val="en-US"/>
        </w:rPr>
        <w:t>Hamsten</w:t>
      </w:r>
      <w:proofErr w:type="spellEnd"/>
      <w:r w:rsidRPr="000F4AFB">
        <w:rPr>
          <w:sz w:val="28"/>
          <w:szCs w:val="28"/>
          <w:lang w:val="en-US"/>
        </w:rPr>
        <w:t xml:space="preserve"> [et al.] // Heart. – 2008. – Vol.94. – P.724-729. </w:t>
      </w:r>
    </w:p>
    <w:p w:rsidR="00BF6DC0" w:rsidRPr="00911C2E" w:rsidRDefault="00BF6DC0" w:rsidP="00BF6DC0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0F4AFB">
        <w:rPr>
          <w:rFonts w:eastAsiaTheme="minorHAnsi"/>
          <w:sz w:val="28"/>
          <w:szCs w:val="28"/>
          <w:lang w:val="en-US" w:eastAsia="en-US"/>
        </w:rPr>
        <w:t>Heeschen</w:t>
      </w:r>
      <w:proofErr w:type="spellEnd"/>
      <w:r w:rsidRPr="000F4AFB">
        <w:rPr>
          <w:rFonts w:eastAsiaTheme="minorHAnsi"/>
          <w:sz w:val="28"/>
          <w:szCs w:val="28"/>
          <w:lang w:val="en-US" w:eastAsia="en-US"/>
        </w:rPr>
        <w:t xml:space="preserve"> C. </w:t>
      </w:r>
      <w:r w:rsidRPr="000F4AFB">
        <w:rPr>
          <w:rFonts w:eastAsiaTheme="minorHAnsi"/>
          <w:bCs/>
          <w:sz w:val="28"/>
          <w:szCs w:val="28"/>
          <w:lang w:val="en-US" w:eastAsia="en-US"/>
        </w:rPr>
        <w:t xml:space="preserve">Serum level of the </w:t>
      </w:r>
      <w:proofErr w:type="spellStart"/>
      <w:r w:rsidRPr="000F4AFB">
        <w:rPr>
          <w:rFonts w:eastAsiaTheme="minorHAnsi"/>
          <w:bCs/>
          <w:sz w:val="28"/>
          <w:szCs w:val="28"/>
          <w:lang w:val="en-US" w:eastAsia="en-US"/>
        </w:rPr>
        <w:t>antiinflammatory</w:t>
      </w:r>
      <w:proofErr w:type="spellEnd"/>
      <w:r w:rsidRPr="000F4AFB">
        <w:rPr>
          <w:rFonts w:eastAsiaTheme="minorHAnsi"/>
          <w:bCs/>
          <w:sz w:val="28"/>
          <w:szCs w:val="28"/>
          <w:lang w:val="en-US" w:eastAsia="en-US"/>
        </w:rPr>
        <w:t xml:space="preserve"> cytokine interleukin-</w:t>
      </w:r>
      <w:r w:rsidRPr="005E1FE4">
        <w:rPr>
          <w:rFonts w:eastAsiaTheme="minorHAnsi"/>
          <w:bCs/>
          <w:sz w:val="28"/>
          <w:szCs w:val="28"/>
          <w:lang w:val="en-US" w:eastAsia="en-US"/>
        </w:rPr>
        <w:t xml:space="preserve">10 is an important prognostic determinant in patients with acute coronary syndromes / </w:t>
      </w:r>
      <w:r w:rsidRPr="005E1FE4">
        <w:rPr>
          <w:rFonts w:eastAsiaTheme="minorHAnsi"/>
          <w:sz w:val="28"/>
          <w:szCs w:val="28"/>
          <w:lang w:val="en-US" w:eastAsia="en-US"/>
        </w:rPr>
        <w:t xml:space="preserve">C </w:t>
      </w:r>
      <w:proofErr w:type="spellStart"/>
      <w:r w:rsidRPr="005E1FE4">
        <w:rPr>
          <w:rFonts w:eastAsiaTheme="minorHAnsi"/>
          <w:sz w:val="28"/>
          <w:szCs w:val="28"/>
          <w:lang w:val="en-US" w:eastAsia="en-US"/>
        </w:rPr>
        <w:t>Heeschen</w:t>
      </w:r>
      <w:proofErr w:type="spellEnd"/>
      <w:r w:rsidRPr="005E1FE4">
        <w:rPr>
          <w:rFonts w:eastAsiaTheme="minorHAnsi"/>
          <w:sz w:val="28"/>
          <w:szCs w:val="28"/>
          <w:lang w:val="en-US" w:eastAsia="en-US"/>
        </w:rPr>
        <w:t xml:space="preserve">, S </w:t>
      </w:r>
      <w:proofErr w:type="spellStart"/>
      <w:r w:rsidRPr="005E1FE4">
        <w:rPr>
          <w:rFonts w:eastAsiaTheme="minorHAnsi"/>
          <w:sz w:val="28"/>
          <w:szCs w:val="28"/>
          <w:lang w:val="en-US" w:eastAsia="en-US"/>
        </w:rPr>
        <w:t>Dimmeler</w:t>
      </w:r>
      <w:proofErr w:type="spellEnd"/>
      <w:r w:rsidRPr="005E1FE4">
        <w:rPr>
          <w:rFonts w:eastAsiaTheme="minorHAnsi"/>
          <w:sz w:val="28"/>
          <w:szCs w:val="28"/>
          <w:lang w:val="en-US" w:eastAsia="en-US"/>
        </w:rPr>
        <w:t xml:space="preserve">, CW Hamm, [et al.] and for the CAPTURE Study Investigators // </w:t>
      </w:r>
      <w:r w:rsidRPr="005E1FE4">
        <w:rPr>
          <w:rFonts w:eastAsiaTheme="minorHAnsi"/>
          <w:iCs/>
          <w:sz w:val="28"/>
          <w:szCs w:val="28"/>
          <w:lang w:val="en-US" w:eastAsia="en-US"/>
        </w:rPr>
        <w:t xml:space="preserve">Circulation. – </w:t>
      </w:r>
      <w:r w:rsidRPr="005E1FE4">
        <w:rPr>
          <w:rFonts w:eastAsiaTheme="minorHAnsi"/>
          <w:sz w:val="28"/>
          <w:szCs w:val="28"/>
          <w:lang w:val="en-US" w:eastAsia="en-US"/>
        </w:rPr>
        <w:t>2003. – Vol.</w:t>
      </w:r>
      <w:r w:rsidRPr="005E1FE4">
        <w:rPr>
          <w:rFonts w:eastAsiaTheme="minorHAnsi"/>
          <w:bCs/>
          <w:sz w:val="28"/>
          <w:szCs w:val="28"/>
          <w:lang w:val="en-US" w:eastAsia="en-US"/>
        </w:rPr>
        <w:t>107. – P.</w:t>
      </w:r>
      <w:r w:rsidRPr="005E1FE4">
        <w:rPr>
          <w:rFonts w:eastAsiaTheme="minorHAnsi"/>
          <w:sz w:val="28"/>
          <w:szCs w:val="28"/>
          <w:lang w:val="en-US" w:eastAsia="en-US"/>
        </w:rPr>
        <w:t>2109-2114.</w:t>
      </w:r>
    </w:p>
    <w:p w:rsidR="00BF6DC0" w:rsidRPr="0025521C" w:rsidRDefault="00BF6DC0" w:rsidP="00BF6DC0">
      <w:pPr>
        <w:pStyle w:val="aa"/>
        <w:numPr>
          <w:ilvl w:val="0"/>
          <w:numId w:val="1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Mancia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G.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Reappraisal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European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guidelines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hypertension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management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a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European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Society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Hypertension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Task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Force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document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G.Mancia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S.Laurent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E.Agabiti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Rosei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[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et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</w:t>
      </w:r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J. </w:t>
      </w:r>
      <w:proofErr w:type="spellStart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Hypertension</w:t>
      </w:r>
      <w:proofErr w:type="spellEnd"/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F2B07">
        <w:rPr>
          <w:rFonts w:ascii="Times New Roman" w:hAnsi="Times New Roman" w:cs="Times New Roman"/>
          <w:sz w:val="28"/>
          <w:szCs w:val="28"/>
        </w:rPr>
        <w:t>–</w:t>
      </w:r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2009. </w:t>
      </w:r>
      <w:r w:rsidRPr="007F2B07">
        <w:rPr>
          <w:rFonts w:ascii="Times New Roman" w:hAnsi="Times New Roman" w:cs="Times New Roman"/>
          <w:sz w:val="28"/>
          <w:szCs w:val="28"/>
        </w:rPr>
        <w:t>–</w:t>
      </w:r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Vol.27. </w:t>
      </w:r>
      <w:r w:rsidRPr="007F2B07">
        <w:rPr>
          <w:rFonts w:ascii="Times New Roman" w:hAnsi="Times New Roman" w:cs="Times New Roman"/>
          <w:sz w:val="28"/>
          <w:szCs w:val="28"/>
        </w:rPr>
        <w:t>–</w:t>
      </w:r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P. 2121</w:t>
      </w:r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Pr="007F2B0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2158.</w:t>
      </w:r>
    </w:p>
    <w:p w:rsidR="00BF6DC0" w:rsidRPr="000F4AFB" w:rsidRDefault="00BF6DC0" w:rsidP="00BF6DC0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val="en-US" w:eastAsia="en-US"/>
        </w:rPr>
      </w:pPr>
      <w:proofErr w:type="spellStart"/>
      <w:r w:rsidRPr="000F4AFB">
        <w:rPr>
          <w:rFonts w:eastAsiaTheme="minorHAnsi"/>
          <w:sz w:val="28"/>
          <w:szCs w:val="28"/>
          <w:lang w:val="en-US" w:eastAsia="en-US"/>
        </w:rPr>
        <w:t>Gunnett</w:t>
      </w:r>
      <w:proofErr w:type="spellEnd"/>
      <w:r w:rsidRPr="000F4AFB">
        <w:rPr>
          <w:rFonts w:eastAsiaTheme="minorHAnsi"/>
          <w:sz w:val="28"/>
          <w:szCs w:val="28"/>
          <w:lang w:val="en-US" w:eastAsia="en-US"/>
        </w:rPr>
        <w:t xml:space="preserve"> CA. </w:t>
      </w:r>
      <w:r w:rsidRPr="000F4AFB">
        <w:rPr>
          <w:rFonts w:eastAsiaTheme="minorHAnsi"/>
          <w:bCs/>
          <w:sz w:val="28"/>
          <w:szCs w:val="28"/>
          <w:lang w:val="en-US" w:eastAsia="en-US"/>
        </w:rPr>
        <w:t xml:space="preserve">Interleukin-10 protects nitric oxide-dependent relaxation during diabetes: role of superoxide / </w:t>
      </w:r>
      <w:r w:rsidRPr="000F4AFB">
        <w:rPr>
          <w:rFonts w:eastAsiaTheme="minorHAnsi"/>
          <w:sz w:val="28"/>
          <w:szCs w:val="28"/>
          <w:lang w:val="en-US" w:eastAsia="en-US"/>
        </w:rPr>
        <w:t xml:space="preserve">CA </w:t>
      </w:r>
      <w:proofErr w:type="spellStart"/>
      <w:r w:rsidRPr="000F4AFB">
        <w:rPr>
          <w:rFonts w:eastAsiaTheme="minorHAnsi"/>
          <w:sz w:val="28"/>
          <w:szCs w:val="28"/>
          <w:lang w:val="en-US" w:eastAsia="en-US"/>
        </w:rPr>
        <w:t>Gunnett</w:t>
      </w:r>
      <w:proofErr w:type="spellEnd"/>
      <w:r w:rsidRPr="000F4AFB">
        <w:rPr>
          <w:rFonts w:eastAsiaTheme="minorHAnsi"/>
          <w:sz w:val="28"/>
          <w:szCs w:val="28"/>
          <w:lang w:val="en-US" w:eastAsia="en-US"/>
        </w:rPr>
        <w:t xml:space="preserve">, DD </w:t>
      </w:r>
      <w:proofErr w:type="spellStart"/>
      <w:r w:rsidRPr="000F4AFB">
        <w:rPr>
          <w:rFonts w:eastAsiaTheme="minorHAnsi"/>
          <w:sz w:val="28"/>
          <w:szCs w:val="28"/>
          <w:lang w:val="en-US" w:eastAsia="en-US"/>
        </w:rPr>
        <w:t>Heistad</w:t>
      </w:r>
      <w:proofErr w:type="spellEnd"/>
      <w:r w:rsidRPr="000F4AFB">
        <w:rPr>
          <w:rFonts w:eastAsiaTheme="minorHAnsi"/>
          <w:sz w:val="28"/>
          <w:szCs w:val="28"/>
          <w:lang w:val="en-US" w:eastAsia="en-US"/>
        </w:rPr>
        <w:t xml:space="preserve"> FM </w:t>
      </w:r>
      <w:proofErr w:type="spellStart"/>
      <w:r w:rsidRPr="000F4AFB">
        <w:rPr>
          <w:rFonts w:eastAsiaTheme="minorHAnsi"/>
          <w:sz w:val="28"/>
          <w:szCs w:val="28"/>
          <w:lang w:val="en-US" w:eastAsia="en-US"/>
        </w:rPr>
        <w:t>Faraci</w:t>
      </w:r>
      <w:proofErr w:type="spellEnd"/>
      <w:r w:rsidRPr="000F4AFB">
        <w:rPr>
          <w:rFonts w:eastAsiaTheme="minorHAnsi"/>
          <w:sz w:val="28"/>
          <w:szCs w:val="28"/>
          <w:lang w:val="en-US" w:eastAsia="en-US"/>
        </w:rPr>
        <w:t xml:space="preserve"> //</w:t>
      </w:r>
      <w:r w:rsidRPr="000F4AFB">
        <w:rPr>
          <w:rFonts w:eastAsiaTheme="minorHAnsi"/>
          <w:iCs/>
          <w:sz w:val="28"/>
          <w:szCs w:val="28"/>
          <w:lang w:val="en-US" w:eastAsia="en-US"/>
        </w:rPr>
        <w:t xml:space="preserve"> Diabetes. – </w:t>
      </w:r>
      <w:r w:rsidRPr="000F4AFB">
        <w:rPr>
          <w:rFonts w:eastAsiaTheme="minorHAnsi"/>
          <w:sz w:val="28"/>
          <w:szCs w:val="28"/>
          <w:lang w:val="en-US" w:eastAsia="en-US"/>
        </w:rPr>
        <w:t>2002. – Vol.</w:t>
      </w:r>
      <w:r w:rsidRPr="000F4AFB">
        <w:rPr>
          <w:rFonts w:eastAsiaTheme="minorHAnsi"/>
          <w:bCs/>
          <w:sz w:val="28"/>
          <w:szCs w:val="28"/>
          <w:lang w:val="en-US" w:eastAsia="en-US"/>
        </w:rPr>
        <w:t>51. – P.</w:t>
      </w:r>
      <w:r w:rsidRPr="000F4AFB">
        <w:rPr>
          <w:rFonts w:eastAsiaTheme="minorHAnsi"/>
          <w:sz w:val="28"/>
          <w:szCs w:val="28"/>
          <w:lang w:val="en-US" w:eastAsia="en-US"/>
        </w:rPr>
        <w:t>1931-1937.</w:t>
      </w:r>
    </w:p>
    <w:p w:rsidR="00BF6DC0" w:rsidRPr="000F4AFB" w:rsidRDefault="00BF6DC0" w:rsidP="00BF6DC0">
      <w:pPr>
        <w:pStyle w:val="a9"/>
        <w:numPr>
          <w:ilvl w:val="0"/>
          <w:numId w:val="1"/>
        </w:numPr>
        <w:tabs>
          <w:tab w:val="left" w:pos="2083"/>
        </w:tabs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  <w:proofErr w:type="spellStart"/>
      <w:r w:rsidRPr="000F4AFB">
        <w:rPr>
          <w:rFonts w:eastAsiaTheme="minorHAnsi"/>
          <w:sz w:val="28"/>
          <w:szCs w:val="28"/>
          <w:lang w:val="en-US" w:eastAsia="en-US"/>
        </w:rPr>
        <w:t>Slavin</w:t>
      </w:r>
      <w:proofErr w:type="spellEnd"/>
      <w:r w:rsidRPr="000F4AFB">
        <w:rPr>
          <w:rFonts w:eastAsiaTheme="minorHAnsi"/>
          <w:sz w:val="28"/>
          <w:szCs w:val="28"/>
          <w:lang w:val="en-US" w:eastAsia="en-US"/>
        </w:rPr>
        <w:t xml:space="preserve"> AJ. </w:t>
      </w:r>
      <w:r w:rsidRPr="000F4AFB">
        <w:rPr>
          <w:rFonts w:eastAsiaTheme="minorHAnsi"/>
          <w:bCs/>
          <w:sz w:val="28"/>
          <w:szCs w:val="28"/>
          <w:lang w:val="en-US" w:eastAsia="en-US"/>
        </w:rPr>
        <w:t xml:space="preserve">Mucosal administration of IL-10 enhances oral tolerance in autoimmune encephalomyelitis and diabetes / </w:t>
      </w:r>
      <w:r w:rsidRPr="000F4AFB">
        <w:rPr>
          <w:rFonts w:eastAsiaTheme="minorHAnsi"/>
          <w:sz w:val="28"/>
          <w:szCs w:val="28"/>
          <w:lang w:val="en-US" w:eastAsia="en-US"/>
        </w:rPr>
        <w:t xml:space="preserve">AJ </w:t>
      </w:r>
      <w:proofErr w:type="spellStart"/>
      <w:r w:rsidRPr="000F4AFB">
        <w:rPr>
          <w:rFonts w:eastAsiaTheme="minorHAnsi"/>
          <w:sz w:val="28"/>
          <w:szCs w:val="28"/>
          <w:lang w:val="en-US" w:eastAsia="en-US"/>
        </w:rPr>
        <w:t>Slavin</w:t>
      </w:r>
      <w:proofErr w:type="spellEnd"/>
      <w:r w:rsidRPr="000F4AFB">
        <w:rPr>
          <w:rFonts w:eastAsiaTheme="minorHAnsi"/>
          <w:sz w:val="28"/>
          <w:szCs w:val="28"/>
          <w:lang w:val="en-US" w:eastAsia="en-US"/>
        </w:rPr>
        <w:t xml:space="preserve">, R </w:t>
      </w:r>
      <w:proofErr w:type="spellStart"/>
      <w:r w:rsidRPr="000F4AFB">
        <w:rPr>
          <w:rFonts w:eastAsiaTheme="minorHAnsi"/>
          <w:sz w:val="28"/>
          <w:szCs w:val="28"/>
          <w:lang w:val="en-US" w:eastAsia="en-US"/>
        </w:rPr>
        <w:t>Maron</w:t>
      </w:r>
      <w:proofErr w:type="spellEnd"/>
      <w:r w:rsidRPr="000F4AFB">
        <w:rPr>
          <w:rFonts w:eastAsiaTheme="minorHAnsi"/>
          <w:sz w:val="28"/>
          <w:szCs w:val="28"/>
          <w:lang w:val="en-US" w:eastAsia="en-US"/>
        </w:rPr>
        <w:t xml:space="preserve">, HL Weiner // </w:t>
      </w:r>
      <w:proofErr w:type="spellStart"/>
      <w:r w:rsidRPr="000F4AFB">
        <w:rPr>
          <w:rFonts w:eastAsiaTheme="minorHAnsi"/>
          <w:iCs/>
          <w:sz w:val="28"/>
          <w:szCs w:val="28"/>
          <w:lang w:val="en-US" w:eastAsia="en-US"/>
        </w:rPr>
        <w:t>Int</w:t>
      </w:r>
      <w:proofErr w:type="spellEnd"/>
      <w:r w:rsidRPr="000F4AFB">
        <w:rPr>
          <w:rFonts w:eastAsiaTheme="minorHAnsi"/>
          <w:iCs/>
          <w:sz w:val="28"/>
          <w:szCs w:val="28"/>
          <w:lang w:val="en-US" w:eastAsia="en-US"/>
        </w:rPr>
        <w:t xml:space="preserve"> </w:t>
      </w:r>
      <w:proofErr w:type="spellStart"/>
      <w:r w:rsidRPr="000F4AFB">
        <w:rPr>
          <w:rFonts w:eastAsiaTheme="minorHAnsi"/>
          <w:iCs/>
          <w:sz w:val="28"/>
          <w:szCs w:val="28"/>
          <w:lang w:val="en-US" w:eastAsia="en-US"/>
        </w:rPr>
        <w:t>Immunol</w:t>
      </w:r>
      <w:proofErr w:type="spellEnd"/>
      <w:r w:rsidRPr="000F4AFB">
        <w:rPr>
          <w:rFonts w:eastAsiaTheme="minorHAnsi"/>
          <w:iCs/>
          <w:sz w:val="28"/>
          <w:szCs w:val="28"/>
          <w:lang w:val="en-US" w:eastAsia="en-US"/>
        </w:rPr>
        <w:t xml:space="preserve">. – </w:t>
      </w:r>
      <w:r w:rsidRPr="000F4AFB">
        <w:rPr>
          <w:rFonts w:eastAsiaTheme="minorHAnsi"/>
          <w:sz w:val="28"/>
          <w:szCs w:val="28"/>
          <w:lang w:val="en-US" w:eastAsia="en-US"/>
        </w:rPr>
        <w:t>2001. – Vol.</w:t>
      </w:r>
      <w:r w:rsidRPr="000F4AFB">
        <w:rPr>
          <w:rFonts w:eastAsiaTheme="minorHAnsi"/>
          <w:bCs/>
          <w:sz w:val="28"/>
          <w:szCs w:val="28"/>
          <w:lang w:val="en-US" w:eastAsia="en-US"/>
        </w:rPr>
        <w:t>13. – P.</w:t>
      </w:r>
      <w:r w:rsidRPr="000F4AFB">
        <w:rPr>
          <w:rFonts w:eastAsiaTheme="minorHAnsi"/>
          <w:sz w:val="28"/>
          <w:szCs w:val="28"/>
          <w:lang w:val="en-US" w:eastAsia="en-US"/>
        </w:rPr>
        <w:t>825-833.</w:t>
      </w:r>
    </w:p>
    <w:p w:rsidR="00BF6DC0" w:rsidRPr="000F4AFB" w:rsidRDefault="00BF6DC0" w:rsidP="00BF6DC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  <w:lang w:val="en-US"/>
        </w:rPr>
      </w:pPr>
      <w:r w:rsidRPr="000F4AFB">
        <w:rPr>
          <w:sz w:val="28"/>
          <w:szCs w:val="18"/>
          <w:lang w:val="en-US"/>
        </w:rPr>
        <w:t>Esposito K. Association of</w:t>
      </w:r>
      <w:r w:rsidRPr="000F4AFB">
        <w:rPr>
          <w:sz w:val="28"/>
          <w:szCs w:val="18"/>
          <w:lang w:val="uk-UA"/>
        </w:rPr>
        <w:t xml:space="preserve"> </w:t>
      </w:r>
      <w:r w:rsidRPr="000F4AFB">
        <w:rPr>
          <w:sz w:val="28"/>
          <w:szCs w:val="18"/>
          <w:lang w:val="en-US"/>
        </w:rPr>
        <w:t>low interleukin-10 levels with the metabolic syndrome in</w:t>
      </w:r>
      <w:r w:rsidRPr="000F4AFB">
        <w:rPr>
          <w:sz w:val="28"/>
          <w:szCs w:val="18"/>
          <w:lang w:val="uk-UA"/>
        </w:rPr>
        <w:t xml:space="preserve"> </w:t>
      </w:r>
      <w:r w:rsidRPr="000F4AFB">
        <w:rPr>
          <w:sz w:val="28"/>
          <w:szCs w:val="18"/>
          <w:lang w:val="en-US"/>
        </w:rPr>
        <w:t>obese women</w:t>
      </w:r>
      <w:r w:rsidRPr="000F4AFB">
        <w:rPr>
          <w:sz w:val="28"/>
          <w:szCs w:val="18"/>
          <w:lang w:val="uk-UA"/>
        </w:rPr>
        <w:t xml:space="preserve"> </w:t>
      </w:r>
      <w:r w:rsidRPr="000F4AFB">
        <w:rPr>
          <w:sz w:val="28"/>
          <w:szCs w:val="18"/>
          <w:lang w:val="en-US"/>
        </w:rPr>
        <w:t xml:space="preserve">/ K. Esposito, A. </w:t>
      </w:r>
      <w:proofErr w:type="spellStart"/>
      <w:r w:rsidRPr="000F4AFB">
        <w:rPr>
          <w:sz w:val="28"/>
          <w:szCs w:val="18"/>
          <w:lang w:val="en-US"/>
        </w:rPr>
        <w:t>Pontillo</w:t>
      </w:r>
      <w:proofErr w:type="spellEnd"/>
      <w:r w:rsidRPr="000F4AFB">
        <w:rPr>
          <w:sz w:val="28"/>
          <w:szCs w:val="18"/>
          <w:lang w:val="en-US"/>
        </w:rPr>
        <w:t xml:space="preserve">, F. </w:t>
      </w:r>
      <w:proofErr w:type="spellStart"/>
      <w:r w:rsidRPr="000F4AFB">
        <w:rPr>
          <w:sz w:val="28"/>
          <w:szCs w:val="18"/>
          <w:lang w:val="en-US"/>
        </w:rPr>
        <w:t>Giugliano</w:t>
      </w:r>
      <w:proofErr w:type="spellEnd"/>
      <w:r w:rsidRPr="000F4AFB">
        <w:rPr>
          <w:sz w:val="28"/>
          <w:szCs w:val="18"/>
          <w:lang w:val="en-US"/>
        </w:rPr>
        <w:t xml:space="preserve">, [et al.] // </w:t>
      </w:r>
      <w:r w:rsidRPr="000F4AFB">
        <w:rPr>
          <w:iCs/>
          <w:sz w:val="28"/>
          <w:szCs w:val="18"/>
          <w:lang w:val="en-US"/>
        </w:rPr>
        <w:t xml:space="preserve">J </w:t>
      </w:r>
      <w:proofErr w:type="spellStart"/>
      <w:r w:rsidRPr="000F4AFB">
        <w:rPr>
          <w:iCs/>
          <w:sz w:val="28"/>
          <w:szCs w:val="18"/>
          <w:lang w:val="en-US"/>
        </w:rPr>
        <w:t>Clin</w:t>
      </w:r>
      <w:proofErr w:type="spellEnd"/>
      <w:r w:rsidRPr="000F4AFB">
        <w:rPr>
          <w:iCs/>
          <w:sz w:val="28"/>
          <w:szCs w:val="18"/>
          <w:lang w:val="en-US"/>
        </w:rPr>
        <w:t xml:space="preserve"> </w:t>
      </w:r>
      <w:proofErr w:type="spellStart"/>
      <w:r w:rsidRPr="000F4AFB">
        <w:rPr>
          <w:iCs/>
          <w:sz w:val="28"/>
          <w:szCs w:val="18"/>
          <w:lang w:val="en-US"/>
        </w:rPr>
        <w:t>Endocrinol</w:t>
      </w:r>
      <w:proofErr w:type="spellEnd"/>
      <w:r w:rsidRPr="000F4AFB">
        <w:rPr>
          <w:iCs/>
          <w:sz w:val="28"/>
          <w:szCs w:val="18"/>
          <w:lang w:val="en-US"/>
        </w:rPr>
        <w:t xml:space="preserve"> </w:t>
      </w:r>
      <w:proofErr w:type="spellStart"/>
      <w:r w:rsidRPr="000F4AFB">
        <w:rPr>
          <w:iCs/>
          <w:sz w:val="28"/>
          <w:szCs w:val="18"/>
          <w:lang w:val="en-US"/>
        </w:rPr>
        <w:t>Metab</w:t>
      </w:r>
      <w:proofErr w:type="spellEnd"/>
      <w:r w:rsidRPr="000F4AFB">
        <w:rPr>
          <w:iCs/>
          <w:sz w:val="28"/>
          <w:szCs w:val="18"/>
          <w:lang w:val="en-US"/>
        </w:rPr>
        <w:t xml:space="preserve">. – </w:t>
      </w:r>
      <w:r w:rsidRPr="000F4AFB">
        <w:rPr>
          <w:sz w:val="28"/>
          <w:szCs w:val="18"/>
          <w:lang w:val="en-US"/>
        </w:rPr>
        <w:t>2003. – Vol.88. – P.1055-</w:t>
      </w:r>
      <w:r w:rsidRPr="000F4AFB">
        <w:rPr>
          <w:sz w:val="28"/>
          <w:szCs w:val="18"/>
          <w:lang w:val="uk-UA"/>
        </w:rPr>
        <w:t>105</w:t>
      </w:r>
      <w:r w:rsidRPr="000F4AFB">
        <w:rPr>
          <w:sz w:val="28"/>
          <w:szCs w:val="18"/>
          <w:lang w:val="en-US"/>
        </w:rPr>
        <w:t>8.</w:t>
      </w:r>
    </w:p>
    <w:p w:rsidR="00BF6DC0" w:rsidRPr="009D1EA0" w:rsidRDefault="00D63967" w:rsidP="00BF6DC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lang w:val="en-US"/>
        </w:rPr>
      </w:pPr>
      <w:hyperlink r:id="rId10" w:history="1">
        <w:proofErr w:type="spellStart"/>
        <w:r w:rsidR="00BF6DC0" w:rsidRPr="000F4AFB">
          <w:rPr>
            <w:rFonts w:eastAsia="Times New Roman"/>
            <w:color w:val="333333"/>
            <w:sz w:val="28"/>
            <w:szCs w:val="28"/>
            <w:lang w:val="en-US"/>
          </w:rPr>
          <w:t>Calcaterra</w:t>
        </w:r>
        <w:proofErr w:type="spellEnd"/>
        <w:r w:rsidR="00BF6DC0" w:rsidRPr="000F4AFB">
          <w:rPr>
            <w:rFonts w:eastAsia="Times New Roman"/>
            <w:color w:val="333333"/>
            <w:sz w:val="28"/>
            <w:szCs w:val="28"/>
            <w:lang w:val="en-US"/>
          </w:rPr>
          <w:t xml:space="preserve"> V</w:t>
        </w:r>
      </w:hyperlink>
      <w:r w:rsidR="00BF6DC0" w:rsidRPr="000F4AFB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BF6DC0" w:rsidRPr="000F4AFB">
        <w:rPr>
          <w:rFonts w:eastAsia="Times New Roman"/>
          <w:bCs/>
          <w:color w:val="000000"/>
          <w:kern w:val="36"/>
          <w:sz w:val="28"/>
          <w:szCs w:val="28"/>
          <w:lang w:val="en-US"/>
        </w:rPr>
        <w:t>Adiponectin</w:t>
      </w:r>
      <w:proofErr w:type="spellEnd"/>
      <w:r w:rsidR="00BF6DC0" w:rsidRPr="000F4AFB">
        <w:rPr>
          <w:rFonts w:eastAsia="Times New Roman"/>
          <w:bCs/>
          <w:color w:val="000000"/>
          <w:kern w:val="36"/>
          <w:sz w:val="28"/>
          <w:szCs w:val="28"/>
          <w:lang w:val="en-US"/>
        </w:rPr>
        <w:t>, IL-10 and metabolic syndrome in obese children and adolescents</w:t>
      </w:r>
      <w:r w:rsidR="00BF6DC0" w:rsidRPr="000F4AFB">
        <w:rPr>
          <w:rFonts w:eastAsia="Times New Roman"/>
          <w:bCs/>
          <w:color w:val="000000"/>
          <w:kern w:val="36"/>
          <w:sz w:val="28"/>
          <w:szCs w:val="28"/>
          <w:lang w:val="uk-UA"/>
        </w:rPr>
        <w:t xml:space="preserve"> /</w:t>
      </w:r>
      <w:r w:rsidR="00BF6DC0" w:rsidRPr="000F4AFB">
        <w:rPr>
          <w:rFonts w:eastAsia="Times New Roman"/>
          <w:color w:val="000000"/>
          <w:sz w:val="28"/>
          <w:szCs w:val="28"/>
          <w:lang w:val="en-US"/>
        </w:rPr>
        <w:t xml:space="preserve"> V. </w:t>
      </w:r>
      <w:hyperlink r:id="rId11" w:history="1">
        <w:proofErr w:type="spellStart"/>
        <w:proofErr w:type="gramStart"/>
        <w:r w:rsidR="00BF6DC0" w:rsidRPr="000F4AFB">
          <w:rPr>
            <w:rFonts w:eastAsia="Times New Roman"/>
            <w:color w:val="333333"/>
            <w:sz w:val="28"/>
            <w:szCs w:val="28"/>
            <w:lang w:val="en-US"/>
          </w:rPr>
          <w:t>Calcaterra</w:t>
        </w:r>
        <w:proofErr w:type="spellEnd"/>
        <w:r w:rsidR="00BF6DC0" w:rsidRPr="000F4AFB">
          <w:rPr>
            <w:rFonts w:eastAsia="Times New Roman"/>
            <w:color w:val="333333"/>
            <w:sz w:val="28"/>
            <w:szCs w:val="28"/>
            <w:lang w:val="en-US"/>
          </w:rPr>
          <w:t xml:space="preserve"> </w:t>
        </w:r>
        <w:proofErr w:type="gramEnd"/>
      </w:hyperlink>
      <w:r w:rsidR="00BF6DC0" w:rsidRPr="000F4AFB">
        <w:rPr>
          <w:rFonts w:eastAsia="Times New Roman"/>
          <w:color w:val="000000"/>
          <w:sz w:val="28"/>
          <w:szCs w:val="28"/>
          <w:lang w:val="en-US"/>
        </w:rPr>
        <w:t xml:space="preserve">, M. </w:t>
      </w:r>
      <w:hyperlink r:id="rId12" w:history="1">
        <w:r w:rsidR="00BF6DC0" w:rsidRPr="000F4AFB">
          <w:rPr>
            <w:rFonts w:eastAsia="Times New Roman"/>
            <w:color w:val="333333"/>
            <w:sz w:val="28"/>
            <w:szCs w:val="28"/>
            <w:lang w:val="en-US"/>
          </w:rPr>
          <w:t>D</w:t>
        </w:r>
        <w:r w:rsidR="00BF6DC0" w:rsidRPr="000F4AFB">
          <w:rPr>
            <w:lang w:val="en-US"/>
          </w:rPr>
          <w:t xml:space="preserve"> </w:t>
        </w:r>
        <w:r w:rsidR="00BF6DC0" w:rsidRPr="000F4AFB">
          <w:rPr>
            <w:rFonts w:eastAsia="Times New Roman"/>
            <w:color w:val="333333"/>
            <w:sz w:val="28"/>
            <w:szCs w:val="28"/>
            <w:lang w:val="en-US"/>
          </w:rPr>
          <w:t xml:space="preserve">e </w:t>
        </w:r>
        <w:proofErr w:type="spellStart"/>
        <w:r w:rsidR="00BF6DC0" w:rsidRPr="000F4AFB">
          <w:rPr>
            <w:rFonts w:eastAsia="Times New Roman"/>
            <w:color w:val="333333"/>
            <w:sz w:val="28"/>
            <w:szCs w:val="28"/>
            <w:lang w:val="en-US"/>
          </w:rPr>
          <w:t>Amici</w:t>
        </w:r>
        <w:proofErr w:type="spellEnd"/>
      </w:hyperlink>
      <w:r w:rsidR="00BF6DC0" w:rsidRPr="000F4AFB">
        <w:rPr>
          <w:rFonts w:eastAsia="Times New Roman"/>
          <w:color w:val="000000"/>
          <w:sz w:val="28"/>
          <w:szCs w:val="28"/>
          <w:lang w:val="en-US"/>
        </w:rPr>
        <w:t xml:space="preserve">, C. </w:t>
      </w:r>
      <w:hyperlink r:id="rId13" w:history="1">
        <w:proofErr w:type="spellStart"/>
        <w:r w:rsidR="00BF6DC0" w:rsidRPr="000F4AFB">
          <w:rPr>
            <w:rFonts w:eastAsia="Times New Roman"/>
            <w:color w:val="333333"/>
            <w:sz w:val="28"/>
            <w:szCs w:val="28"/>
            <w:lang w:val="en-US"/>
          </w:rPr>
          <w:t>Klersy</w:t>
        </w:r>
        <w:proofErr w:type="spellEnd"/>
      </w:hyperlink>
      <w:r w:rsidR="00BF6DC0" w:rsidRPr="000F4AFB">
        <w:rPr>
          <w:rFonts w:eastAsia="Times New Roman"/>
          <w:color w:val="000000"/>
          <w:sz w:val="28"/>
          <w:szCs w:val="28"/>
          <w:lang w:val="en-US"/>
        </w:rPr>
        <w:t>,</w:t>
      </w:r>
      <w:r w:rsidR="00BF6DC0" w:rsidRPr="000F4AFB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BF6DC0" w:rsidRPr="000F4AFB">
        <w:rPr>
          <w:rFonts w:eastAsia="Times New Roman"/>
          <w:color w:val="000000"/>
          <w:sz w:val="28"/>
          <w:szCs w:val="28"/>
          <w:lang w:val="en-US"/>
        </w:rPr>
        <w:t xml:space="preserve">[et </w:t>
      </w:r>
      <w:r w:rsidR="00BF6DC0" w:rsidRPr="009D1EA0">
        <w:rPr>
          <w:rFonts w:eastAsia="Times New Roman"/>
          <w:color w:val="000000"/>
          <w:sz w:val="28"/>
          <w:szCs w:val="28"/>
          <w:lang w:val="en-US"/>
        </w:rPr>
        <w:t xml:space="preserve">al]. // </w:t>
      </w:r>
      <w:hyperlink r:id="rId14" w:tooltip="Acta bio-medica : Atenei Parmensis." w:history="1">
        <w:proofErr w:type="spellStart"/>
        <w:r w:rsidR="00BF6DC0" w:rsidRPr="009D1EA0">
          <w:rPr>
            <w:rFonts w:eastAsia="Times New Roman"/>
            <w:color w:val="333333"/>
            <w:sz w:val="28"/>
            <w:szCs w:val="28"/>
            <w:lang w:val="en-US"/>
          </w:rPr>
          <w:t>Acta</w:t>
        </w:r>
        <w:proofErr w:type="spellEnd"/>
        <w:r w:rsidR="00BF6DC0" w:rsidRPr="009D1EA0">
          <w:rPr>
            <w:rFonts w:eastAsia="Times New Roman"/>
            <w:color w:val="333333"/>
            <w:sz w:val="28"/>
            <w:szCs w:val="28"/>
            <w:lang w:val="en-US"/>
          </w:rPr>
          <w:t xml:space="preserve"> Biomed.</w:t>
        </w:r>
      </w:hyperlink>
      <w:r w:rsidR="00BF6DC0" w:rsidRPr="009D1EA0">
        <w:rPr>
          <w:rFonts w:eastAsia="Times New Roman"/>
          <w:color w:val="000000"/>
          <w:sz w:val="28"/>
          <w:szCs w:val="28"/>
          <w:lang w:val="en-US"/>
        </w:rPr>
        <w:t xml:space="preserve"> – 2009. – </w:t>
      </w:r>
      <w:proofErr w:type="gramStart"/>
      <w:r w:rsidR="00BF6DC0" w:rsidRPr="009D1EA0">
        <w:rPr>
          <w:rFonts w:eastAsia="Times New Roman"/>
          <w:color w:val="000000"/>
          <w:sz w:val="28"/>
          <w:szCs w:val="28"/>
          <w:lang w:val="en-US"/>
        </w:rPr>
        <w:t>Vol.80(</w:t>
      </w:r>
      <w:proofErr w:type="gramEnd"/>
      <w:r w:rsidR="00BF6DC0" w:rsidRPr="009D1EA0">
        <w:rPr>
          <w:rFonts w:eastAsia="Times New Roman"/>
          <w:color w:val="000000"/>
          <w:sz w:val="28"/>
          <w:szCs w:val="28"/>
          <w:lang w:val="en-US"/>
        </w:rPr>
        <w:t>2). – P.117-123.</w:t>
      </w:r>
    </w:p>
    <w:p w:rsidR="00BF6DC0" w:rsidRPr="009D1EA0" w:rsidRDefault="00BF6DC0" w:rsidP="00BF6DC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textAlignment w:val="baseline"/>
        <w:rPr>
          <w:sz w:val="21"/>
          <w:szCs w:val="21"/>
          <w:lang w:val="en-US"/>
        </w:rPr>
      </w:pPr>
      <w:proofErr w:type="spellStart"/>
      <w:r w:rsidRPr="009D1EA0">
        <w:rPr>
          <w:sz w:val="28"/>
          <w:szCs w:val="28"/>
          <w:lang w:val="uk-UA"/>
        </w:rPr>
        <w:lastRenderedPageBreak/>
        <w:t>Straczkowski</w:t>
      </w:r>
      <w:proofErr w:type="spellEnd"/>
      <w:r w:rsidRPr="009D1EA0">
        <w:rPr>
          <w:sz w:val="28"/>
          <w:szCs w:val="28"/>
          <w:lang w:val="uk-UA"/>
        </w:rPr>
        <w:t xml:space="preserve"> M.</w:t>
      </w:r>
      <w:r w:rsidRPr="009D1EA0">
        <w:rPr>
          <w:sz w:val="28"/>
          <w:szCs w:val="28"/>
          <w:lang w:val="en-US"/>
        </w:rPr>
        <w:t xml:space="preserve"> Plasma interleukin-10 concentration is positively related to insulin sensitivity in young healthy individuals / M. </w:t>
      </w:r>
      <w:proofErr w:type="spellStart"/>
      <w:r w:rsidRPr="009D1EA0">
        <w:rPr>
          <w:sz w:val="28"/>
          <w:szCs w:val="28"/>
          <w:lang w:val="en-US"/>
        </w:rPr>
        <w:t>Straczkowski</w:t>
      </w:r>
      <w:proofErr w:type="spellEnd"/>
      <w:r w:rsidRPr="009D1EA0">
        <w:rPr>
          <w:sz w:val="28"/>
          <w:szCs w:val="28"/>
          <w:lang w:val="en-US"/>
        </w:rPr>
        <w:t xml:space="preserve">, I. </w:t>
      </w:r>
      <w:proofErr w:type="spellStart"/>
      <w:r w:rsidRPr="009D1EA0">
        <w:rPr>
          <w:sz w:val="28"/>
          <w:szCs w:val="28"/>
          <w:lang w:val="en-US"/>
        </w:rPr>
        <w:t>Kowalska</w:t>
      </w:r>
      <w:proofErr w:type="spellEnd"/>
      <w:r w:rsidRPr="009D1EA0">
        <w:rPr>
          <w:sz w:val="28"/>
          <w:szCs w:val="28"/>
          <w:lang w:val="en-US"/>
        </w:rPr>
        <w:t xml:space="preserve">, A. </w:t>
      </w:r>
      <w:proofErr w:type="spellStart"/>
      <w:r w:rsidRPr="009D1EA0">
        <w:rPr>
          <w:sz w:val="28"/>
          <w:szCs w:val="28"/>
          <w:lang w:val="en-US"/>
        </w:rPr>
        <w:t>Nokolajul</w:t>
      </w:r>
      <w:proofErr w:type="spellEnd"/>
      <w:r w:rsidRPr="009D1EA0">
        <w:rPr>
          <w:sz w:val="28"/>
          <w:szCs w:val="28"/>
          <w:lang w:val="en-US"/>
        </w:rPr>
        <w:t xml:space="preserve">, [et al.] // Diabetes Care. – 2005. – Vol.28. – P.2036-2037.     </w:t>
      </w:r>
    </w:p>
    <w:p w:rsidR="00BF6DC0" w:rsidRPr="009D1EA0" w:rsidRDefault="00D63967" w:rsidP="00BF6DC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lang w:val="en-US"/>
        </w:rPr>
      </w:pPr>
      <w:hyperlink r:id="rId15" w:history="1">
        <w:proofErr w:type="spellStart"/>
        <w:r w:rsidR="00BF6DC0" w:rsidRPr="009D1EA0">
          <w:rPr>
            <w:rFonts w:eastAsia="Times New Roman"/>
            <w:color w:val="333333"/>
            <w:sz w:val="28"/>
            <w:szCs w:val="28"/>
            <w:lang w:val="en-US"/>
          </w:rPr>
          <w:t>Calcaterra</w:t>
        </w:r>
        <w:proofErr w:type="spellEnd"/>
        <w:r w:rsidR="00BF6DC0" w:rsidRPr="009D1EA0">
          <w:rPr>
            <w:rFonts w:eastAsia="Times New Roman"/>
            <w:color w:val="333333"/>
            <w:sz w:val="28"/>
            <w:szCs w:val="28"/>
            <w:lang w:val="en-US"/>
          </w:rPr>
          <w:t xml:space="preserve"> V</w:t>
        </w:r>
      </w:hyperlink>
      <w:r w:rsidR="00BF6DC0" w:rsidRPr="009D1EA0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BF6DC0" w:rsidRPr="009D1EA0">
        <w:rPr>
          <w:rFonts w:eastAsia="Times New Roman"/>
          <w:bCs/>
          <w:color w:val="000000"/>
          <w:kern w:val="36"/>
          <w:sz w:val="28"/>
          <w:szCs w:val="28"/>
          <w:lang w:val="en-US"/>
        </w:rPr>
        <w:t>Adiponectin</w:t>
      </w:r>
      <w:proofErr w:type="spellEnd"/>
      <w:r w:rsidR="00BF6DC0" w:rsidRPr="009D1EA0">
        <w:rPr>
          <w:rFonts w:eastAsia="Times New Roman"/>
          <w:bCs/>
          <w:color w:val="000000"/>
          <w:kern w:val="36"/>
          <w:sz w:val="28"/>
          <w:szCs w:val="28"/>
          <w:lang w:val="en-US"/>
        </w:rPr>
        <w:t>, IL-10 and metabolic syndrome in obese children and adolescents</w:t>
      </w:r>
      <w:r w:rsidR="00BF6DC0" w:rsidRPr="009D1EA0">
        <w:rPr>
          <w:rFonts w:eastAsia="Times New Roman"/>
          <w:bCs/>
          <w:color w:val="000000"/>
          <w:kern w:val="36"/>
          <w:sz w:val="28"/>
          <w:szCs w:val="28"/>
          <w:lang w:val="uk-UA"/>
        </w:rPr>
        <w:t xml:space="preserve"> /</w:t>
      </w:r>
      <w:r w:rsidR="00BF6DC0" w:rsidRPr="009D1EA0">
        <w:rPr>
          <w:rFonts w:eastAsia="Times New Roman"/>
          <w:color w:val="000000"/>
          <w:sz w:val="28"/>
          <w:szCs w:val="28"/>
          <w:lang w:val="en-US"/>
        </w:rPr>
        <w:t xml:space="preserve"> V. </w:t>
      </w:r>
      <w:hyperlink r:id="rId16" w:history="1">
        <w:proofErr w:type="spellStart"/>
        <w:proofErr w:type="gramStart"/>
        <w:r w:rsidR="00BF6DC0" w:rsidRPr="009D1EA0">
          <w:rPr>
            <w:rFonts w:eastAsia="Times New Roman"/>
            <w:color w:val="333333"/>
            <w:sz w:val="28"/>
            <w:szCs w:val="28"/>
            <w:lang w:val="en-US"/>
          </w:rPr>
          <w:t>Calcaterra</w:t>
        </w:r>
        <w:proofErr w:type="spellEnd"/>
        <w:r w:rsidR="00BF6DC0" w:rsidRPr="009D1EA0">
          <w:rPr>
            <w:rFonts w:eastAsia="Times New Roman"/>
            <w:color w:val="333333"/>
            <w:sz w:val="28"/>
            <w:szCs w:val="28"/>
            <w:lang w:val="en-US"/>
          </w:rPr>
          <w:t xml:space="preserve"> </w:t>
        </w:r>
        <w:proofErr w:type="gramEnd"/>
      </w:hyperlink>
      <w:r w:rsidR="00BF6DC0" w:rsidRPr="009D1EA0">
        <w:rPr>
          <w:rFonts w:eastAsia="Times New Roman"/>
          <w:color w:val="000000"/>
          <w:sz w:val="28"/>
          <w:szCs w:val="28"/>
          <w:lang w:val="en-US"/>
        </w:rPr>
        <w:t xml:space="preserve">, M. </w:t>
      </w:r>
      <w:hyperlink r:id="rId17" w:history="1">
        <w:r w:rsidR="00BF6DC0" w:rsidRPr="009D1EA0">
          <w:rPr>
            <w:rFonts w:eastAsia="Times New Roman"/>
            <w:color w:val="333333"/>
            <w:sz w:val="28"/>
            <w:szCs w:val="28"/>
            <w:lang w:val="en-US"/>
          </w:rPr>
          <w:t>D</w:t>
        </w:r>
        <w:r w:rsidR="00BF6DC0" w:rsidRPr="009D1EA0">
          <w:rPr>
            <w:lang w:val="en-US"/>
          </w:rPr>
          <w:t xml:space="preserve"> </w:t>
        </w:r>
        <w:r w:rsidR="00BF6DC0" w:rsidRPr="009D1EA0">
          <w:rPr>
            <w:rFonts w:eastAsia="Times New Roman"/>
            <w:color w:val="333333"/>
            <w:sz w:val="28"/>
            <w:szCs w:val="28"/>
            <w:lang w:val="en-US"/>
          </w:rPr>
          <w:t xml:space="preserve">e </w:t>
        </w:r>
        <w:proofErr w:type="spellStart"/>
        <w:r w:rsidR="00BF6DC0" w:rsidRPr="009D1EA0">
          <w:rPr>
            <w:rFonts w:eastAsia="Times New Roman"/>
            <w:color w:val="333333"/>
            <w:sz w:val="28"/>
            <w:szCs w:val="28"/>
            <w:lang w:val="en-US"/>
          </w:rPr>
          <w:t>Amici</w:t>
        </w:r>
        <w:proofErr w:type="spellEnd"/>
      </w:hyperlink>
      <w:r w:rsidR="00BF6DC0" w:rsidRPr="009D1EA0">
        <w:rPr>
          <w:rFonts w:eastAsia="Times New Roman"/>
          <w:color w:val="000000"/>
          <w:sz w:val="28"/>
          <w:szCs w:val="28"/>
          <w:lang w:val="en-US"/>
        </w:rPr>
        <w:t xml:space="preserve">, C. </w:t>
      </w:r>
      <w:hyperlink r:id="rId18" w:history="1">
        <w:proofErr w:type="spellStart"/>
        <w:r w:rsidR="00BF6DC0" w:rsidRPr="009D1EA0">
          <w:rPr>
            <w:rFonts w:eastAsia="Times New Roman"/>
            <w:color w:val="333333"/>
            <w:sz w:val="28"/>
            <w:szCs w:val="28"/>
            <w:lang w:val="en-US"/>
          </w:rPr>
          <w:t>Klersy</w:t>
        </w:r>
        <w:proofErr w:type="spellEnd"/>
      </w:hyperlink>
      <w:r w:rsidR="00BF6DC0" w:rsidRPr="009D1EA0">
        <w:rPr>
          <w:rFonts w:eastAsia="Times New Roman"/>
          <w:color w:val="000000"/>
          <w:sz w:val="28"/>
          <w:szCs w:val="28"/>
          <w:lang w:val="en-US"/>
        </w:rPr>
        <w:t>,</w:t>
      </w:r>
      <w:r w:rsidR="00BF6DC0" w:rsidRPr="009D1EA0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BF6DC0" w:rsidRPr="009D1EA0">
        <w:rPr>
          <w:rFonts w:eastAsia="Times New Roman"/>
          <w:color w:val="000000"/>
          <w:sz w:val="28"/>
          <w:szCs w:val="28"/>
          <w:lang w:val="en-US"/>
        </w:rPr>
        <w:t xml:space="preserve">[et al]. // </w:t>
      </w:r>
      <w:hyperlink r:id="rId19" w:tooltip="Acta bio-medica : Atenei Parmensis." w:history="1">
        <w:proofErr w:type="spellStart"/>
        <w:r w:rsidR="00BF6DC0" w:rsidRPr="009D1EA0">
          <w:rPr>
            <w:rFonts w:eastAsia="Times New Roman"/>
            <w:color w:val="333333"/>
            <w:sz w:val="28"/>
            <w:szCs w:val="28"/>
            <w:lang w:val="en-US"/>
          </w:rPr>
          <w:t>Acta</w:t>
        </w:r>
        <w:proofErr w:type="spellEnd"/>
        <w:r w:rsidR="00BF6DC0" w:rsidRPr="009D1EA0">
          <w:rPr>
            <w:rFonts w:eastAsia="Times New Roman"/>
            <w:color w:val="333333"/>
            <w:sz w:val="28"/>
            <w:szCs w:val="28"/>
            <w:lang w:val="en-US"/>
          </w:rPr>
          <w:t xml:space="preserve"> Biomed.</w:t>
        </w:r>
      </w:hyperlink>
      <w:r w:rsidR="00BF6DC0" w:rsidRPr="009D1EA0">
        <w:rPr>
          <w:rFonts w:eastAsia="Times New Roman"/>
          <w:color w:val="000000"/>
          <w:sz w:val="28"/>
          <w:szCs w:val="28"/>
          <w:lang w:val="en-US"/>
        </w:rPr>
        <w:t xml:space="preserve"> – 2009. – </w:t>
      </w:r>
      <w:proofErr w:type="gramStart"/>
      <w:r w:rsidR="00BF6DC0" w:rsidRPr="009D1EA0">
        <w:rPr>
          <w:rFonts w:eastAsia="Times New Roman"/>
          <w:color w:val="000000"/>
          <w:sz w:val="28"/>
          <w:szCs w:val="28"/>
          <w:lang w:val="en-US"/>
        </w:rPr>
        <w:t>Vol.80(</w:t>
      </w:r>
      <w:proofErr w:type="gramEnd"/>
      <w:r w:rsidR="00BF6DC0" w:rsidRPr="009D1EA0">
        <w:rPr>
          <w:rFonts w:eastAsia="Times New Roman"/>
          <w:color w:val="000000"/>
          <w:sz w:val="28"/>
          <w:szCs w:val="28"/>
          <w:lang w:val="en-US"/>
        </w:rPr>
        <w:t>2). – P.117-123.</w:t>
      </w:r>
    </w:p>
    <w:p w:rsidR="00BF6DC0" w:rsidRPr="009D1EA0" w:rsidRDefault="00BF6DC0" w:rsidP="00BF6DC0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textAlignment w:val="baseline"/>
        <w:rPr>
          <w:sz w:val="21"/>
          <w:szCs w:val="21"/>
          <w:lang w:val="en-US"/>
        </w:rPr>
      </w:pPr>
      <w:proofErr w:type="spellStart"/>
      <w:r w:rsidRPr="009D1EA0">
        <w:rPr>
          <w:sz w:val="28"/>
          <w:szCs w:val="28"/>
          <w:lang w:val="uk-UA"/>
        </w:rPr>
        <w:t>Straczkowski</w:t>
      </w:r>
      <w:proofErr w:type="spellEnd"/>
      <w:r w:rsidRPr="009D1EA0">
        <w:rPr>
          <w:sz w:val="28"/>
          <w:szCs w:val="28"/>
          <w:lang w:val="uk-UA"/>
        </w:rPr>
        <w:t xml:space="preserve"> M.</w:t>
      </w:r>
      <w:r w:rsidRPr="009D1EA0">
        <w:rPr>
          <w:sz w:val="28"/>
          <w:szCs w:val="28"/>
          <w:lang w:val="en-US"/>
        </w:rPr>
        <w:t xml:space="preserve"> Plasma interleukin-10 concentration is positively related to insulin sensitivity in young healthy individuals / M. </w:t>
      </w:r>
      <w:proofErr w:type="spellStart"/>
      <w:r w:rsidRPr="009D1EA0">
        <w:rPr>
          <w:sz w:val="28"/>
          <w:szCs w:val="28"/>
          <w:lang w:val="en-US"/>
        </w:rPr>
        <w:t>Straczkowski</w:t>
      </w:r>
      <w:proofErr w:type="spellEnd"/>
      <w:r w:rsidRPr="009D1EA0">
        <w:rPr>
          <w:sz w:val="28"/>
          <w:szCs w:val="28"/>
          <w:lang w:val="en-US"/>
        </w:rPr>
        <w:t xml:space="preserve">, I. </w:t>
      </w:r>
      <w:proofErr w:type="spellStart"/>
      <w:r w:rsidRPr="009D1EA0">
        <w:rPr>
          <w:sz w:val="28"/>
          <w:szCs w:val="28"/>
          <w:lang w:val="en-US"/>
        </w:rPr>
        <w:t>Kowalska</w:t>
      </w:r>
      <w:proofErr w:type="spellEnd"/>
      <w:r w:rsidRPr="009D1EA0">
        <w:rPr>
          <w:sz w:val="28"/>
          <w:szCs w:val="28"/>
          <w:lang w:val="en-US"/>
        </w:rPr>
        <w:t xml:space="preserve">, A. </w:t>
      </w:r>
      <w:proofErr w:type="spellStart"/>
      <w:r w:rsidRPr="009D1EA0">
        <w:rPr>
          <w:sz w:val="28"/>
          <w:szCs w:val="28"/>
          <w:lang w:val="en-US"/>
        </w:rPr>
        <w:t>Nokolajul</w:t>
      </w:r>
      <w:proofErr w:type="spellEnd"/>
      <w:r w:rsidRPr="009D1EA0">
        <w:rPr>
          <w:sz w:val="28"/>
          <w:szCs w:val="28"/>
          <w:lang w:val="en-US"/>
        </w:rPr>
        <w:t xml:space="preserve">, [et al.] // Diabetes Care. – 2005. – Vol.28. – P.2036-2037.     </w:t>
      </w:r>
    </w:p>
    <w:p w:rsidR="00BF6DC0" w:rsidRPr="009D1EA0" w:rsidRDefault="00BF6DC0" w:rsidP="00BF6DC0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9D1EA0">
        <w:rPr>
          <w:sz w:val="28"/>
          <w:szCs w:val="28"/>
          <w:lang w:val="en-US"/>
        </w:rPr>
        <w:t>Exel</w:t>
      </w:r>
      <w:proofErr w:type="spellEnd"/>
      <w:r w:rsidRPr="009D1EA0">
        <w:rPr>
          <w:sz w:val="28"/>
          <w:szCs w:val="28"/>
          <w:lang w:val="en-US"/>
        </w:rPr>
        <w:t xml:space="preserve"> E. Low production capacity of interleukin-10 associates with the metabolic syndrome and type 2 diabetes. The Leiden 85-plus study / E. </w:t>
      </w:r>
      <w:proofErr w:type="spellStart"/>
      <w:r w:rsidRPr="009D1EA0">
        <w:rPr>
          <w:sz w:val="28"/>
          <w:szCs w:val="28"/>
          <w:lang w:val="en-US"/>
        </w:rPr>
        <w:t>Exel</w:t>
      </w:r>
      <w:proofErr w:type="spellEnd"/>
      <w:r w:rsidRPr="009D1EA0">
        <w:rPr>
          <w:sz w:val="28"/>
          <w:szCs w:val="28"/>
          <w:lang w:val="en-US"/>
        </w:rPr>
        <w:t xml:space="preserve">, J. </w:t>
      </w:r>
      <w:proofErr w:type="spellStart"/>
      <w:r w:rsidRPr="009D1EA0">
        <w:rPr>
          <w:sz w:val="28"/>
          <w:szCs w:val="28"/>
          <w:lang w:val="en-US"/>
        </w:rPr>
        <w:t>Gussekloo</w:t>
      </w:r>
      <w:proofErr w:type="spellEnd"/>
      <w:r w:rsidRPr="009D1EA0">
        <w:rPr>
          <w:sz w:val="28"/>
          <w:szCs w:val="28"/>
          <w:lang w:val="en-US"/>
        </w:rPr>
        <w:t xml:space="preserve">, AJM </w:t>
      </w:r>
      <w:proofErr w:type="spellStart"/>
      <w:r w:rsidRPr="009D1EA0">
        <w:rPr>
          <w:sz w:val="28"/>
          <w:szCs w:val="28"/>
          <w:lang w:val="en-US"/>
        </w:rPr>
        <w:t>Craen</w:t>
      </w:r>
      <w:proofErr w:type="spellEnd"/>
      <w:r w:rsidRPr="009D1EA0">
        <w:rPr>
          <w:sz w:val="28"/>
          <w:szCs w:val="28"/>
          <w:lang w:val="en-US"/>
        </w:rPr>
        <w:t xml:space="preserve"> [et al.] // Diabetes. – 2002. – Vol.51. – P.1088-1092.</w:t>
      </w:r>
    </w:p>
    <w:p w:rsidR="00BF6DC0" w:rsidRPr="009D1EA0" w:rsidRDefault="00BF6DC0" w:rsidP="00BF6DC0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9D1EA0">
        <w:rPr>
          <w:sz w:val="28"/>
          <w:szCs w:val="28"/>
          <w:lang w:val="en-US"/>
        </w:rPr>
        <w:t>Shayan</w:t>
      </w:r>
      <w:proofErr w:type="spellEnd"/>
      <w:r w:rsidRPr="009D1EA0">
        <w:rPr>
          <w:sz w:val="28"/>
          <w:szCs w:val="28"/>
          <w:lang w:val="en-US"/>
        </w:rPr>
        <w:t xml:space="preserve"> S. Interleukin-18 gene polymorphism in patients with and without atherosclerotic coronary artery disease / S. </w:t>
      </w:r>
      <w:proofErr w:type="spellStart"/>
      <w:r w:rsidRPr="009D1EA0">
        <w:rPr>
          <w:sz w:val="28"/>
          <w:szCs w:val="28"/>
          <w:lang w:val="en-US"/>
        </w:rPr>
        <w:t>Shayan</w:t>
      </w:r>
      <w:proofErr w:type="spellEnd"/>
      <w:r w:rsidRPr="009D1EA0">
        <w:rPr>
          <w:sz w:val="28"/>
          <w:szCs w:val="28"/>
          <w:lang w:val="en-US"/>
        </w:rPr>
        <w:t xml:space="preserve">, AR. </w:t>
      </w:r>
      <w:proofErr w:type="spellStart"/>
      <w:r w:rsidRPr="009D1EA0">
        <w:rPr>
          <w:sz w:val="28"/>
          <w:szCs w:val="28"/>
          <w:lang w:val="en-US"/>
        </w:rPr>
        <w:t>Abdi</w:t>
      </w:r>
      <w:proofErr w:type="spellEnd"/>
      <w:r w:rsidRPr="009D1EA0">
        <w:rPr>
          <w:sz w:val="28"/>
          <w:szCs w:val="28"/>
          <w:lang w:val="en-US"/>
        </w:rPr>
        <w:t xml:space="preserve">, </w:t>
      </w:r>
      <w:proofErr w:type="spellStart"/>
      <w:r w:rsidRPr="009D1EA0">
        <w:rPr>
          <w:sz w:val="28"/>
          <w:szCs w:val="28"/>
          <w:lang w:val="en-US"/>
        </w:rPr>
        <w:t>Zibaeenezhad</w:t>
      </w:r>
      <w:proofErr w:type="spellEnd"/>
      <w:r w:rsidRPr="009D1EA0">
        <w:rPr>
          <w:sz w:val="28"/>
          <w:szCs w:val="28"/>
          <w:lang w:val="en-US"/>
        </w:rPr>
        <w:t xml:space="preserve"> MJ. [</w:t>
      </w:r>
      <w:proofErr w:type="gramStart"/>
      <w:r w:rsidRPr="009D1EA0">
        <w:rPr>
          <w:sz w:val="28"/>
          <w:szCs w:val="28"/>
          <w:lang w:val="en-US"/>
        </w:rPr>
        <w:t>et</w:t>
      </w:r>
      <w:proofErr w:type="gramEnd"/>
      <w:r w:rsidRPr="009D1EA0">
        <w:rPr>
          <w:sz w:val="28"/>
          <w:szCs w:val="28"/>
          <w:lang w:val="en-US"/>
        </w:rPr>
        <w:t xml:space="preserve"> al.] // Iranian Cardiovascular Research Journal. – 2009. – Vol.3, No.3. – P.158-163.</w:t>
      </w:r>
    </w:p>
    <w:p w:rsidR="00BF6DC0" w:rsidRPr="009D1EA0" w:rsidRDefault="00BF6DC0" w:rsidP="00BF6DC0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NewRomanPSMT"/>
          <w:sz w:val="28"/>
          <w:szCs w:val="28"/>
          <w:lang w:val="en-US"/>
        </w:rPr>
      </w:pPr>
      <w:proofErr w:type="spellStart"/>
      <w:r w:rsidRPr="009D1EA0">
        <w:rPr>
          <w:sz w:val="28"/>
          <w:szCs w:val="28"/>
          <w:bdr w:val="none" w:sz="0" w:space="0" w:color="auto" w:frame="1"/>
          <w:lang w:val="en-US"/>
        </w:rPr>
        <w:t>Jefferis</w:t>
      </w:r>
      <w:proofErr w:type="spellEnd"/>
      <w:r w:rsidRPr="009D1EA0">
        <w:rPr>
          <w:sz w:val="28"/>
          <w:szCs w:val="28"/>
          <w:shd w:val="clear" w:color="auto" w:fill="FFFFFF"/>
          <w:lang w:val="en-US"/>
        </w:rPr>
        <w:t xml:space="preserve"> B. Interleukin-18 and coronary disease: Prospective study and systematic review / B. </w:t>
      </w:r>
      <w:proofErr w:type="spellStart"/>
      <w:r w:rsidRPr="009D1EA0">
        <w:rPr>
          <w:sz w:val="28"/>
          <w:szCs w:val="28"/>
          <w:shd w:val="clear" w:color="auto" w:fill="FFFFFF"/>
          <w:lang w:val="en-US"/>
        </w:rPr>
        <w:t>Jefferis</w:t>
      </w:r>
      <w:proofErr w:type="spellEnd"/>
      <w:r w:rsidRPr="009D1EA0">
        <w:rPr>
          <w:sz w:val="28"/>
          <w:szCs w:val="28"/>
          <w:shd w:val="clear" w:color="auto" w:fill="FFFFFF"/>
          <w:lang w:val="en-US"/>
        </w:rPr>
        <w:t xml:space="preserve">, O. </w:t>
      </w:r>
      <w:proofErr w:type="spellStart"/>
      <w:r w:rsidRPr="009D1EA0">
        <w:rPr>
          <w:sz w:val="28"/>
          <w:szCs w:val="28"/>
          <w:shd w:val="clear" w:color="auto" w:fill="FFFFFF"/>
          <w:lang w:val="en-US"/>
        </w:rPr>
        <w:t>Paracosta</w:t>
      </w:r>
      <w:proofErr w:type="spellEnd"/>
      <w:r w:rsidRPr="009D1EA0">
        <w:rPr>
          <w:sz w:val="28"/>
          <w:szCs w:val="28"/>
          <w:shd w:val="clear" w:color="auto" w:fill="FFFFFF"/>
          <w:lang w:val="en-US"/>
        </w:rPr>
        <w:t>, Owen CG, [</w:t>
      </w:r>
      <w:proofErr w:type="spellStart"/>
      <w:r w:rsidRPr="009D1EA0">
        <w:rPr>
          <w:sz w:val="28"/>
          <w:szCs w:val="28"/>
          <w:shd w:val="clear" w:color="auto" w:fill="FFFFFF"/>
          <w:lang w:val="en-US"/>
        </w:rPr>
        <w:t>etal</w:t>
      </w:r>
      <w:proofErr w:type="spellEnd"/>
      <w:r w:rsidRPr="009D1EA0">
        <w:rPr>
          <w:sz w:val="28"/>
          <w:szCs w:val="28"/>
          <w:shd w:val="clear" w:color="auto" w:fill="FFFFFF"/>
          <w:lang w:val="en-US"/>
        </w:rPr>
        <w:t>.] // Atherosclerosis. – 2011. – Vol.217 (1). – P.227-233.</w:t>
      </w:r>
    </w:p>
    <w:p w:rsidR="00BF6DC0" w:rsidRPr="009D1EA0" w:rsidRDefault="00BF6DC0" w:rsidP="00BF6DC0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val="en-US"/>
        </w:rPr>
      </w:pPr>
      <w:proofErr w:type="spellStart"/>
      <w:r w:rsidRPr="009D1EA0">
        <w:rPr>
          <w:rFonts w:eastAsia="TimesNewRomanPSMT"/>
          <w:sz w:val="28"/>
          <w:szCs w:val="28"/>
          <w:lang w:val="en-US"/>
        </w:rPr>
        <w:t>Tiret</w:t>
      </w:r>
      <w:proofErr w:type="spellEnd"/>
      <w:r w:rsidRPr="009D1EA0">
        <w:rPr>
          <w:rFonts w:eastAsia="TimesNewRomanPSMT"/>
          <w:sz w:val="28"/>
          <w:szCs w:val="28"/>
          <w:lang w:val="en-US"/>
        </w:rPr>
        <w:t xml:space="preserve"> L. Genetic analysis of the interleukin-18 system highlights the role of the interleukin-18 gene in cardiovascular disease / L </w:t>
      </w:r>
      <w:proofErr w:type="spellStart"/>
      <w:r w:rsidRPr="009D1EA0">
        <w:rPr>
          <w:rFonts w:eastAsia="TimesNewRomanPSMT"/>
          <w:sz w:val="28"/>
          <w:szCs w:val="28"/>
          <w:lang w:val="en-US"/>
        </w:rPr>
        <w:t>Tiret</w:t>
      </w:r>
      <w:proofErr w:type="spellEnd"/>
      <w:r w:rsidRPr="009D1EA0">
        <w:rPr>
          <w:rFonts w:eastAsia="TimesNewRomanPSMT"/>
          <w:sz w:val="28"/>
          <w:szCs w:val="28"/>
          <w:lang w:val="en-US"/>
        </w:rPr>
        <w:t xml:space="preserve">, T </w:t>
      </w:r>
      <w:proofErr w:type="spellStart"/>
      <w:r w:rsidRPr="009D1EA0">
        <w:rPr>
          <w:rFonts w:eastAsia="TimesNewRomanPSMT"/>
          <w:sz w:val="28"/>
          <w:szCs w:val="28"/>
          <w:lang w:val="en-US"/>
        </w:rPr>
        <w:t>Godefroy</w:t>
      </w:r>
      <w:proofErr w:type="spellEnd"/>
      <w:r w:rsidRPr="009D1EA0">
        <w:rPr>
          <w:rFonts w:eastAsia="TimesNewRomanPSMT"/>
          <w:sz w:val="28"/>
          <w:szCs w:val="28"/>
          <w:lang w:val="en-US"/>
        </w:rPr>
        <w:t xml:space="preserve">, E </w:t>
      </w:r>
      <w:proofErr w:type="spellStart"/>
      <w:r w:rsidRPr="009D1EA0">
        <w:rPr>
          <w:rFonts w:eastAsia="TimesNewRomanPSMT"/>
          <w:sz w:val="28"/>
          <w:szCs w:val="28"/>
          <w:lang w:val="en-US"/>
        </w:rPr>
        <w:t>Lubos</w:t>
      </w:r>
      <w:proofErr w:type="spellEnd"/>
      <w:r w:rsidRPr="009D1EA0">
        <w:rPr>
          <w:rFonts w:eastAsia="TimesNewRomanPSMT"/>
          <w:sz w:val="28"/>
          <w:szCs w:val="28"/>
          <w:lang w:val="en-US"/>
        </w:rPr>
        <w:t xml:space="preserve">, [et al.] // </w:t>
      </w:r>
      <w:r w:rsidRPr="009D1EA0">
        <w:rPr>
          <w:rFonts w:eastAsia="TimesNewRomanPSMT"/>
          <w:iCs/>
          <w:sz w:val="28"/>
          <w:szCs w:val="28"/>
          <w:lang w:val="en-US"/>
        </w:rPr>
        <w:t>Circulation. –</w:t>
      </w:r>
      <w:r w:rsidRPr="009D1EA0">
        <w:rPr>
          <w:rFonts w:eastAsia="TimesNewRomanPSMT"/>
          <w:i/>
          <w:iCs/>
          <w:sz w:val="28"/>
          <w:szCs w:val="28"/>
          <w:lang w:val="en-US"/>
        </w:rPr>
        <w:t xml:space="preserve"> </w:t>
      </w:r>
      <w:r w:rsidRPr="009D1EA0">
        <w:rPr>
          <w:rFonts w:eastAsia="TimesNewRomanPSMT"/>
          <w:sz w:val="28"/>
          <w:szCs w:val="28"/>
          <w:lang w:val="en-US"/>
        </w:rPr>
        <w:t>2005.  Vol.</w:t>
      </w:r>
      <w:r w:rsidRPr="009D1EA0">
        <w:rPr>
          <w:rFonts w:eastAsia="TimesNewRomanPS-BoldMT"/>
          <w:bCs/>
          <w:sz w:val="28"/>
          <w:szCs w:val="28"/>
          <w:lang w:val="en-US"/>
        </w:rPr>
        <w:t>112. – P.</w:t>
      </w:r>
      <w:r w:rsidRPr="009D1EA0">
        <w:rPr>
          <w:rFonts w:eastAsia="TimesNewRomanPSMT"/>
          <w:sz w:val="28"/>
          <w:szCs w:val="28"/>
          <w:lang w:val="en-US"/>
        </w:rPr>
        <w:t xml:space="preserve">643-650. </w:t>
      </w:r>
    </w:p>
    <w:p w:rsidR="00BF6DC0" w:rsidRPr="009D1EA0" w:rsidRDefault="00BF6DC0" w:rsidP="00BF6DC0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val="uk-UA"/>
        </w:rPr>
      </w:pPr>
      <w:r w:rsidRPr="009D1EA0">
        <w:rPr>
          <w:bCs/>
          <w:sz w:val="28"/>
          <w:szCs w:val="28"/>
          <w:lang w:val="en-US"/>
        </w:rPr>
        <w:t xml:space="preserve">Esposito K. </w:t>
      </w:r>
      <w:r w:rsidRPr="009D1EA0">
        <w:rPr>
          <w:sz w:val="28"/>
          <w:szCs w:val="28"/>
          <w:lang w:val="en-US"/>
        </w:rPr>
        <w:t>Plasma interleukin-18</w:t>
      </w:r>
      <w:r w:rsidRPr="009D1EA0">
        <w:rPr>
          <w:sz w:val="28"/>
          <w:szCs w:val="28"/>
          <w:lang w:val="uk-UA"/>
        </w:rPr>
        <w:t xml:space="preserve"> </w:t>
      </w:r>
      <w:r w:rsidRPr="009D1EA0">
        <w:rPr>
          <w:sz w:val="28"/>
          <w:szCs w:val="28"/>
          <w:lang w:val="en-US"/>
        </w:rPr>
        <w:t xml:space="preserve">concentrations are elevated in type 2 diabetes / </w:t>
      </w:r>
      <w:r w:rsidRPr="009D1EA0">
        <w:rPr>
          <w:bCs/>
          <w:sz w:val="28"/>
          <w:szCs w:val="28"/>
          <w:lang w:val="en-US"/>
        </w:rPr>
        <w:t xml:space="preserve">K Esposito, R </w:t>
      </w:r>
      <w:proofErr w:type="spellStart"/>
      <w:r w:rsidRPr="009D1EA0">
        <w:rPr>
          <w:bCs/>
          <w:sz w:val="28"/>
          <w:szCs w:val="28"/>
          <w:lang w:val="en-US"/>
        </w:rPr>
        <w:t>Marfella</w:t>
      </w:r>
      <w:proofErr w:type="spellEnd"/>
      <w:r w:rsidRPr="009D1EA0">
        <w:rPr>
          <w:bCs/>
          <w:sz w:val="28"/>
          <w:szCs w:val="28"/>
          <w:lang w:val="en-US"/>
        </w:rPr>
        <w:t xml:space="preserve">, D </w:t>
      </w:r>
      <w:proofErr w:type="spellStart"/>
      <w:r w:rsidRPr="009D1EA0">
        <w:rPr>
          <w:bCs/>
          <w:sz w:val="28"/>
          <w:szCs w:val="28"/>
          <w:lang w:val="en-US"/>
        </w:rPr>
        <w:t>Giugliano</w:t>
      </w:r>
      <w:proofErr w:type="spellEnd"/>
      <w:r w:rsidRPr="009D1EA0">
        <w:rPr>
          <w:bCs/>
          <w:sz w:val="28"/>
          <w:szCs w:val="28"/>
          <w:lang w:val="en-US"/>
        </w:rPr>
        <w:t xml:space="preserve"> // </w:t>
      </w:r>
      <w:r w:rsidRPr="009D1EA0">
        <w:rPr>
          <w:iCs/>
          <w:sz w:val="28"/>
          <w:szCs w:val="28"/>
          <w:lang w:val="en-US"/>
        </w:rPr>
        <w:t xml:space="preserve">Diabetes Care. – </w:t>
      </w:r>
      <w:r w:rsidRPr="009D1EA0">
        <w:rPr>
          <w:sz w:val="28"/>
          <w:szCs w:val="28"/>
          <w:lang w:val="en-US"/>
        </w:rPr>
        <w:t>2004. – Vol.27. – P.272.</w:t>
      </w:r>
    </w:p>
    <w:p w:rsidR="00BF6DC0" w:rsidRPr="009D1EA0" w:rsidRDefault="00BF6DC0" w:rsidP="00BF6DC0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9D1EA0">
        <w:rPr>
          <w:bCs/>
          <w:sz w:val="28"/>
          <w:szCs w:val="28"/>
          <w:lang w:val="en-US"/>
        </w:rPr>
        <w:lastRenderedPageBreak/>
        <w:t>Escobar-</w:t>
      </w:r>
      <w:proofErr w:type="spellStart"/>
      <w:r w:rsidRPr="009D1EA0">
        <w:rPr>
          <w:bCs/>
          <w:sz w:val="28"/>
          <w:szCs w:val="28"/>
          <w:lang w:val="en-US"/>
        </w:rPr>
        <w:t>Morreale</w:t>
      </w:r>
      <w:proofErr w:type="spellEnd"/>
      <w:r w:rsidRPr="009D1EA0">
        <w:rPr>
          <w:bCs/>
          <w:sz w:val="28"/>
          <w:szCs w:val="28"/>
          <w:lang w:val="en-US"/>
        </w:rPr>
        <w:t xml:space="preserve"> HF. </w:t>
      </w:r>
      <w:r w:rsidRPr="009D1EA0">
        <w:rPr>
          <w:sz w:val="28"/>
          <w:szCs w:val="28"/>
          <w:lang w:val="en-US"/>
        </w:rPr>
        <w:t>Serum interleukin-18 concentrations</w:t>
      </w:r>
      <w:r w:rsidRPr="009D1EA0">
        <w:rPr>
          <w:sz w:val="28"/>
          <w:szCs w:val="28"/>
          <w:lang w:val="uk-UA"/>
        </w:rPr>
        <w:t xml:space="preserve"> </w:t>
      </w:r>
      <w:r w:rsidRPr="009D1EA0">
        <w:rPr>
          <w:sz w:val="28"/>
          <w:szCs w:val="28"/>
          <w:lang w:val="en-US"/>
        </w:rPr>
        <w:t>are increased in the polycystic ovary syndrome: relationship</w:t>
      </w:r>
      <w:r w:rsidRPr="009D1EA0">
        <w:rPr>
          <w:sz w:val="28"/>
          <w:szCs w:val="28"/>
          <w:lang w:val="uk-UA"/>
        </w:rPr>
        <w:t xml:space="preserve"> </w:t>
      </w:r>
      <w:r w:rsidRPr="009D1EA0">
        <w:rPr>
          <w:sz w:val="28"/>
          <w:szCs w:val="28"/>
          <w:lang w:val="en-US"/>
        </w:rPr>
        <w:t xml:space="preserve">to insulin resistance and to obesity / </w:t>
      </w:r>
      <w:r w:rsidRPr="009D1EA0">
        <w:rPr>
          <w:bCs/>
          <w:sz w:val="28"/>
          <w:szCs w:val="28"/>
          <w:lang w:val="en-US"/>
        </w:rPr>
        <w:t>HF Escobar-</w:t>
      </w:r>
      <w:proofErr w:type="spellStart"/>
      <w:r w:rsidRPr="009D1EA0">
        <w:rPr>
          <w:bCs/>
          <w:sz w:val="28"/>
          <w:szCs w:val="28"/>
          <w:lang w:val="en-US"/>
        </w:rPr>
        <w:t>Morreale</w:t>
      </w:r>
      <w:proofErr w:type="spellEnd"/>
      <w:r w:rsidRPr="009D1EA0">
        <w:rPr>
          <w:bCs/>
          <w:sz w:val="28"/>
          <w:szCs w:val="28"/>
          <w:lang w:val="en-US"/>
        </w:rPr>
        <w:t xml:space="preserve">, JI </w:t>
      </w:r>
      <w:proofErr w:type="spellStart"/>
      <w:r w:rsidRPr="009D1EA0">
        <w:rPr>
          <w:bCs/>
          <w:sz w:val="28"/>
          <w:szCs w:val="28"/>
          <w:lang w:val="en-US"/>
        </w:rPr>
        <w:t>Botella-Carretero</w:t>
      </w:r>
      <w:proofErr w:type="spellEnd"/>
      <w:r w:rsidRPr="009D1EA0">
        <w:rPr>
          <w:bCs/>
          <w:sz w:val="28"/>
          <w:szCs w:val="28"/>
          <w:lang w:val="en-US"/>
        </w:rPr>
        <w:t xml:space="preserve">, G </w:t>
      </w:r>
      <w:proofErr w:type="spellStart"/>
      <w:r w:rsidRPr="009D1EA0">
        <w:rPr>
          <w:bCs/>
          <w:sz w:val="28"/>
          <w:szCs w:val="28"/>
          <w:lang w:val="en-US"/>
        </w:rPr>
        <w:t>Villuendas</w:t>
      </w:r>
      <w:proofErr w:type="spellEnd"/>
      <w:r w:rsidRPr="009D1EA0">
        <w:rPr>
          <w:bCs/>
          <w:sz w:val="28"/>
          <w:szCs w:val="28"/>
          <w:lang w:val="en-US"/>
        </w:rPr>
        <w:t xml:space="preserve">, [et al.] // </w:t>
      </w:r>
      <w:r w:rsidRPr="009D1EA0">
        <w:rPr>
          <w:iCs/>
          <w:sz w:val="28"/>
          <w:szCs w:val="28"/>
          <w:lang w:val="en-US"/>
        </w:rPr>
        <w:t xml:space="preserve">J </w:t>
      </w:r>
      <w:proofErr w:type="spellStart"/>
      <w:r w:rsidRPr="009D1EA0">
        <w:rPr>
          <w:iCs/>
          <w:sz w:val="28"/>
          <w:szCs w:val="28"/>
          <w:lang w:val="en-US"/>
        </w:rPr>
        <w:t>Clin</w:t>
      </w:r>
      <w:proofErr w:type="spellEnd"/>
      <w:r w:rsidRPr="009D1EA0">
        <w:rPr>
          <w:iCs/>
          <w:sz w:val="28"/>
          <w:szCs w:val="28"/>
          <w:lang w:val="en-US"/>
        </w:rPr>
        <w:t xml:space="preserve"> </w:t>
      </w:r>
      <w:proofErr w:type="spellStart"/>
      <w:r w:rsidRPr="009D1EA0">
        <w:rPr>
          <w:iCs/>
          <w:sz w:val="28"/>
          <w:szCs w:val="28"/>
          <w:lang w:val="en-US"/>
        </w:rPr>
        <w:t>Endocrinol</w:t>
      </w:r>
      <w:proofErr w:type="spellEnd"/>
      <w:r w:rsidRPr="009D1EA0">
        <w:rPr>
          <w:iCs/>
          <w:sz w:val="28"/>
          <w:szCs w:val="28"/>
          <w:lang w:val="uk-UA"/>
        </w:rPr>
        <w:t xml:space="preserve"> </w:t>
      </w:r>
      <w:proofErr w:type="spellStart"/>
      <w:r w:rsidRPr="009D1EA0">
        <w:rPr>
          <w:iCs/>
          <w:sz w:val="28"/>
          <w:szCs w:val="28"/>
          <w:lang w:val="en-US"/>
        </w:rPr>
        <w:t>Metab</w:t>
      </w:r>
      <w:proofErr w:type="spellEnd"/>
      <w:r w:rsidRPr="009D1EA0">
        <w:rPr>
          <w:iCs/>
          <w:sz w:val="28"/>
          <w:szCs w:val="28"/>
          <w:lang w:val="en-US"/>
        </w:rPr>
        <w:t xml:space="preserve">. – </w:t>
      </w:r>
      <w:r w:rsidRPr="009D1EA0">
        <w:rPr>
          <w:sz w:val="28"/>
          <w:szCs w:val="28"/>
          <w:lang w:val="en-US"/>
        </w:rPr>
        <w:t>2004. – Vol.89. – P.806-811.</w:t>
      </w:r>
    </w:p>
    <w:p w:rsidR="00BF6DC0" w:rsidRPr="009D1EA0" w:rsidRDefault="00BF6DC0" w:rsidP="00BF6DC0">
      <w:pPr>
        <w:rPr>
          <w:lang w:val="en-US"/>
        </w:rPr>
      </w:pPr>
    </w:p>
    <w:p w:rsidR="00EB01E1" w:rsidRDefault="00EB01E1" w:rsidP="00EB01E1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 w:rsidRPr="00E93348">
        <w:rPr>
          <w:b/>
          <w:sz w:val="28"/>
          <w:szCs w:val="28"/>
          <w:lang w:val="uk-UA"/>
        </w:rPr>
        <w:t>ІНТЕРЛЕЙКІН</w:t>
      </w:r>
      <w:r>
        <w:rPr>
          <w:b/>
          <w:sz w:val="28"/>
          <w:szCs w:val="28"/>
          <w:lang w:val="uk-UA"/>
        </w:rPr>
        <w:t xml:space="preserve">-10 </w:t>
      </w:r>
      <w:r w:rsidRPr="00E93348">
        <w:rPr>
          <w:b/>
          <w:sz w:val="28"/>
          <w:szCs w:val="28"/>
          <w:lang w:val="uk-UA"/>
        </w:rPr>
        <w:t>У ПАЦІЄНТІВ АРТЕРІАЛЬНОЮ ГІПЕРТЕНЗІЄЮ</w:t>
      </w:r>
      <w:r>
        <w:rPr>
          <w:b/>
          <w:sz w:val="28"/>
          <w:szCs w:val="28"/>
          <w:lang w:val="uk-UA"/>
        </w:rPr>
        <w:t xml:space="preserve"> З СУПУТНІМИ ГЛЮКОМЕТАБОЛІЧНИМИ ПОРУШЕННЯМИ </w:t>
      </w:r>
      <w:r w:rsidRPr="00E93348">
        <w:rPr>
          <w:b/>
          <w:sz w:val="28"/>
          <w:szCs w:val="28"/>
          <w:lang w:val="uk-UA"/>
        </w:rPr>
        <w:t xml:space="preserve"> </w:t>
      </w:r>
    </w:p>
    <w:p w:rsidR="00EB01E1" w:rsidRDefault="00EB01E1" w:rsidP="00EB01E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Ащеулова</w:t>
      </w:r>
      <w:proofErr w:type="spellEnd"/>
      <w:r>
        <w:rPr>
          <w:sz w:val="28"/>
          <w:szCs w:val="28"/>
          <w:lang w:val="uk-UA"/>
        </w:rPr>
        <w:t xml:space="preserve"> Т.В., Ковальова О.М., </w:t>
      </w:r>
      <w:proofErr w:type="spellStart"/>
      <w:r>
        <w:rPr>
          <w:sz w:val="28"/>
          <w:szCs w:val="28"/>
          <w:lang w:val="uk-UA"/>
        </w:rPr>
        <w:t>Амбросова</w:t>
      </w:r>
      <w:proofErr w:type="spellEnd"/>
      <w:r>
        <w:rPr>
          <w:sz w:val="28"/>
          <w:szCs w:val="28"/>
          <w:lang w:val="uk-UA"/>
        </w:rPr>
        <w:t xml:space="preserve"> Т.М., </w:t>
      </w:r>
      <w:proofErr w:type="spellStart"/>
      <w:r>
        <w:rPr>
          <w:sz w:val="28"/>
          <w:szCs w:val="28"/>
          <w:lang w:val="uk-UA"/>
        </w:rPr>
        <w:t>Аль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Шекх</w:t>
      </w:r>
      <w:proofErr w:type="spellEnd"/>
      <w:r>
        <w:rPr>
          <w:sz w:val="28"/>
          <w:szCs w:val="28"/>
          <w:lang w:val="uk-UA"/>
        </w:rPr>
        <w:t xml:space="preserve"> Діб Х.Х.</w:t>
      </w:r>
    </w:p>
    <w:p w:rsidR="00EB01E1" w:rsidRDefault="00EB01E1" w:rsidP="00EB01E1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EB01E1" w:rsidRDefault="00EB01E1" w:rsidP="00EB01E1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Метою нашого дослідження було вивчення плазматичної активності протизапального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цитокіну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– ІЛ-10 взаємозв’язку з антропометричними показниками, рівнем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прозапального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цитокіну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– ІЛ-18, параметрами вуглеводного метаболізму у пацієнтів АГ з супутнім ЦД 2 типу. </w:t>
      </w:r>
    </w:p>
    <w:p w:rsidR="00EB01E1" w:rsidRDefault="00EB01E1" w:rsidP="00EB01E1">
      <w:pPr>
        <w:pStyle w:val="2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Пацієнтів АГ було розділено на групи залежно від наявності у них супутнього ЦД 2 типу: 1 група 72 пацієнта (66,0 %) АГ та 2 група 31 пацієнт (34,0 %) АГ з супутнім ЦД 2 типу. </w:t>
      </w:r>
    </w:p>
    <w:p w:rsidR="00EB01E1" w:rsidRPr="00EB01E1" w:rsidRDefault="00EB01E1" w:rsidP="00EB01E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B01E1">
        <w:rPr>
          <w:sz w:val="28"/>
          <w:szCs w:val="28"/>
          <w:lang w:val="uk-UA"/>
        </w:rPr>
        <w:t xml:space="preserve">Отримані нами дані підтверджують гіпотезу про те, що активація протизапального </w:t>
      </w:r>
      <w:proofErr w:type="spellStart"/>
      <w:r w:rsidRPr="00EB01E1">
        <w:rPr>
          <w:sz w:val="28"/>
          <w:szCs w:val="28"/>
          <w:lang w:val="uk-UA"/>
        </w:rPr>
        <w:t>цитокіну</w:t>
      </w:r>
      <w:proofErr w:type="spellEnd"/>
      <w:r w:rsidRPr="00EB01E1">
        <w:rPr>
          <w:sz w:val="28"/>
          <w:szCs w:val="28"/>
          <w:lang w:val="uk-UA"/>
        </w:rPr>
        <w:t xml:space="preserve"> – ІЛ-10 та </w:t>
      </w:r>
      <w:proofErr w:type="spellStart"/>
      <w:r w:rsidRPr="00EB01E1">
        <w:rPr>
          <w:sz w:val="28"/>
          <w:szCs w:val="28"/>
          <w:lang w:val="uk-UA"/>
        </w:rPr>
        <w:t>прозапального</w:t>
      </w:r>
      <w:proofErr w:type="spellEnd"/>
      <w:r w:rsidRPr="00EB01E1">
        <w:rPr>
          <w:sz w:val="28"/>
          <w:szCs w:val="28"/>
          <w:lang w:val="uk-UA"/>
        </w:rPr>
        <w:t xml:space="preserve"> </w:t>
      </w:r>
      <w:proofErr w:type="spellStart"/>
      <w:r w:rsidRPr="00EB01E1">
        <w:rPr>
          <w:sz w:val="28"/>
          <w:szCs w:val="28"/>
          <w:lang w:val="uk-UA"/>
        </w:rPr>
        <w:t>цитокіна</w:t>
      </w:r>
      <w:proofErr w:type="spellEnd"/>
      <w:r w:rsidRPr="00EB01E1">
        <w:rPr>
          <w:sz w:val="28"/>
          <w:szCs w:val="28"/>
          <w:lang w:val="uk-UA"/>
        </w:rPr>
        <w:t xml:space="preserve"> - ІЛ-18 може формувати зв’язок між метаболічними факторами ризику, ЦД 2 типу та АГ. </w:t>
      </w:r>
      <w:r>
        <w:rPr>
          <w:sz w:val="28"/>
          <w:szCs w:val="28"/>
          <w:lang w:val="uk-UA"/>
        </w:rPr>
        <w:t xml:space="preserve">Підвищення вмісту протизапального </w:t>
      </w:r>
      <w:proofErr w:type="spellStart"/>
      <w:r>
        <w:rPr>
          <w:sz w:val="28"/>
          <w:szCs w:val="28"/>
          <w:lang w:val="uk-UA"/>
        </w:rPr>
        <w:t>цитокіну</w:t>
      </w:r>
      <w:proofErr w:type="spellEnd"/>
      <w:r>
        <w:rPr>
          <w:sz w:val="28"/>
          <w:szCs w:val="28"/>
          <w:lang w:val="uk-UA"/>
        </w:rPr>
        <w:t xml:space="preserve"> ІЛ-10 у хворих на АГ з предіабетом може розглядатися як </w:t>
      </w:r>
      <w:proofErr w:type="spellStart"/>
      <w:r>
        <w:rPr>
          <w:sz w:val="28"/>
          <w:szCs w:val="28"/>
          <w:lang w:val="uk-UA"/>
        </w:rPr>
        <w:t>протективна</w:t>
      </w:r>
      <w:proofErr w:type="spellEnd"/>
      <w:r>
        <w:rPr>
          <w:sz w:val="28"/>
          <w:szCs w:val="28"/>
          <w:lang w:val="uk-UA"/>
        </w:rPr>
        <w:t xml:space="preserve"> реакція з метою пригнічення активності протизапальних </w:t>
      </w:r>
      <w:proofErr w:type="spellStart"/>
      <w:r>
        <w:rPr>
          <w:sz w:val="28"/>
          <w:szCs w:val="28"/>
          <w:lang w:val="uk-UA"/>
        </w:rPr>
        <w:t>цитокінів</w:t>
      </w:r>
      <w:proofErr w:type="spellEnd"/>
      <w:r>
        <w:rPr>
          <w:sz w:val="28"/>
          <w:szCs w:val="28"/>
          <w:lang w:val="uk-UA"/>
        </w:rPr>
        <w:t xml:space="preserve">. Зменшення рівню ІЛ-10 у хворих на АГ з ЦД 2 типу та наявність взаємозв’язків між його рівнем та параметрами вуглеводного обміну може підтверджувати патогенетичний зв’язок між низькою концентрацією ІЛ-10 та розвитком ЦД 2 типу.   </w:t>
      </w:r>
      <w:r w:rsidRPr="00C64803">
        <w:rPr>
          <w:sz w:val="28"/>
          <w:szCs w:val="28"/>
          <w:lang w:val="uk-UA"/>
        </w:rPr>
        <w:t xml:space="preserve">  </w:t>
      </w:r>
    </w:p>
    <w:p w:rsidR="00EB01E1" w:rsidRDefault="00EB01E1" w:rsidP="00EB01E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2491D">
        <w:rPr>
          <w:b/>
          <w:sz w:val="28"/>
          <w:szCs w:val="28"/>
          <w:lang w:val="uk-UA"/>
        </w:rPr>
        <w:t>Ключові слова: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імунозапалення</w:t>
      </w:r>
      <w:proofErr w:type="spellEnd"/>
      <w:r>
        <w:rPr>
          <w:sz w:val="28"/>
          <w:szCs w:val="28"/>
          <w:lang w:val="uk-UA"/>
        </w:rPr>
        <w:t xml:space="preserve">, протизапальні </w:t>
      </w:r>
      <w:proofErr w:type="spellStart"/>
      <w:r>
        <w:rPr>
          <w:sz w:val="28"/>
          <w:szCs w:val="28"/>
          <w:lang w:val="uk-UA"/>
        </w:rPr>
        <w:t>цитокіни</w:t>
      </w:r>
      <w:proofErr w:type="spellEnd"/>
      <w:r>
        <w:rPr>
          <w:sz w:val="28"/>
          <w:szCs w:val="28"/>
          <w:lang w:val="uk-UA"/>
        </w:rPr>
        <w:t>, інтерлейкін-10, артеріальна гіпертензія, цукровий діабет 2 типу.</w:t>
      </w:r>
    </w:p>
    <w:p w:rsidR="00123F86" w:rsidRDefault="00123F86">
      <w:pPr>
        <w:rPr>
          <w:lang w:val="uk-UA"/>
        </w:rPr>
      </w:pPr>
    </w:p>
    <w:p w:rsidR="00EB01E1" w:rsidRDefault="00EB01E1">
      <w:pPr>
        <w:rPr>
          <w:lang w:val="uk-UA"/>
        </w:rPr>
      </w:pPr>
    </w:p>
    <w:p w:rsidR="00EB01E1" w:rsidRDefault="00EB01E1" w:rsidP="00171383">
      <w:pPr>
        <w:spacing w:line="360" w:lineRule="auto"/>
        <w:ind w:firstLine="70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INTERLEUKIN-10 IN PATIENTS WITH ARTERIAL HYPERTENSION WITH CONCOMITANT GLUCOMETABOLIC DISORDERS </w:t>
      </w:r>
    </w:p>
    <w:p w:rsidR="00EB01E1" w:rsidRPr="00EB01E1" w:rsidRDefault="00EB01E1" w:rsidP="00171383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en-US"/>
        </w:rPr>
        <w:t>Ashcheulova</w:t>
      </w:r>
      <w:proofErr w:type="spellEnd"/>
      <w:r>
        <w:rPr>
          <w:b/>
          <w:sz w:val="28"/>
          <w:szCs w:val="28"/>
          <w:lang w:val="en-US"/>
        </w:rPr>
        <w:t xml:space="preserve"> T., </w:t>
      </w:r>
      <w:proofErr w:type="spellStart"/>
      <w:r>
        <w:rPr>
          <w:b/>
          <w:sz w:val="28"/>
          <w:szCs w:val="28"/>
          <w:lang w:val="en-US"/>
        </w:rPr>
        <w:t>Kovalyova</w:t>
      </w:r>
      <w:proofErr w:type="spellEnd"/>
      <w:r>
        <w:rPr>
          <w:b/>
          <w:sz w:val="28"/>
          <w:szCs w:val="28"/>
          <w:lang w:val="en-US"/>
        </w:rPr>
        <w:t xml:space="preserve"> O., </w:t>
      </w:r>
      <w:proofErr w:type="spellStart"/>
      <w:r>
        <w:rPr>
          <w:b/>
          <w:sz w:val="28"/>
          <w:szCs w:val="28"/>
          <w:lang w:val="en-US"/>
        </w:rPr>
        <w:t>Ambrosova</w:t>
      </w:r>
      <w:proofErr w:type="spellEnd"/>
      <w:r>
        <w:rPr>
          <w:b/>
          <w:sz w:val="28"/>
          <w:szCs w:val="28"/>
          <w:lang w:val="en-US"/>
        </w:rPr>
        <w:t xml:space="preserve"> T., Al Sheikh </w:t>
      </w:r>
      <w:proofErr w:type="spellStart"/>
      <w:r>
        <w:rPr>
          <w:b/>
          <w:sz w:val="28"/>
          <w:szCs w:val="28"/>
          <w:lang w:val="en-US"/>
        </w:rPr>
        <w:t>Deeb</w:t>
      </w:r>
      <w:proofErr w:type="spellEnd"/>
      <w:r>
        <w:rPr>
          <w:b/>
          <w:sz w:val="28"/>
          <w:szCs w:val="28"/>
          <w:lang w:val="en-US"/>
        </w:rPr>
        <w:t xml:space="preserve"> HH.</w:t>
      </w:r>
    </w:p>
    <w:p w:rsidR="00171383" w:rsidRDefault="00171383" w:rsidP="00171383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171383" w:rsidRDefault="00EB01E1" w:rsidP="00171383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EB01E1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 xml:space="preserve">aim of the study was investigate plasma activity of anti-inflammatory cytokines – IL-10 in relation to anthropometric parameters, </w:t>
      </w:r>
      <w:proofErr w:type="spellStart"/>
      <w:r>
        <w:rPr>
          <w:sz w:val="28"/>
          <w:szCs w:val="28"/>
          <w:lang w:val="en-US"/>
        </w:rPr>
        <w:t>proinflammatory</w:t>
      </w:r>
      <w:proofErr w:type="spellEnd"/>
      <w:r>
        <w:rPr>
          <w:sz w:val="28"/>
          <w:szCs w:val="28"/>
          <w:lang w:val="en-US"/>
        </w:rPr>
        <w:t xml:space="preserve"> cytokine – IL-18 levels, </w:t>
      </w:r>
      <w:r w:rsidR="00171383">
        <w:rPr>
          <w:sz w:val="28"/>
          <w:szCs w:val="28"/>
          <w:lang w:val="en-US"/>
        </w:rPr>
        <w:t>carbohydrates metabolism in patients with AH associated with DM 2 type.</w:t>
      </w:r>
    </w:p>
    <w:p w:rsidR="00171383" w:rsidRDefault="00171383" w:rsidP="00171383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Patients were divided into two groups depend on DM 2 type presence: 1 group 72 patients (66.0 %) with AH, 2 group 31 patient (34.0 %) AH with concomitant DM 2 type.  </w:t>
      </w:r>
    </w:p>
    <w:p w:rsidR="00EB01E1" w:rsidRPr="00F26322" w:rsidRDefault="00171383" w:rsidP="00171383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Obtained data confirm hypothesis that activation of anti-inflammatory cytokine – IL-10 and </w:t>
      </w:r>
      <w:proofErr w:type="spellStart"/>
      <w:r>
        <w:rPr>
          <w:sz w:val="28"/>
          <w:szCs w:val="28"/>
          <w:lang w:val="en-US"/>
        </w:rPr>
        <w:t>proinflammatory</w:t>
      </w:r>
      <w:proofErr w:type="spellEnd"/>
      <w:r>
        <w:rPr>
          <w:sz w:val="28"/>
          <w:szCs w:val="28"/>
          <w:lang w:val="en-US"/>
        </w:rPr>
        <w:t xml:space="preserve"> cytokine – IL-18 can form a link between metabolic risk factors, DM 2 type, and AH. </w:t>
      </w:r>
      <w:r w:rsidR="00EB01E1">
        <w:rPr>
          <w:sz w:val="28"/>
          <w:szCs w:val="28"/>
          <w:lang w:val="en-US"/>
        </w:rPr>
        <w:t xml:space="preserve">Increased content of anti-inflammatory cytokine IL-10 in patients with hypertension and </w:t>
      </w:r>
      <w:proofErr w:type="spellStart"/>
      <w:r w:rsidR="00EB01E1">
        <w:rPr>
          <w:sz w:val="28"/>
          <w:szCs w:val="28"/>
          <w:lang w:val="en-US"/>
        </w:rPr>
        <w:t>prediabetes</w:t>
      </w:r>
      <w:proofErr w:type="spellEnd"/>
      <w:r w:rsidR="00EB01E1">
        <w:rPr>
          <w:sz w:val="28"/>
          <w:szCs w:val="28"/>
          <w:lang w:val="en-US"/>
        </w:rPr>
        <w:t xml:space="preserve"> can be considered as protective reaction to suppress pro-inflammatory cytokines activity. Reduced IL-10 levels in patients with hypertension and DM 2 type and relationships between its levels and carbohydrates metabolism parameters can confirm pathogenic relation of low IL-10 concentration and DM 2 type development.  </w:t>
      </w:r>
    </w:p>
    <w:p w:rsidR="00EB01E1" w:rsidRPr="00EB01E1" w:rsidRDefault="00EB01E1" w:rsidP="00171383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EB01E1" w:rsidRPr="002B4182" w:rsidRDefault="00EB01E1" w:rsidP="00171383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Key words: </w:t>
      </w:r>
      <w:r w:rsidR="00171383" w:rsidRPr="00171383">
        <w:rPr>
          <w:sz w:val="28"/>
          <w:szCs w:val="28"/>
          <w:lang w:val="en-US"/>
        </w:rPr>
        <w:t>immune inflammation, anti-inflammatory</w:t>
      </w:r>
      <w:r w:rsidR="00171383">
        <w:rPr>
          <w:b/>
          <w:sz w:val="28"/>
          <w:szCs w:val="28"/>
          <w:lang w:val="en-US"/>
        </w:rPr>
        <w:t xml:space="preserve"> </w:t>
      </w:r>
      <w:r w:rsidRPr="002B4182">
        <w:rPr>
          <w:sz w:val="28"/>
          <w:szCs w:val="28"/>
          <w:lang w:val="en-US"/>
        </w:rPr>
        <w:t xml:space="preserve">cytokines, interleukin-10, diabetes mellitus 2 type, arterial hypertension. </w:t>
      </w:r>
    </w:p>
    <w:p w:rsidR="00EB01E1" w:rsidRPr="00E148BC" w:rsidRDefault="00EB01E1" w:rsidP="00171383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171383" w:rsidRDefault="00336B3B" w:rsidP="00336B3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И</w:t>
      </w:r>
      <w:r w:rsidR="00171383" w:rsidRPr="00E93348">
        <w:rPr>
          <w:b/>
          <w:sz w:val="28"/>
          <w:szCs w:val="28"/>
          <w:lang w:val="uk-UA"/>
        </w:rPr>
        <w:t>НТЕРЛЕЙК</w:t>
      </w:r>
      <w:r>
        <w:rPr>
          <w:b/>
          <w:sz w:val="28"/>
          <w:szCs w:val="28"/>
          <w:lang w:val="uk-UA"/>
        </w:rPr>
        <w:t>И</w:t>
      </w:r>
      <w:r w:rsidR="00171383" w:rsidRPr="00E93348">
        <w:rPr>
          <w:b/>
          <w:sz w:val="28"/>
          <w:szCs w:val="28"/>
          <w:lang w:val="uk-UA"/>
        </w:rPr>
        <w:t>Н</w:t>
      </w:r>
      <w:r w:rsidR="00171383">
        <w:rPr>
          <w:b/>
          <w:sz w:val="28"/>
          <w:szCs w:val="28"/>
          <w:lang w:val="uk-UA"/>
        </w:rPr>
        <w:t xml:space="preserve">-10 </w:t>
      </w:r>
      <w:r w:rsidR="00171383" w:rsidRPr="00E93348">
        <w:rPr>
          <w:b/>
          <w:sz w:val="28"/>
          <w:szCs w:val="28"/>
          <w:lang w:val="uk-UA"/>
        </w:rPr>
        <w:t>У ПАЦІ</w:t>
      </w:r>
      <w:r>
        <w:rPr>
          <w:b/>
          <w:sz w:val="28"/>
          <w:szCs w:val="28"/>
          <w:lang w:val="uk-UA"/>
        </w:rPr>
        <w:t>Е</w:t>
      </w:r>
      <w:r w:rsidR="00171383" w:rsidRPr="00E93348">
        <w:rPr>
          <w:b/>
          <w:sz w:val="28"/>
          <w:szCs w:val="28"/>
          <w:lang w:val="uk-UA"/>
        </w:rPr>
        <w:t>НТ</w:t>
      </w:r>
      <w:r>
        <w:rPr>
          <w:b/>
          <w:sz w:val="28"/>
          <w:szCs w:val="28"/>
          <w:lang w:val="uk-UA"/>
        </w:rPr>
        <w:t>О</w:t>
      </w:r>
      <w:r w:rsidR="00171383" w:rsidRPr="00E93348">
        <w:rPr>
          <w:b/>
          <w:sz w:val="28"/>
          <w:szCs w:val="28"/>
          <w:lang w:val="uk-UA"/>
        </w:rPr>
        <w:t>В АРТЕР</w:t>
      </w:r>
      <w:r>
        <w:rPr>
          <w:b/>
          <w:sz w:val="28"/>
          <w:szCs w:val="28"/>
          <w:lang w:val="uk-UA"/>
        </w:rPr>
        <w:t>И</w:t>
      </w:r>
      <w:r w:rsidR="00171383" w:rsidRPr="00E93348">
        <w:rPr>
          <w:b/>
          <w:sz w:val="28"/>
          <w:szCs w:val="28"/>
          <w:lang w:val="uk-UA"/>
        </w:rPr>
        <w:t>АЛЬНО</w:t>
      </w:r>
      <w:r>
        <w:rPr>
          <w:b/>
          <w:sz w:val="28"/>
          <w:szCs w:val="28"/>
          <w:lang w:val="uk-UA"/>
        </w:rPr>
        <w:t>Й</w:t>
      </w:r>
      <w:r w:rsidR="00171383" w:rsidRPr="00E93348">
        <w:rPr>
          <w:b/>
          <w:sz w:val="28"/>
          <w:szCs w:val="28"/>
          <w:lang w:val="uk-UA"/>
        </w:rPr>
        <w:t xml:space="preserve"> Г</w:t>
      </w:r>
      <w:r>
        <w:rPr>
          <w:b/>
          <w:sz w:val="28"/>
          <w:szCs w:val="28"/>
          <w:lang w:val="uk-UA"/>
        </w:rPr>
        <w:t>И</w:t>
      </w:r>
      <w:r w:rsidR="00171383" w:rsidRPr="00E93348">
        <w:rPr>
          <w:b/>
          <w:sz w:val="28"/>
          <w:szCs w:val="28"/>
          <w:lang w:val="uk-UA"/>
        </w:rPr>
        <w:t>ПЕРТЕНЗ</w:t>
      </w:r>
      <w:r>
        <w:rPr>
          <w:b/>
          <w:sz w:val="28"/>
          <w:szCs w:val="28"/>
          <w:lang w:val="uk-UA"/>
        </w:rPr>
        <w:t>ИЕЙ С</w:t>
      </w:r>
      <w:r w:rsidR="00171383">
        <w:rPr>
          <w:b/>
          <w:sz w:val="28"/>
          <w:szCs w:val="28"/>
          <w:lang w:val="uk-UA"/>
        </w:rPr>
        <w:t xml:space="preserve"> С</w:t>
      </w:r>
      <w:r>
        <w:rPr>
          <w:b/>
          <w:sz w:val="28"/>
          <w:szCs w:val="28"/>
          <w:lang w:val="uk-UA"/>
        </w:rPr>
        <w:t xml:space="preserve">ОПУТСТВУЮЩИМИ </w:t>
      </w:r>
      <w:r w:rsidR="00171383">
        <w:rPr>
          <w:b/>
          <w:sz w:val="28"/>
          <w:szCs w:val="28"/>
          <w:lang w:val="uk-UA"/>
        </w:rPr>
        <w:t>ГЛЮКОМЕТАБОЛ</w:t>
      </w:r>
      <w:r>
        <w:rPr>
          <w:b/>
          <w:sz w:val="28"/>
          <w:szCs w:val="28"/>
          <w:lang w:val="uk-UA"/>
        </w:rPr>
        <w:t>ИЧЕСКИМИ НАРУШЕНИЯМИ</w:t>
      </w:r>
      <w:r w:rsidR="00171383">
        <w:rPr>
          <w:b/>
          <w:sz w:val="28"/>
          <w:szCs w:val="28"/>
          <w:lang w:val="uk-UA"/>
        </w:rPr>
        <w:t xml:space="preserve"> </w:t>
      </w:r>
      <w:r w:rsidR="00171383" w:rsidRPr="00E93348">
        <w:rPr>
          <w:b/>
          <w:sz w:val="28"/>
          <w:szCs w:val="28"/>
          <w:lang w:val="uk-UA"/>
        </w:rPr>
        <w:t xml:space="preserve"> </w:t>
      </w:r>
    </w:p>
    <w:p w:rsidR="00171383" w:rsidRDefault="00171383" w:rsidP="0017138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Ащеулова</w:t>
      </w:r>
      <w:proofErr w:type="spellEnd"/>
      <w:r>
        <w:rPr>
          <w:sz w:val="28"/>
          <w:szCs w:val="28"/>
          <w:lang w:val="uk-UA"/>
        </w:rPr>
        <w:t xml:space="preserve"> Т.В., Ковал</w:t>
      </w:r>
      <w:r w:rsidR="00336B3B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ва О.</w:t>
      </w:r>
      <w:r w:rsidR="00336B3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Амбросова</w:t>
      </w:r>
      <w:proofErr w:type="spellEnd"/>
      <w:r>
        <w:rPr>
          <w:sz w:val="28"/>
          <w:szCs w:val="28"/>
          <w:lang w:val="uk-UA"/>
        </w:rPr>
        <w:t xml:space="preserve"> Т.</w:t>
      </w:r>
      <w:r w:rsidR="00336B3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Аль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Шекх</w:t>
      </w:r>
      <w:proofErr w:type="spellEnd"/>
      <w:r>
        <w:rPr>
          <w:sz w:val="28"/>
          <w:szCs w:val="28"/>
          <w:lang w:val="uk-UA"/>
        </w:rPr>
        <w:t xml:space="preserve"> Д</w:t>
      </w:r>
      <w:r w:rsidR="00336B3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б Х.Х.</w:t>
      </w:r>
    </w:p>
    <w:p w:rsidR="00171383" w:rsidRDefault="00171383" w:rsidP="00171383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336B3B" w:rsidRDefault="00336B3B" w:rsidP="00171383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</w:pPr>
    </w:p>
    <w:p w:rsidR="00336B3B" w:rsidRDefault="00983318" w:rsidP="00171383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proofErr w:type="gramStart"/>
      <w:r w:rsidRPr="00983318"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 xml:space="preserve">Целью исследования было изучение плазматической активности </w:t>
      </w:r>
      <w:proofErr w:type="spellStart"/>
      <w:r w:rsidRPr="00983318">
        <w:rPr>
          <w:rFonts w:eastAsia="Times New Roman"/>
          <w:color w:val="000000"/>
          <w:sz w:val="28"/>
          <w:szCs w:val="28"/>
          <w:shd w:val="clear" w:color="auto" w:fill="FFFFFF"/>
        </w:rPr>
        <w:t>противоспалительного</w:t>
      </w:r>
      <w:proofErr w:type="spellEnd"/>
      <w:r w:rsidRPr="0098331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3318">
        <w:rPr>
          <w:rFonts w:eastAsia="Times New Roman"/>
          <w:color w:val="000000"/>
          <w:sz w:val="28"/>
          <w:szCs w:val="28"/>
          <w:shd w:val="clear" w:color="auto" w:fill="FFFFFF"/>
        </w:rPr>
        <w:t>цитокина</w:t>
      </w:r>
      <w:proofErr w:type="spellEnd"/>
      <w:r w:rsidRPr="0098331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– ИЛ-10 во взаимосвязи с антропометрическими показателями,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уровнем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провоспалительного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цитокина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– ИЛ-18, параметрами углеводного метаболизма у пациентов АГ с сопутствующим СД 2 типа.  </w:t>
      </w:r>
      <w:proofErr w:type="gramEnd"/>
    </w:p>
    <w:p w:rsidR="00983318" w:rsidRDefault="00983318" w:rsidP="00171383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Пациентов разделили на группы в зависимости от наличия у них сопутствующего СД 2 типа: 1 группа 72 пациента (66,0 %) АГ и 2 группа 31 пациент (34, 0 %) АГ с </w:t>
      </w:r>
      <w:proofErr w:type="gramStart"/>
      <w:r>
        <w:rPr>
          <w:rFonts w:eastAsia="Times New Roman"/>
          <w:color w:val="000000"/>
          <w:sz w:val="28"/>
          <w:szCs w:val="28"/>
          <w:shd w:val="clear" w:color="auto" w:fill="FFFFFF"/>
        </w:rPr>
        <w:t>сопутствующим</w:t>
      </w:r>
      <w:proofErr w:type="gram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СД 2 типа.</w:t>
      </w:r>
    </w:p>
    <w:p w:rsidR="00EB01E1" w:rsidRPr="004871ED" w:rsidRDefault="00983318" w:rsidP="009833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Полученные данные подтверждают гипотезу о том, что активация противовоспалительного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цитокина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– ИЛ-10 и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провоспалительного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цитокина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– ИЛ-18 может формировать связь между метаболическими факторами риска, СД 2 типа и АГ. </w:t>
      </w:r>
      <w:r w:rsidR="00EB01E1">
        <w:rPr>
          <w:sz w:val="28"/>
          <w:szCs w:val="28"/>
        </w:rPr>
        <w:t xml:space="preserve">Повышение содержания противовоспалительного </w:t>
      </w:r>
      <w:proofErr w:type="spellStart"/>
      <w:r w:rsidR="00EB01E1">
        <w:rPr>
          <w:sz w:val="28"/>
          <w:szCs w:val="28"/>
        </w:rPr>
        <w:t>цитокина</w:t>
      </w:r>
      <w:proofErr w:type="spellEnd"/>
      <w:r w:rsidR="00EB01E1">
        <w:rPr>
          <w:sz w:val="28"/>
          <w:szCs w:val="28"/>
        </w:rPr>
        <w:t xml:space="preserve"> – ИЛ-10 у больных АГ с </w:t>
      </w:r>
      <w:proofErr w:type="spellStart"/>
      <w:r w:rsidR="00EB01E1">
        <w:rPr>
          <w:sz w:val="28"/>
          <w:szCs w:val="28"/>
        </w:rPr>
        <w:t>предиабетом</w:t>
      </w:r>
      <w:proofErr w:type="spellEnd"/>
      <w:r w:rsidR="00EB01E1">
        <w:rPr>
          <w:sz w:val="28"/>
          <w:szCs w:val="28"/>
        </w:rPr>
        <w:t xml:space="preserve"> может рассматриваться как </w:t>
      </w:r>
      <w:proofErr w:type="spellStart"/>
      <w:r w:rsidR="00EB01E1">
        <w:rPr>
          <w:sz w:val="28"/>
          <w:szCs w:val="28"/>
        </w:rPr>
        <w:t>протективная</w:t>
      </w:r>
      <w:proofErr w:type="spellEnd"/>
      <w:r w:rsidR="00EB01E1">
        <w:rPr>
          <w:sz w:val="28"/>
          <w:szCs w:val="28"/>
        </w:rPr>
        <w:t xml:space="preserve"> реакция с целью угнетения активности </w:t>
      </w:r>
      <w:proofErr w:type="spellStart"/>
      <w:r w:rsidR="00EB01E1">
        <w:rPr>
          <w:sz w:val="28"/>
          <w:szCs w:val="28"/>
        </w:rPr>
        <w:t>провоспалительных</w:t>
      </w:r>
      <w:proofErr w:type="spellEnd"/>
      <w:r w:rsidR="00EB01E1">
        <w:rPr>
          <w:sz w:val="28"/>
          <w:szCs w:val="28"/>
        </w:rPr>
        <w:t xml:space="preserve"> </w:t>
      </w:r>
      <w:proofErr w:type="spellStart"/>
      <w:r w:rsidR="00EB01E1">
        <w:rPr>
          <w:sz w:val="28"/>
          <w:szCs w:val="28"/>
        </w:rPr>
        <w:t>цитокинов</w:t>
      </w:r>
      <w:proofErr w:type="spellEnd"/>
      <w:r w:rsidR="00EB01E1">
        <w:rPr>
          <w:sz w:val="28"/>
          <w:szCs w:val="28"/>
        </w:rPr>
        <w:t xml:space="preserve">. Уменьшение уровня ИЛ-10 у больных АГ и СД 2 типа и наличие взаимосвязей между его уровнем и параметрами углеводного обмена может быть подтверждением патогенетической связи низкой концентрации ИЛ-10 и развитием СД 2 типа.    </w:t>
      </w:r>
    </w:p>
    <w:p w:rsidR="00EB01E1" w:rsidRDefault="00EB01E1" w:rsidP="00EB01E1">
      <w:pPr>
        <w:spacing w:line="360" w:lineRule="auto"/>
        <w:jc w:val="both"/>
        <w:rPr>
          <w:b/>
          <w:sz w:val="28"/>
          <w:szCs w:val="28"/>
        </w:rPr>
      </w:pPr>
    </w:p>
    <w:p w:rsidR="00EB01E1" w:rsidRPr="007E4D4D" w:rsidRDefault="00EB01E1" w:rsidP="00171383">
      <w:pPr>
        <w:spacing w:line="360" w:lineRule="auto"/>
        <w:ind w:firstLine="708"/>
        <w:jc w:val="both"/>
        <w:rPr>
          <w:sz w:val="28"/>
          <w:szCs w:val="28"/>
        </w:rPr>
      </w:pPr>
      <w:r w:rsidRPr="007E4D4D">
        <w:rPr>
          <w:b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</w:t>
      </w:r>
      <w:proofErr w:type="spellStart"/>
      <w:r w:rsidR="00171383">
        <w:rPr>
          <w:sz w:val="28"/>
          <w:szCs w:val="28"/>
        </w:rPr>
        <w:t>иммуновоспаление</w:t>
      </w:r>
      <w:proofErr w:type="spellEnd"/>
      <w:r w:rsidR="00171383">
        <w:rPr>
          <w:sz w:val="28"/>
          <w:szCs w:val="28"/>
        </w:rPr>
        <w:t xml:space="preserve">, противовоспалительные </w:t>
      </w:r>
      <w:proofErr w:type="spellStart"/>
      <w:r>
        <w:rPr>
          <w:sz w:val="28"/>
          <w:szCs w:val="28"/>
        </w:rPr>
        <w:t>цитокины</w:t>
      </w:r>
      <w:proofErr w:type="spellEnd"/>
      <w:r>
        <w:rPr>
          <w:sz w:val="28"/>
          <w:szCs w:val="28"/>
        </w:rPr>
        <w:t>, интерлейкин-10, сахарный диабет 2 типа, артериальная гипертензия.</w:t>
      </w:r>
    </w:p>
    <w:p w:rsidR="00EB01E1" w:rsidRPr="00EB01E1" w:rsidRDefault="00EB01E1"/>
    <w:sectPr w:rsidR="00EB01E1" w:rsidRPr="00EB01E1" w:rsidSect="00A53B04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1E1" w:rsidRDefault="00EB01E1" w:rsidP="00A53B04">
      <w:r>
        <w:separator/>
      </w:r>
    </w:p>
  </w:endnote>
  <w:endnote w:type="continuationSeparator" w:id="1">
    <w:p w:rsidR="00EB01E1" w:rsidRDefault="00EB01E1" w:rsidP="00A53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1E1" w:rsidRDefault="00EB01E1" w:rsidP="00A53B04">
      <w:r>
        <w:separator/>
      </w:r>
    </w:p>
  </w:footnote>
  <w:footnote w:type="continuationSeparator" w:id="1">
    <w:p w:rsidR="00EB01E1" w:rsidRDefault="00EB01E1" w:rsidP="00A53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391"/>
    </w:sdtPr>
    <w:sdtContent>
      <w:p w:rsidR="00EB01E1" w:rsidRDefault="00D63967">
        <w:pPr>
          <w:pStyle w:val="a7"/>
          <w:jc w:val="right"/>
        </w:pPr>
        <w:fldSimple w:instr=" PAGE   \* MERGEFORMAT ">
          <w:r w:rsidR="00AC2889">
            <w:rPr>
              <w:noProof/>
            </w:rPr>
            <w:t>10</w:t>
          </w:r>
        </w:fldSimple>
      </w:p>
    </w:sdtContent>
  </w:sdt>
  <w:p w:rsidR="00EB01E1" w:rsidRDefault="00EB01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3E33"/>
    <w:multiLevelType w:val="hybridMultilevel"/>
    <w:tmpl w:val="EB7447A0"/>
    <w:lvl w:ilvl="0" w:tplc="D7A6771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0B74CAC"/>
    <w:multiLevelType w:val="hybridMultilevel"/>
    <w:tmpl w:val="4C36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62493"/>
    <w:multiLevelType w:val="hybridMultilevel"/>
    <w:tmpl w:val="C5C48BE0"/>
    <w:lvl w:ilvl="0" w:tplc="B94881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19B"/>
    <w:rsid w:val="0004178B"/>
    <w:rsid w:val="00085595"/>
    <w:rsid w:val="00091F23"/>
    <w:rsid w:val="000A3FBC"/>
    <w:rsid w:val="000C3ECE"/>
    <w:rsid w:val="00123F86"/>
    <w:rsid w:val="00171383"/>
    <w:rsid w:val="001928DD"/>
    <w:rsid w:val="001A00EB"/>
    <w:rsid w:val="00225848"/>
    <w:rsid w:val="00336B3B"/>
    <w:rsid w:val="00336F02"/>
    <w:rsid w:val="00482240"/>
    <w:rsid w:val="00727D4B"/>
    <w:rsid w:val="00774402"/>
    <w:rsid w:val="00776C1D"/>
    <w:rsid w:val="00871AC9"/>
    <w:rsid w:val="0092306A"/>
    <w:rsid w:val="0097627D"/>
    <w:rsid w:val="00983318"/>
    <w:rsid w:val="009A7A12"/>
    <w:rsid w:val="009B1E60"/>
    <w:rsid w:val="009D19DA"/>
    <w:rsid w:val="00A412FC"/>
    <w:rsid w:val="00A45DBA"/>
    <w:rsid w:val="00A53B04"/>
    <w:rsid w:val="00A7712E"/>
    <w:rsid w:val="00A943FF"/>
    <w:rsid w:val="00AC2889"/>
    <w:rsid w:val="00AD07EB"/>
    <w:rsid w:val="00B6642B"/>
    <w:rsid w:val="00BF6DC0"/>
    <w:rsid w:val="00C3655E"/>
    <w:rsid w:val="00C843F7"/>
    <w:rsid w:val="00CF319B"/>
    <w:rsid w:val="00D137F6"/>
    <w:rsid w:val="00D63967"/>
    <w:rsid w:val="00DA5B68"/>
    <w:rsid w:val="00EB01E1"/>
    <w:rsid w:val="00F1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CF319B"/>
  </w:style>
  <w:style w:type="paragraph" w:styleId="a3">
    <w:name w:val="footer"/>
    <w:basedOn w:val="a"/>
    <w:link w:val="a4"/>
    <w:semiHidden/>
    <w:rsid w:val="00871AC9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semiHidden/>
    <w:rsid w:val="00871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71AC9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871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A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AC9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53B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3B0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6DC0"/>
    <w:pPr>
      <w:ind w:left="720"/>
      <w:contextualSpacing/>
    </w:pPr>
  </w:style>
  <w:style w:type="paragraph" w:styleId="aa">
    <w:name w:val="endnote text"/>
    <w:basedOn w:val="a"/>
    <w:link w:val="ab"/>
    <w:semiHidden/>
    <w:rsid w:val="00BF6DC0"/>
    <w:pPr>
      <w:widowControl w:val="0"/>
      <w:autoSpaceDE w:val="0"/>
      <w:autoSpaceDN w:val="0"/>
    </w:pPr>
    <w:rPr>
      <w:rFonts w:ascii="Times" w:eastAsia="Times New Roman" w:hAnsi="Times" w:cs="Times"/>
      <w:sz w:val="20"/>
      <w:szCs w:val="20"/>
      <w:lang w:val="uk-UA"/>
    </w:rPr>
  </w:style>
  <w:style w:type="character" w:customStyle="1" w:styleId="ab">
    <w:name w:val="Текст концевой сноски Знак"/>
    <w:basedOn w:val="a0"/>
    <w:link w:val="aa"/>
    <w:semiHidden/>
    <w:rsid w:val="00BF6DC0"/>
    <w:rPr>
      <w:rFonts w:ascii="Times" w:eastAsia="Times New Roman" w:hAnsi="Times" w:cs="Times"/>
      <w:sz w:val="20"/>
      <w:szCs w:val="20"/>
      <w:lang w:val="uk-UA" w:eastAsia="ru-RU"/>
    </w:rPr>
  </w:style>
  <w:style w:type="character" w:customStyle="1" w:styleId="apple-style-span">
    <w:name w:val="apple-style-span"/>
    <w:basedOn w:val="a0"/>
    <w:rsid w:val="00BF6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ncbi.nlm.nih.gov/pubmed?term=%22Klersy%20C%22%5BAuthor%5D" TargetMode="External"/><Relationship Id="rId18" Type="http://schemas.openxmlformats.org/officeDocument/2006/relationships/hyperlink" Target="http://www.ncbi.nlm.nih.gov/pubmed?term=%22Klersy%20C%22%5BAuthor%5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?term=%22De%20Amici%20M%22%5BAuthor%5D" TargetMode="External"/><Relationship Id="rId17" Type="http://schemas.openxmlformats.org/officeDocument/2006/relationships/hyperlink" Target="http://www.ncbi.nlm.nih.gov/pubmed?term=%22De%20Amici%20M%22%5BAuthor%5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?term=%22Calcaterra%20V%22%5BAuthor%5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?term=%22Calcaterra%20V%22%5BAuthor%5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%22Calcaterra%20V%22%5BAuthor%5D" TargetMode="External"/><Relationship Id="rId10" Type="http://schemas.openxmlformats.org/officeDocument/2006/relationships/hyperlink" Target="http://www.ncbi.nlm.nih.gov/pubmed?term=%22Calcaterra%20V%22%5BAuthor%5D" TargetMode="External"/><Relationship Id="rId19" Type="http://schemas.openxmlformats.org/officeDocument/2006/relationships/hyperlink" Target="http://www.ncbi.nlm.nih.gov/sites/entrez?Db=pubmed&amp;Cmd=Retrieve&amp;list_uids=19848048&amp;dopt=abstractplus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ncbi.nlm.nih.gov/sites/entrez?Db=pubmed&amp;Cmd=Retrieve&amp;list_uids=19848048&amp;dopt=abstractplus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32685714731865778"/>
          <c:y val="4.0082330849934601E-2"/>
          <c:w val="0.67314285714285982"/>
          <c:h val="0.77871061359867844"/>
        </c:manualLayout>
      </c:layout>
      <c:bar3DChart>
        <c:barDir val="col"/>
        <c:grouping val="clustered"/>
        <c:ser>
          <c:idx val="0"/>
          <c:order val="0"/>
          <c:tx>
            <c:strRef>
              <c:f>'Диаграммы общ'!$B$4</c:f>
              <c:strCache>
                <c:ptCount val="1"/>
                <c:pt idx="0">
                  <c:v>Контроль</c:v>
                </c:pt>
              </c:strCache>
            </c:strRef>
          </c:tx>
          <c:spPr>
            <a:solidFill>
              <a:srgbClr val="FFFFFF"/>
            </a:solidFill>
            <a:ln w="25389">
              <a:solidFill>
                <a:srgbClr val="000000"/>
              </a:solidFill>
              <a:prstDash val="solid"/>
            </a:ln>
          </c:spPr>
          <c:cat>
            <c:strRef>
              <c:f>'Диаграммы общ'!$A$5:$A$6</c:f>
              <c:strCache>
                <c:ptCount val="2"/>
                <c:pt idx="0">
                  <c:v>ІЛ-18</c:v>
                </c:pt>
                <c:pt idx="1">
                  <c:v>ІЛ-10</c:v>
                </c:pt>
              </c:strCache>
            </c:strRef>
          </c:cat>
          <c:val>
            <c:numRef>
              <c:f>'Диаграммы общ'!$B$5:$B$6</c:f>
              <c:numCache>
                <c:formatCode>General</c:formatCode>
                <c:ptCount val="2"/>
                <c:pt idx="0">
                  <c:v>85</c:v>
                </c:pt>
                <c:pt idx="1">
                  <c:v>61.5</c:v>
                </c:pt>
              </c:numCache>
            </c:numRef>
          </c:val>
        </c:ser>
        <c:ser>
          <c:idx val="1"/>
          <c:order val="1"/>
          <c:tx>
            <c:strRef>
              <c:f>'Диаграммы общ'!$C$4</c:f>
              <c:strCache>
                <c:ptCount val="1"/>
                <c:pt idx="0">
                  <c:v>АГ</c:v>
                </c:pt>
              </c:strCache>
            </c:strRef>
          </c:tx>
          <c:spPr>
            <a:pattFill prst="wdUpDiag">
              <a:fgClr>
                <a:srgbClr val="000000"/>
              </a:fgClr>
              <a:bgClr>
                <a:srgbClr val="FFFFFF"/>
              </a:bgClr>
            </a:pattFill>
            <a:ln w="25389">
              <a:solidFill>
                <a:srgbClr val="000000"/>
              </a:solidFill>
              <a:prstDash val="solid"/>
            </a:ln>
          </c:spPr>
          <c:cat>
            <c:strRef>
              <c:f>'Диаграммы общ'!$A$5:$A$6</c:f>
              <c:strCache>
                <c:ptCount val="2"/>
                <c:pt idx="0">
                  <c:v>ІЛ-18</c:v>
                </c:pt>
                <c:pt idx="1">
                  <c:v>ІЛ-10</c:v>
                </c:pt>
              </c:strCache>
            </c:strRef>
          </c:cat>
          <c:val>
            <c:numRef>
              <c:f>'Диаграммы общ'!$C$5:$C$6</c:f>
              <c:numCache>
                <c:formatCode>General</c:formatCode>
                <c:ptCount val="2"/>
                <c:pt idx="0">
                  <c:v>180</c:v>
                </c:pt>
                <c:pt idx="1">
                  <c:v>90.3</c:v>
                </c:pt>
              </c:numCache>
            </c:numRef>
          </c:val>
        </c:ser>
        <c:ser>
          <c:idx val="2"/>
          <c:order val="2"/>
          <c:tx>
            <c:strRef>
              <c:f>'Диаграммы общ'!$D$4</c:f>
              <c:strCache>
                <c:ptCount val="1"/>
                <c:pt idx="0">
                  <c:v>АГ+ЦД</c:v>
                </c:pt>
              </c:strCache>
            </c:strRef>
          </c:tx>
          <c:spPr>
            <a:solidFill>
              <a:srgbClr val="C0C0C0"/>
            </a:solidFill>
            <a:ln w="25389">
              <a:solidFill>
                <a:srgbClr val="000000"/>
              </a:solidFill>
              <a:prstDash val="solid"/>
            </a:ln>
          </c:spPr>
          <c:cat>
            <c:strRef>
              <c:f>'Диаграммы общ'!$A$5:$A$6</c:f>
              <c:strCache>
                <c:ptCount val="2"/>
                <c:pt idx="0">
                  <c:v>ІЛ-18</c:v>
                </c:pt>
                <c:pt idx="1">
                  <c:v>ІЛ-10</c:v>
                </c:pt>
              </c:strCache>
            </c:strRef>
          </c:cat>
          <c:val>
            <c:numRef>
              <c:f>'Диаграммы общ'!$D$5:$D$6</c:f>
              <c:numCache>
                <c:formatCode>General</c:formatCode>
                <c:ptCount val="2"/>
                <c:pt idx="0">
                  <c:v>150</c:v>
                </c:pt>
                <c:pt idx="1">
                  <c:v>78.540000000000006</c:v>
                </c:pt>
              </c:numCache>
            </c:numRef>
          </c:val>
        </c:ser>
        <c:shape val="box"/>
        <c:axId val="90509312"/>
        <c:axId val="90510848"/>
        <c:axId val="0"/>
      </c:bar3DChart>
      <c:catAx>
        <c:axId val="90509312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0510848"/>
        <c:crosses val="autoZero"/>
        <c:auto val="1"/>
        <c:lblAlgn val="ctr"/>
        <c:lblOffset val="100"/>
        <c:tickLblSkip val="1"/>
        <c:tickMarkSkip val="1"/>
      </c:catAx>
      <c:valAx>
        <c:axId val="90510848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3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000"/>
                  <a:t>концентрація,
пг/мл</a:t>
                </a:r>
              </a:p>
            </c:rich>
          </c:tx>
          <c:layout>
            <c:manualLayout>
              <c:xMode val="edge"/>
              <c:yMode val="edge"/>
              <c:x val="0.29492306391063239"/>
              <c:y val="2.44324970131422E-3"/>
            </c:manualLayout>
          </c:layout>
          <c:spPr>
            <a:noFill/>
            <a:ln w="25389">
              <a:noFill/>
            </a:ln>
          </c:spPr>
        </c:title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0509312"/>
        <c:crosses val="autoZero"/>
        <c:crossBetween val="between"/>
      </c:valAx>
      <c:spPr>
        <a:noFill/>
        <a:ln w="25389">
          <a:noFill/>
        </a:ln>
      </c:spPr>
    </c:plotArea>
    <c:legend>
      <c:legendPos val="r"/>
      <c:layout>
        <c:manualLayout>
          <c:xMode val="edge"/>
          <c:yMode val="edge"/>
          <c:x val="0.35885714285714287"/>
          <c:y val="0.90635451505016718"/>
          <c:w val="0.28000000000000008"/>
          <c:h val="9.6989966555184048E-2"/>
        </c:manualLayout>
      </c:layout>
      <c:spPr>
        <a:noFill/>
        <a:ln w="25389">
          <a:noFill/>
        </a:ln>
      </c:spPr>
      <c:txPr>
        <a:bodyPr/>
        <a:lstStyle/>
        <a:p>
          <a:pPr>
            <a:defRPr sz="128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32522059349768201"/>
          <c:y val="3.8134707287933188E-2"/>
          <c:w val="0.67314285714285904"/>
          <c:h val="0.77871061359867699"/>
        </c:manualLayout>
      </c:layout>
      <c:bar3DChart>
        <c:barDir val="col"/>
        <c:grouping val="clustered"/>
        <c:ser>
          <c:idx val="0"/>
          <c:order val="0"/>
          <c:tx>
            <c:strRef>
              <c:f>'Диаграммы общ'!$B$4</c:f>
              <c:strCache>
                <c:ptCount val="1"/>
                <c:pt idx="0">
                  <c:v>Контроль</c:v>
                </c:pt>
              </c:strCache>
            </c:strRef>
          </c:tx>
          <c:spPr>
            <a:solidFill>
              <a:srgbClr val="FFFFFF"/>
            </a:solidFill>
            <a:ln w="25389">
              <a:solidFill>
                <a:srgbClr val="000000"/>
              </a:solidFill>
              <a:prstDash val="solid"/>
            </a:ln>
          </c:spPr>
          <c:cat>
            <c:strRef>
              <c:f>'Диаграммы общ'!$A$5:$A$6</c:f>
              <c:strCache>
                <c:ptCount val="2"/>
                <c:pt idx="0">
                  <c:v>ІЛ-18</c:v>
                </c:pt>
                <c:pt idx="1">
                  <c:v>ІЛ-10</c:v>
                </c:pt>
              </c:strCache>
            </c:strRef>
          </c:cat>
          <c:val>
            <c:numRef>
              <c:f>'Диаграммы общ'!$B$5:$B$6</c:f>
              <c:numCache>
                <c:formatCode>General</c:formatCode>
                <c:ptCount val="2"/>
                <c:pt idx="0">
                  <c:v>85</c:v>
                </c:pt>
                <c:pt idx="1">
                  <c:v>61.5</c:v>
                </c:pt>
              </c:numCache>
            </c:numRef>
          </c:val>
        </c:ser>
        <c:ser>
          <c:idx val="1"/>
          <c:order val="1"/>
          <c:tx>
            <c:strRef>
              <c:f>'Диаграммы общ'!$C$4</c:f>
              <c:strCache>
                <c:ptCount val="1"/>
                <c:pt idx="0">
                  <c:v>АГ</c:v>
                </c:pt>
              </c:strCache>
            </c:strRef>
          </c:tx>
          <c:spPr>
            <a:pattFill prst="wdUpDiag">
              <a:fgClr>
                <a:srgbClr val="000000"/>
              </a:fgClr>
              <a:bgClr>
                <a:srgbClr val="FFFFFF"/>
              </a:bgClr>
            </a:pattFill>
            <a:ln w="25389">
              <a:solidFill>
                <a:srgbClr val="000000"/>
              </a:solidFill>
              <a:prstDash val="solid"/>
            </a:ln>
          </c:spPr>
          <c:cat>
            <c:strRef>
              <c:f>'Диаграммы общ'!$A$5:$A$6</c:f>
              <c:strCache>
                <c:ptCount val="2"/>
                <c:pt idx="0">
                  <c:v>ІЛ-18</c:v>
                </c:pt>
                <c:pt idx="1">
                  <c:v>ІЛ-10</c:v>
                </c:pt>
              </c:strCache>
            </c:strRef>
          </c:cat>
          <c:val>
            <c:numRef>
              <c:f>'Диаграммы общ'!$C$5:$C$6</c:f>
              <c:numCache>
                <c:formatCode>General</c:formatCode>
                <c:ptCount val="2"/>
                <c:pt idx="0">
                  <c:v>180</c:v>
                </c:pt>
                <c:pt idx="1">
                  <c:v>90.3</c:v>
                </c:pt>
              </c:numCache>
            </c:numRef>
          </c:val>
        </c:ser>
        <c:ser>
          <c:idx val="2"/>
          <c:order val="2"/>
          <c:tx>
            <c:strRef>
              <c:f>'Диаграммы общ'!$D$4</c:f>
              <c:strCache>
                <c:ptCount val="1"/>
                <c:pt idx="0">
                  <c:v>АГ+ЦД</c:v>
                </c:pt>
              </c:strCache>
            </c:strRef>
          </c:tx>
          <c:spPr>
            <a:solidFill>
              <a:srgbClr val="C0C0C0"/>
            </a:solidFill>
            <a:ln w="25389">
              <a:solidFill>
                <a:srgbClr val="000000"/>
              </a:solidFill>
              <a:prstDash val="solid"/>
            </a:ln>
          </c:spPr>
          <c:cat>
            <c:strRef>
              <c:f>'Диаграммы общ'!$A$5:$A$6</c:f>
              <c:strCache>
                <c:ptCount val="2"/>
                <c:pt idx="0">
                  <c:v>ІЛ-18</c:v>
                </c:pt>
                <c:pt idx="1">
                  <c:v>ІЛ-10</c:v>
                </c:pt>
              </c:strCache>
            </c:strRef>
          </c:cat>
          <c:val>
            <c:numRef>
              <c:f>'Диаграммы общ'!$D$5:$D$6</c:f>
              <c:numCache>
                <c:formatCode>General</c:formatCode>
                <c:ptCount val="2"/>
                <c:pt idx="0">
                  <c:v>150</c:v>
                </c:pt>
                <c:pt idx="1">
                  <c:v>78.540000000000006</c:v>
                </c:pt>
              </c:numCache>
            </c:numRef>
          </c:val>
        </c:ser>
        <c:shape val="box"/>
        <c:axId val="101858688"/>
        <c:axId val="112735360"/>
        <c:axId val="0"/>
      </c:bar3DChart>
      <c:catAx>
        <c:axId val="101858688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2735360"/>
        <c:crosses val="autoZero"/>
        <c:auto val="1"/>
        <c:lblAlgn val="ctr"/>
        <c:lblOffset val="100"/>
        <c:tickLblSkip val="1"/>
        <c:tickMarkSkip val="1"/>
      </c:catAx>
      <c:valAx>
        <c:axId val="11273536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3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000"/>
                  <a:t>концентрація,
пг/мл</a:t>
                </a:r>
              </a:p>
            </c:rich>
          </c:tx>
          <c:layout>
            <c:manualLayout>
              <c:xMode val="edge"/>
              <c:yMode val="edge"/>
              <c:x val="0.29492306391063183"/>
              <c:y val="2.4432497013142191E-3"/>
            </c:manualLayout>
          </c:layout>
          <c:spPr>
            <a:noFill/>
            <a:ln w="25389">
              <a:noFill/>
            </a:ln>
          </c:spPr>
        </c:title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1858688"/>
        <c:crosses val="autoZero"/>
        <c:crossBetween val="between"/>
      </c:valAx>
      <c:spPr>
        <a:noFill/>
        <a:ln w="25389">
          <a:noFill/>
        </a:ln>
      </c:spPr>
    </c:plotArea>
    <c:legend>
      <c:legendPos val="r"/>
      <c:layout>
        <c:manualLayout>
          <c:xMode val="edge"/>
          <c:yMode val="edge"/>
          <c:x val="0.35885714285714287"/>
          <c:y val="0.90635451505016718"/>
          <c:w val="0.28000000000000008"/>
          <c:h val="9.6989966555184007E-2"/>
        </c:manualLayout>
      </c:layout>
      <c:spPr>
        <a:noFill/>
        <a:ln w="25389">
          <a:noFill/>
        </a:ln>
      </c:spPr>
      <c:txPr>
        <a:bodyPr/>
        <a:lstStyle/>
        <a:p>
          <a:pPr>
            <a:defRPr sz="128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4005-C2DA-4DDF-9CFE-C9AA1A04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15</Pages>
  <Words>3924</Words>
  <Characters>22369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</cp:revision>
  <dcterms:created xsi:type="dcterms:W3CDTF">2012-10-12T13:07:00Z</dcterms:created>
  <dcterms:modified xsi:type="dcterms:W3CDTF">2012-10-20T06:34:00Z</dcterms:modified>
</cp:coreProperties>
</file>