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6E" w:rsidRPr="0022453B" w:rsidRDefault="007D6070" w:rsidP="00BA0CFD">
      <w:pPr>
        <w:spacing w:after="0" w:line="240" w:lineRule="auto"/>
        <w:jc w:val="center"/>
        <w:rPr>
          <w:rFonts w:ascii="Times New Roman" w:hAnsi="Times New Roman"/>
          <w:sz w:val="28"/>
          <w:szCs w:val="28"/>
        </w:rPr>
      </w:pPr>
      <w:bookmarkStart w:id="0" w:name="_GoBack"/>
      <w:bookmarkEnd w:id="0"/>
      <w:r w:rsidRPr="0022453B">
        <w:rPr>
          <w:rFonts w:ascii="Times New Roman" w:hAnsi="Times New Roman"/>
          <w:sz w:val="28"/>
          <w:szCs w:val="28"/>
        </w:rPr>
        <w:t>МІНІСТЕРСТВО ОХОРОНИ ЗДОРОВ</w:t>
      </w:r>
      <w:r w:rsidR="00AF5C51" w:rsidRPr="0022453B">
        <w:rPr>
          <w:rFonts w:ascii="Times New Roman" w:hAnsi="Times New Roman"/>
          <w:sz w:val="28"/>
          <w:szCs w:val="28"/>
        </w:rPr>
        <w:t>’</w:t>
      </w:r>
      <w:r w:rsidRPr="0022453B">
        <w:rPr>
          <w:rFonts w:ascii="Times New Roman" w:hAnsi="Times New Roman"/>
          <w:sz w:val="28"/>
          <w:szCs w:val="28"/>
        </w:rPr>
        <w:t>Я</w:t>
      </w:r>
      <w:r w:rsidR="0098043B" w:rsidRPr="0022453B">
        <w:rPr>
          <w:rFonts w:ascii="Times New Roman" w:hAnsi="Times New Roman"/>
          <w:sz w:val="28"/>
          <w:szCs w:val="28"/>
        </w:rPr>
        <w:t xml:space="preserve"> </w:t>
      </w:r>
      <w:r w:rsidRPr="0022453B">
        <w:rPr>
          <w:rFonts w:ascii="Times New Roman" w:hAnsi="Times New Roman"/>
          <w:sz w:val="28"/>
          <w:szCs w:val="28"/>
        </w:rPr>
        <w:t>УКРАЇНИ</w:t>
      </w:r>
    </w:p>
    <w:p w:rsidR="00627EBE" w:rsidRPr="0022453B" w:rsidRDefault="007D6070" w:rsidP="00BA0CFD">
      <w:pPr>
        <w:spacing w:after="0" w:line="240" w:lineRule="auto"/>
        <w:jc w:val="center"/>
        <w:rPr>
          <w:rFonts w:ascii="Times New Roman" w:hAnsi="Times New Roman"/>
          <w:sz w:val="28"/>
          <w:szCs w:val="28"/>
        </w:rPr>
      </w:pPr>
      <w:r w:rsidRPr="0022453B">
        <w:rPr>
          <w:rFonts w:ascii="Times New Roman" w:hAnsi="Times New Roman"/>
          <w:sz w:val="28"/>
          <w:szCs w:val="28"/>
        </w:rPr>
        <w:t>ХАРКІВСЬКИЙ НАЦІОНАЛЬНИЙ МЕДИЧНИЙ УНІВЕРСИТЕТ</w:t>
      </w:r>
    </w:p>
    <w:p w:rsidR="007D6070" w:rsidRPr="0022453B" w:rsidRDefault="007D6070"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r w:rsidRPr="0022453B">
        <w:rPr>
          <w:rFonts w:ascii="Times New Roman" w:hAnsi="Times New Roman"/>
          <w:sz w:val="28"/>
          <w:szCs w:val="28"/>
        </w:rPr>
        <w:t>ЄРЬОМЕНКО ГАЛИНА ВОЛОДИМИРІВНА</w:t>
      </w:r>
    </w:p>
    <w:p w:rsidR="00C70ECC" w:rsidRPr="0022453B" w:rsidRDefault="00C70ECC" w:rsidP="00BA0CFD">
      <w:pPr>
        <w:spacing w:after="0" w:line="240" w:lineRule="auto"/>
        <w:jc w:val="center"/>
        <w:rPr>
          <w:rFonts w:ascii="Times New Roman" w:hAnsi="Times New Roman"/>
          <w:sz w:val="28"/>
          <w:szCs w:val="28"/>
        </w:rPr>
      </w:pPr>
    </w:p>
    <w:p w:rsidR="007D6070" w:rsidRPr="0022453B" w:rsidRDefault="007D6070" w:rsidP="00BA0CFD">
      <w:pPr>
        <w:spacing w:after="0" w:line="240" w:lineRule="auto"/>
        <w:jc w:val="center"/>
        <w:rPr>
          <w:rFonts w:ascii="Times New Roman" w:hAnsi="Times New Roman"/>
          <w:sz w:val="28"/>
          <w:szCs w:val="28"/>
        </w:rPr>
      </w:pPr>
    </w:p>
    <w:p w:rsidR="00627EBE" w:rsidRPr="0022453B" w:rsidRDefault="00627EBE" w:rsidP="00BA0CFD">
      <w:pPr>
        <w:spacing w:after="0" w:line="240" w:lineRule="auto"/>
        <w:jc w:val="center"/>
        <w:rPr>
          <w:rFonts w:ascii="Times New Roman" w:hAnsi="Times New Roman"/>
          <w:sz w:val="28"/>
          <w:szCs w:val="28"/>
        </w:rPr>
      </w:pPr>
    </w:p>
    <w:p w:rsidR="0052555D" w:rsidRPr="0022453B" w:rsidRDefault="00746B94" w:rsidP="00BA0CFD">
      <w:pPr>
        <w:spacing w:after="0" w:line="240" w:lineRule="auto"/>
        <w:jc w:val="center"/>
        <w:rPr>
          <w:rFonts w:ascii="Times New Roman" w:hAnsi="Times New Roman"/>
          <w:sz w:val="28"/>
          <w:szCs w:val="28"/>
        </w:rPr>
      </w:pPr>
      <w:r w:rsidRPr="0022453B">
        <w:rPr>
          <w:rFonts w:ascii="Times New Roman" w:hAnsi="Times New Roman"/>
          <w:sz w:val="28"/>
          <w:szCs w:val="28"/>
        </w:rPr>
        <w:t xml:space="preserve">УДК </w:t>
      </w:r>
      <w:r w:rsidR="0052555D" w:rsidRPr="0022453B">
        <w:rPr>
          <w:rFonts w:ascii="Times New Roman" w:hAnsi="Times New Roman"/>
          <w:sz w:val="28"/>
          <w:szCs w:val="28"/>
        </w:rPr>
        <w:t>[616.248+616.379-008.64]-056.257-06:[616.24:616.61]-008.9-092-07-085(043.3)</w:t>
      </w:r>
    </w:p>
    <w:p w:rsidR="00FA59A5" w:rsidRDefault="00FA59A5"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386014" w:rsidRPr="00386014" w:rsidRDefault="00386014" w:rsidP="00BA0CFD">
      <w:pPr>
        <w:spacing w:after="0" w:line="240" w:lineRule="auto"/>
        <w:jc w:val="center"/>
        <w:rPr>
          <w:rFonts w:ascii="Times New Roman" w:hAnsi="Times New Roman"/>
          <w:sz w:val="28"/>
          <w:szCs w:val="28"/>
          <w:lang w:val="ru-RU"/>
        </w:rPr>
      </w:pPr>
    </w:p>
    <w:p w:rsidR="00C70ECC" w:rsidRPr="0022453B" w:rsidRDefault="00C70ECC" w:rsidP="00BA0CFD">
      <w:pPr>
        <w:spacing w:after="0" w:line="240" w:lineRule="auto"/>
        <w:jc w:val="center"/>
        <w:rPr>
          <w:rFonts w:ascii="Times New Roman" w:hAnsi="Times New Roman"/>
          <w:sz w:val="28"/>
          <w:szCs w:val="28"/>
        </w:rPr>
      </w:pPr>
    </w:p>
    <w:p w:rsidR="0040065E" w:rsidRPr="0022453B" w:rsidRDefault="00C70ECC" w:rsidP="00BA0CFD">
      <w:pPr>
        <w:spacing w:after="0" w:line="240" w:lineRule="auto"/>
        <w:jc w:val="center"/>
        <w:rPr>
          <w:rFonts w:ascii="Times New Roman" w:hAnsi="Times New Roman"/>
          <w:sz w:val="28"/>
          <w:szCs w:val="28"/>
        </w:rPr>
      </w:pPr>
      <w:r w:rsidRPr="0022453B">
        <w:rPr>
          <w:rFonts w:ascii="Times New Roman" w:hAnsi="Times New Roman"/>
          <w:sz w:val="28"/>
          <w:szCs w:val="28"/>
        </w:rPr>
        <w:t>ПАТОГЕНЕТИЧНЕ</w:t>
      </w:r>
      <w:r w:rsidR="00D53A61" w:rsidRPr="0022453B">
        <w:rPr>
          <w:rFonts w:ascii="Times New Roman" w:hAnsi="Times New Roman"/>
          <w:sz w:val="28"/>
          <w:szCs w:val="28"/>
        </w:rPr>
        <w:t xml:space="preserve"> </w:t>
      </w:r>
      <w:r w:rsidRPr="0022453B">
        <w:rPr>
          <w:rFonts w:ascii="Times New Roman" w:hAnsi="Times New Roman"/>
          <w:sz w:val="28"/>
          <w:szCs w:val="28"/>
        </w:rPr>
        <w:t>ОБҐРУНТУВАННЯ</w:t>
      </w:r>
      <w:r w:rsidR="00D53A61" w:rsidRPr="0022453B">
        <w:rPr>
          <w:rFonts w:ascii="Times New Roman" w:hAnsi="Times New Roman"/>
          <w:sz w:val="28"/>
          <w:szCs w:val="28"/>
        </w:rPr>
        <w:t xml:space="preserve"> </w:t>
      </w:r>
      <w:r w:rsidRPr="0022453B">
        <w:rPr>
          <w:rFonts w:ascii="Times New Roman" w:hAnsi="Times New Roman"/>
          <w:sz w:val="28"/>
          <w:szCs w:val="28"/>
        </w:rPr>
        <w:t>ДІАГНОСТИКИ</w:t>
      </w:r>
      <w:r w:rsidR="00D53A61" w:rsidRPr="0022453B">
        <w:rPr>
          <w:rFonts w:ascii="Times New Roman" w:hAnsi="Times New Roman"/>
          <w:sz w:val="28"/>
          <w:szCs w:val="28"/>
        </w:rPr>
        <w:t xml:space="preserve"> </w:t>
      </w:r>
      <w:r w:rsidRPr="0022453B">
        <w:rPr>
          <w:rFonts w:ascii="Times New Roman" w:hAnsi="Times New Roman"/>
          <w:sz w:val="28"/>
          <w:szCs w:val="28"/>
        </w:rPr>
        <w:t>ТА КОРЕКЦІЇ</w:t>
      </w:r>
      <w:r w:rsidR="00D53A61" w:rsidRPr="0022453B">
        <w:rPr>
          <w:rFonts w:ascii="Times New Roman" w:hAnsi="Times New Roman"/>
          <w:sz w:val="28"/>
          <w:szCs w:val="28"/>
        </w:rPr>
        <w:t xml:space="preserve"> </w:t>
      </w:r>
      <w:r w:rsidRPr="0022453B">
        <w:rPr>
          <w:rFonts w:ascii="Times New Roman" w:hAnsi="Times New Roman"/>
          <w:sz w:val="28"/>
          <w:szCs w:val="28"/>
        </w:rPr>
        <w:t>ПУЛЬМОРЕНАЛЬНИХ ТА МЕТАБОЛІЧНИХ</w:t>
      </w:r>
      <w:r w:rsidR="00D53A61" w:rsidRPr="0022453B">
        <w:rPr>
          <w:rFonts w:ascii="Times New Roman" w:hAnsi="Times New Roman"/>
          <w:sz w:val="28"/>
          <w:szCs w:val="28"/>
        </w:rPr>
        <w:t xml:space="preserve"> </w:t>
      </w:r>
      <w:r w:rsidRPr="0022453B">
        <w:rPr>
          <w:rFonts w:ascii="Times New Roman" w:hAnsi="Times New Roman"/>
          <w:sz w:val="28"/>
          <w:szCs w:val="28"/>
        </w:rPr>
        <w:t xml:space="preserve">ПОРУШЕНЬ У ХВОРИХ </w:t>
      </w:r>
    </w:p>
    <w:p w:rsidR="00C70ECC" w:rsidRPr="0022453B" w:rsidRDefault="00C70ECC" w:rsidP="00BA0CFD">
      <w:pPr>
        <w:spacing w:after="0" w:line="240" w:lineRule="auto"/>
        <w:jc w:val="center"/>
        <w:rPr>
          <w:rFonts w:ascii="Times New Roman" w:hAnsi="Times New Roman"/>
          <w:sz w:val="28"/>
          <w:szCs w:val="28"/>
        </w:rPr>
      </w:pPr>
      <w:r w:rsidRPr="0022453B">
        <w:rPr>
          <w:rFonts w:ascii="Times New Roman" w:hAnsi="Times New Roman"/>
          <w:sz w:val="28"/>
          <w:szCs w:val="28"/>
        </w:rPr>
        <w:t>НА БРОНХІАЛЬНУ АСТМУ З ЦУКРОВИМ ДІАБЕТОМ 2</w:t>
      </w:r>
      <w:r w:rsidR="002F319F">
        <w:rPr>
          <w:rFonts w:ascii="Times New Roman" w:hAnsi="Times New Roman"/>
          <w:sz w:val="28"/>
          <w:szCs w:val="28"/>
        </w:rPr>
        <w:t>-ГО</w:t>
      </w:r>
      <w:r w:rsidRPr="0022453B">
        <w:rPr>
          <w:rFonts w:ascii="Times New Roman" w:hAnsi="Times New Roman"/>
          <w:sz w:val="28"/>
          <w:szCs w:val="28"/>
        </w:rPr>
        <w:t xml:space="preserve"> ТИПУ </w:t>
      </w:r>
      <w:r w:rsidR="00B54E3E" w:rsidRPr="00547E73">
        <w:rPr>
          <w:rFonts w:ascii="Times New Roman" w:hAnsi="Times New Roman"/>
          <w:sz w:val="28"/>
          <w:szCs w:val="28"/>
          <w:lang w:val="ru-RU"/>
        </w:rPr>
        <w:br/>
      </w:r>
      <w:r w:rsidRPr="0022453B">
        <w:rPr>
          <w:rFonts w:ascii="Times New Roman" w:hAnsi="Times New Roman"/>
          <w:sz w:val="28"/>
          <w:szCs w:val="28"/>
        </w:rPr>
        <w:t>ТА ОЖИРІННЯМ</w:t>
      </w:r>
    </w:p>
    <w:p w:rsidR="0054236E" w:rsidRPr="0022453B" w:rsidRDefault="0054236E" w:rsidP="00BA0CFD">
      <w:pPr>
        <w:spacing w:after="0" w:line="240" w:lineRule="auto"/>
        <w:jc w:val="center"/>
        <w:rPr>
          <w:rFonts w:ascii="Times New Roman" w:hAnsi="Times New Roman"/>
          <w:sz w:val="28"/>
          <w:szCs w:val="28"/>
        </w:rPr>
      </w:pPr>
    </w:p>
    <w:p w:rsidR="00746B94" w:rsidRPr="0022453B" w:rsidRDefault="00746B94" w:rsidP="00BA0CFD">
      <w:pPr>
        <w:spacing w:after="0" w:line="240" w:lineRule="auto"/>
        <w:ind w:left="709" w:right="637" w:hanging="709"/>
        <w:jc w:val="center"/>
        <w:rPr>
          <w:rFonts w:ascii="Times New Roman" w:hAnsi="Times New Roman"/>
          <w:sz w:val="28"/>
          <w:szCs w:val="28"/>
        </w:rPr>
      </w:pPr>
      <w:r w:rsidRPr="0022453B">
        <w:rPr>
          <w:rFonts w:ascii="Times New Roman" w:hAnsi="Times New Roman"/>
          <w:sz w:val="28"/>
          <w:szCs w:val="28"/>
        </w:rPr>
        <w:t xml:space="preserve">14.01.02 </w:t>
      </w:r>
      <w:r w:rsidR="00CD22CE" w:rsidRPr="0022453B">
        <w:rPr>
          <w:rFonts w:ascii="Times New Roman" w:hAnsi="Times New Roman"/>
          <w:sz w:val="28"/>
          <w:szCs w:val="28"/>
        </w:rPr>
        <w:t>–</w:t>
      </w:r>
      <w:r w:rsidRPr="0022453B">
        <w:rPr>
          <w:rFonts w:ascii="Times New Roman" w:hAnsi="Times New Roman"/>
          <w:sz w:val="28"/>
          <w:szCs w:val="28"/>
        </w:rPr>
        <w:t xml:space="preserve"> внутрішні хвороби</w:t>
      </w:r>
    </w:p>
    <w:p w:rsidR="00746B94" w:rsidRPr="0022453B" w:rsidRDefault="00746B94" w:rsidP="00BA0CFD">
      <w:pPr>
        <w:spacing w:after="0" w:line="240" w:lineRule="auto"/>
        <w:ind w:left="709" w:right="637" w:hanging="709"/>
        <w:jc w:val="center"/>
        <w:rPr>
          <w:rFonts w:ascii="Times New Roman" w:hAnsi="Times New Roman"/>
          <w:sz w:val="28"/>
          <w:szCs w:val="28"/>
        </w:rPr>
      </w:pPr>
    </w:p>
    <w:p w:rsidR="00746B94" w:rsidRPr="0022453B" w:rsidRDefault="00746B94" w:rsidP="00BA0CFD">
      <w:pPr>
        <w:spacing w:after="0" w:line="240" w:lineRule="auto"/>
        <w:ind w:left="709" w:right="637" w:hanging="709"/>
        <w:jc w:val="center"/>
        <w:rPr>
          <w:rFonts w:ascii="Times New Roman" w:hAnsi="Times New Roman"/>
          <w:sz w:val="28"/>
          <w:szCs w:val="28"/>
        </w:rPr>
      </w:pPr>
    </w:p>
    <w:p w:rsidR="00857A6A" w:rsidRPr="0022453B" w:rsidRDefault="00857A6A" w:rsidP="00BA0CFD">
      <w:pPr>
        <w:spacing w:after="0" w:line="240" w:lineRule="auto"/>
        <w:ind w:left="709" w:right="637" w:hanging="709"/>
        <w:jc w:val="center"/>
        <w:rPr>
          <w:rFonts w:ascii="Times New Roman" w:hAnsi="Times New Roman"/>
          <w:sz w:val="28"/>
          <w:szCs w:val="28"/>
        </w:rPr>
      </w:pPr>
    </w:p>
    <w:p w:rsidR="00746B94" w:rsidRPr="0022453B" w:rsidRDefault="00746B94" w:rsidP="00BA0CFD">
      <w:pPr>
        <w:spacing w:after="0" w:line="240" w:lineRule="auto"/>
        <w:ind w:left="709" w:right="637" w:hanging="709"/>
        <w:jc w:val="center"/>
        <w:rPr>
          <w:rFonts w:ascii="Times New Roman" w:hAnsi="Times New Roman"/>
          <w:sz w:val="28"/>
          <w:szCs w:val="28"/>
        </w:rPr>
      </w:pPr>
    </w:p>
    <w:p w:rsidR="00C70ECC" w:rsidRPr="0022453B" w:rsidRDefault="00C70ECC" w:rsidP="00BA0CFD">
      <w:pPr>
        <w:spacing w:after="0" w:line="240" w:lineRule="auto"/>
        <w:ind w:right="635"/>
        <w:jc w:val="center"/>
        <w:rPr>
          <w:rFonts w:ascii="Times New Roman" w:hAnsi="Times New Roman"/>
          <w:sz w:val="28"/>
          <w:szCs w:val="28"/>
        </w:rPr>
      </w:pPr>
      <w:r w:rsidRPr="0022453B">
        <w:rPr>
          <w:rFonts w:ascii="Times New Roman" w:hAnsi="Times New Roman"/>
          <w:sz w:val="28"/>
          <w:szCs w:val="28"/>
        </w:rPr>
        <w:t>АВТОРЕФЕРАТ</w:t>
      </w:r>
    </w:p>
    <w:p w:rsidR="00746B94" w:rsidRPr="0022453B" w:rsidRDefault="00746B94" w:rsidP="00BA0CFD">
      <w:pPr>
        <w:spacing w:after="0" w:line="240" w:lineRule="auto"/>
        <w:ind w:right="635"/>
        <w:jc w:val="center"/>
        <w:rPr>
          <w:rFonts w:ascii="Times New Roman" w:hAnsi="Times New Roman"/>
          <w:sz w:val="28"/>
          <w:szCs w:val="28"/>
        </w:rPr>
      </w:pPr>
      <w:r w:rsidRPr="0022453B">
        <w:rPr>
          <w:rFonts w:ascii="Times New Roman" w:hAnsi="Times New Roman"/>
          <w:sz w:val="28"/>
          <w:szCs w:val="28"/>
        </w:rPr>
        <w:t>дисертації</w:t>
      </w:r>
    </w:p>
    <w:p w:rsidR="00746B94" w:rsidRPr="0022453B" w:rsidRDefault="00746B94" w:rsidP="00BA0CFD">
      <w:pPr>
        <w:spacing w:after="0" w:line="240" w:lineRule="auto"/>
        <w:ind w:right="635"/>
        <w:jc w:val="center"/>
        <w:rPr>
          <w:rFonts w:ascii="Times New Roman" w:hAnsi="Times New Roman"/>
          <w:sz w:val="28"/>
          <w:szCs w:val="28"/>
        </w:rPr>
      </w:pPr>
      <w:r w:rsidRPr="0022453B">
        <w:rPr>
          <w:rFonts w:ascii="Times New Roman" w:hAnsi="Times New Roman"/>
          <w:sz w:val="28"/>
          <w:szCs w:val="28"/>
        </w:rPr>
        <w:t>на здобуття наукового ступеня</w:t>
      </w:r>
    </w:p>
    <w:p w:rsidR="00746B94" w:rsidRPr="0022453B" w:rsidRDefault="00627EBE" w:rsidP="00BA0CFD">
      <w:pPr>
        <w:spacing w:after="0" w:line="240" w:lineRule="auto"/>
        <w:ind w:right="635"/>
        <w:jc w:val="center"/>
        <w:rPr>
          <w:rFonts w:ascii="Times New Roman" w:hAnsi="Times New Roman"/>
          <w:sz w:val="28"/>
          <w:szCs w:val="28"/>
        </w:rPr>
      </w:pPr>
      <w:r w:rsidRPr="0022453B">
        <w:rPr>
          <w:rFonts w:ascii="Times New Roman" w:hAnsi="Times New Roman"/>
          <w:sz w:val="28"/>
          <w:szCs w:val="28"/>
        </w:rPr>
        <w:t>доктора</w:t>
      </w:r>
      <w:r w:rsidR="00746B94" w:rsidRPr="0022453B">
        <w:rPr>
          <w:rFonts w:ascii="Times New Roman" w:hAnsi="Times New Roman"/>
          <w:sz w:val="28"/>
          <w:szCs w:val="28"/>
        </w:rPr>
        <w:t xml:space="preserve"> медичних наук</w:t>
      </w:r>
    </w:p>
    <w:p w:rsidR="00746B94" w:rsidRPr="0022453B" w:rsidRDefault="00746B94" w:rsidP="00BA0CFD">
      <w:pPr>
        <w:spacing w:after="0" w:line="240" w:lineRule="auto"/>
        <w:ind w:right="635"/>
        <w:jc w:val="both"/>
        <w:rPr>
          <w:rFonts w:ascii="Times New Roman" w:hAnsi="Times New Roman"/>
          <w:sz w:val="28"/>
          <w:szCs w:val="28"/>
        </w:rPr>
      </w:pPr>
    </w:p>
    <w:p w:rsidR="00746B94" w:rsidRPr="0022453B" w:rsidRDefault="00746B94" w:rsidP="00BA0CFD">
      <w:pPr>
        <w:spacing w:after="0" w:line="240" w:lineRule="auto"/>
        <w:ind w:right="635"/>
        <w:jc w:val="both"/>
        <w:rPr>
          <w:rFonts w:ascii="Times New Roman" w:hAnsi="Times New Roman"/>
          <w:sz w:val="28"/>
          <w:szCs w:val="28"/>
        </w:rPr>
      </w:pPr>
    </w:p>
    <w:p w:rsidR="00746B94" w:rsidRPr="0022453B" w:rsidRDefault="00746B94" w:rsidP="00BA0CFD">
      <w:pPr>
        <w:spacing w:after="0" w:line="240" w:lineRule="auto"/>
        <w:ind w:right="635"/>
        <w:jc w:val="both"/>
        <w:rPr>
          <w:rFonts w:ascii="Times New Roman" w:hAnsi="Times New Roman"/>
          <w:sz w:val="28"/>
          <w:szCs w:val="28"/>
        </w:rPr>
      </w:pPr>
    </w:p>
    <w:p w:rsidR="00746B94" w:rsidRPr="0022453B" w:rsidRDefault="00746B94" w:rsidP="00BA0CFD">
      <w:pPr>
        <w:spacing w:after="0" w:line="240" w:lineRule="auto"/>
        <w:ind w:right="635"/>
        <w:jc w:val="both"/>
        <w:rPr>
          <w:rFonts w:ascii="Times New Roman" w:hAnsi="Times New Roman"/>
          <w:sz w:val="28"/>
          <w:szCs w:val="28"/>
        </w:rPr>
      </w:pPr>
    </w:p>
    <w:p w:rsidR="00A316CB" w:rsidRPr="0022453B" w:rsidRDefault="00A316CB" w:rsidP="00BA0CFD">
      <w:pPr>
        <w:spacing w:after="0" w:line="240" w:lineRule="auto"/>
        <w:jc w:val="center"/>
        <w:rPr>
          <w:rFonts w:ascii="Times New Roman" w:hAnsi="Times New Roman"/>
          <w:sz w:val="28"/>
          <w:szCs w:val="28"/>
        </w:rPr>
      </w:pPr>
    </w:p>
    <w:p w:rsidR="00A316CB" w:rsidRPr="0022453B" w:rsidRDefault="00A316CB" w:rsidP="00BA0CFD">
      <w:pPr>
        <w:spacing w:after="0" w:line="240" w:lineRule="auto"/>
        <w:jc w:val="center"/>
        <w:rPr>
          <w:rFonts w:ascii="Times New Roman" w:hAnsi="Times New Roman"/>
          <w:sz w:val="28"/>
          <w:szCs w:val="28"/>
        </w:rPr>
      </w:pPr>
    </w:p>
    <w:p w:rsidR="00386014" w:rsidRDefault="00386014"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386014" w:rsidRDefault="00386014" w:rsidP="00BA0CFD">
      <w:pPr>
        <w:spacing w:after="0" w:line="240" w:lineRule="auto"/>
        <w:jc w:val="center"/>
        <w:rPr>
          <w:rFonts w:ascii="Times New Roman" w:hAnsi="Times New Roman"/>
          <w:sz w:val="28"/>
          <w:szCs w:val="28"/>
          <w:lang w:val="ru-RU"/>
        </w:rPr>
      </w:pPr>
    </w:p>
    <w:p w:rsidR="006233F9" w:rsidRPr="0022453B" w:rsidRDefault="00746B94" w:rsidP="00BA0CFD">
      <w:pPr>
        <w:spacing w:after="0" w:line="240" w:lineRule="auto"/>
        <w:jc w:val="center"/>
        <w:rPr>
          <w:rFonts w:ascii="Times New Roman" w:hAnsi="Times New Roman"/>
          <w:sz w:val="28"/>
          <w:szCs w:val="28"/>
          <w:lang w:val="ru-RU"/>
        </w:rPr>
      </w:pPr>
      <w:r w:rsidRPr="0022453B">
        <w:rPr>
          <w:rFonts w:ascii="Times New Roman" w:hAnsi="Times New Roman"/>
          <w:sz w:val="28"/>
          <w:szCs w:val="28"/>
        </w:rPr>
        <w:t>Харків – 201</w:t>
      </w:r>
      <w:r w:rsidR="00D8140E" w:rsidRPr="0022453B">
        <w:rPr>
          <w:rFonts w:ascii="Times New Roman" w:hAnsi="Times New Roman"/>
          <w:sz w:val="28"/>
          <w:szCs w:val="28"/>
        </w:rPr>
        <w:t>9</w:t>
      </w:r>
    </w:p>
    <w:p w:rsidR="0069685F" w:rsidRPr="0022453B" w:rsidRDefault="0069685F" w:rsidP="00BA0CFD">
      <w:pPr>
        <w:spacing w:after="0" w:line="240" w:lineRule="auto"/>
        <w:jc w:val="center"/>
        <w:rPr>
          <w:rFonts w:ascii="Times New Roman" w:hAnsi="Times New Roman"/>
          <w:sz w:val="28"/>
          <w:szCs w:val="28"/>
          <w:lang w:val="ru-RU"/>
        </w:rPr>
        <w:sectPr w:rsidR="0069685F" w:rsidRPr="0022453B" w:rsidSect="00A21FA4">
          <w:pgSz w:w="11906" w:h="16838"/>
          <w:pgMar w:top="1134" w:right="567" w:bottom="1134" w:left="1418" w:header="709" w:footer="709" w:gutter="0"/>
          <w:cols w:space="708"/>
          <w:docGrid w:linePitch="360"/>
        </w:sectPr>
      </w:pPr>
    </w:p>
    <w:p w:rsidR="003A513F" w:rsidRPr="0022453B" w:rsidRDefault="003A513F" w:rsidP="00BA0CFD">
      <w:pPr>
        <w:spacing w:after="0" w:line="240" w:lineRule="auto"/>
        <w:ind w:right="635"/>
        <w:jc w:val="both"/>
        <w:rPr>
          <w:rFonts w:ascii="Times New Roman" w:hAnsi="Times New Roman"/>
          <w:sz w:val="28"/>
          <w:szCs w:val="28"/>
        </w:rPr>
      </w:pPr>
      <w:r w:rsidRPr="0022453B">
        <w:rPr>
          <w:rFonts w:ascii="Times New Roman" w:hAnsi="Times New Roman"/>
          <w:sz w:val="28"/>
          <w:szCs w:val="28"/>
        </w:rPr>
        <w:lastRenderedPageBreak/>
        <w:t>Дисертацією є рукопис</w:t>
      </w:r>
    </w:p>
    <w:p w:rsidR="003A513F" w:rsidRPr="0022453B" w:rsidRDefault="003A513F" w:rsidP="00BA0CFD">
      <w:pPr>
        <w:spacing w:after="0" w:line="240" w:lineRule="auto"/>
        <w:ind w:right="635"/>
        <w:jc w:val="both"/>
        <w:rPr>
          <w:rFonts w:ascii="Times New Roman" w:hAnsi="Times New Roman"/>
          <w:sz w:val="28"/>
          <w:szCs w:val="28"/>
        </w:rPr>
      </w:pPr>
      <w:r w:rsidRPr="0022453B">
        <w:rPr>
          <w:rFonts w:ascii="Times New Roman" w:hAnsi="Times New Roman"/>
          <w:sz w:val="28"/>
          <w:szCs w:val="28"/>
        </w:rPr>
        <w:t>Робота виконана в Харківському національному медичному університеті МОЗ України</w:t>
      </w:r>
    </w:p>
    <w:p w:rsidR="003A513F" w:rsidRPr="0022453B" w:rsidRDefault="003A513F" w:rsidP="00BA0CFD">
      <w:pPr>
        <w:spacing w:after="0" w:line="240" w:lineRule="auto"/>
        <w:jc w:val="both"/>
        <w:rPr>
          <w:rFonts w:ascii="Times New Roman" w:hAnsi="Times New Roman"/>
          <w:b/>
          <w:sz w:val="28"/>
          <w:szCs w:val="28"/>
        </w:rPr>
      </w:pPr>
    </w:p>
    <w:p w:rsidR="00B53580" w:rsidRPr="0022453B" w:rsidRDefault="003A513F" w:rsidP="00BA0CFD">
      <w:pPr>
        <w:spacing w:after="0" w:line="240" w:lineRule="auto"/>
        <w:jc w:val="both"/>
        <w:rPr>
          <w:rFonts w:ascii="Times New Roman" w:hAnsi="Times New Roman"/>
          <w:sz w:val="28"/>
          <w:szCs w:val="28"/>
        </w:rPr>
      </w:pPr>
      <w:r w:rsidRPr="0022453B">
        <w:rPr>
          <w:rFonts w:ascii="Times New Roman" w:hAnsi="Times New Roman"/>
          <w:b/>
          <w:sz w:val="28"/>
          <w:szCs w:val="28"/>
        </w:rPr>
        <w:t>Науковий консультант</w:t>
      </w:r>
      <w:r w:rsidR="00C169E9" w:rsidRPr="0022453B">
        <w:rPr>
          <w:rFonts w:ascii="Times New Roman" w:hAnsi="Times New Roman"/>
          <w:sz w:val="28"/>
          <w:szCs w:val="28"/>
        </w:rPr>
        <w:t xml:space="preserve">: </w:t>
      </w:r>
      <w:r w:rsidR="00C169E9" w:rsidRPr="0022453B">
        <w:rPr>
          <w:rFonts w:ascii="Times New Roman" w:hAnsi="Times New Roman"/>
          <w:sz w:val="28"/>
          <w:szCs w:val="28"/>
        </w:rPr>
        <w:tab/>
      </w:r>
      <w:r w:rsidR="0098043B" w:rsidRPr="0022453B">
        <w:rPr>
          <w:rFonts w:ascii="Times New Roman" w:hAnsi="Times New Roman"/>
          <w:sz w:val="28"/>
          <w:szCs w:val="28"/>
        </w:rPr>
        <w:t>доктор медичних наук</w:t>
      </w:r>
      <w:r w:rsidR="00A72B0E" w:rsidRPr="0022453B">
        <w:rPr>
          <w:rFonts w:ascii="Times New Roman" w:hAnsi="Times New Roman"/>
          <w:sz w:val="28"/>
          <w:szCs w:val="28"/>
        </w:rPr>
        <w:t>,</w:t>
      </w:r>
      <w:r w:rsidR="0098043B" w:rsidRPr="0022453B">
        <w:rPr>
          <w:rFonts w:ascii="Times New Roman" w:hAnsi="Times New Roman"/>
          <w:sz w:val="28"/>
          <w:szCs w:val="28"/>
        </w:rPr>
        <w:t xml:space="preserve"> професор</w:t>
      </w:r>
    </w:p>
    <w:p w:rsidR="00C169E9" w:rsidRPr="0022453B" w:rsidRDefault="0098043B" w:rsidP="00BA0CFD">
      <w:pPr>
        <w:spacing w:after="0" w:line="240" w:lineRule="auto"/>
        <w:ind w:left="2832" w:firstLine="708"/>
        <w:jc w:val="both"/>
        <w:rPr>
          <w:rFonts w:ascii="Times New Roman" w:hAnsi="Times New Roman"/>
          <w:sz w:val="28"/>
          <w:szCs w:val="28"/>
        </w:rPr>
      </w:pPr>
      <w:r w:rsidRPr="0022453B">
        <w:rPr>
          <w:rFonts w:ascii="Times New Roman" w:hAnsi="Times New Roman"/>
          <w:b/>
          <w:sz w:val="28"/>
          <w:szCs w:val="28"/>
        </w:rPr>
        <w:t>О</w:t>
      </w:r>
      <w:r w:rsidR="008C5CF8" w:rsidRPr="0022453B">
        <w:rPr>
          <w:rFonts w:ascii="Times New Roman" w:hAnsi="Times New Roman"/>
          <w:b/>
          <w:sz w:val="28"/>
          <w:szCs w:val="28"/>
        </w:rPr>
        <w:t>спанова</w:t>
      </w:r>
      <w:r w:rsidRPr="0022453B">
        <w:rPr>
          <w:rFonts w:ascii="Times New Roman" w:hAnsi="Times New Roman"/>
          <w:b/>
          <w:sz w:val="28"/>
          <w:szCs w:val="28"/>
        </w:rPr>
        <w:t xml:space="preserve"> Тетяна Сунгаш</w:t>
      </w:r>
      <w:r w:rsidR="0014027E" w:rsidRPr="0022453B">
        <w:rPr>
          <w:rFonts w:ascii="Times New Roman" w:hAnsi="Times New Roman"/>
          <w:b/>
          <w:sz w:val="28"/>
          <w:szCs w:val="28"/>
        </w:rPr>
        <w:t>е</w:t>
      </w:r>
      <w:r w:rsidRPr="0022453B">
        <w:rPr>
          <w:rFonts w:ascii="Times New Roman" w:hAnsi="Times New Roman"/>
          <w:b/>
          <w:sz w:val="28"/>
          <w:szCs w:val="28"/>
        </w:rPr>
        <w:t>вна</w:t>
      </w:r>
      <w:r w:rsidR="008A0D2F" w:rsidRPr="0022453B">
        <w:rPr>
          <w:rFonts w:ascii="Times New Roman" w:hAnsi="Times New Roman"/>
          <w:sz w:val="28"/>
          <w:szCs w:val="28"/>
        </w:rPr>
        <w:t>,</w:t>
      </w:r>
    </w:p>
    <w:p w:rsidR="00C169E9" w:rsidRPr="0022453B" w:rsidRDefault="00B53580" w:rsidP="00BA0CFD">
      <w:pPr>
        <w:spacing w:after="0" w:line="240" w:lineRule="auto"/>
        <w:ind w:left="2832" w:firstLine="708"/>
        <w:jc w:val="both"/>
        <w:rPr>
          <w:rFonts w:ascii="Times New Roman" w:hAnsi="Times New Roman"/>
          <w:sz w:val="28"/>
          <w:szCs w:val="28"/>
        </w:rPr>
      </w:pPr>
      <w:r w:rsidRPr="0022453B">
        <w:rPr>
          <w:rFonts w:ascii="Times New Roman" w:hAnsi="Times New Roman"/>
          <w:sz w:val="28"/>
          <w:szCs w:val="28"/>
        </w:rPr>
        <w:t>Харківськ</w:t>
      </w:r>
      <w:r w:rsidR="00627EBE" w:rsidRPr="0022453B">
        <w:rPr>
          <w:rFonts w:ascii="Times New Roman" w:hAnsi="Times New Roman"/>
          <w:sz w:val="28"/>
          <w:szCs w:val="28"/>
        </w:rPr>
        <w:t>ий</w:t>
      </w:r>
      <w:r w:rsidRPr="0022453B">
        <w:rPr>
          <w:rFonts w:ascii="Times New Roman" w:hAnsi="Times New Roman"/>
          <w:sz w:val="28"/>
          <w:szCs w:val="28"/>
        </w:rPr>
        <w:t xml:space="preserve"> національн</w:t>
      </w:r>
      <w:r w:rsidR="00627EBE" w:rsidRPr="0022453B">
        <w:rPr>
          <w:rFonts w:ascii="Times New Roman" w:hAnsi="Times New Roman"/>
          <w:sz w:val="28"/>
          <w:szCs w:val="28"/>
        </w:rPr>
        <w:t>ий</w:t>
      </w:r>
      <w:r w:rsidRPr="0022453B">
        <w:rPr>
          <w:rFonts w:ascii="Times New Roman" w:hAnsi="Times New Roman"/>
          <w:sz w:val="28"/>
          <w:szCs w:val="28"/>
        </w:rPr>
        <w:t xml:space="preserve"> медичн</w:t>
      </w:r>
      <w:r w:rsidR="00627EBE" w:rsidRPr="0022453B">
        <w:rPr>
          <w:rFonts w:ascii="Times New Roman" w:hAnsi="Times New Roman"/>
          <w:sz w:val="28"/>
          <w:szCs w:val="28"/>
        </w:rPr>
        <w:t>ий</w:t>
      </w:r>
    </w:p>
    <w:p w:rsidR="00451028" w:rsidRDefault="00627EBE" w:rsidP="00BA0CFD">
      <w:pPr>
        <w:spacing w:after="0" w:line="240" w:lineRule="auto"/>
        <w:ind w:left="2832" w:firstLine="708"/>
        <w:jc w:val="both"/>
        <w:rPr>
          <w:rFonts w:ascii="Times New Roman" w:hAnsi="Times New Roman"/>
          <w:sz w:val="28"/>
          <w:szCs w:val="28"/>
        </w:rPr>
      </w:pPr>
      <w:r w:rsidRPr="0022453B">
        <w:rPr>
          <w:rFonts w:ascii="Times New Roman" w:hAnsi="Times New Roman"/>
          <w:sz w:val="28"/>
          <w:szCs w:val="28"/>
        </w:rPr>
        <w:t>університет</w:t>
      </w:r>
      <w:r w:rsidR="00B53580" w:rsidRPr="0022453B">
        <w:rPr>
          <w:rFonts w:ascii="Times New Roman" w:hAnsi="Times New Roman"/>
          <w:sz w:val="28"/>
          <w:szCs w:val="28"/>
        </w:rPr>
        <w:t xml:space="preserve"> МОЗ України, </w:t>
      </w:r>
    </w:p>
    <w:p w:rsidR="00C169E9" w:rsidRPr="0022453B" w:rsidRDefault="003A513F" w:rsidP="00BA0CFD">
      <w:pPr>
        <w:spacing w:after="0" w:line="240" w:lineRule="auto"/>
        <w:ind w:left="2832" w:firstLine="708"/>
        <w:jc w:val="both"/>
        <w:rPr>
          <w:rFonts w:ascii="Times New Roman" w:hAnsi="Times New Roman"/>
          <w:sz w:val="28"/>
          <w:szCs w:val="28"/>
        </w:rPr>
      </w:pPr>
      <w:r w:rsidRPr="0022453B">
        <w:rPr>
          <w:rFonts w:ascii="Times New Roman" w:hAnsi="Times New Roman"/>
          <w:sz w:val="28"/>
          <w:szCs w:val="28"/>
        </w:rPr>
        <w:t>завідувач</w:t>
      </w:r>
      <w:r w:rsidR="00451028">
        <w:rPr>
          <w:rFonts w:ascii="Times New Roman" w:hAnsi="Times New Roman"/>
          <w:sz w:val="28"/>
          <w:szCs w:val="28"/>
        </w:rPr>
        <w:t xml:space="preserve"> </w:t>
      </w:r>
      <w:r w:rsidR="0098043B" w:rsidRPr="0022453B">
        <w:rPr>
          <w:rFonts w:ascii="Times New Roman" w:hAnsi="Times New Roman"/>
          <w:sz w:val="28"/>
          <w:szCs w:val="28"/>
        </w:rPr>
        <w:t xml:space="preserve">кафедри пропедевтики </w:t>
      </w:r>
      <w:r w:rsidR="007129DE">
        <w:rPr>
          <w:rFonts w:ascii="Times New Roman" w:hAnsi="Times New Roman"/>
          <w:sz w:val="28"/>
          <w:szCs w:val="28"/>
        </w:rPr>
        <w:t>внутрішньої</w:t>
      </w:r>
    </w:p>
    <w:p w:rsidR="003A513F" w:rsidRPr="0022453B" w:rsidRDefault="007129DE" w:rsidP="00BA0CFD">
      <w:pPr>
        <w:spacing w:after="0" w:line="240" w:lineRule="auto"/>
        <w:ind w:left="2832" w:firstLine="708"/>
        <w:jc w:val="both"/>
        <w:rPr>
          <w:rFonts w:ascii="Times New Roman" w:hAnsi="Times New Roman"/>
          <w:sz w:val="28"/>
          <w:szCs w:val="28"/>
          <w:lang w:val="ru-RU"/>
        </w:rPr>
      </w:pPr>
      <w:r>
        <w:rPr>
          <w:rFonts w:ascii="Times New Roman" w:hAnsi="Times New Roman"/>
          <w:sz w:val="28"/>
          <w:szCs w:val="28"/>
        </w:rPr>
        <w:t>медицини</w:t>
      </w:r>
      <w:r w:rsidR="0098043B" w:rsidRPr="0022453B">
        <w:rPr>
          <w:rFonts w:ascii="Times New Roman" w:hAnsi="Times New Roman"/>
          <w:sz w:val="28"/>
          <w:szCs w:val="28"/>
        </w:rPr>
        <w:t xml:space="preserve"> № 2 та медсестринства</w:t>
      </w:r>
    </w:p>
    <w:p w:rsidR="003A513F" w:rsidRPr="0022453B" w:rsidRDefault="003A513F" w:rsidP="00BA0CFD">
      <w:pPr>
        <w:spacing w:after="0" w:line="240" w:lineRule="auto"/>
        <w:jc w:val="both"/>
        <w:rPr>
          <w:rFonts w:ascii="Times New Roman" w:hAnsi="Times New Roman"/>
          <w:b/>
          <w:sz w:val="28"/>
          <w:szCs w:val="28"/>
        </w:rPr>
      </w:pPr>
    </w:p>
    <w:p w:rsidR="00C169E9" w:rsidRPr="0022453B" w:rsidRDefault="003A513F" w:rsidP="00386014">
      <w:pPr>
        <w:spacing w:after="0" w:line="240" w:lineRule="auto"/>
        <w:rPr>
          <w:rFonts w:ascii="Times New Roman" w:hAnsi="Times New Roman"/>
          <w:sz w:val="28"/>
          <w:szCs w:val="28"/>
        </w:rPr>
      </w:pPr>
      <w:r w:rsidRPr="0022453B">
        <w:rPr>
          <w:rFonts w:ascii="Times New Roman" w:hAnsi="Times New Roman"/>
          <w:b/>
          <w:sz w:val="28"/>
          <w:szCs w:val="28"/>
        </w:rPr>
        <w:t>Офіційні опоненти:</w:t>
      </w:r>
      <w:r w:rsidR="008A0D2F" w:rsidRPr="0022453B">
        <w:rPr>
          <w:rFonts w:ascii="Times New Roman" w:hAnsi="Times New Roman"/>
          <w:b/>
          <w:sz w:val="28"/>
          <w:szCs w:val="28"/>
        </w:rPr>
        <w:tab/>
      </w:r>
      <w:r w:rsidR="008A0D2F" w:rsidRPr="0022453B">
        <w:rPr>
          <w:rFonts w:ascii="Times New Roman" w:hAnsi="Times New Roman"/>
          <w:b/>
          <w:sz w:val="28"/>
          <w:szCs w:val="28"/>
        </w:rPr>
        <w:tab/>
      </w:r>
      <w:r w:rsidRPr="0022453B">
        <w:rPr>
          <w:rFonts w:ascii="Times New Roman" w:hAnsi="Times New Roman"/>
          <w:sz w:val="28"/>
          <w:szCs w:val="28"/>
        </w:rPr>
        <w:t>доктор медичних наук, професор,</w:t>
      </w:r>
    </w:p>
    <w:p w:rsidR="00386014" w:rsidRDefault="00E51CD4" w:rsidP="00386014">
      <w:pPr>
        <w:spacing w:after="0" w:line="240" w:lineRule="auto"/>
        <w:ind w:left="3544"/>
        <w:rPr>
          <w:rFonts w:ascii="Times New Roman" w:hAnsi="Times New Roman"/>
          <w:sz w:val="28"/>
          <w:szCs w:val="28"/>
          <w:shd w:val="clear" w:color="auto" w:fill="FFFFFF"/>
          <w:lang w:val="ru-RU"/>
        </w:rPr>
      </w:pPr>
      <w:r w:rsidRPr="0022453B">
        <w:rPr>
          <w:rFonts w:ascii="Times New Roman" w:hAnsi="Times New Roman"/>
          <w:b/>
          <w:sz w:val="28"/>
          <w:szCs w:val="28"/>
          <w:shd w:val="clear" w:color="auto" w:fill="FFFFFF"/>
        </w:rPr>
        <w:t>Радченко Олена Мирославівна</w:t>
      </w:r>
      <w:r w:rsidR="00960CC7" w:rsidRPr="0022453B">
        <w:rPr>
          <w:rFonts w:ascii="Times New Roman" w:hAnsi="Times New Roman"/>
          <w:b/>
          <w:sz w:val="28"/>
          <w:szCs w:val="28"/>
          <w:shd w:val="clear" w:color="auto" w:fill="FFFFFF"/>
        </w:rPr>
        <w:t>,</w:t>
      </w:r>
      <w:r w:rsidRPr="0022453B">
        <w:rPr>
          <w:rFonts w:ascii="Times New Roman" w:hAnsi="Times New Roman"/>
          <w:sz w:val="28"/>
          <w:szCs w:val="28"/>
          <w:shd w:val="clear" w:color="auto" w:fill="FFFFFF"/>
        </w:rPr>
        <w:t xml:space="preserve"> </w:t>
      </w:r>
    </w:p>
    <w:p w:rsidR="00386014" w:rsidRDefault="00E51CD4" w:rsidP="00386014">
      <w:pPr>
        <w:spacing w:after="0" w:line="240" w:lineRule="auto"/>
        <w:ind w:left="3544"/>
        <w:rPr>
          <w:rFonts w:ascii="Times New Roman" w:hAnsi="Times New Roman"/>
          <w:sz w:val="28"/>
          <w:szCs w:val="28"/>
          <w:lang w:val="ru-RU"/>
        </w:rPr>
      </w:pPr>
      <w:r w:rsidRPr="0022453B">
        <w:rPr>
          <w:rFonts w:ascii="Times New Roman" w:hAnsi="Times New Roman"/>
          <w:sz w:val="28"/>
          <w:szCs w:val="28"/>
          <w:shd w:val="clear" w:color="auto" w:fill="FFFFFF"/>
        </w:rPr>
        <w:t>Львівський національний медичний університет</w:t>
      </w:r>
      <w:r w:rsidR="00251A4E" w:rsidRPr="0022453B">
        <w:rPr>
          <w:rFonts w:ascii="Times New Roman" w:hAnsi="Times New Roman"/>
          <w:sz w:val="28"/>
          <w:szCs w:val="28"/>
          <w:shd w:val="clear" w:color="auto" w:fill="FFFFFF"/>
        </w:rPr>
        <w:t xml:space="preserve"> </w:t>
      </w:r>
      <w:r w:rsidRPr="0022453B">
        <w:rPr>
          <w:rFonts w:ascii="Times New Roman" w:hAnsi="Times New Roman"/>
          <w:sz w:val="28"/>
          <w:szCs w:val="28"/>
          <w:shd w:val="clear" w:color="auto" w:fill="FFFFFF"/>
        </w:rPr>
        <w:t>імені</w:t>
      </w:r>
      <w:r w:rsidR="00251A4E" w:rsidRPr="0022453B">
        <w:rPr>
          <w:rFonts w:ascii="Times New Roman" w:hAnsi="Times New Roman"/>
          <w:sz w:val="28"/>
          <w:szCs w:val="28"/>
          <w:shd w:val="clear" w:color="auto" w:fill="FFFFFF"/>
        </w:rPr>
        <w:t xml:space="preserve"> </w:t>
      </w:r>
      <w:r w:rsidRPr="0022453B">
        <w:rPr>
          <w:rFonts w:ascii="Times New Roman" w:hAnsi="Times New Roman"/>
          <w:sz w:val="28"/>
          <w:szCs w:val="28"/>
          <w:shd w:val="clear" w:color="auto" w:fill="FFFFFF"/>
        </w:rPr>
        <w:t xml:space="preserve">Данила Галицького </w:t>
      </w:r>
      <w:r w:rsidR="00883809" w:rsidRPr="0022453B">
        <w:rPr>
          <w:rFonts w:ascii="Times New Roman" w:hAnsi="Times New Roman"/>
          <w:sz w:val="28"/>
          <w:szCs w:val="28"/>
        </w:rPr>
        <w:t xml:space="preserve">МОЗ України, </w:t>
      </w:r>
    </w:p>
    <w:p w:rsidR="00194A9F" w:rsidRPr="0022453B" w:rsidRDefault="00883809" w:rsidP="00386014">
      <w:pPr>
        <w:spacing w:after="0" w:line="240" w:lineRule="auto"/>
        <w:ind w:left="3544"/>
        <w:rPr>
          <w:rFonts w:ascii="Times New Roman" w:hAnsi="Times New Roman"/>
          <w:sz w:val="28"/>
          <w:szCs w:val="28"/>
        </w:rPr>
      </w:pPr>
      <w:r w:rsidRPr="0022453B">
        <w:rPr>
          <w:rFonts w:ascii="Times New Roman" w:hAnsi="Times New Roman"/>
          <w:sz w:val="28"/>
          <w:szCs w:val="28"/>
        </w:rPr>
        <w:t>завідувач кафедри внутрішньої медицини №</w:t>
      </w:r>
      <w:r w:rsidR="002A7626" w:rsidRPr="0022453B">
        <w:rPr>
          <w:rFonts w:ascii="Times New Roman" w:hAnsi="Times New Roman"/>
          <w:sz w:val="28"/>
          <w:szCs w:val="28"/>
          <w:lang w:val="ru-RU"/>
        </w:rPr>
        <w:t> </w:t>
      </w:r>
      <w:r w:rsidRPr="0022453B">
        <w:rPr>
          <w:rFonts w:ascii="Times New Roman" w:hAnsi="Times New Roman"/>
          <w:sz w:val="28"/>
          <w:szCs w:val="28"/>
        </w:rPr>
        <w:t>2</w:t>
      </w:r>
      <w:r w:rsidR="00B63C3C">
        <w:rPr>
          <w:rFonts w:ascii="Times New Roman" w:hAnsi="Times New Roman"/>
          <w:sz w:val="28"/>
          <w:szCs w:val="28"/>
        </w:rPr>
        <w:t>;</w:t>
      </w:r>
      <w:r w:rsidRPr="0022453B">
        <w:rPr>
          <w:rFonts w:ascii="Times New Roman" w:hAnsi="Times New Roman"/>
          <w:sz w:val="28"/>
          <w:szCs w:val="28"/>
        </w:rPr>
        <w:t xml:space="preserve"> </w:t>
      </w:r>
    </w:p>
    <w:p w:rsidR="004061AF" w:rsidRPr="0022453B" w:rsidRDefault="004061AF" w:rsidP="00386014">
      <w:pPr>
        <w:spacing w:after="0" w:line="240" w:lineRule="auto"/>
        <w:ind w:left="2832" w:firstLine="708"/>
        <w:rPr>
          <w:rFonts w:ascii="Times New Roman" w:hAnsi="Times New Roman"/>
          <w:sz w:val="28"/>
          <w:szCs w:val="28"/>
        </w:rPr>
      </w:pPr>
    </w:p>
    <w:p w:rsidR="00A402AC" w:rsidRPr="0022453B" w:rsidRDefault="005F08A7" w:rsidP="00386014">
      <w:pPr>
        <w:spacing w:after="0" w:line="240" w:lineRule="auto"/>
        <w:ind w:left="2832" w:firstLine="708"/>
        <w:rPr>
          <w:rFonts w:ascii="Times New Roman" w:hAnsi="Times New Roman"/>
          <w:sz w:val="28"/>
          <w:szCs w:val="28"/>
        </w:rPr>
      </w:pPr>
      <w:r w:rsidRPr="0022453B">
        <w:rPr>
          <w:rFonts w:ascii="Times New Roman" w:hAnsi="Times New Roman"/>
          <w:sz w:val="28"/>
          <w:szCs w:val="28"/>
        </w:rPr>
        <w:t>доктор</w:t>
      </w:r>
      <w:r w:rsidR="0098043B" w:rsidRPr="0022453B">
        <w:rPr>
          <w:rFonts w:ascii="Times New Roman" w:hAnsi="Times New Roman"/>
          <w:sz w:val="28"/>
          <w:szCs w:val="28"/>
        </w:rPr>
        <w:t xml:space="preserve"> медичних наук, професор</w:t>
      </w:r>
      <w:r w:rsidR="008A0D2F" w:rsidRPr="0022453B">
        <w:rPr>
          <w:rFonts w:ascii="Times New Roman" w:hAnsi="Times New Roman"/>
          <w:sz w:val="28"/>
          <w:szCs w:val="28"/>
        </w:rPr>
        <w:t>,</w:t>
      </w:r>
    </w:p>
    <w:p w:rsidR="00A402AC" w:rsidRPr="0022453B" w:rsidRDefault="00883809" w:rsidP="00386014">
      <w:pPr>
        <w:spacing w:after="0" w:line="240" w:lineRule="auto"/>
        <w:ind w:left="2832" w:firstLine="708"/>
        <w:rPr>
          <w:rFonts w:ascii="Times New Roman" w:hAnsi="Times New Roman"/>
          <w:sz w:val="28"/>
          <w:szCs w:val="28"/>
        </w:rPr>
      </w:pPr>
      <w:r w:rsidRPr="0022453B">
        <w:rPr>
          <w:rFonts w:ascii="Times New Roman" w:hAnsi="Times New Roman"/>
          <w:b/>
          <w:sz w:val="28"/>
          <w:szCs w:val="28"/>
        </w:rPr>
        <w:t xml:space="preserve">Опарін </w:t>
      </w:r>
      <w:r w:rsidR="00A76A81" w:rsidRPr="0022453B">
        <w:rPr>
          <w:rFonts w:ascii="Times New Roman" w:hAnsi="Times New Roman"/>
          <w:b/>
          <w:sz w:val="28"/>
          <w:szCs w:val="28"/>
        </w:rPr>
        <w:t xml:space="preserve">Анатолій </w:t>
      </w:r>
      <w:r w:rsidR="00E51CD4" w:rsidRPr="0022453B">
        <w:rPr>
          <w:rFonts w:ascii="Times New Roman" w:hAnsi="Times New Roman"/>
          <w:b/>
          <w:sz w:val="28"/>
          <w:szCs w:val="28"/>
        </w:rPr>
        <w:t>Георгі</w:t>
      </w:r>
      <w:r w:rsidR="005352FE" w:rsidRPr="005352FE">
        <w:rPr>
          <w:rFonts w:ascii="Times New Roman" w:hAnsi="Times New Roman"/>
          <w:b/>
          <w:sz w:val="28"/>
          <w:szCs w:val="28"/>
        </w:rPr>
        <w:t>йо</w:t>
      </w:r>
      <w:r w:rsidR="00E51CD4" w:rsidRPr="0022453B">
        <w:rPr>
          <w:rFonts w:ascii="Times New Roman" w:hAnsi="Times New Roman"/>
          <w:b/>
          <w:sz w:val="28"/>
          <w:szCs w:val="28"/>
        </w:rPr>
        <w:t>вич</w:t>
      </w:r>
      <w:r w:rsidRPr="0022453B">
        <w:rPr>
          <w:rFonts w:ascii="Times New Roman" w:hAnsi="Times New Roman"/>
          <w:sz w:val="28"/>
          <w:szCs w:val="28"/>
        </w:rPr>
        <w:t>,</w:t>
      </w:r>
    </w:p>
    <w:p w:rsidR="00A402AC" w:rsidRPr="0022453B" w:rsidRDefault="00A402AC" w:rsidP="005352FE">
      <w:pPr>
        <w:spacing w:after="0" w:line="240" w:lineRule="auto"/>
        <w:ind w:left="3540" w:right="635"/>
        <w:rPr>
          <w:rFonts w:ascii="Times New Roman" w:hAnsi="Times New Roman"/>
          <w:sz w:val="28"/>
          <w:szCs w:val="28"/>
        </w:rPr>
      </w:pPr>
      <w:r w:rsidRPr="0022453B">
        <w:rPr>
          <w:rFonts w:ascii="Times New Roman" w:hAnsi="Times New Roman"/>
          <w:sz w:val="28"/>
          <w:szCs w:val="28"/>
        </w:rPr>
        <w:t xml:space="preserve">Харківська </w:t>
      </w:r>
      <w:r w:rsidR="0098043B" w:rsidRPr="0022453B">
        <w:rPr>
          <w:rFonts w:ascii="Times New Roman" w:hAnsi="Times New Roman"/>
          <w:sz w:val="28"/>
          <w:szCs w:val="28"/>
        </w:rPr>
        <w:t>медична академія післядипломної</w:t>
      </w:r>
      <w:r w:rsidR="0080211C" w:rsidRPr="0022453B">
        <w:rPr>
          <w:rFonts w:ascii="Times New Roman" w:hAnsi="Times New Roman"/>
          <w:sz w:val="28"/>
          <w:szCs w:val="28"/>
        </w:rPr>
        <w:t xml:space="preserve"> </w:t>
      </w:r>
      <w:r w:rsidRPr="0022453B">
        <w:rPr>
          <w:rFonts w:ascii="Times New Roman" w:hAnsi="Times New Roman"/>
          <w:sz w:val="28"/>
          <w:szCs w:val="28"/>
        </w:rPr>
        <w:t xml:space="preserve">освіти МОЗ України, </w:t>
      </w:r>
      <w:r w:rsidR="003F5942" w:rsidRPr="0022453B">
        <w:rPr>
          <w:rFonts w:ascii="Times New Roman" w:hAnsi="Times New Roman"/>
          <w:sz w:val="28"/>
          <w:szCs w:val="28"/>
        </w:rPr>
        <w:t>професор</w:t>
      </w:r>
      <w:r w:rsidRPr="0022453B">
        <w:rPr>
          <w:rFonts w:ascii="Times New Roman" w:hAnsi="Times New Roman"/>
          <w:sz w:val="28"/>
          <w:szCs w:val="28"/>
        </w:rPr>
        <w:t xml:space="preserve"> кафедри </w:t>
      </w:r>
      <w:r w:rsidR="003F5942" w:rsidRPr="0022453B">
        <w:rPr>
          <w:rFonts w:ascii="Times New Roman" w:hAnsi="Times New Roman"/>
          <w:sz w:val="28"/>
          <w:szCs w:val="28"/>
        </w:rPr>
        <w:t>загальної практики – сімейної медицини</w:t>
      </w:r>
      <w:r w:rsidR="005822B0">
        <w:rPr>
          <w:rFonts w:ascii="Times New Roman" w:hAnsi="Times New Roman"/>
          <w:sz w:val="28"/>
          <w:szCs w:val="28"/>
        </w:rPr>
        <w:t>; </w:t>
      </w:r>
    </w:p>
    <w:p w:rsidR="004061AF" w:rsidRPr="0022453B" w:rsidRDefault="004061AF" w:rsidP="00386014">
      <w:pPr>
        <w:spacing w:after="0" w:line="240" w:lineRule="auto"/>
        <w:ind w:left="3540"/>
        <w:rPr>
          <w:rFonts w:ascii="Times New Roman" w:hAnsi="Times New Roman"/>
          <w:sz w:val="28"/>
          <w:szCs w:val="28"/>
        </w:rPr>
      </w:pPr>
    </w:p>
    <w:p w:rsidR="00C169E9" w:rsidRPr="0022453B" w:rsidRDefault="005F08A7" w:rsidP="00386014">
      <w:pPr>
        <w:spacing w:after="0" w:line="240" w:lineRule="auto"/>
        <w:ind w:left="3540"/>
        <w:rPr>
          <w:rFonts w:ascii="Times New Roman" w:hAnsi="Times New Roman"/>
          <w:sz w:val="28"/>
          <w:szCs w:val="28"/>
        </w:rPr>
      </w:pPr>
      <w:r w:rsidRPr="0022453B">
        <w:rPr>
          <w:rFonts w:ascii="Times New Roman" w:hAnsi="Times New Roman"/>
          <w:sz w:val="28"/>
          <w:szCs w:val="28"/>
        </w:rPr>
        <w:t>доктор</w:t>
      </w:r>
      <w:r w:rsidR="0098043B" w:rsidRPr="0022453B">
        <w:rPr>
          <w:rFonts w:ascii="Times New Roman" w:hAnsi="Times New Roman"/>
          <w:sz w:val="28"/>
          <w:szCs w:val="28"/>
        </w:rPr>
        <w:t xml:space="preserve"> медичних наук,</w:t>
      </w:r>
      <w:r w:rsidR="00883809" w:rsidRPr="0022453B">
        <w:rPr>
          <w:rFonts w:ascii="Times New Roman" w:hAnsi="Times New Roman"/>
          <w:sz w:val="28"/>
          <w:szCs w:val="28"/>
        </w:rPr>
        <w:t xml:space="preserve"> </w:t>
      </w:r>
      <w:r w:rsidR="00A76A81" w:rsidRPr="0022453B">
        <w:rPr>
          <w:rFonts w:ascii="Times New Roman" w:hAnsi="Times New Roman"/>
          <w:sz w:val="28"/>
          <w:szCs w:val="28"/>
        </w:rPr>
        <w:t xml:space="preserve">старший науковий співробітник </w:t>
      </w:r>
      <w:r w:rsidR="00A76A81" w:rsidRPr="0022453B">
        <w:rPr>
          <w:rFonts w:ascii="Times New Roman" w:hAnsi="Times New Roman"/>
          <w:b/>
          <w:sz w:val="28"/>
          <w:szCs w:val="28"/>
        </w:rPr>
        <w:t>Колеснікова Олена Вадимівна</w:t>
      </w:r>
      <w:r w:rsidR="00A76A81" w:rsidRPr="0022453B">
        <w:rPr>
          <w:rFonts w:ascii="Times New Roman" w:hAnsi="Times New Roman"/>
          <w:sz w:val="28"/>
          <w:szCs w:val="28"/>
        </w:rPr>
        <w:t xml:space="preserve"> </w:t>
      </w:r>
    </w:p>
    <w:p w:rsidR="00451028" w:rsidRDefault="00A76A81" w:rsidP="00386014">
      <w:pPr>
        <w:spacing w:after="0" w:line="240" w:lineRule="auto"/>
        <w:ind w:left="3544"/>
        <w:rPr>
          <w:rFonts w:ascii="Times New Roman" w:hAnsi="Times New Roman"/>
          <w:sz w:val="28"/>
          <w:szCs w:val="28"/>
        </w:rPr>
      </w:pPr>
      <w:r w:rsidRPr="0022453B">
        <w:rPr>
          <w:rFonts w:ascii="Times New Roman" w:hAnsi="Times New Roman"/>
          <w:sz w:val="28"/>
          <w:szCs w:val="28"/>
        </w:rPr>
        <w:t xml:space="preserve">ДУ </w:t>
      </w:r>
      <w:r w:rsidR="005822B0">
        <w:rPr>
          <w:rFonts w:ascii="Times New Roman" w:hAnsi="Times New Roman"/>
          <w:sz w:val="28"/>
          <w:szCs w:val="28"/>
          <w:lang w:val="ru-RU"/>
        </w:rPr>
        <w:t>«</w:t>
      </w:r>
      <w:r w:rsidRPr="0022453B">
        <w:rPr>
          <w:rFonts w:ascii="Times New Roman" w:hAnsi="Times New Roman"/>
          <w:sz w:val="28"/>
          <w:szCs w:val="28"/>
        </w:rPr>
        <w:t xml:space="preserve">Національний інститут терапії </w:t>
      </w:r>
    </w:p>
    <w:p w:rsidR="00386014" w:rsidRPr="00BA2739" w:rsidRDefault="00A76A81" w:rsidP="00386014">
      <w:pPr>
        <w:spacing w:after="0" w:line="240" w:lineRule="auto"/>
        <w:ind w:left="3544"/>
        <w:rPr>
          <w:rFonts w:ascii="Times New Roman" w:hAnsi="Times New Roman"/>
          <w:sz w:val="28"/>
          <w:szCs w:val="28"/>
        </w:rPr>
      </w:pPr>
      <w:r w:rsidRPr="0022453B">
        <w:rPr>
          <w:rFonts w:ascii="Times New Roman" w:hAnsi="Times New Roman"/>
          <w:sz w:val="28"/>
          <w:szCs w:val="28"/>
        </w:rPr>
        <w:t>імені Л.Т.</w:t>
      </w:r>
      <w:r w:rsidR="00386014" w:rsidRPr="00BA2739">
        <w:rPr>
          <w:rFonts w:ascii="Times New Roman" w:hAnsi="Times New Roman"/>
          <w:sz w:val="28"/>
          <w:szCs w:val="28"/>
        </w:rPr>
        <w:t xml:space="preserve"> </w:t>
      </w:r>
      <w:r w:rsidRPr="0022453B">
        <w:rPr>
          <w:rFonts w:ascii="Times New Roman" w:hAnsi="Times New Roman"/>
          <w:sz w:val="28"/>
          <w:szCs w:val="28"/>
        </w:rPr>
        <w:t>Малої НАМН України</w:t>
      </w:r>
      <w:r w:rsidR="005822B0" w:rsidRPr="00BA2739">
        <w:rPr>
          <w:rFonts w:ascii="Times New Roman" w:hAnsi="Times New Roman"/>
          <w:sz w:val="28"/>
          <w:szCs w:val="28"/>
        </w:rPr>
        <w:t>»</w:t>
      </w:r>
      <w:r w:rsidRPr="0022453B">
        <w:rPr>
          <w:rFonts w:ascii="Times New Roman" w:hAnsi="Times New Roman"/>
          <w:sz w:val="28"/>
          <w:szCs w:val="28"/>
        </w:rPr>
        <w:t xml:space="preserve">, </w:t>
      </w:r>
    </w:p>
    <w:p w:rsidR="00A76A81" w:rsidRPr="0022453B" w:rsidRDefault="00A76A81" w:rsidP="00386014">
      <w:pPr>
        <w:spacing w:after="0" w:line="240" w:lineRule="auto"/>
        <w:ind w:left="3544"/>
        <w:rPr>
          <w:rFonts w:ascii="Times New Roman" w:hAnsi="Times New Roman"/>
          <w:sz w:val="28"/>
          <w:szCs w:val="28"/>
        </w:rPr>
      </w:pPr>
      <w:r w:rsidRPr="0022453B">
        <w:rPr>
          <w:rFonts w:ascii="Times New Roman" w:hAnsi="Times New Roman"/>
          <w:sz w:val="28"/>
          <w:szCs w:val="28"/>
        </w:rPr>
        <w:t>заступник директора з наукової роботи</w:t>
      </w:r>
    </w:p>
    <w:p w:rsidR="00076675" w:rsidRDefault="00076675" w:rsidP="00386014">
      <w:pPr>
        <w:spacing w:after="0" w:line="240" w:lineRule="auto"/>
        <w:ind w:left="3544"/>
        <w:rPr>
          <w:rFonts w:ascii="Times New Roman" w:hAnsi="Times New Roman"/>
          <w:sz w:val="28"/>
          <w:szCs w:val="28"/>
          <w:lang w:val="ru-RU"/>
        </w:rPr>
      </w:pPr>
    </w:p>
    <w:p w:rsidR="00386014" w:rsidRDefault="00386014" w:rsidP="00BA0CFD">
      <w:pPr>
        <w:spacing w:after="0" w:line="240" w:lineRule="auto"/>
        <w:ind w:left="3544"/>
        <w:rPr>
          <w:rFonts w:ascii="Times New Roman" w:hAnsi="Times New Roman"/>
          <w:sz w:val="28"/>
          <w:szCs w:val="28"/>
          <w:lang w:val="ru-RU"/>
        </w:rPr>
      </w:pPr>
    </w:p>
    <w:p w:rsidR="00386014" w:rsidRPr="0022453B" w:rsidRDefault="00386014" w:rsidP="00BA0CFD">
      <w:pPr>
        <w:spacing w:after="0" w:line="240" w:lineRule="auto"/>
        <w:ind w:left="3544"/>
        <w:rPr>
          <w:rFonts w:ascii="Times New Roman" w:hAnsi="Times New Roman"/>
          <w:sz w:val="28"/>
          <w:szCs w:val="28"/>
          <w:lang w:val="ru-RU"/>
        </w:rPr>
      </w:pPr>
    </w:p>
    <w:p w:rsidR="0053555C" w:rsidRPr="0022453B" w:rsidRDefault="0054236E" w:rsidP="0053555C">
      <w:pPr>
        <w:spacing w:after="0" w:line="240" w:lineRule="auto"/>
        <w:ind w:right="635"/>
        <w:jc w:val="both"/>
        <w:rPr>
          <w:rStyle w:val="ab"/>
          <w:rFonts w:ascii="Times New Roman" w:hAnsi="Times New Roman"/>
          <w:b w:val="0"/>
          <w:bCs/>
          <w:sz w:val="28"/>
          <w:szCs w:val="28"/>
          <w:shd w:val="clear" w:color="auto" w:fill="FFFFFF"/>
        </w:rPr>
      </w:pPr>
      <w:r w:rsidRPr="0022453B">
        <w:rPr>
          <w:rStyle w:val="ab"/>
          <w:rFonts w:ascii="Times New Roman" w:hAnsi="Times New Roman"/>
          <w:b w:val="0"/>
          <w:bCs/>
          <w:sz w:val="28"/>
          <w:szCs w:val="28"/>
          <w:shd w:val="clear" w:color="auto" w:fill="FFFFFF"/>
        </w:rPr>
        <w:t xml:space="preserve">Захист відбудеться </w:t>
      </w:r>
      <w:r w:rsidR="005822B0">
        <w:rPr>
          <w:rStyle w:val="ab"/>
          <w:rFonts w:ascii="Times New Roman" w:hAnsi="Times New Roman"/>
          <w:b w:val="0"/>
          <w:bCs/>
          <w:sz w:val="28"/>
          <w:szCs w:val="28"/>
          <w:shd w:val="clear" w:color="auto" w:fill="FFFFFF"/>
        </w:rPr>
        <w:t>«</w:t>
      </w:r>
      <w:r w:rsidR="001622EA" w:rsidRPr="0022453B">
        <w:rPr>
          <w:rStyle w:val="ab"/>
          <w:rFonts w:ascii="Times New Roman" w:hAnsi="Times New Roman"/>
          <w:b w:val="0"/>
          <w:bCs/>
          <w:sz w:val="28"/>
          <w:szCs w:val="28"/>
          <w:shd w:val="clear" w:color="auto" w:fill="FFFFFF"/>
        </w:rPr>
        <w:t>__</w:t>
      </w:r>
      <w:r w:rsidR="005822B0">
        <w:rPr>
          <w:rStyle w:val="ab"/>
          <w:rFonts w:ascii="Times New Roman" w:hAnsi="Times New Roman"/>
          <w:b w:val="0"/>
          <w:bCs/>
          <w:sz w:val="28"/>
          <w:szCs w:val="28"/>
          <w:shd w:val="clear" w:color="auto" w:fill="FFFFFF"/>
        </w:rPr>
        <w:t>»</w:t>
      </w:r>
      <w:r w:rsidR="00960CC7" w:rsidRPr="0022453B">
        <w:rPr>
          <w:rStyle w:val="ab"/>
          <w:rFonts w:ascii="Times New Roman" w:hAnsi="Times New Roman"/>
          <w:b w:val="0"/>
          <w:bCs/>
          <w:sz w:val="28"/>
          <w:szCs w:val="28"/>
          <w:shd w:val="clear" w:color="auto" w:fill="FFFFFF"/>
          <w:lang w:val="ru-RU"/>
        </w:rPr>
        <w:t xml:space="preserve"> </w:t>
      </w:r>
      <w:r w:rsidR="00935CD1" w:rsidRPr="0022453B">
        <w:rPr>
          <w:rStyle w:val="ab"/>
          <w:rFonts w:ascii="Times New Roman" w:hAnsi="Times New Roman"/>
          <w:b w:val="0"/>
          <w:bCs/>
          <w:sz w:val="28"/>
          <w:szCs w:val="28"/>
          <w:shd w:val="clear" w:color="auto" w:fill="FFFFFF"/>
          <w:lang w:val="ru-RU"/>
        </w:rPr>
        <w:t>____</w:t>
      </w:r>
      <w:r w:rsidR="00D43AD4">
        <w:rPr>
          <w:rStyle w:val="ab"/>
          <w:rFonts w:ascii="Times New Roman" w:hAnsi="Times New Roman"/>
          <w:b w:val="0"/>
          <w:bCs/>
          <w:sz w:val="28"/>
          <w:szCs w:val="28"/>
          <w:shd w:val="clear" w:color="auto" w:fill="FFFFFF"/>
          <w:lang w:val="ru-RU"/>
        </w:rPr>
        <w:t>__</w:t>
      </w:r>
      <w:r w:rsidR="00960CC7" w:rsidRPr="0022453B">
        <w:rPr>
          <w:rStyle w:val="ab"/>
          <w:rFonts w:ascii="Times New Roman" w:hAnsi="Times New Roman"/>
          <w:b w:val="0"/>
          <w:bCs/>
          <w:sz w:val="28"/>
          <w:szCs w:val="28"/>
          <w:shd w:val="clear" w:color="auto" w:fill="FFFFFF"/>
          <w:lang w:val="ru-RU"/>
        </w:rPr>
        <w:t xml:space="preserve"> </w:t>
      </w:r>
      <w:r w:rsidRPr="0022453B">
        <w:rPr>
          <w:rStyle w:val="ab"/>
          <w:rFonts w:ascii="Times New Roman" w:hAnsi="Times New Roman"/>
          <w:b w:val="0"/>
          <w:bCs/>
          <w:sz w:val="28"/>
          <w:szCs w:val="28"/>
          <w:shd w:val="clear" w:color="auto" w:fill="FFFFFF"/>
        </w:rPr>
        <w:t>201</w:t>
      </w:r>
      <w:r w:rsidR="00635E84" w:rsidRPr="0022453B">
        <w:rPr>
          <w:rStyle w:val="ab"/>
          <w:rFonts w:ascii="Times New Roman" w:hAnsi="Times New Roman"/>
          <w:b w:val="0"/>
          <w:bCs/>
          <w:sz w:val="28"/>
          <w:szCs w:val="28"/>
          <w:shd w:val="clear" w:color="auto" w:fill="FFFFFF"/>
        </w:rPr>
        <w:t>9</w:t>
      </w:r>
      <w:r w:rsidR="001622EA" w:rsidRPr="0022453B">
        <w:rPr>
          <w:rStyle w:val="ab"/>
          <w:rFonts w:ascii="Times New Roman" w:hAnsi="Times New Roman"/>
          <w:b w:val="0"/>
          <w:bCs/>
          <w:sz w:val="28"/>
          <w:szCs w:val="28"/>
          <w:shd w:val="clear" w:color="auto" w:fill="FFFFFF"/>
        </w:rPr>
        <w:t xml:space="preserve"> р</w:t>
      </w:r>
      <w:r w:rsidR="001622EA" w:rsidRPr="0022453B">
        <w:rPr>
          <w:rStyle w:val="ab"/>
          <w:rFonts w:ascii="Times New Roman" w:hAnsi="Times New Roman"/>
          <w:b w:val="0"/>
          <w:bCs/>
          <w:sz w:val="28"/>
          <w:szCs w:val="28"/>
          <w:shd w:val="clear" w:color="auto" w:fill="FFFFFF"/>
          <w:lang w:val="ru-RU"/>
        </w:rPr>
        <w:t>оку</w:t>
      </w:r>
      <w:r w:rsidR="007C7AA9" w:rsidRPr="0022453B">
        <w:rPr>
          <w:rStyle w:val="ab"/>
          <w:rFonts w:ascii="Times New Roman" w:hAnsi="Times New Roman"/>
          <w:b w:val="0"/>
          <w:bCs/>
          <w:sz w:val="28"/>
          <w:szCs w:val="28"/>
          <w:shd w:val="clear" w:color="auto" w:fill="FFFFFF"/>
        </w:rPr>
        <w:t xml:space="preserve"> </w:t>
      </w:r>
      <w:r w:rsidR="001622EA" w:rsidRPr="0022453B">
        <w:rPr>
          <w:rStyle w:val="ab"/>
          <w:rFonts w:ascii="Times New Roman" w:hAnsi="Times New Roman"/>
          <w:b w:val="0"/>
          <w:bCs/>
          <w:sz w:val="28"/>
          <w:szCs w:val="28"/>
          <w:shd w:val="clear" w:color="auto" w:fill="FFFFFF"/>
        </w:rPr>
        <w:t>о 10</w:t>
      </w:r>
      <w:r w:rsidRPr="0022453B">
        <w:rPr>
          <w:rStyle w:val="ab"/>
          <w:rFonts w:ascii="Times New Roman" w:hAnsi="Times New Roman"/>
          <w:b w:val="0"/>
          <w:bCs/>
          <w:sz w:val="28"/>
          <w:szCs w:val="28"/>
          <w:shd w:val="clear" w:color="auto" w:fill="FFFFFF"/>
          <w:vertAlign w:val="superscript"/>
        </w:rPr>
        <w:t>00</w:t>
      </w:r>
      <w:r w:rsidRPr="0022453B">
        <w:rPr>
          <w:rStyle w:val="ab"/>
          <w:rFonts w:ascii="Times New Roman" w:hAnsi="Times New Roman"/>
          <w:b w:val="0"/>
          <w:bCs/>
          <w:sz w:val="28"/>
          <w:szCs w:val="28"/>
          <w:shd w:val="clear" w:color="auto" w:fill="FFFFFF"/>
        </w:rPr>
        <w:t xml:space="preserve"> год</w:t>
      </w:r>
      <w:r w:rsidR="001622EA" w:rsidRPr="0022453B">
        <w:rPr>
          <w:rStyle w:val="ab"/>
          <w:rFonts w:ascii="Times New Roman" w:hAnsi="Times New Roman"/>
          <w:b w:val="0"/>
          <w:bCs/>
          <w:sz w:val="28"/>
          <w:szCs w:val="28"/>
          <w:shd w:val="clear" w:color="auto" w:fill="FFFFFF"/>
          <w:lang w:val="ru-RU"/>
        </w:rPr>
        <w:t>ині</w:t>
      </w:r>
      <w:r w:rsidR="0098043B" w:rsidRPr="0022453B">
        <w:rPr>
          <w:rStyle w:val="ab"/>
          <w:rFonts w:ascii="Times New Roman" w:hAnsi="Times New Roman"/>
          <w:b w:val="0"/>
          <w:bCs/>
          <w:sz w:val="28"/>
          <w:szCs w:val="28"/>
          <w:shd w:val="clear" w:color="auto" w:fill="FFFFFF"/>
        </w:rPr>
        <w:t xml:space="preserve"> </w:t>
      </w:r>
      <w:r w:rsidRPr="0022453B">
        <w:rPr>
          <w:rStyle w:val="ab"/>
          <w:rFonts w:ascii="Times New Roman" w:hAnsi="Times New Roman"/>
          <w:b w:val="0"/>
          <w:bCs/>
          <w:sz w:val="28"/>
          <w:szCs w:val="28"/>
          <w:shd w:val="clear" w:color="auto" w:fill="FFFFFF"/>
        </w:rPr>
        <w:t xml:space="preserve">на засіданні спеціалізованої вченої ради Д 64.600.04 при Харківському національному медичному університеті </w:t>
      </w:r>
      <w:r w:rsidR="00242AFD" w:rsidRPr="0022453B">
        <w:rPr>
          <w:rStyle w:val="ab"/>
          <w:rFonts w:ascii="Times New Roman" w:hAnsi="Times New Roman"/>
          <w:b w:val="0"/>
          <w:bCs/>
          <w:sz w:val="28"/>
          <w:szCs w:val="28"/>
          <w:shd w:val="clear" w:color="auto" w:fill="FFFFFF"/>
        </w:rPr>
        <w:t>МОЗ України</w:t>
      </w:r>
      <w:r w:rsidR="00912D1C" w:rsidRPr="0022453B">
        <w:rPr>
          <w:rStyle w:val="ab"/>
          <w:rFonts w:ascii="Times New Roman" w:hAnsi="Times New Roman"/>
          <w:b w:val="0"/>
          <w:bCs/>
          <w:sz w:val="28"/>
          <w:szCs w:val="28"/>
          <w:shd w:val="clear" w:color="auto" w:fill="FFFFFF"/>
        </w:rPr>
        <w:t xml:space="preserve"> </w:t>
      </w:r>
      <w:r w:rsidRPr="0022453B">
        <w:rPr>
          <w:rStyle w:val="ab"/>
          <w:rFonts w:ascii="Times New Roman" w:hAnsi="Times New Roman"/>
          <w:b w:val="0"/>
          <w:bCs/>
          <w:sz w:val="28"/>
          <w:szCs w:val="28"/>
          <w:shd w:val="clear" w:color="auto" w:fill="FFFFFF"/>
        </w:rPr>
        <w:t>(</w:t>
      </w:r>
      <w:smartTag w:uri="urn:schemas-microsoft-com:office:smarttags" w:element="metricconverter">
        <w:smartTagPr>
          <w:attr w:name="ProductID" w:val="61022, м"/>
        </w:smartTagPr>
        <w:r w:rsidRPr="0022453B">
          <w:rPr>
            <w:rStyle w:val="ab"/>
            <w:rFonts w:ascii="Times New Roman" w:hAnsi="Times New Roman"/>
            <w:b w:val="0"/>
            <w:bCs/>
            <w:sz w:val="28"/>
            <w:szCs w:val="28"/>
            <w:shd w:val="clear" w:color="auto" w:fill="FFFFFF"/>
          </w:rPr>
          <w:t>61</w:t>
        </w:r>
        <w:r w:rsidR="0098043B" w:rsidRPr="0022453B">
          <w:rPr>
            <w:rStyle w:val="ab"/>
            <w:rFonts w:ascii="Times New Roman" w:hAnsi="Times New Roman"/>
            <w:b w:val="0"/>
            <w:bCs/>
            <w:sz w:val="28"/>
            <w:szCs w:val="28"/>
            <w:shd w:val="clear" w:color="auto" w:fill="FFFFFF"/>
          </w:rPr>
          <w:t>022, м</w:t>
        </w:r>
      </w:smartTag>
      <w:r w:rsidR="0098043B" w:rsidRPr="0022453B">
        <w:rPr>
          <w:rStyle w:val="ab"/>
          <w:rFonts w:ascii="Times New Roman" w:hAnsi="Times New Roman"/>
          <w:b w:val="0"/>
          <w:bCs/>
          <w:sz w:val="28"/>
          <w:szCs w:val="28"/>
          <w:shd w:val="clear" w:color="auto" w:fill="FFFFFF"/>
        </w:rPr>
        <w:t>. Харків, пр. Науки, 4).</w:t>
      </w:r>
    </w:p>
    <w:p w:rsidR="00365F9F" w:rsidRPr="0022453B" w:rsidRDefault="00365F9F" w:rsidP="0053555C">
      <w:pPr>
        <w:spacing w:after="0" w:line="240" w:lineRule="auto"/>
        <w:ind w:right="635"/>
        <w:jc w:val="both"/>
        <w:rPr>
          <w:rStyle w:val="ab"/>
          <w:rFonts w:ascii="Times New Roman" w:hAnsi="Times New Roman"/>
          <w:b w:val="0"/>
          <w:bCs/>
          <w:sz w:val="28"/>
          <w:szCs w:val="28"/>
          <w:shd w:val="clear" w:color="auto" w:fill="FFFFFF"/>
        </w:rPr>
      </w:pPr>
    </w:p>
    <w:p w:rsidR="0053555C" w:rsidRPr="0022453B" w:rsidRDefault="0054236E" w:rsidP="0053555C">
      <w:pPr>
        <w:spacing w:after="0" w:line="240" w:lineRule="auto"/>
        <w:ind w:right="635"/>
        <w:jc w:val="both"/>
        <w:rPr>
          <w:rStyle w:val="ab"/>
          <w:rFonts w:ascii="Times New Roman" w:hAnsi="Times New Roman"/>
          <w:b w:val="0"/>
          <w:bCs/>
          <w:sz w:val="28"/>
          <w:szCs w:val="28"/>
          <w:shd w:val="clear" w:color="auto" w:fill="FFFFFF"/>
          <w:lang w:val="ru-RU"/>
        </w:rPr>
      </w:pPr>
      <w:r w:rsidRPr="0022453B">
        <w:rPr>
          <w:rStyle w:val="ab"/>
          <w:rFonts w:ascii="Times New Roman" w:hAnsi="Times New Roman"/>
          <w:b w:val="0"/>
          <w:bCs/>
          <w:sz w:val="28"/>
          <w:szCs w:val="28"/>
          <w:shd w:val="clear" w:color="auto" w:fill="FFFFFF"/>
        </w:rPr>
        <w:t>З дисертацією можна ознайомитись у бібліотеці Харківського національного медичного університету (</w:t>
      </w:r>
      <w:smartTag w:uri="urn:schemas-microsoft-com:office:smarttags" w:element="metricconverter">
        <w:smartTagPr>
          <w:attr w:name="ProductID" w:val="61022, м"/>
        </w:smartTagPr>
        <w:r w:rsidRPr="0022453B">
          <w:rPr>
            <w:rStyle w:val="ab"/>
            <w:rFonts w:ascii="Times New Roman" w:hAnsi="Times New Roman"/>
            <w:b w:val="0"/>
            <w:bCs/>
            <w:sz w:val="28"/>
            <w:szCs w:val="28"/>
            <w:shd w:val="clear" w:color="auto" w:fill="FFFFFF"/>
          </w:rPr>
          <w:t>61022, м</w:t>
        </w:r>
      </w:smartTag>
      <w:r w:rsidRPr="0022453B">
        <w:rPr>
          <w:rStyle w:val="ab"/>
          <w:rFonts w:ascii="Times New Roman" w:hAnsi="Times New Roman"/>
          <w:b w:val="0"/>
          <w:bCs/>
          <w:sz w:val="28"/>
          <w:szCs w:val="28"/>
          <w:shd w:val="clear" w:color="auto" w:fill="FFFFFF"/>
        </w:rPr>
        <w:t xml:space="preserve">. Харків, пр. </w:t>
      </w:r>
      <w:r w:rsidR="008D2BD6" w:rsidRPr="0022453B">
        <w:rPr>
          <w:rStyle w:val="ab"/>
          <w:rFonts w:ascii="Times New Roman" w:hAnsi="Times New Roman"/>
          <w:b w:val="0"/>
          <w:bCs/>
          <w:sz w:val="28"/>
          <w:szCs w:val="28"/>
          <w:shd w:val="clear" w:color="auto" w:fill="FFFFFF"/>
        </w:rPr>
        <w:t>Науки</w:t>
      </w:r>
      <w:r w:rsidRPr="0022453B">
        <w:rPr>
          <w:rStyle w:val="ab"/>
          <w:rFonts w:ascii="Times New Roman" w:hAnsi="Times New Roman"/>
          <w:b w:val="0"/>
          <w:bCs/>
          <w:sz w:val="28"/>
          <w:szCs w:val="28"/>
          <w:shd w:val="clear" w:color="auto" w:fill="FFFFFF"/>
        </w:rPr>
        <w:t>, 4).</w:t>
      </w:r>
    </w:p>
    <w:p w:rsidR="0054236E" w:rsidRPr="0022453B" w:rsidRDefault="0054236E" w:rsidP="00BA0CFD">
      <w:pPr>
        <w:spacing w:after="0" w:line="240" w:lineRule="auto"/>
        <w:ind w:right="635"/>
        <w:jc w:val="both"/>
        <w:rPr>
          <w:rStyle w:val="ab"/>
          <w:rFonts w:ascii="Times New Roman" w:hAnsi="Times New Roman"/>
          <w:b w:val="0"/>
          <w:bCs/>
          <w:sz w:val="28"/>
          <w:szCs w:val="28"/>
          <w:shd w:val="clear" w:color="auto" w:fill="FFFFFF"/>
        </w:rPr>
      </w:pPr>
      <w:r w:rsidRPr="0022453B">
        <w:rPr>
          <w:rStyle w:val="ab"/>
          <w:rFonts w:ascii="Times New Roman" w:hAnsi="Times New Roman"/>
          <w:b w:val="0"/>
          <w:bCs/>
          <w:sz w:val="28"/>
          <w:szCs w:val="28"/>
          <w:shd w:val="clear" w:color="auto" w:fill="FFFFFF"/>
        </w:rPr>
        <w:t xml:space="preserve">Автореферат розісланий </w:t>
      </w:r>
      <w:r w:rsidR="005822B0">
        <w:rPr>
          <w:rStyle w:val="ab"/>
          <w:rFonts w:ascii="Times New Roman" w:hAnsi="Times New Roman"/>
          <w:b w:val="0"/>
          <w:bCs/>
          <w:sz w:val="28"/>
          <w:szCs w:val="28"/>
          <w:shd w:val="clear" w:color="auto" w:fill="FFFFFF"/>
        </w:rPr>
        <w:t>«</w:t>
      </w:r>
      <w:r w:rsidR="001622EA" w:rsidRPr="0022453B">
        <w:rPr>
          <w:rStyle w:val="ab"/>
          <w:rFonts w:ascii="Times New Roman" w:hAnsi="Times New Roman"/>
          <w:b w:val="0"/>
          <w:bCs/>
          <w:sz w:val="28"/>
          <w:szCs w:val="28"/>
          <w:shd w:val="clear" w:color="auto" w:fill="FFFFFF"/>
          <w:lang w:val="ru-RU"/>
        </w:rPr>
        <w:t>__</w:t>
      </w:r>
      <w:r w:rsidR="005822B0">
        <w:rPr>
          <w:rStyle w:val="ab"/>
          <w:rFonts w:ascii="Times New Roman" w:hAnsi="Times New Roman"/>
          <w:b w:val="0"/>
          <w:bCs/>
          <w:sz w:val="28"/>
          <w:szCs w:val="28"/>
          <w:shd w:val="clear" w:color="auto" w:fill="FFFFFF"/>
        </w:rPr>
        <w:t>»</w:t>
      </w:r>
      <w:r w:rsidR="007C7AA9" w:rsidRPr="0022453B">
        <w:rPr>
          <w:rStyle w:val="ab"/>
          <w:rFonts w:ascii="Times New Roman" w:hAnsi="Times New Roman"/>
          <w:b w:val="0"/>
          <w:bCs/>
          <w:sz w:val="28"/>
          <w:szCs w:val="28"/>
          <w:shd w:val="clear" w:color="auto" w:fill="FFFFFF"/>
        </w:rPr>
        <w:t xml:space="preserve"> </w:t>
      </w:r>
      <w:r w:rsidR="001622EA" w:rsidRPr="0022453B">
        <w:rPr>
          <w:rStyle w:val="ab"/>
          <w:rFonts w:ascii="Times New Roman" w:hAnsi="Times New Roman"/>
          <w:b w:val="0"/>
          <w:bCs/>
          <w:sz w:val="28"/>
          <w:szCs w:val="28"/>
          <w:shd w:val="clear" w:color="auto" w:fill="FFFFFF"/>
          <w:lang w:val="ru-RU"/>
        </w:rPr>
        <w:t>____</w:t>
      </w:r>
      <w:r w:rsidR="00D43AD4">
        <w:rPr>
          <w:rStyle w:val="ab"/>
          <w:rFonts w:ascii="Times New Roman" w:hAnsi="Times New Roman"/>
          <w:b w:val="0"/>
          <w:bCs/>
          <w:sz w:val="28"/>
          <w:szCs w:val="28"/>
          <w:shd w:val="clear" w:color="auto" w:fill="FFFFFF"/>
          <w:lang w:val="ru-RU"/>
        </w:rPr>
        <w:t>__</w:t>
      </w:r>
      <w:r w:rsidR="001622EA" w:rsidRPr="0022453B">
        <w:rPr>
          <w:rStyle w:val="ab"/>
          <w:rFonts w:ascii="Times New Roman" w:hAnsi="Times New Roman"/>
          <w:b w:val="0"/>
          <w:bCs/>
          <w:sz w:val="28"/>
          <w:szCs w:val="28"/>
          <w:shd w:val="clear" w:color="auto" w:fill="FFFFFF"/>
          <w:lang w:val="ru-RU"/>
        </w:rPr>
        <w:t xml:space="preserve"> </w:t>
      </w:r>
      <w:r w:rsidRPr="0022453B">
        <w:rPr>
          <w:rStyle w:val="ab"/>
          <w:rFonts w:ascii="Times New Roman" w:hAnsi="Times New Roman"/>
          <w:b w:val="0"/>
          <w:bCs/>
          <w:sz w:val="28"/>
          <w:szCs w:val="28"/>
          <w:shd w:val="clear" w:color="auto" w:fill="FFFFFF"/>
        </w:rPr>
        <w:t>201</w:t>
      </w:r>
      <w:r w:rsidR="00886C68" w:rsidRPr="0022453B">
        <w:rPr>
          <w:rStyle w:val="ab"/>
          <w:rFonts w:ascii="Times New Roman" w:hAnsi="Times New Roman"/>
          <w:b w:val="0"/>
          <w:bCs/>
          <w:sz w:val="28"/>
          <w:szCs w:val="28"/>
          <w:shd w:val="clear" w:color="auto" w:fill="FFFFFF"/>
        </w:rPr>
        <w:t>9</w:t>
      </w:r>
      <w:r w:rsidR="002F319F">
        <w:rPr>
          <w:rStyle w:val="ab"/>
          <w:rFonts w:ascii="Times New Roman" w:hAnsi="Times New Roman"/>
          <w:b w:val="0"/>
          <w:bCs/>
          <w:sz w:val="28"/>
          <w:szCs w:val="28"/>
          <w:shd w:val="clear" w:color="auto" w:fill="FFFFFF"/>
        </w:rPr>
        <w:t xml:space="preserve"> року</w:t>
      </w:r>
    </w:p>
    <w:p w:rsidR="00365F9F" w:rsidRDefault="00365F9F" w:rsidP="00BA0CFD">
      <w:pPr>
        <w:spacing w:after="0" w:line="240" w:lineRule="auto"/>
        <w:ind w:right="635"/>
        <w:jc w:val="both"/>
        <w:rPr>
          <w:rStyle w:val="ab"/>
          <w:rFonts w:ascii="Times New Roman" w:hAnsi="Times New Roman"/>
          <w:b w:val="0"/>
          <w:bCs/>
          <w:sz w:val="28"/>
          <w:szCs w:val="28"/>
          <w:shd w:val="clear" w:color="auto" w:fill="FFFFFF"/>
          <w:lang w:val="ru-RU"/>
        </w:rPr>
      </w:pPr>
    </w:p>
    <w:p w:rsidR="00386014" w:rsidRDefault="00386014" w:rsidP="00BA0CFD">
      <w:pPr>
        <w:spacing w:after="0" w:line="240" w:lineRule="auto"/>
        <w:ind w:right="635"/>
        <w:jc w:val="both"/>
        <w:rPr>
          <w:rStyle w:val="ab"/>
          <w:rFonts w:ascii="Times New Roman" w:hAnsi="Times New Roman"/>
          <w:b w:val="0"/>
          <w:bCs/>
          <w:sz w:val="28"/>
          <w:szCs w:val="28"/>
          <w:shd w:val="clear" w:color="auto" w:fill="FFFFFF"/>
          <w:lang w:val="ru-RU"/>
        </w:rPr>
      </w:pPr>
    </w:p>
    <w:p w:rsidR="00386014" w:rsidRPr="00386014" w:rsidRDefault="00386014" w:rsidP="00BA0CFD">
      <w:pPr>
        <w:spacing w:after="0" w:line="240" w:lineRule="auto"/>
        <w:ind w:right="635"/>
        <w:jc w:val="both"/>
        <w:rPr>
          <w:rStyle w:val="ab"/>
          <w:rFonts w:ascii="Times New Roman" w:hAnsi="Times New Roman"/>
          <w:b w:val="0"/>
          <w:bCs/>
          <w:sz w:val="28"/>
          <w:szCs w:val="28"/>
          <w:shd w:val="clear" w:color="auto" w:fill="FFFFFF"/>
          <w:lang w:val="ru-RU"/>
        </w:rPr>
      </w:pPr>
    </w:p>
    <w:p w:rsidR="0054236E" w:rsidRPr="0022453B" w:rsidRDefault="0054236E" w:rsidP="00BA0CFD">
      <w:pPr>
        <w:spacing w:after="0" w:line="240" w:lineRule="auto"/>
        <w:ind w:right="635"/>
        <w:jc w:val="both"/>
        <w:rPr>
          <w:rStyle w:val="ab"/>
          <w:rFonts w:ascii="Times New Roman" w:hAnsi="Times New Roman"/>
          <w:b w:val="0"/>
          <w:bCs/>
          <w:sz w:val="28"/>
          <w:szCs w:val="28"/>
          <w:shd w:val="clear" w:color="auto" w:fill="FFFFFF"/>
        </w:rPr>
      </w:pPr>
      <w:r w:rsidRPr="0022453B">
        <w:rPr>
          <w:rStyle w:val="ab"/>
          <w:rFonts w:ascii="Times New Roman" w:hAnsi="Times New Roman"/>
          <w:b w:val="0"/>
          <w:bCs/>
          <w:sz w:val="28"/>
          <w:szCs w:val="28"/>
          <w:shd w:val="clear" w:color="auto" w:fill="FFFFFF"/>
        </w:rPr>
        <w:t>Учений секретар</w:t>
      </w:r>
    </w:p>
    <w:p w:rsidR="0054236E" w:rsidRPr="0022453B" w:rsidRDefault="0098043B" w:rsidP="00BA0CFD">
      <w:pPr>
        <w:spacing w:after="0" w:line="240" w:lineRule="auto"/>
        <w:ind w:right="635"/>
        <w:jc w:val="both"/>
        <w:rPr>
          <w:rStyle w:val="ab"/>
          <w:rFonts w:ascii="Times New Roman" w:hAnsi="Times New Roman"/>
          <w:b w:val="0"/>
          <w:bCs/>
          <w:sz w:val="28"/>
          <w:szCs w:val="28"/>
          <w:shd w:val="clear" w:color="auto" w:fill="FFFFFF"/>
        </w:rPr>
      </w:pPr>
      <w:r w:rsidRPr="0022453B">
        <w:rPr>
          <w:rStyle w:val="ab"/>
          <w:rFonts w:ascii="Times New Roman" w:hAnsi="Times New Roman"/>
          <w:b w:val="0"/>
          <w:bCs/>
          <w:sz w:val="28"/>
          <w:szCs w:val="28"/>
          <w:shd w:val="clear" w:color="auto" w:fill="FFFFFF"/>
        </w:rPr>
        <w:t>спеціалізованої вченої ради,</w:t>
      </w:r>
    </w:p>
    <w:p w:rsidR="00F87A98" w:rsidRPr="00E628FF" w:rsidRDefault="00737EE0" w:rsidP="00E628FF">
      <w:pPr>
        <w:spacing w:after="0" w:line="240" w:lineRule="auto"/>
        <w:ind w:right="635"/>
        <w:jc w:val="both"/>
        <w:rPr>
          <w:rStyle w:val="rvts12"/>
          <w:rFonts w:ascii="Times New Roman" w:hAnsi="Times New Roman"/>
          <w:bCs/>
          <w:sz w:val="28"/>
          <w:szCs w:val="28"/>
          <w:shd w:val="clear" w:color="auto" w:fill="FFFFFF"/>
          <w:lang w:val="ru-RU"/>
        </w:rPr>
        <w:sectPr w:rsidR="00F87A98" w:rsidRPr="00E628FF" w:rsidSect="00E87EE2">
          <w:headerReference w:type="default" r:id="rId8"/>
          <w:headerReference w:type="first" r:id="rId9"/>
          <w:pgSz w:w="11906" w:h="16838"/>
          <w:pgMar w:top="1134" w:right="567" w:bottom="1134" w:left="1418" w:header="709" w:footer="709" w:gutter="0"/>
          <w:pgNumType w:start="1"/>
          <w:cols w:space="708"/>
          <w:titlePg/>
          <w:docGrid w:linePitch="360"/>
        </w:sectPr>
      </w:pPr>
      <w:r w:rsidRPr="0022453B">
        <w:rPr>
          <w:rStyle w:val="ab"/>
          <w:rFonts w:ascii="Times New Roman" w:hAnsi="Times New Roman"/>
          <w:b w:val="0"/>
          <w:bCs/>
          <w:sz w:val="28"/>
          <w:szCs w:val="28"/>
          <w:shd w:val="clear" w:color="auto" w:fill="FFFFFF"/>
        </w:rPr>
        <w:t>доктор медичних</w:t>
      </w:r>
      <w:r w:rsidR="0053555C" w:rsidRPr="0022453B">
        <w:rPr>
          <w:rStyle w:val="ab"/>
          <w:rFonts w:ascii="Times New Roman" w:hAnsi="Times New Roman"/>
          <w:b w:val="0"/>
          <w:bCs/>
          <w:sz w:val="28"/>
          <w:szCs w:val="28"/>
          <w:shd w:val="clear" w:color="auto" w:fill="FFFFFF"/>
        </w:rPr>
        <w:t>,</w:t>
      </w:r>
      <w:r w:rsidRPr="0022453B">
        <w:rPr>
          <w:rStyle w:val="ab"/>
          <w:rFonts w:ascii="Times New Roman" w:hAnsi="Times New Roman"/>
          <w:b w:val="0"/>
          <w:bCs/>
          <w:sz w:val="28"/>
          <w:szCs w:val="28"/>
          <w:shd w:val="clear" w:color="auto" w:fill="FFFFFF"/>
        </w:rPr>
        <w:t xml:space="preserve"> наук професор</w:t>
      </w:r>
      <w:r w:rsidR="0098043B" w:rsidRPr="0022453B">
        <w:rPr>
          <w:rStyle w:val="ab"/>
          <w:rFonts w:ascii="Times New Roman" w:hAnsi="Times New Roman"/>
          <w:b w:val="0"/>
          <w:bCs/>
          <w:sz w:val="28"/>
          <w:szCs w:val="28"/>
          <w:shd w:val="clear" w:color="auto" w:fill="FFFFFF"/>
        </w:rPr>
        <w:tab/>
      </w:r>
      <w:r w:rsidR="0098043B" w:rsidRPr="0022453B">
        <w:rPr>
          <w:rStyle w:val="ab"/>
          <w:rFonts w:ascii="Times New Roman" w:hAnsi="Times New Roman"/>
          <w:b w:val="0"/>
          <w:bCs/>
          <w:sz w:val="28"/>
          <w:szCs w:val="28"/>
          <w:shd w:val="clear" w:color="auto" w:fill="FFFFFF"/>
        </w:rPr>
        <w:tab/>
      </w:r>
      <w:r w:rsidR="0098043B" w:rsidRPr="0022453B">
        <w:rPr>
          <w:rStyle w:val="ab"/>
          <w:rFonts w:ascii="Times New Roman" w:hAnsi="Times New Roman"/>
          <w:b w:val="0"/>
          <w:bCs/>
          <w:sz w:val="28"/>
          <w:szCs w:val="28"/>
          <w:shd w:val="clear" w:color="auto" w:fill="FFFFFF"/>
        </w:rPr>
        <w:tab/>
      </w:r>
      <w:r w:rsidR="0098043B" w:rsidRPr="0022453B">
        <w:rPr>
          <w:rStyle w:val="ab"/>
          <w:rFonts w:ascii="Times New Roman" w:hAnsi="Times New Roman"/>
          <w:b w:val="0"/>
          <w:bCs/>
          <w:sz w:val="28"/>
          <w:szCs w:val="28"/>
          <w:shd w:val="clear" w:color="auto" w:fill="FFFFFF"/>
        </w:rPr>
        <w:tab/>
      </w:r>
      <w:r w:rsidR="0054236E" w:rsidRPr="0022453B">
        <w:rPr>
          <w:rStyle w:val="ab"/>
          <w:rFonts w:ascii="Times New Roman" w:hAnsi="Times New Roman"/>
          <w:b w:val="0"/>
          <w:bCs/>
          <w:sz w:val="28"/>
          <w:szCs w:val="28"/>
          <w:shd w:val="clear" w:color="auto" w:fill="FFFFFF"/>
        </w:rPr>
        <w:t>Т.</w:t>
      </w:r>
      <w:r w:rsidR="0098043B" w:rsidRPr="0022453B">
        <w:rPr>
          <w:rStyle w:val="ab"/>
          <w:rFonts w:ascii="Times New Roman" w:hAnsi="Times New Roman"/>
          <w:b w:val="0"/>
          <w:bCs/>
          <w:sz w:val="28"/>
          <w:szCs w:val="28"/>
          <w:shd w:val="clear" w:color="auto" w:fill="FFFFFF"/>
        </w:rPr>
        <w:t> </w:t>
      </w:r>
      <w:r w:rsidR="0054236E" w:rsidRPr="0022453B">
        <w:rPr>
          <w:rStyle w:val="ab"/>
          <w:rFonts w:ascii="Times New Roman" w:hAnsi="Times New Roman"/>
          <w:b w:val="0"/>
          <w:bCs/>
          <w:sz w:val="28"/>
          <w:szCs w:val="28"/>
          <w:shd w:val="clear" w:color="auto" w:fill="FFFFFF"/>
        </w:rPr>
        <w:t>В.</w:t>
      </w:r>
      <w:r w:rsidR="002A7626" w:rsidRPr="0022453B">
        <w:rPr>
          <w:rStyle w:val="ab"/>
          <w:rFonts w:ascii="Times New Roman" w:hAnsi="Times New Roman"/>
          <w:b w:val="0"/>
          <w:bCs/>
          <w:sz w:val="28"/>
          <w:szCs w:val="28"/>
          <w:shd w:val="clear" w:color="auto" w:fill="FFFFFF"/>
          <w:lang w:val="ru-RU"/>
        </w:rPr>
        <w:t> </w:t>
      </w:r>
      <w:r w:rsidR="00344C88">
        <w:rPr>
          <w:rStyle w:val="ab"/>
          <w:rFonts w:ascii="Times New Roman" w:hAnsi="Times New Roman"/>
          <w:b w:val="0"/>
          <w:bCs/>
          <w:sz w:val="28"/>
          <w:szCs w:val="28"/>
          <w:shd w:val="clear" w:color="auto" w:fill="FFFFFF"/>
        </w:rPr>
        <w:t>Фрол</w:t>
      </w:r>
      <w:r w:rsidR="008D5D1F">
        <w:rPr>
          <w:rStyle w:val="ab"/>
          <w:rFonts w:ascii="Times New Roman" w:hAnsi="Times New Roman"/>
          <w:b w:val="0"/>
          <w:bCs/>
          <w:sz w:val="28"/>
          <w:szCs w:val="28"/>
          <w:shd w:val="clear" w:color="auto" w:fill="FFFFFF"/>
        </w:rPr>
        <w:t>ов</w:t>
      </w:r>
      <w:r w:rsidR="00296AFB">
        <w:rPr>
          <w:rStyle w:val="ab"/>
          <w:rFonts w:ascii="Times New Roman" w:hAnsi="Times New Roman"/>
          <w:b w:val="0"/>
          <w:bCs/>
          <w:sz w:val="28"/>
          <w:szCs w:val="28"/>
          <w:shd w:val="clear" w:color="auto" w:fill="FFFFFF"/>
        </w:rPr>
        <w:t>а</w:t>
      </w:r>
    </w:p>
    <w:p w:rsidR="00A87096" w:rsidRDefault="00E95BFF" w:rsidP="00386014">
      <w:pPr>
        <w:pStyle w:val="arefZag"/>
        <w:spacing w:before="0" w:after="0"/>
        <w:rPr>
          <w:rStyle w:val="rvts12"/>
          <w:lang w:val="ru-RU"/>
        </w:rPr>
      </w:pPr>
      <w:r w:rsidRPr="005610C2">
        <w:rPr>
          <w:rStyle w:val="rvts12"/>
        </w:rPr>
        <w:lastRenderedPageBreak/>
        <w:t>ЗАГАЛЬНА</w:t>
      </w:r>
      <w:r w:rsidRPr="00A21FA4">
        <w:rPr>
          <w:rStyle w:val="rvts12"/>
        </w:rPr>
        <w:t xml:space="preserve"> ХАРАКТЕРИСТИКА РОБОТИ</w:t>
      </w:r>
    </w:p>
    <w:p w:rsidR="00386014" w:rsidRPr="00386014" w:rsidRDefault="00386014" w:rsidP="00386014">
      <w:pPr>
        <w:pStyle w:val="arefZag"/>
        <w:spacing w:before="0" w:after="0"/>
        <w:rPr>
          <w:rStyle w:val="rvts12"/>
          <w:lang w:val="ru-RU"/>
        </w:rPr>
      </w:pPr>
    </w:p>
    <w:p w:rsidR="00334A6F" w:rsidRPr="0022453B" w:rsidRDefault="00A87096" w:rsidP="00CD5061">
      <w:pPr>
        <w:pStyle w:val="atextRef"/>
        <w:spacing w:line="288" w:lineRule="auto"/>
      </w:pPr>
      <w:r w:rsidRPr="0022453B">
        <w:rPr>
          <w:rStyle w:val="rvts12"/>
          <w:b/>
          <w:iCs/>
        </w:rPr>
        <w:t>Актуальність теми</w:t>
      </w:r>
      <w:r w:rsidR="007B57AC" w:rsidRPr="0022453B">
        <w:rPr>
          <w:rStyle w:val="rvts12"/>
          <w:b/>
          <w:iCs/>
        </w:rPr>
        <w:t xml:space="preserve">. </w:t>
      </w:r>
      <w:r w:rsidR="0013622E" w:rsidRPr="0022453B">
        <w:t>Сучасні</w:t>
      </w:r>
      <w:r w:rsidR="006908E6" w:rsidRPr="0022453B">
        <w:t xml:space="preserve"> науков</w:t>
      </w:r>
      <w:r w:rsidR="003E26A7" w:rsidRPr="0022453B">
        <w:t>і</w:t>
      </w:r>
      <w:r w:rsidR="006908E6" w:rsidRPr="0022453B">
        <w:t xml:space="preserve"> </w:t>
      </w:r>
      <w:r w:rsidR="003E26A7" w:rsidRPr="0022453B">
        <w:t>спостереження</w:t>
      </w:r>
      <w:r w:rsidR="00346FC3" w:rsidRPr="0022453B">
        <w:t xml:space="preserve"> свідча</w:t>
      </w:r>
      <w:r w:rsidR="006908E6" w:rsidRPr="0022453B">
        <w:t>ть про те, що в</w:t>
      </w:r>
      <w:r w:rsidR="00B54E3E" w:rsidRPr="0022453B">
        <w:rPr>
          <w:lang w:val="en-US"/>
        </w:rPr>
        <w:t> </w:t>
      </w:r>
      <w:r w:rsidR="006908E6" w:rsidRPr="0022453B">
        <w:t xml:space="preserve">найближчі кілька десятиліть </w:t>
      </w:r>
      <w:r w:rsidR="004A00C7" w:rsidRPr="0022453B">
        <w:t>буде спостерігатися</w:t>
      </w:r>
      <w:r w:rsidR="006908E6" w:rsidRPr="0022453B">
        <w:t xml:space="preserve"> тенденція до збільшення </w:t>
      </w:r>
      <w:r w:rsidR="0069685F" w:rsidRPr="0022453B">
        <w:t>кількості</w:t>
      </w:r>
      <w:r w:rsidR="006908E6" w:rsidRPr="0022453B">
        <w:t xml:space="preserve"> хворих на бронхіальну астму</w:t>
      </w:r>
      <w:r w:rsidR="004A00C7" w:rsidRPr="0022453B">
        <w:t xml:space="preserve"> (БА)</w:t>
      </w:r>
      <w:r w:rsidR="006908E6" w:rsidRPr="0022453B">
        <w:t>, цукровий діабет 2</w:t>
      </w:r>
      <w:r w:rsidR="0013622E" w:rsidRPr="0022453B">
        <w:t>-го</w:t>
      </w:r>
      <w:r w:rsidR="00C74296" w:rsidRPr="0022453B">
        <w:t xml:space="preserve"> </w:t>
      </w:r>
      <w:r w:rsidR="006908E6" w:rsidRPr="0022453B">
        <w:t>типу</w:t>
      </w:r>
      <w:r w:rsidR="004A00C7" w:rsidRPr="0022453B">
        <w:t xml:space="preserve"> (ЦД2Т)</w:t>
      </w:r>
      <w:r w:rsidR="006908E6" w:rsidRPr="0022453B">
        <w:t xml:space="preserve"> та ожиріння</w:t>
      </w:r>
      <w:r w:rsidR="004A00C7" w:rsidRPr="0022453B">
        <w:t xml:space="preserve"> (Ож)</w:t>
      </w:r>
      <w:r w:rsidR="006908E6" w:rsidRPr="0022453B">
        <w:t>. Не випадково, ба</w:t>
      </w:r>
      <w:r w:rsidR="00B65EEC" w:rsidRPr="0022453B">
        <w:t>гато авторів вважають ці</w:t>
      </w:r>
      <w:r w:rsidR="006908E6" w:rsidRPr="0022453B">
        <w:t xml:space="preserve"> захворювання глобальною проблемою </w:t>
      </w:r>
      <w:r w:rsidR="00F3221C" w:rsidRPr="0022453B">
        <w:rPr>
          <w:lang w:val="en-US"/>
        </w:rPr>
        <w:t>XXI</w:t>
      </w:r>
      <w:r w:rsidR="00A72B0E" w:rsidRPr="0022453B">
        <w:t xml:space="preserve"> ст</w:t>
      </w:r>
      <w:r w:rsidR="0013622E" w:rsidRPr="0022453B">
        <w:t>.</w:t>
      </w:r>
      <w:r w:rsidR="00346FC3" w:rsidRPr="0022453B">
        <w:t xml:space="preserve"> </w:t>
      </w:r>
      <w:r w:rsidR="00346FC3" w:rsidRPr="0022453B">
        <w:rPr>
          <w:lang w:eastAsia="uk-UA"/>
        </w:rPr>
        <w:t>(Т.О. Перцева, 2011</w:t>
      </w:r>
      <w:r w:rsidR="002B0C70">
        <w:rPr>
          <w:lang w:eastAsia="uk-UA"/>
        </w:rPr>
        <w:t>;</w:t>
      </w:r>
      <w:r w:rsidR="00346FC3" w:rsidRPr="0022453B">
        <w:rPr>
          <w:lang w:eastAsia="uk-UA"/>
        </w:rPr>
        <w:t xml:space="preserve"> Л.Н.</w:t>
      </w:r>
      <w:r w:rsidR="00B54E3E" w:rsidRPr="0022453B">
        <w:rPr>
          <w:lang w:val="en-US" w:eastAsia="uk-UA"/>
        </w:rPr>
        <w:t> </w:t>
      </w:r>
      <w:r w:rsidR="00346FC3" w:rsidRPr="0022453B">
        <w:rPr>
          <w:lang w:eastAsia="uk-UA"/>
        </w:rPr>
        <w:t>Приступа та ін., 2014</w:t>
      </w:r>
      <w:r w:rsidR="002B0C70">
        <w:rPr>
          <w:lang w:eastAsia="uk-UA"/>
        </w:rPr>
        <w:t>;</w:t>
      </w:r>
      <w:r w:rsidR="005352FE">
        <w:rPr>
          <w:lang w:eastAsia="uk-UA"/>
        </w:rPr>
        <w:t xml:space="preserve"> О.М.</w:t>
      </w:r>
      <w:r w:rsidR="00346FC3" w:rsidRPr="0022453B">
        <w:rPr>
          <w:lang w:eastAsia="uk-UA"/>
        </w:rPr>
        <w:t>Радченко та ін., 2014</w:t>
      </w:r>
      <w:r w:rsidR="002B0C70">
        <w:rPr>
          <w:lang w:eastAsia="uk-UA"/>
        </w:rPr>
        <w:t>;</w:t>
      </w:r>
      <w:r w:rsidR="00346FC3" w:rsidRPr="0022453B">
        <w:rPr>
          <w:lang w:eastAsia="uk-UA"/>
        </w:rPr>
        <w:t xml:space="preserve"> </w:t>
      </w:r>
      <w:r w:rsidR="006E0698" w:rsidRPr="0022453B">
        <w:t>Н.О.</w:t>
      </w:r>
      <w:r w:rsidR="006E0698" w:rsidRPr="0022453B">
        <w:rPr>
          <w:lang w:eastAsia="uk-UA"/>
        </w:rPr>
        <w:t xml:space="preserve"> </w:t>
      </w:r>
      <w:r w:rsidR="006E0698" w:rsidRPr="0022453B">
        <w:t>Кравчун, 2014</w:t>
      </w:r>
      <w:r w:rsidR="002B0C70">
        <w:t>;</w:t>
      </w:r>
      <w:r w:rsidR="006E0698" w:rsidRPr="0022453B">
        <w:rPr>
          <w:lang w:eastAsia="uk-UA"/>
        </w:rPr>
        <w:t xml:space="preserve"> </w:t>
      </w:r>
      <w:r w:rsidR="00346FC3" w:rsidRPr="0022453B">
        <w:rPr>
          <w:lang w:eastAsia="uk-UA"/>
        </w:rPr>
        <w:t>Т.М.</w:t>
      </w:r>
      <w:r w:rsidR="005352FE" w:rsidRPr="005352FE">
        <w:rPr>
          <w:lang w:eastAsia="uk-UA"/>
        </w:rPr>
        <w:t xml:space="preserve"> </w:t>
      </w:r>
      <w:r w:rsidR="005352FE" w:rsidRPr="0022453B">
        <w:rPr>
          <w:lang w:eastAsia="uk-UA"/>
        </w:rPr>
        <w:t>Пас</w:t>
      </w:r>
      <w:r w:rsidR="0014405F">
        <w:rPr>
          <w:lang w:eastAsia="uk-UA"/>
        </w:rPr>
        <w:t>і</w:t>
      </w:r>
      <w:r w:rsidR="005352FE" w:rsidRPr="0022453B">
        <w:rPr>
          <w:lang w:eastAsia="uk-UA"/>
        </w:rPr>
        <w:t>єшвілі</w:t>
      </w:r>
      <w:r w:rsidR="00346FC3" w:rsidRPr="0022453B">
        <w:rPr>
          <w:lang w:eastAsia="uk-UA"/>
        </w:rPr>
        <w:t>, Т.С.</w:t>
      </w:r>
      <w:r w:rsidR="005352FE" w:rsidRPr="005352FE">
        <w:rPr>
          <w:lang w:eastAsia="uk-UA"/>
        </w:rPr>
        <w:t xml:space="preserve"> </w:t>
      </w:r>
      <w:r w:rsidR="005352FE" w:rsidRPr="0022453B">
        <w:rPr>
          <w:lang w:eastAsia="uk-UA"/>
        </w:rPr>
        <w:t>Оспанова</w:t>
      </w:r>
      <w:r w:rsidR="00346FC3" w:rsidRPr="0022453B">
        <w:rPr>
          <w:lang w:eastAsia="uk-UA"/>
        </w:rPr>
        <w:t>, 2016)</w:t>
      </w:r>
      <w:r w:rsidR="006908E6" w:rsidRPr="0022453B">
        <w:t xml:space="preserve">. Стрімке зростання поширеності цих захворювань формує важливу проблему інтерністики </w:t>
      </w:r>
      <w:r w:rsidR="00CD22CE" w:rsidRPr="0022453B">
        <w:t>–</w:t>
      </w:r>
      <w:r w:rsidR="006908E6" w:rsidRPr="0022453B">
        <w:t xml:space="preserve"> вивчення механізмів еволюції прогресування хронічних хвороб, опрацювання методів профілактики несприятливого перебігу, максимального збереження функції уражених органів та систем</w:t>
      </w:r>
      <w:r w:rsidR="00BF4E0D" w:rsidRPr="0022453B">
        <w:t>,</w:t>
      </w:r>
      <w:r w:rsidR="006908E6" w:rsidRPr="0022453B">
        <w:t xml:space="preserve"> </w:t>
      </w:r>
      <w:r w:rsidR="00BF4E0D" w:rsidRPr="0022453B">
        <w:t>п</w:t>
      </w:r>
      <w:r w:rsidR="006908E6" w:rsidRPr="0022453B">
        <w:t xml:space="preserve">овною мірою це стосується </w:t>
      </w:r>
      <w:r w:rsidR="004A00C7" w:rsidRPr="0022453B">
        <w:t>БА</w:t>
      </w:r>
      <w:r w:rsidR="006908E6" w:rsidRPr="0022453B">
        <w:t xml:space="preserve">, ожиріння, </w:t>
      </w:r>
      <w:r w:rsidR="0069685F" w:rsidRPr="0022453B">
        <w:rPr>
          <w:snapToGrid w:val="0"/>
        </w:rPr>
        <w:t>ЦД2Т</w:t>
      </w:r>
      <w:r w:rsidR="00645238" w:rsidRPr="0022453B">
        <w:rPr>
          <w:snapToGrid w:val="0"/>
        </w:rPr>
        <w:t xml:space="preserve"> (</w:t>
      </w:r>
      <w:r w:rsidR="00C047B5" w:rsidRPr="0022453B">
        <w:t>Т.О. Перцева, 2016</w:t>
      </w:r>
      <w:r w:rsidR="002B0C70">
        <w:t>;</w:t>
      </w:r>
      <w:r w:rsidR="00C047B5" w:rsidRPr="0022453B">
        <w:t xml:space="preserve"> </w:t>
      </w:r>
      <w:r w:rsidR="00645238" w:rsidRPr="0022453B">
        <w:rPr>
          <w:snapToGrid w:val="0"/>
        </w:rPr>
        <w:t xml:space="preserve">Т.М. Тихонова </w:t>
      </w:r>
      <w:r w:rsidR="006E0698" w:rsidRPr="0022453B">
        <w:rPr>
          <w:snapToGrid w:val="0"/>
        </w:rPr>
        <w:t>та ін., 2015</w:t>
      </w:r>
      <w:r w:rsidR="002B0C70">
        <w:t>;</w:t>
      </w:r>
      <w:r w:rsidR="002E13DC" w:rsidRPr="0022453B">
        <w:t xml:space="preserve"> </w:t>
      </w:r>
      <w:r w:rsidR="005352FE" w:rsidRPr="0022453B">
        <w:rPr>
          <w:shd w:val="clear" w:color="auto" w:fill="FFFFFF"/>
        </w:rPr>
        <w:t>H.J.</w:t>
      </w:r>
      <w:r w:rsidR="005352FE" w:rsidRPr="0022453B">
        <w:t xml:space="preserve"> </w:t>
      </w:r>
      <w:r w:rsidR="00C047B5" w:rsidRPr="0022453B">
        <w:rPr>
          <w:shd w:val="clear" w:color="auto" w:fill="FFFFFF"/>
        </w:rPr>
        <w:t xml:space="preserve">Anders </w:t>
      </w:r>
      <w:r w:rsidR="00645238" w:rsidRPr="0022453B">
        <w:rPr>
          <w:lang w:val="en-US"/>
        </w:rPr>
        <w:t>et</w:t>
      </w:r>
      <w:r w:rsidR="00645238" w:rsidRPr="0022453B">
        <w:t xml:space="preserve"> </w:t>
      </w:r>
      <w:r w:rsidR="00645238" w:rsidRPr="0022453B">
        <w:rPr>
          <w:lang w:val="en-US"/>
        </w:rPr>
        <w:t>al</w:t>
      </w:r>
      <w:r w:rsidR="00C047B5" w:rsidRPr="0022453B">
        <w:t>.</w:t>
      </w:r>
      <w:r w:rsidR="00DB67AD" w:rsidRPr="0022453B">
        <w:t>, 2017</w:t>
      </w:r>
      <w:r w:rsidR="002B0C70">
        <w:t xml:space="preserve">; </w:t>
      </w:r>
      <w:r w:rsidR="00C047B5" w:rsidRPr="0022453B">
        <w:t>K</w:t>
      </w:r>
      <w:r w:rsidR="00207048" w:rsidRPr="0022453B">
        <w:t>.</w:t>
      </w:r>
      <w:r w:rsidR="00C047B5" w:rsidRPr="0022453B">
        <w:t xml:space="preserve"> Barnett </w:t>
      </w:r>
      <w:r w:rsidR="00C047B5" w:rsidRPr="0022453B">
        <w:rPr>
          <w:lang w:val="en-US"/>
        </w:rPr>
        <w:t>et</w:t>
      </w:r>
      <w:r w:rsidR="00C047B5" w:rsidRPr="0022453B">
        <w:t xml:space="preserve"> </w:t>
      </w:r>
      <w:r w:rsidR="00C047B5" w:rsidRPr="0022453B">
        <w:rPr>
          <w:lang w:val="en-US"/>
        </w:rPr>
        <w:t>al</w:t>
      </w:r>
      <w:r w:rsidR="00C047B5" w:rsidRPr="0022453B">
        <w:t>., 2012</w:t>
      </w:r>
      <w:r w:rsidR="00645238" w:rsidRPr="0022453B">
        <w:rPr>
          <w:snapToGrid w:val="0"/>
        </w:rPr>
        <w:t>)</w:t>
      </w:r>
      <w:r w:rsidR="00A72B0E" w:rsidRPr="0022453B">
        <w:t xml:space="preserve">. </w:t>
      </w:r>
      <w:r w:rsidR="00BF4E0D" w:rsidRPr="0022453B">
        <w:t>П</w:t>
      </w:r>
      <w:r w:rsidR="006908E6" w:rsidRPr="0022453B">
        <w:t xml:space="preserve">еребіг </w:t>
      </w:r>
      <w:r w:rsidR="00346FC3" w:rsidRPr="0022453B">
        <w:t xml:space="preserve">цих коморбідних </w:t>
      </w:r>
      <w:r w:rsidR="006908E6" w:rsidRPr="0022453B">
        <w:t xml:space="preserve">хвороб </w:t>
      </w:r>
      <w:r w:rsidR="0013622E" w:rsidRPr="0022453B">
        <w:t>у</w:t>
      </w:r>
      <w:r w:rsidR="006908E6" w:rsidRPr="0022453B">
        <w:t xml:space="preserve">се частіше </w:t>
      </w:r>
      <w:r w:rsidR="006908E6" w:rsidRPr="0022453B">
        <w:rPr>
          <w:noProof/>
        </w:rPr>
        <w:t xml:space="preserve">залишається </w:t>
      </w:r>
      <w:r w:rsidR="006908E6" w:rsidRPr="0022453B">
        <w:t xml:space="preserve">однією з найважливіших соціальних проблем </w:t>
      </w:r>
      <w:r w:rsidR="002F319F">
        <w:t>медицини</w:t>
      </w:r>
      <w:r w:rsidR="006908E6" w:rsidRPr="0022453B">
        <w:t xml:space="preserve">, що обумовлено поширеністю, суттєвим впливом на якість життя хворих, </w:t>
      </w:r>
      <w:r w:rsidR="00A72B0E" w:rsidRPr="0022453B">
        <w:rPr>
          <w:rStyle w:val="a7"/>
          <w:lang w:val="uk-UA" w:eastAsia="en-US"/>
        </w:rPr>
        <w:t>інвалідизаціє</w:t>
      </w:r>
      <w:r w:rsidR="006908E6" w:rsidRPr="0022453B">
        <w:rPr>
          <w:rStyle w:val="a7"/>
          <w:lang w:val="uk-UA" w:eastAsia="en-US"/>
        </w:rPr>
        <w:t>ю</w:t>
      </w:r>
      <w:r w:rsidR="00A72B0E" w:rsidRPr="0022453B">
        <w:t xml:space="preserve"> та значними економічними втратами</w:t>
      </w:r>
      <w:r w:rsidR="006E0698" w:rsidRPr="0022453B">
        <w:t xml:space="preserve">. </w:t>
      </w:r>
      <w:r w:rsidR="006E0698" w:rsidRPr="0022453B">
        <w:rPr>
          <w:noProof/>
        </w:rPr>
        <w:t xml:space="preserve">Це свідчить про проблему гіподіагностики БА, однією з причин якої </w:t>
      </w:r>
      <w:r w:rsidR="006E0698" w:rsidRPr="0022453B">
        <w:t>є мультифакторність захворювання</w:t>
      </w:r>
      <w:r w:rsidR="00345876" w:rsidRPr="0022453B">
        <w:t xml:space="preserve"> </w:t>
      </w:r>
      <w:r w:rsidR="00C73F63" w:rsidRPr="0022453B">
        <w:t>(</w:t>
      </w:r>
      <w:r w:rsidR="00345876" w:rsidRPr="0022453B">
        <w:rPr>
          <w:shd w:val="clear" w:color="auto" w:fill="FFFFFF"/>
          <w:lang w:val="en-US"/>
        </w:rPr>
        <w:t>D</w:t>
      </w:r>
      <w:r w:rsidR="00207048" w:rsidRPr="0022453B">
        <w:rPr>
          <w:shd w:val="clear" w:color="auto" w:fill="FFFFFF"/>
        </w:rPr>
        <w:t>.</w:t>
      </w:r>
      <w:r w:rsidR="00345876" w:rsidRPr="0022453B">
        <w:rPr>
          <w:shd w:val="clear" w:color="auto" w:fill="FFFFFF"/>
          <w:lang w:val="en-US"/>
        </w:rPr>
        <w:t>A</w:t>
      </w:r>
      <w:r w:rsidR="00207048" w:rsidRPr="0022453B">
        <w:rPr>
          <w:shd w:val="clear" w:color="auto" w:fill="FFFFFF"/>
        </w:rPr>
        <w:t>.</w:t>
      </w:r>
      <w:r w:rsidR="00345876" w:rsidRPr="0022453B">
        <w:rPr>
          <w:shd w:val="clear" w:color="auto" w:fill="FFFFFF"/>
        </w:rPr>
        <w:t xml:space="preserve"> </w:t>
      </w:r>
      <w:r w:rsidR="00345876" w:rsidRPr="0022453B">
        <w:rPr>
          <w:shd w:val="clear" w:color="auto" w:fill="FFFFFF"/>
          <w:lang w:val="en-US"/>
        </w:rPr>
        <w:t>Beuther</w:t>
      </w:r>
      <w:r w:rsidR="00345876" w:rsidRPr="0022453B">
        <w:rPr>
          <w:shd w:val="clear" w:color="auto" w:fill="FFFFFF"/>
        </w:rPr>
        <w:t>, 2018</w:t>
      </w:r>
      <w:r w:rsidR="002B0C70">
        <w:rPr>
          <w:shd w:val="clear" w:color="auto" w:fill="FFFFFF"/>
        </w:rPr>
        <w:t>;</w:t>
      </w:r>
      <w:r w:rsidR="00345876" w:rsidRPr="0022453B">
        <w:rPr>
          <w:shd w:val="clear" w:color="auto" w:fill="FFFFFF"/>
        </w:rPr>
        <w:t xml:space="preserve"> </w:t>
      </w:r>
      <w:r w:rsidR="00345876" w:rsidRPr="0022453B">
        <w:rPr>
          <w:bCs/>
          <w:shd w:val="clear" w:color="auto" w:fill="FFFFFF"/>
          <w:lang w:val="en-US"/>
        </w:rPr>
        <w:t>J</w:t>
      </w:r>
      <w:r w:rsidR="00207048" w:rsidRPr="0022453B">
        <w:rPr>
          <w:bCs/>
          <w:shd w:val="clear" w:color="auto" w:fill="FFFFFF"/>
        </w:rPr>
        <w:t>.</w:t>
      </w:r>
      <w:r w:rsidR="00345876" w:rsidRPr="0022453B">
        <w:rPr>
          <w:bCs/>
          <w:shd w:val="clear" w:color="auto" w:fill="FFFFFF"/>
          <w:lang w:val="en-US"/>
        </w:rPr>
        <w:t>E</w:t>
      </w:r>
      <w:r w:rsidR="00207048" w:rsidRPr="0022453B">
        <w:rPr>
          <w:bCs/>
          <w:shd w:val="clear" w:color="auto" w:fill="FFFFFF"/>
        </w:rPr>
        <w:t>.</w:t>
      </w:r>
      <w:r w:rsidR="00345876" w:rsidRPr="0022453B">
        <w:rPr>
          <w:bCs/>
          <w:shd w:val="clear" w:color="auto" w:fill="FFFFFF"/>
          <w:lang w:val="en-US"/>
        </w:rPr>
        <w:t>J</w:t>
      </w:r>
      <w:r w:rsidR="00207048" w:rsidRPr="0022453B">
        <w:rPr>
          <w:bCs/>
          <w:shd w:val="clear" w:color="auto" w:fill="FFFFFF"/>
        </w:rPr>
        <w:t>.</w:t>
      </w:r>
      <w:r w:rsidR="00345876" w:rsidRPr="0022453B">
        <w:rPr>
          <w:bCs/>
          <w:shd w:val="clear" w:color="auto" w:fill="FFFFFF"/>
        </w:rPr>
        <w:t xml:space="preserve"> </w:t>
      </w:r>
      <w:r w:rsidR="00345876" w:rsidRPr="0022453B">
        <w:rPr>
          <w:bCs/>
          <w:shd w:val="clear" w:color="auto" w:fill="FFFFFF"/>
          <w:lang w:val="en-US"/>
        </w:rPr>
        <w:t>Ware</w:t>
      </w:r>
      <w:r w:rsidR="00345876" w:rsidRPr="0022453B">
        <w:t xml:space="preserve"> </w:t>
      </w:r>
      <w:r w:rsidR="00345876" w:rsidRPr="0022453B">
        <w:rPr>
          <w:lang w:val="en-US"/>
        </w:rPr>
        <w:t>et</w:t>
      </w:r>
      <w:r w:rsidR="00345876" w:rsidRPr="0022453B">
        <w:t xml:space="preserve"> </w:t>
      </w:r>
      <w:r w:rsidR="00345876" w:rsidRPr="0022453B">
        <w:rPr>
          <w:lang w:val="en-US"/>
        </w:rPr>
        <w:t>al</w:t>
      </w:r>
      <w:r w:rsidR="005352FE" w:rsidRPr="005352FE">
        <w:t>.</w:t>
      </w:r>
      <w:r w:rsidR="00345876" w:rsidRPr="0022453B">
        <w:rPr>
          <w:bCs/>
          <w:shd w:val="clear" w:color="auto" w:fill="FFFFFF"/>
        </w:rPr>
        <w:t>, 2019</w:t>
      </w:r>
      <w:r w:rsidR="0013622E" w:rsidRPr="0022453B">
        <w:rPr>
          <w:bCs/>
          <w:shd w:val="clear" w:color="auto" w:fill="FFFFFF"/>
        </w:rPr>
        <w:t>)</w:t>
      </w:r>
      <w:r w:rsidR="006E0698" w:rsidRPr="0022453B">
        <w:rPr>
          <w:noProof/>
        </w:rPr>
        <w:t>.</w:t>
      </w:r>
      <w:r w:rsidR="006908E6" w:rsidRPr="0022453B">
        <w:t xml:space="preserve"> </w:t>
      </w:r>
      <w:r w:rsidR="000B6739" w:rsidRPr="0022453B">
        <w:t>Останнім часом</w:t>
      </w:r>
      <w:r w:rsidR="0013622E" w:rsidRPr="0022453B">
        <w:t xml:space="preserve"> запропоновано</w:t>
      </w:r>
      <w:r w:rsidR="006908E6" w:rsidRPr="0022453B">
        <w:t xml:space="preserve"> нові узгоджувальні документи та стандарти терапії, </w:t>
      </w:r>
      <w:r w:rsidR="00C047B5" w:rsidRPr="0022453B">
        <w:t>але</w:t>
      </w:r>
      <w:r w:rsidR="00B024C5" w:rsidRPr="0022453B">
        <w:t xml:space="preserve"> спостерігається недооцінка тяжкості БА та переоцінка ступеня її контролю</w:t>
      </w:r>
      <w:r w:rsidR="006908E6" w:rsidRPr="0022453B">
        <w:t xml:space="preserve"> (</w:t>
      </w:r>
      <w:r w:rsidR="00F3221C" w:rsidRPr="0022453B">
        <w:t>Ю.І. </w:t>
      </w:r>
      <w:r w:rsidR="006908E6" w:rsidRPr="0022453B">
        <w:t>Фещенко</w:t>
      </w:r>
      <w:r w:rsidR="001A5130" w:rsidRPr="0022453B">
        <w:t>, 201</w:t>
      </w:r>
      <w:r w:rsidR="00A865C3" w:rsidRPr="0022453B">
        <w:t>9</w:t>
      </w:r>
      <w:r w:rsidR="005822B0">
        <w:t xml:space="preserve">; </w:t>
      </w:r>
      <w:r w:rsidR="00461F25" w:rsidRPr="0022453B">
        <w:t>Ю.М.</w:t>
      </w:r>
      <w:r w:rsidR="005610C2">
        <w:t> </w:t>
      </w:r>
      <w:r w:rsidR="00461F25" w:rsidRPr="0022453B">
        <w:t>Мостовий</w:t>
      </w:r>
      <w:r w:rsidR="00444C6A" w:rsidRPr="0022453B">
        <w:t xml:space="preserve"> та ін</w:t>
      </w:r>
      <w:r w:rsidR="005352FE" w:rsidRPr="005352FE">
        <w:t>.</w:t>
      </w:r>
      <w:r w:rsidR="00461F25" w:rsidRPr="0022453B">
        <w:t>, 2017</w:t>
      </w:r>
      <w:r w:rsidR="002B0C70">
        <w:t>;</w:t>
      </w:r>
      <w:r w:rsidR="00461F25" w:rsidRPr="0022453B">
        <w:t xml:space="preserve"> </w:t>
      </w:r>
      <w:r w:rsidR="00C047B5" w:rsidRPr="0022453B">
        <w:t>Л.О. Яшина, 201</w:t>
      </w:r>
      <w:r w:rsidR="003C61A0">
        <w:t>8</w:t>
      </w:r>
      <w:r w:rsidR="002B0C70">
        <w:t>;</w:t>
      </w:r>
      <w:r w:rsidR="00461F25" w:rsidRPr="0022453B">
        <w:t xml:space="preserve"> </w:t>
      </w:r>
      <w:r w:rsidR="00AB5424" w:rsidRPr="0022453B">
        <w:rPr>
          <w:lang w:val="en-US"/>
        </w:rPr>
        <w:t>P</w:t>
      </w:r>
      <w:r w:rsidR="005352FE" w:rsidRPr="005352FE">
        <w:t>.</w:t>
      </w:r>
      <w:r w:rsidR="00AB5424" w:rsidRPr="0022453B">
        <w:rPr>
          <w:lang w:val="en-US"/>
        </w:rPr>
        <w:t>J</w:t>
      </w:r>
      <w:r w:rsidR="005352FE" w:rsidRPr="005352FE">
        <w:t>.</w:t>
      </w:r>
      <w:r w:rsidR="00AB5424" w:rsidRPr="0022453B">
        <w:t xml:space="preserve"> </w:t>
      </w:r>
      <w:r w:rsidR="00AB5424" w:rsidRPr="0022453B">
        <w:rPr>
          <w:lang w:val="en-US"/>
        </w:rPr>
        <w:t>Barnes</w:t>
      </w:r>
      <w:r w:rsidR="00AB5424" w:rsidRPr="0022453B">
        <w:t>, 2018</w:t>
      </w:r>
      <w:r w:rsidR="002B0C70">
        <w:t>;</w:t>
      </w:r>
      <w:r w:rsidR="00162E68" w:rsidRPr="0022453B">
        <w:t xml:space="preserve"> </w:t>
      </w:r>
      <w:r w:rsidR="00162E68" w:rsidRPr="0022453B">
        <w:rPr>
          <w:lang w:val="en-US"/>
        </w:rPr>
        <w:t>G</w:t>
      </w:r>
      <w:r w:rsidR="005352FE" w:rsidRPr="005352FE">
        <w:t>.</w:t>
      </w:r>
      <w:r w:rsidR="00162E68" w:rsidRPr="0022453B">
        <w:rPr>
          <w:lang w:val="en-US"/>
        </w:rPr>
        <w:t>W</w:t>
      </w:r>
      <w:r w:rsidR="005352FE" w:rsidRPr="005352FE">
        <w:t>.</w:t>
      </w:r>
      <w:r w:rsidR="00162E68" w:rsidRPr="0022453B">
        <w:t xml:space="preserve"> </w:t>
      </w:r>
      <w:r w:rsidR="00162E68" w:rsidRPr="0022453B">
        <w:rPr>
          <w:lang w:val="en-US"/>
        </w:rPr>
        <w:t>Canonica</w:t>
      </w:r>
      <w:r w:rsidR="00162E68" w:rsidRPr="0022453B">
        <w:t xml:space="preserve"> </w:t>
      </w:r>
      <w:r w:rsidR="00162E68" w:rsidRPr="0022453B">
        <w:rPr>
          <w:lang w:val="en-US"/>
        </w:rPr>
        <w:t>et</w:t>
      </w:r>
      <w:r w:rsidR="00162E68" w:rsidRPr="0022453B">
        <w:t xml:space="preserve"> </w:t>
      </w:r>
      <w:r w:rsidR="00162E68" w:rsidRPr="0022453B">
        <w:rPr>
          <w:lang w:val="en-US"/>
        </w:rPr>
        <w:t>al</w:t>
      </w:r>
      <w:r w:rsidR="005352FE" w:rsidRPr="005352FE">
        <w:t>.</w:t>
      </w:r>
      <w:r w:rsidR="00162E68" w:rsidRPr="0022453B">
        <w:t>,</w:t>
      </w:r>
      <w:r w:rsidR="002B0C70">
        <w:t xml:space="preserve"> </w:t>
      </w:r>
      <w:r w:rsidR="00162E68" w:rsidRPr="0022453B">
        <w:t>2015</w:t>
      </w:r>
      <w:r w:rsidR="006908E6" w:rsidRPr="0022453B">
        <w:t xml:space="preserve">). Більшість дослідників пояснює це тим, що </w:t>
      </w:r>
      <w:r w:rsidR="00E17CCA" w:rsidRPr="0022453B">
        <w:t>у</w:t>
      </w:r>
      <w:r w:rsidR="00AA27F8" w:rsidRPr="0022453B">
        <w:t xml:space="preserve"> </w:t>
      </w:r>
      <w:r w:rsidR="006908E6" w:rsidRPr="0022453B">
        <w:t xml:space="preserve">переважної </w:t>
      </w:r>
      <w:r w:rsidR="00DA215A" w:rsidRPr="0022453B">
        <w:t>кількості</w:t>
      </w:r>
      <w:r w:rsidR="006908E6" w:rsidRPr="0022453B">
        <w:t xml:space="preserve"> пацієнтів не були використані всі </w:t>
      </w:r>
      <w:r w:rsidR="00F3221C" w:rsidRPr="0022453B">
        <w:t>наявні</w:t>
      </w:r>
      <w:r w:rsidR="006908E6" w:rsidRPr="0022453B">
        <w:t xml:space="preserve"> можливості лікування </w:t>
      </w:r>
      <w:r w:rsidR="00F3221C" w:rsidRPr="0022453B">
        <w:t>та</w:t>
      </w:r>
      <w:r w:rsidR="006908E6" w:rsidRPr="0022453B">
        <w:t xml:space="preserve"> моніторування перебігу БА (</w:t>
      </w:r>
      <w:r w:rsidR="00DB67AD" w:rsidRPr="0022453B">
        <w:t>А.А. Опарін</w:t>
      </w:r>
      <w:r w:rsidR="007B0B03" w:rsidRPr="0022453B">
        <w:t xml:space="preserve"> </w:t>
      </w:r>
      <w:r w:rsidR="00DB67AD" w:rsidRPr="0022453B">
        <w:t>та ін.,</w:t>
      </w:r>
      <w:r w:rsidR="007B0B03" w:rsidRPr="0022453B">
        <w:t xml:space="preserve"> </w:t>
      </w:r>
      <w:r w:rsidR="00DB67AD" w:rsidRPr="0022453B">
        <w:t>2018</w:t>
      </w:r>
      <w:r w:rsidR="000D2784">
        <w:t>;</w:t>
      </w:r>
      <w:r w:rsidR="00DB67AD" w:rsidRPr="0022453B">
        <w:t xml:space="preserve"> </w:t>
      </w:r>
      <w:r w:rsidR="00C01AB0" w:rsidRPr="0022453B">
        <w:t>Є.М. Дитятковська,</w:t>
      </w:r>
      <w:r w:rsidR="003C61A0">
        <w:t xml:space="preserve"> </w:t>
      </w:r>
      <w:r w:rsidR="00C01AB0" w:rsidRPr="0022453B">
        <w:t>2018</w:t>
      </w:r>
      <w:r w:rsidR="000D2784">
        <w:t>;</w:t>
      </w:r>
      <w:r w:rsidR="00F6796C" w:rsidRPr="0022453B">
        <w:t xml:space="preserve"> Л.Н. Приступа</w:t>
      </w:r>
      <w:r w:rsidR="003A7994" w:rsidRPr="0022453B">
        <w:t xml:space="preserve"> та ін.</w:t>
      </w:r>
      <w:r w:rsidR="00F6796C" w:rsidRPr="0022453B">
        <w:t>, 2017</w:t>
      </w:r>
      <w:r w:rsidR="000D2784">
        <w:t>;</w:t>
      </w:r>
      <w:r w:rsidR="00514C02" w:rsidRPr="0022453B">
        <w:t xml:space="preserve"> </w:t>
      </w:r>
      <w:r w:rsidR="00514C02" w:rsidRPr="0022453B">
        <w:rPr>
          <w:lang w:val="en-US"/>
        </w:rPr>
        <w:t>K</w:t>
      </w:r>
      <w:r w:rsidR="00514C02" w:rsidRPr="0022453B">
        <w:t xml:space="preserve">. </w:t>
      </w:r>
      <w:r w:rsidR="00514C02" w:rsidRPr="0022453B">
        <w:rPr>
          <w:lang w:val="en-US"/>
        </w:rPr>
        <w:t>Low</w:t>
      </w:r>
      <w:r w:rsidR="00514C02" w:rsidRPr="0022453B">
        <w:t>, 2017</w:t>
      </w:r>
      <w:r w:rsidR="006908E6" w:rsidRPr="0022453B">
        <w:t>).</w:t>
      </w:r>
      <w:r w:rsidR="009030C2" w:rsidRPr="0022453B">
        <w:t xml:space="preserve"> </w:t>
      </w:r>
    </w:p>
    <w:p w:rsidR="00FC1A6F" w:rsidRPr="0022453B" w:rsidRDefault="00FC1A6F" w:rsidP="00CD5061">
      <w:pPr>
        <w:pStyle w:val="atextRef"/>
        <w:spacing w:line="288" w:lineRule="auto"/>
      </w:pPr>
      <w:r w:rsidRPr="0022453B">
        <w:t>На сьогодні</w:t>
      </w:r>
      <w:r w:rsidR="006908E6" w:rsidRPr="0022453B">
        <w:t xml:space="preserve"> одним </w:t>
      </w:r>
      <w:r w:rsidR="00244193" w:rsidRPr="0022453B">
        <w:t>і</w:t>
      </w:r>
      <w:r w:rsidR="006908E6" w:rsidRPr="0022453B">
        <w:t xml:space="preserve">з провідних напрямів </w:t>
      </w:r>
      <w:r w:rsidR="007C7AA9" w:rsidRPr="0022453B">
        <w:t>у</w:t>
      </w:r>
      <w:r w:rsidR="006908E6" w:rsidRPr="0022453B">
        <w:t xml:space="preserve"> діагностиці </w:t>
      </w:r>
      <w:r w:rsidR="00365CDF" w:rsidRPr="0022453B">
        <w:t xml:space="preserve">вирішення цього питання </w:t>
      </w:r>
      <w:r w:rsidR="006908E6" w:rsidRPr="0022453B">
        <w:t xml:space="preserve">є дослідження </w:t>
      </w:r>
      <w:r w:rsidR="00957A0B" w:rsidRPr="0022453B">
        <w:t>біологічних</w:t>
      </w:r>
      <w:r w:rsidR="006908E6" w:rsidRPr="0022453B">
        <w:t xml:space="preserve"> маркерів, які </w:t>
      </w:r>
      <w:r w:rsidR="009B3491" w:rsidRPr="0022453B">
        <w:t xml:space="preserve">відзначають </w:t>
      </w:r>
      <w:r w:rsidR="006908E6" w:rsidRPr="0022453B">
        <w:t>функціональний стан ендотелію судин,</w:t>
      </w:r>
      <w:r w:rsidR="00CD1FAF">
        <w:t xml:space="preserve"> цитокінів</w:t>
      </w:r>
      <w:r w:rsidR="00244193" w:rsidRPr="0022453B">
        <w:t>,</w:t>
      </w:r>
      <w:r w:rsidR="006908E6" w:rsidRPr="0022453B">
        <w:t xml:space="preserve"> які </w:t>
      </w:r>
      <w:r w:rsidR="009B3491" w:rsidRPr="0022453B">
        <w:t xml:space="preserve">мають важливе значення </w:t>
      </w:r>
      <w:r w:rsidR="006908E6" w:rsidRPr="0022453B">
        <w:t>у</w:t>
      </w:r>
      <w:r w:rsidR="005610C2">
        <w:t> </w:t>
      </w:r>
      <w:r w:rsidR="006908E6" w:rsidRPr="0022453B">
        <w:t>модуляції запальної відповіді в різних клінічних ситуаціях, впливають на системн</w:t>
      </w:r>
      <w:r w:rsidR="00A21A4F" w:rsidRPr="0022453B">
        <w:t>у</w:t>
      </w:r>
      <w:r w:rsidR="006908E6" w:rsidRPr="0022453B">
        <w:t xml:space="preserve"> запальн</w:t>
      </w:r>
      <w:r w:rsidR="00A21A4F" w:rsidRPr="0022453B">
        <w:t>у</w:t>
      </w:r>
      <w:r w:rsidR="006908E6" w:rsidRPr="0022453B">
        <w:t xml:space="preserve"> реакці</w:t>
      </w:r>
      <w:r w:rsidR="00A21A4F" w:rsidRPr="0022453B">
        <w:t>ю</w:t>
      </w:r>
      <w:r w:rsidR="00244193" w:rsidRPr="0022453B">
        <w:t>, ендотеліальну дисфункцію та інші патофізіологічні механізми</w:t>
      </w:r>
      <w:r w:rsidR="006908E6" w:rsidRPr="0022453B">
        <w:t xml:space="preserve">, що реалізуються при коморбідних станах у хворих на </w:t>
      </w:r>
      <w:r w:rsidR="009B3491" w:rsidRPr="0022453B">
        <w:t>БА</w:t>
      </w:r>
      <w:r w:rsidR="002039F7" w:rsidRPr="0022453B">
        <w:t xml:space="preserve"> (</w:t>
      </w:r>
      <w:r w:rsidR="00E555F1" w:rsidRPr="0022453B">
        <w:rPr>
          <w:rFonts w:eastAsia="Times-Italic"/>
          <w:iCs/>
          <w:lang w:val="en-US" w:eastAsia="uk-UA"/>
        </w:rPr>
        <w:t>C</w:t>
      </w:r>
      <w:r w:rsidR="00E555F1" w:rsidRPr="0022453B">
        <w:rPr>
          <w:rFonts w:eastAsia="Times-Italic"/>
          <w:iCs/>
          <w:lang w:eastAsia="uk-UA"/>
        </w:rPr>
        <w:t>.</w:t>
      </w:r>
      <w:r w:rsidR="00E555F1" w:rsidRPr="0022453B">
        <w:rPr>
          <w:rFonts w:eastAsia="Times-Italic"/>
          <w:iCs/>
          <w:lang w:val="en-US" w:eastAsia="uk-UA"/>
        </w:rPr>
        <w:t>Schindler</w:t>
      </w:r>
      <w:r w:rsidR="00E555F1" w:rsidRPr="0022453B">
        <w:rPr>
          <w:rFonts w:eastAsia="Times-Italic"/>
          <w:iCs/>
          <w:lang w:eastAsia="uk-UA"/>
        </w:rPr>
        <w:t xml:space="preserve"> </w:t>
      </w:r>
      <w:r w:rsidR="00694C2A" w:rsidRPr="0022453B">
        <w:t>et</w:t>
      </w:r>
      <w:r w:rsidR="002460F0" w:rsidRPr="002460F0">
        <w:t xml:space="preserve"> </w:t>
      </w:r>
      <w:r w:rsidR="00694C2A" w:rsidRPr="0022453B">
        <w:t>al</w:t>
      </w:r>
      <w:r w:rsidR="002460F0" w:rsidRPr="002460F0">
        <w:t>.</w:t>
      </w:r>
      <w:r w:rsidR="00694C2A" w:rsidRPr="0022453B">
        <w:t>, 201</w:t>
      </w:r>
      <w:r w:rsidR="00E555F1" w:rsidRPr="0022453B">
        <w:t>9</w:t>
      </w:r>
      <w:r w:rsidR="000D2784">
        <w:t>;</w:t>
      </w:r>
      <w:r w:rsidRPr="0022453B">
        <w:t xml:space="preserve"> A</w:t>
      </w:r>
      <w:r w:rsidR="00207048" w:rsidRPr="0022453B">
        <w:t>.</w:t>
      </w:r>
      <w:r w:rsidRPr="0022453B">
        <w:t xml:space="preserve"> Depalo </w:t>
      </w:r>
      <w:r w:rsidRPr="0022453B">
        <w:rPr>
          <w:lang w:val="en-US"/>
        </w:rPr>
        <w:t>et</w:t>
      </w:r>
      <w:r w:rsidRPr="0022453B">
        <w:t xml:space="preserve"> </w:t>
      </w:r>
      <w:r w:rsidRPr="0022453B">
        <w:rPr>
          <w:lang w:val="en-US"/>
        </w:rPr>
        <w:t>al</w:t>
      </w:r>
      <w:r w:rsidRPr="0022453B">
        <w:t>.,</w:t>
      </w:r>
      <w:r w:rsidR="0022453B" w:rsidRPr="00547E73">
        <w:t xml:space="preserve"> </w:t>
      </w:r>
      <w:r w:rsidRPr="0022453B">
        <w:t>2018</w:t>
      </w:r>
      <w:r w:rsidR="000D2784">
        <w:t>;</w:t>
      </w:r>
      <w:r w:rsidRPr="0022453B">
        <w:t xml:space="preserve"> </w:t>
      </w:r>
      <w:r w:rsidRPr="0022453B">
        <w:rPr>
          <w:bCs/>
          <w:shd w:val="clear" w:color="auto" w:fill="FFFFFF"/>
        </w:rPr>
        <w:t>C</w:t>
      </w:r>
      <w:r w:rsidR="00207048" w:rsidRPr="0022453B">
        <w:rPr>
          <w:bCs/>
          <w:shd w:val="clear" w:color="auto" w:fill="FFFFFF"/>
        </w:rPr>
        <w:t>.</w:t>
      </w:r>
      <w:r w:rsidRPr="0022453B">
        <w:rPr>
          <w:bCs/>
          <w:shd w:val="clear" w:color="auto" w:fill="FFFFFF"/>
        </w:rPr>
        <w:t xml:space="preserve"> Qualls, 2017</w:t>
      </w:r>
      <w:r w:rsidR="002039F7" w:rsidRPr="0022453B">
        <w:t>)</w:t>
      </w:r>
      <w:r w:rsidR="006908E6" w:rsidRPr="0022453B">
        <w:t xml:space="preserve">. </w:t>
      </w:r>
    </w:p>
    <w:p w:rsidR="008218F3" w:rsidRPr="0022453B" w:rsidRDefault="00FC1A6F" w:rsidP="00CD5061">
      <w:pPr>
        <w:pStyle w:val="atextRef"/>
        <w:spacing w:line="288" w:lineRule="auto"/>
        <w:rPr>
          <w:shd w:val="clear" w:color="auto" w:fill="FFFFFF"/>
        </w:rPr>
      </w:pPr>
      <w:r w:rsidRPr="0022453B">
        <w:t xml:space="preserve">На сучасному етапі важлива роль </w:t>
      </w:r>
      <w:r w:rsidR="0013622E" w:rsidRPr="0022453B">
        <w:t>належить</w:t>
      </w:r>
      <w:r w:rsidRPr="0022453B">
        <w:t xml:space="preserve"> змінам функціонування системи профібротичних та антиф</w:t>
      </w:r>
      <w:r w:rsidR="00334A6F" w:rsidRPr="0022453B">
        <w:t>і</w:t>
      </w:r>
      <w:r w:rsidRPr="0022453B">
        <w:t>бротичних маркерів у хворих на БА з</w:t>
      </w:r>
      <w:r w:rsidR="00CD22CE" w:rsidRPr="0022453B">
        <w:rPr>
          <w:lang w:val="ru-RU"/>
        </w:rPr>
        <w:t> </w:t>
      </w:r>
      <w:r w:rsidRPr="0022453B">
        <w:t>коморбідністю, що сприяє розвитку ремоделювання дихальних шляхів та тубулоінтерстиціального фіброзу нирок і зростанню синтезу цитокінів</w:t>
      </w:r>
      <w:r w:rsidR="006159BC" w:rsidRPr="0022453B">
        <w:t xml:space="preserve"> </w:t>
      </w:r>
      <w:r w:rsidR="006159BC" w:rsidRPr="0022453B">
        <w:rPr>
          <w:noProof/>
        </w:rPr>
        <w:t>(</w:t>
      </w:r>
      <w:r w:rsidR="006159BC" w:rsidRPr="0022453B">
        <w:rPr>
          <w:rFonts w:eastAsia="Times-Italic"/>
          <w:iCs/>
          <w:lang w:val="en-US" w:eastAsia="uk-UA"/>
        </w:rPr>
        <w:t>L</w:t>
      </w:r>
      <w:r w:rsidR="002460F0" w:rsidRPr="002460F0">
        <w:rPr>
          <w:rFonts w:eastAsia="Times-Italic"/>
          <w:iCs/>
          <w:lang w:eastAsia="uk-UA"/>
        </w:rPr>
        <w:t>.</w:t>
      </w:r>
      <w:r w:rsidR="006159BC" w:rsidRPr="0022453B">
        <w:rPr>
          <w:rFonts w:eastAsia="Times-Italic"/>
          <w:iCs/>
          <w:lang w:val="en-US" w:eastAsia="uk-UA"/>
        </w:rPr>
        <w:t>G</w:t>
      </w:r>
      <w:r w:rsidR="002460F0" w:rsidRPr="002460F0">
        <w:rPr>
          <w:rFonts w:eastAsia="Times-Italic"/>
          <w:iCs/>
          <w:lang w:eastAsia="uk-UA"/>
        </w:rPr>
        <w:t>.</w:t>
      </w:r>
      <w:r w:rsidR="006159BC" w:rsidRPr="0022453B">
        <w:rPr>
          <w:rFonts w:eastAsia="Times-Italic"/>
          <w:iCs/>
          <w:lang w:eastAsia="uk-UA"/>
        </w:rPr>
        <w:t xml:space="preserve"> </w:t>
      </w:r>
      <w:r w:rsidR="006159BC" w:rsidRPr="0022453B">
        <w:rPr>
          <w:rFonts w:eastAsia="Times-Italic"/>
          <w:iCs/>
          <w:lang w:val="en-US" w:eastAsia="uk-UA"/>
        </w:rPr>
        <w:lastRenderedPageBreak/>
        <w:t>Gregory</w:t>
      </w:r>
      <w:r w:rsidR="002460F0">
        <w:rPr>
          <w:shd w:val="clear" w:color="auto" w:fill="FFFFFF"/>
        </w:rPr>
        <w:t xml:space="preserve"> et</w:t>
      </w:r>
      <w:r w:rsidR="002460F0" w:rsidRPr="002460F0">
        <w:rPr>
          <w:shd w:val="clear" w:color="auto" w:fill="FFFFFF"/>
        </w:rPr>
        <w:t xml:space="preserve"> </w:t>
      </w:r>
      <w:r w:rsidR="006159BC" w:rsidRPr="0022453B">
        <w:rPr>
          <w:shd w:val="clear" w:color="auto" w:fill="FFFFFF"/>
        </w:rPr>
        <w:t>al</w:t>
      </w:r>
      <w:r w:rsidR="002460F0" w:rsidRPr="002460F0">
        <w:rPr>
          <w:shd w:val="clear" w:color="auto" w:fill="FFFFFF"/>
        </w:rPr>
        <w:t>.</w:t>
      </w:r>
      <w:r w:rsidR="006159BC" w:rsidRPr="0022453B">
        <w:rPr>
          <w:rFonts w:eastAsia="Times-Italic"/>
          <w:iCs/>
          <w:lang w:eastAsia="uk-UA"/>
        </w:rPr>
        <w:t>, 2013</w:t>
      </w:r>
      <w:r w:rsidR="000D2784">
        <w:rPr>
          <w:rFonts w:eastAsia="Times-Italic"/>
          <w:iCs/>
          <w:lang w:eastAsia="uk-UA"/>
        </w:rPr>
        <w:t>;</w:t>
      </w:r>
      <w:r w:rsidR="006159BC" w:rsidRPr="0022453B">
        <w:rPr>
          <w:rFonts w:eastAsia="Times-Italic"/>
          <w:iCs/>
          <w:lang w:eastAsia="uk-UA"/>
        </w:rPr>
        <w:t xml:space="preserve"> </w:t>
      </w:r>
      <w:r w:rsidR="006159BC" w:rsidRPr="0022453B">
        <w:rPr>
          <w:shd w:val="clear" w:color="auto" w:fill="FFFFFF"/>
        </w:rPr>
        <w:t>H</w:t>
      </w:r>
      <w:r w:rsidR="00207048" w:rsidRPr="0022453B">
        <w:rPr>
          <w:shd w:val="clear" w:color="auto" w:fill="FFFFFF"/>
        </w:rPr>
        <w:t>.</w:t>
      </w:r>
      <w:r w:rsidR="006159BC" w:rsidRPr="0022453B">
        <w:rPr>
          <w:shd w:val="clear" w:color="auto" w:fill="FFFFFF"/>
        </w:rPr>
        <w:t>J</w:t>
      </w:r>
      <w:r w:rsidR="00207048" w:rsidRPr="0022453B">
        <w:rPr>
          <w:shd w:val="clear" w:color="auto" w:fill="FFFFFF"/>
        </w:rPr>
        <w:t>. Anders,</w:t>
      </w:r>
      <w:r w:rsidR="006159BC" w:rsidRPr="0022453B">
        <w:rPr>
          <w:shd w:val="clear" w:color="auto" w:fill="FFFFFF"/>
        </w:rPr>
        <w:t xml:space="preserve"> 2016</w:t>
      </w:r>
      <w:r w:rsidR="000D2784">
        <w:rPr>
          <w:shd w:val="clear" w:color="auto" w:fill="FFFFFF"/>
        </w:rPr>
        <w:t>;</w:t>
      </w:r>
      <w:r w:rsidR="0022453B">
        <w:rPr>
          <w:shd w:val="clear" w:color="auto" w:fill="FFFFFF"/>
        </w:rPr>
        <w:t xml:space="preserve"> </w:t>
      </w:r>
      <w:r w:rsidR="006159BC" w:rsidRPr="0022453B">
        <w:t>H</w:t>
      </w:r>
      <w:r w:rsidR="00207048" w:rsidRPr="0022453B">
        <w:t>.</w:t>
      </w:r>
      <w:r w:rsidR="006159BC" w:rsidRPr="0022453B">
        <w:t>L</w:t>
      </w:r>
      <w:r w:rsidR="00207048" w:rsidRPr="0022453B">
        <w:t>.</w:t>
      </w:r>
      <w:r w:rsidR="006159BC" w:rsidRPr="0022453B">
        <w:t xml:space="preserve"> Huang,</w:t>
      </w:r>
      <w:r w:rsidR="002F319F">
        <w:t xml:space="preserve"> </w:t>
      </w:r>
      <w:r w:rsidR="006159BC" w:rsidRPr="0022453B">
        <w:t>2015</w:t>
      </w:r>
      <w:r w:rsidR="006159BC" w:rsidRPr="0022453B">
        <w:rPr>
          <w:shd w:val="clear" w:color="auto" w:fill="FFFFFF"/>
        </w:rPr>
        <w:t>)</w:t>
      </w:r>
      <w:r w:rsidR="006159BC" w:rsidRPr="0022453B">
        <w:rPr>
          <w:noProof/>
        </w:rPr>
        <w:t>.</w:t>
      </w:r>
      <w:r w:rsidR="008218F3" w:rsidRPr="0022453B">
        <w:t xml:space="preserve"> </w:t>
      </w:r>
      <w:r w:rsidR="00957A0B" w:rsidRPr="0022453B">
        <w:t>Залишаються не вирішеними не тільки окремі, а й концептуальні аспекти цієї проблеми: остаточно не визначен</w:t>
      </w:r>
      <w:r w:rsidR="0013622E" w:rsidRPr="0022453B">
        <w:t>о</w:t>
      </w:r>
      <w:r w:rsidR="00957A0B" w:rsidRPr="0022453B">
        <w:t xml:space="preserve"> підходи до фенотипування БА, типи запального процесу дихальних шляхів у зіставленні з клінічним фенотипом, фенотип-специфічні аспекти прогнозу розвитку та персистування хвороби, клінічні предиктори оптимальних лікувально-профілактичних заходів (</w:t>
      </w:r>
      <w:r w:rsidR="00957A0B" w:rsidRPr="0022453B">
        <w:rPr>
          <w:lang w:val="en-US"/>
        </w:rPr>
        <w:t>P</w:t>
      </w:r>
      <w:r w:rsidR="00207048" w:rsidRPr="0022453B">
        <w:t>.</w:t>
      </w:r>
      <w:r w:rsidR="00957A0B" w:rsidRPr="0022453B">
        <w:t xml:space="preserve"> </w:t>
      </w:r>
      <w:r w:rsidR="00957A0B" w:rsidRPr="0022453B">
        <w:rPr>
          <w:lang w:val="en-US"/>
        </w:rPr>
        <w:t>Haldar</w:t>
      </w:r>
      <w:r w:rsidR="00957A0B" w:rsidRPr="0022453B">
        <w:t>, 2018</w:t>
      </w:r>
      <w:r w:rsidR="000D2784">
        <w:t>;</w:t>
      </w:r>
      <w:r w:rsidR="00957A0B" w:rsidRPr="0022453B">
        <w:rPr>
          <w:shd w:val="clear" w:color="auto" w:fill="FFFFFF"/>
        </w:rPr>
        <w:t xml:space="preserve"> K</w:t>
      </w:r>
      <w:r w:rsidR="00207048" w:rsidRPr="0022453B">
        <w:rPr>
          <w:shd w:val="clear" w:color="auto" w:fill="FFFFFF"/>
        </w:rPr>
        <w:t>.</w:t>
      </w:r>
      <w:r w:rsidR="00957A0B" w:rsidRPr="0022453B">
        <w:rPr>
          <w:shd w:val="clear" w:color="auto" w:fill="FFFFFF"/>
        </w:rPr>
        <w:t xml:space="preserve"> Nicholson </w:t>
      </w:r>
      <w:r w:rsidR="002460F0">
        <w:t>et</w:t>
      </w:r>
      <w:r w:rsidR="002460F0" w:rsidRPr="002460F0">
        <w:t xml:space="preserve"> </w:t>
      </w:r>
      <w:r w:rsidR="00957A0B" w:rsidRPr="0022453B">
        <w:t>al</w:t>
      </w:r>
      <w:r w:rsidR="002460F0" w:rsidRPr="002460F0">
        <w:t>.</w:t>
      </w:r>
      <w:r w:rsidR="00957A0B" w:rsidRPr="0022453B">
        <w:t>, 2019</w:t>
      </w:r>
      <w:r w:rsidR="00957A0B" w:rsidRPr="0022453B">
        <w:rPr>
          <w:noProof/>
        </w:rPr>
        <w:t>).</w:t>
      </w:r>
      <w:r w:rsidR="008218F3" w:rsidRPr="0022453B">
        <w:rPr>
          <w:noProof/>
        </w:rPr>
        <w:t xml:space="preserve"> </w:t>
      </w:r>
      <w:r w:rsidR="00957A0B" w:rsidRPr="0022453B">
        <w:rPr>
          <w:noProof/>
        </w:rPr>
        <w:t>Осторонь від уваги клініцистів, які вивчають коморбідність при БА, залишається патологія такої потужної видільної, секреторної й ендокринної системи, як сечовидільна, перш за все нирки</w:t>
      </w:r>
      <w:r w:rsidR="0013622E" w:rsidRPr="0022453B">
        <w:rPr>
          <w:noProof/>
        </w:rPr>
        <w:t>.</w:t>
      </w:r>
      <w:r w:rsidR="00957A0B" w:rsidRPr="0022453B">
        <w:rPr>
          <w:noProof/>
        </w:rPr>
        <w:t xml:space="preserve"> </w:t>
      </w:r>
      <w:r w:rsidR="004727A2" w:rsidRPr="0022453B">
        <w:t xml:space="preserve">Спільність патогенетичних і етіологічного </w:t>
      </w:r>
      <w:r w:rsidR="00E13346" w:rsidRPr="0022453B">
        <w:t xml:space="preserve">процесів </w:t>
      </w:r>
      <w:r w:rsidR="004727A2" w:rsidRPr="0022453B">
        <w:t>дозволяє дослідникам припустити, що по</w:t>
      </w:r>
      <w:r w:rsidR="00DB67AD" w:rsidRPr="0022453B">
        <w:t>єднаний перебіг БА, ЦД2Т</w:t>
      </w:r>
      <w:r w:rsidR="004727A2" w:rsidRPr="0022453B">
        <w:t xml:space="preserve"> та</w:t>
      </w:r>
      <w:r w:rsidR="0022453B">
        <w:t xml:space="preserve"> </w:t>
      </w:r>
      <w:r w:rsidR="004727A2" w:rsidRPr="0022453B">
        <w:t>ожиріння не є випадковим і</w:t>
      </w:r>
      <w:r w:rsidR="00CD22CE" w:rsidRPr="0022453B">
        <w:rPr>
          <w:lang w:val="ru-RU"/>
        </w:rPr>
        <w:t> </w:t>
      </w:r>
      <w:r w:rsidR="004727A2" w:rsidRPr="0022453B">
        <w:t>може посилювати розвиток основного патологічного процесу, приводячи до зриву адаптивних механізмів</w:t>
      </w:r>
      <w:r w:rsidR="00365CDF" w:rsidRPr="0022453B">
        <w:t xml:space="preserve"> і обумовлю</w:t>
      </w:r>
      <w:r w:rsidR="00815CBE">
        <w:t>ють</w:t>
      </w:r>
      <w:r w:rsidR="004727A2" w:rsidRPr="0022453B">
        <w:t xml:space="preserve"> несприятливий перебіг коморбідної патології. </w:t>
      </w:r>
    </w:p>
    <w:p w:rsidR="004727A2" w:rsidRPr="0022453B" w:rsidRDefault="004727A2" w:rsidP="00CD5061">
      <w:pPr>
        <w:pStyle w:val="atextRef"/>
        <w:spacing w:line="288" w:lineRule="auto"/>
      </w:pPr>
      <w:r w:rsidRPr="0022453B">
        <w:t>Тому рання діагностика</w:t>
      </w:r>
      <w:r w:rsidR="00E13346" w:rsidRPr="0022453B">
        <w:t xml:space="preserve"> </w:t>
      </w:r>
      <w:r w:rsidR="00B614AE" w:rsidRPr="0022453B">
        <w:t>пошкодження нирок</w:t>
      </w:r>
      <w:r w:rsidRPr="0022453B">
        <w:t xml:space="preserve">, розробка нових більш ефективних методів прогнозування </w:t>
      </w:r>
      <w:r w:rsidR="00B614AE" w:rsidRPr="0022453B">
        <w:t xml:space="preserve">коморбідних станів </w:t>
      </w:r>
      <w:r w:rsidRPr="0022453B">
        <w:t>для своєчасного застосування лікувально-профілактичних заходів відіграють дуже важливу роль у</w:t>
      </w:r>
      <w:r w:rsidR="005610C2">
        <w:t> </w:t>
      </w:r>
      <w:r w:rsidRPr="0022453B">
        <w:t>підвищенні тривалості життя і поліпшення його якості, і тому, є</w:t>
      </w:r>
      <w:r w:rsidR="00CD22CE" w:rsidRPr="0022453B">
        <w:rPr>
          <w:lang w:val="ru-RU"/>
        </w:rPr>
        <w:t> </w:t>
      </w:r>
      <w:r w:rsidRPr="0022453B">
        <w:t>актуальними та перспективними, потребуючи подальшого детального вивчення.</w:t>
      </w:r>
    </w:p>
    <w:p w:rsidR="00A87096" w:rsidRPr="00815CBE" w:rsidRDefault="00A87096" w:rsidP="00CD5061">
      <w:pPr>
        <w:pStyle w:val="atextRef"/>
        <w:spacing w:line="288" w:lineRule="auto"/>
      </w:pPr>
      <w:r w:rsidRPr="0022453B">
        <w:rPr>
          <w:rStyle w:val="rvts12"/>
          <w:rFonts w:cs="Arial"/>
          <w:b/>
          <w:iCs/>
        </w:rPr>
        <w:t>Зв</w:t>
      </w:r>
      <w:r w:rsidR="00AF5C51" w:rsidRPr="00547E73">
        <w:rPr>
          <w:rStyle w:val="rvts12"/>
          <w:rFonts w:cs="Arial"/>
          <w:b/>
          <w:iCs/>
          <w:lang w:val="ru-RU"/>
        </w:rPr>
        <w:t>’</w:t>
      </w:r>
      <w:r w:rsidRPr="0022453B">
        <w:rPr>
          <w:rStyle w:val="rvts12"/>
          <w:rFonts w:cs="Arial"/>
          <w:b/>
          <w:iCs/>
        </w:rPr>
        <w:t>язок роботи з науковими програмами, планами, темами</w:t>
      </w:r>
      <w:r w:rsidR="00BB1262" w:rsidRPr="0022453B">
        <w:rPr>
          <w:rStyle w:val="rvts12"/>
          <w:rFonts w:cs="Arial"/>
          <w:b/>
          <w:iCs/>
        </w:rPr>
        <w:t xml:space="preserve">. </w:t>
      </w:r>
      <w:r w:rsidR="00BB1262" w:rsidRPr="0022453B">
        <w:t xml:space="preserve">Дисертаційна робота є фрагментом науково-дослідних робіт </w:t>
      </w:r>
      <w:r w:rsidR="00BB1262" w:rsidRPr="0022453B">
        <w:rPr>
          <w:bCs/>
        </w:rPr>
        <w:t>кафедри пропедевтики внутрішньої медицини №</w:t>
      </w:r>
      <w:r w:rsidR="00A21A4F" w:rsidRPr="0022453B">
        <w:rPr>
          <w:bCs/>
        </w:rPr>
        <w:t> </w:t>
      </w:r>
      <w:r w:rsidR="00BB1262" w:rsidRPr="0022453B">
        <w:rPr>
          <w:bCs/>
        </w:rPr>
        <w:t>2 та медсестринства ХНМУ МОЗ України</w:t>
      </w:r>
      <w:r w:rsidR="00C64896" w:rsidRPr="0022453B">
        <w:rPr>
          <w:bCs/>
        </w:rPr>
        <w:t xml:space="preserve"> де здобувач була </w:t>
      </w:r>
      <w:r w:rsidR="002535B1" w:rsidRPr="0022453B">
        <w:rPr>
          <w:bCs/>
        </w:rPr>
        <w:t>спів</w:t>
      </w:r>
      <w:r w:rsidR="00C64896" w:rsidRPr="0022453B">
        <w:rPr>
          <w:bCs/>
        </w:rPr>
        <w:t>виконавцем</w:t>
      </w:r>
      <w:r w:rsidR="00BB1262" w:rsidRPr="0022453B">
        <w:rPr>
          <w:bCs/>
        </w:rPr>
        <w:t xml:space="preserve">: </w:t>
      </w:r>
      <w:r w:rsidR="005822B0">
        <w:t>«</w:t>
      </w:r>
      <w:r w:rsidR="00BB1262" w:rsidRPr="0022453B">
        <w:t>Метаболічні механізми формування респіраторно-ренальної патології: діагностичні та прогностичні критерії, профілактика, лікування</w:t>
      </w:r>
      <w:r w:rsidR="005822B0">
        <w:t>»</w:t>
      </w:r>
      <w:r w:rsidR="00BB1262" w:rsidRPr="0022453B">
        <w:t xml:space="preserve"> (№ держреєстрації 0110</w:t>
      </w:r>
      <w:r w:rsidR="00BB1262" w:rsidRPr="0022453B">
        <w:rPr>
          <w:lang w:val="en-US"/>
        </w:rPr>
        <w:t>U</w:t>
      </w:r>
      <w:r w:rsidR="00BB1262" w:rsidRPr="0022453B">
        <w:t>001806</w:t>
      </w:r>
      <w:r w:rsidR="005822B0">
        <w:t xml:space="preserve">; </w:t>
      </w:r>
      <w:r w:rsidR="00BB1262" w:rsidRPr="0022453B">
        <w:t>2010</w:t>
      </w:r>
      <w:r w:rsidR="00A21A4F" w:rsidRPr="0022453B">
        <w:t>–</w:t>
      </w:r>
      <w:r w:rsidR="00BB1262" w:rsidRPr="0022453B">
        <w:t>2012 рр</w:t>
      </w:r>
      <w:r w:rsidR="00A21A4F" w:rsidRPr="0022453B">
        <w:t>.</w:t>
      </w:r>
      <w:r w:rsidR="00BB1262" w:rsidRPr="0022453B">
        <w:t xml:space="preserve">), </w:t>
      </w:r>
      <w:r w:rsidR="005822B0">
        <w:t>«</w:t>
      </w:r>
      <w:r w:rsidR="00BB1262" w:rsidRPr="0022453B">
        <w:t>Особливості діагностики, лікування, монітор</w:t>
      </w:r>
      <w:r w:rsidR="00A21A4F" w:rsidRPr="0022453B">
        <w:t>и</w:t>
      </w:r>
      <w:r w:rsidR="00BB1262" w:rsidRPr="0022453B">
        <w:t>нгу та прогнозування при різних клінічних фенотипах бронхіальної астми та хронічного обструктивного захворювання легенів</w:t>
      </w:r>
      <w:r w:rsidR="005822B0">
        <w:t>»</w:t>
      </w:r>
      <w:r w:rsidR="00BB1262" w:rsidRPr="0022453B">
        <w:t xml:space="preserve"> (№</w:t>
      </w:r>
      <w:r w:rsidR="00A21A4F" w:rsidRPr="0022453B">
        <w:t> </w:t>
      </w:r>
      <w:r w:rsidR="00BB1262" w:rsidRPr="0022453B">
        <w:t>держреєстрації 0113U002280</w:t>
      </w:r>
      <w:r w:rsidR="005822B0">
        <w:t xml:space="preserve">; </w:t>
      </w:r>
      <w:r w:rsidR="00BB1262" w:rsidRPr="0022453B">
        <w:t>2013</w:t>
      </w:r>
      <w:r w:rsidR="00A21A4F" w:rsidRPr="0022453B">
        <w:t>–</w:t>
      </w:r>
      <w:r w:rsidR="00BB1262" w:rsidRPr="0022453B">
        <w:t>2015 рр</w:t>
      </w:r>
      <w:r w:rsidR="00A21A4F" w:rsidRPr="0022453B">
        <w:t>.</w:t>
      </w:r>
      <w:r w:rsidR="00BB1262" w:rsidRPr="0022453B">
        <w:t xml:space="preserve">), </w:t>
      </w:r>
      <w:r w:rsidR="005822B0">
        <w:t>«</w:t>
      </w:r>
      <w:r w:rsidR="00BB1262" w:rsidRPr="0022453B">
        <w:t>Чинники формування, прогресування різних клінічних фенотипів бронхіальної астми, ХОЗЛ та негоспітальної пневмонії: особливості перебігу, коморбідні стани, їх прогнозування та профілактика</w:t>
      </w:r>
      <w:r w:rsidR="005822B0">
        <w:t>»</w:t>
      </w:r>
      <w:r w:rsidR="00BB1262" w:rsidRPr="0022453B">
        <w:t xml:space="preserve"> № держреєстрації 0116</w:t>
      </w:r>
      <w:r w:rsidR="00BB1262" w:rsidRPr="00815CBE">
        <w:t>U</w:t>
      </w:r>
      <w:r w:rsidR="00BB1262" w:rsidRPr="0022453B">
        <w:t>004984</w:t>
      </w:r>
      <w:r w:rsidR="005822B0">
        <w:t xml:space="preserve">; </w:t>
      </w:r>
      <w:r w:rsidR="00BB1262" w:rsidRPr="0022453B">
        <w:t>2016</w:t>
      </w:r>
      <w:r w:rsidR="00A21A4F" w:rsidRPr="0022453B">
        <w:t>–</w:t>
      </w:r>
      <w:r w:rsidR="00BB1262" w:rsidRPr="0022453B">
        <w:t>2018</w:t>
      </w:r>
      <w:r w:rsidR="007C7AA9" w:rsidRPr="0022453B">
        <w:t> </w:t>
      </w:r>
      <w:r w:rsidR="00A21A4F" w:rsidRPr="0022453B">
        <w:t>рр.</w:t>
      </w:r>
      <w:r w:rsidR="00BB1262" w:rsidRPr="0022453B">
        <w:t xml:space="preserve">). </w:t>
      </w:r>
    </w:p>
    <w:p w:rsidR="00B614AE" w:rsidRPr="0022453B" w:rsidRDefault="00A87096" w:rsidP="00CD5061">
      <w:pPr>
        <w:pStyle w:val="atextRef"/>
        <w:spacing w:line="288" w:lineRule="auto"/>
      </w:pPr>
      <w:r w:rsidRPr="0022453B">
        <w:rPr>
          <w:rStyle w:val="rvts12"/>
          <w:rFonts w:cs="Arial"/>
          <w:b/>
          <w:iCs/>
        </w:rPr>
        <w:t>Мета дослідження</w:t>
      </w:r>
      <w:r w:rsidR="00B44B97" w:rsidRPr="0022453B">
        <w:rPr>
          <w:rStyle w:val="rvts12"/>
          <w:rFonts w:cs="Arial"/>
          <w:b/>
          <w:iCs/>
        </w:rPr>
        <w:t>:</w:t>
      </w:r>
      <w:r w:rsidR="003F0CF0" w:rsidRPr="0022453B">
        <w:rPr>
          <w:rStyle w:val="rvts12"/>
          <w:rFonts w:cs="Arial"/>
          <w:b/>
          <w:iCs/>
        </w:rPr>
        <w:t xml:space="preserve"> </w:t>
      </w:r>
      <w:r w:rsidR="00B44B97" w:rsidRPr="0022453B">
        <w:rPr>
          <w:rStyle w:val="rvts12"/>
          <w:rFonts w:cs="Arial"/>
          <w:iCs/>
        </w:rPr>
        <w:t>удосконалення ранньої діагностики</w:t>
      </w:r>
      <w:r w:rsidR="00B44B97" w:rsidRPr="0022453B">
        <w:t xml:space="preserve"> та прогнозування перебігу бронхіальної астми в поєднанні</w:t>
      </w:r>
      <w:r w:rsidR="0022453B">
        <w:t xml:space="preserve"> </w:t>
      </w:r>
      <w:r w:rsidR="00B44B97" w:rsidRPr="0022453B">
        <w:t>з цукровим діабетом 2</w:t>
      </w:r>
      <w:r w:rsidR="00E220DD" w:rsidRPr="0022453B">
        <w:t>-го</w:t>
      </w:r>
      <w:r w:rsidR="00B44B97" w:rsidRPr="0022453B">
        <w:t xml:space="preserve"> типу та ожирінням</w:t>
      </w:r>
      <w:r w:rsidR="00B614AE" w:rsidRPr="0022453B">
        <w:t>, оптимізація індивідуалізації профілактичних та лікувальних заходів на підставі розробки концептуальних заходів з</w:t>
      </w:r>
      <w:r w:rsidR="00CD22CE" w:rsidRPr="0022453B">
        <w:rPr>
          <w:lang w:val="ru-RU"/>
        </w:rPr>
        <w:t> </w:t>
      </w:r>
      <w:r w:rsidR="00B614AE" w:rsidRPr="0022453B">
        <w:t xml:space="preserve">визначенням, показників ендотеліальної функції, системного запалення, фіброзу, імунного та </w:t>
      </w:r>
      <w:r w:rsidR="00B614AE" w:rsidRPr="0022453B">
        <w:lastRenderedPageBreak/>
        <w:t>метаболічного гомеостазу та їх вплив на відсутність контролю над захворюванням та формування пульморенальних розладів як чинників розвитку та прогресування поєднаної патології.</w:t>
      </w:r>
    </w:p>
    <w:p w:rsidR="00A87096" w:rsidRPr="0022453B" w:rsidRDefault="00A87096" w:rsidP="00CD5061">
      <w:pPr>
        <w:pStyle w:val="atextRef"/>
        <w:spacing w:line="288" w:lineRule="auto"/>
        <w:rPr>
          <w:rStyle w:val="rvts12"/>
          <w:rFonts w:cs="Arial"/>
          <w:b/>
          <w:iCs/>
        </w:rPr>
      </w:pPr>
      <w:r w:rsidRPr="0022453B">
        <w:rPr>
          <w:rStyle w:val="rvts12"/>
          <w:rFonts w:cs="Arial"/>
          <w:b/>
          <w:iCs/>
        </w:rPr>
        <w:t>Завдання дослідження:</w:t>
      </w:r>
    </w:p>
    <w:p w:rsidR="00C93627" w:rsidRPr="0022453B" w:rsidRDefault="00C93627" w:rsidP="00CD5061">
      <w:pPr>
        <w:pStyle w:val="atextRef"/>
        <w:numPr>
          <w:ilvl w:val="0"/>
          <w:numId w:val="21"/>
        </w:numPr>
        <w:spacing w:line="288" w:lineRule="auto"/>
        <w:ind w:left="709"/>
      </w:pPr>
      <w:r w:rsidRPr="0022453B">
        <w:t xml:space="preserve">Провести аналіз показників вуглеводного та ліпідного </w:t>
      </w:r>
      <w:r w:rsidR="00FC4B8D" w:rsidRPr="0022453B">
        <w:t>обмінів</w:t>
      </w:r>
      <w:r w:rsidRPr="0022453B">
        <w:t xml:space="preserve"> у</w:t>
      </w:r>
      <w:r w:rsidR="00CD22CE" w:rsidRPr="0022453B">
        <w:rPr>
          <w:lang w:val="ru-RU"/>
        </w:rPr>
        <w:t> </w:t>
      </w:r>
      <w:r w:rsidRPr="0022453B">
        <w:t xml:space="preserve">хворих на </w:t>
      </w:r>
      <w:r w:rsidR="007131AC" w:rsidRPr="0022453B">
        <w:t>бронхіальну астму</w:t>
      </w:r>
      <w:r w:rsidRPr="0022453B">
        <w:t xml:space="preserve"> та встановити вплив </w:t>
      </w:r>
      <w:r w:rsidR="007131AC" w:rsidRPr="0022453B">
        <w:t>цукрового діабету</w:t>
      </w:r>
      <w:r w:rsidRPr="0022453B">
        <w:t xml:space="preserve"> </w:t>
      </w:r>
      <w:r w:rsidR="00DB67AD" w:rsidRPr="0022453B">
        <w:t xml:space="preserve">2-го типу </w:t>
      </w:r>
      <w:r w:rsidRPr="0022453B">
        <w:t xml:space="preserve">та ожиріння на </w:t>
      </w:r>
      <w:r w:rsidR="00AD0311" w:rsidRPr="0022453B">
        <w:t>зазначені</w:t>
      </w:r>
      <w:r w:rsidRPr="0022453B">
        <w:t xml:space="preserve"> чинники.</w:t>
      </w:r>
    </w:p>
    <w:p w:rsidR="00C93627" w:rsidRPr="0022453B" w:rsidRDefault="00C93627" w:rsidP="00CD5061">
      <w:pPr>
        <w:pStyle w:val="atextRef"/>
        <w:numPr>
          <w:ilvl w:val="0"/>
          <w:numId w:val="21"/>
        </w:numPr>
        <w:spacing w:line="288" w:lineRule="auto"/>
        <w:ind w:left="709"/>
      </w:pPr>
      <w:r w:rsidRPr="0022453B">
        <w:t>Визначити особливості пульморенальних розладів у хворих на</w:t>
      </w:r>
      <w:r w:rsidR="00CD22CE" w:rsidRPr="0022453B">
        <w:rPr>
          <w:lang w:val="ru-RU"/>
        </w:rPr>
        <w:t> </w:t>
      </w:r>
      <w:r w:rsidR="003C1050" w:rsidRPr="0022453B">
        <w:t xml:space="preserve">бронхіальну астму в поєднанні з цукровим діабетом </w:t>
      </w:r>
      <w:r w:rsidR="00BB73F0">
        <w:t xml:space="preserve">2-го типу </w:t>
      </w:r>
      <w:r w:rsidRPr="0022453B">
        <w:t>та ожиріння</w:t>
      </w:r>
      <w:r w:rsidR="003C1050" w:rsidRPr="0022453B">
        <w:t>м</w:t>
      </w:r>
      <w:r w:rsidRPr="0022453B">
        <w:t>.</w:t>
      </w:r>
    </w:p>
    <w:p w:rsidR="00C93627" w:rsidRPr="0022453B" w:rsidRDefault="00C93627" w:rsidP="00CD5061">
      <w:pPr>
        <w:pStyle w:val="atextRef"/>
        <w:numPr>
          <w:ilvl w:val="0"/>
          <w:numId w:val="21"/>
        </w:numPr>
        <w:spacing w:line="288" w:lineRule="auto"/>
        <w:ind w:left="709"/>
      </w:pPr>
      <w:r w:rsidRPr="0022453B">
        <w:t>З</w:t>
      </w:r>
      <w:r w:rsidR="00AF5C51" w:rsidRPr="00547E73">
        <w:t>’</w:t>
      </w:r>
      <w:r w:rsidRPr="0022453B">
        <w:t xml:space="preserve">ясувати особливості ендотеліальної функції у хворих на </w:t>
      </w:r>
      <w:r w:rsidR="00AD0311" w:rsidRPr="0022453B">
        <w:t>БА</w:t>
      </w:r>
      <w:r w:rsidRPr="0022453B">
        <w:t xml:space="preserve"> в</w:t>
      </w:r>
      <w:r w:rsidR="00AF5C51" w:rsidRPr="0022453B">
        <w:rPr>
          <w:lang w:val="ru-RU"/>
        </w:rPr>
        <w:t> </w:t>
      </w:r>
      <w:r w:rsidRPr="0022453B">
        <w:t xml:space="preserve">поєднанні з </w:t>
      </w:r>
      <w:r w:rsidR="009216B8" w:rsidRPr="0022453B">
        <w:t>цукровим діабетом 2-го типу</w:t>
      </w:r>
      <w:r w:rsidR="009D7829" w:rsidRPr="0022453B">
        <w:t xml:space="preserve"> </w:t>
      </w:r>
      <w:r w:rsidRPr="0022453B">
        <w:t>та ожирінням</w:t>
      </w:r>
      <w:r w:rsidR="0075060F" w:rsidRPr="0022453B">
        <w:t xml:space="preserve"> з урахуванням пульморенальних розладів</w:t>
      </w:r>
      <w:r w:rsidRPr="0022453B">
        <w:t>.</w:t>
      </w:r>
    </w:p>
    <w:p w:rsidR="00891D98" w:rsidRPr="0022453B" w:rsidRDefault="00C93627" w:rsidP="00CD5061">
      <w:pPr>
        <w:pStyle w:val="atextRef"/>
        <w:numPr>
          <w:ilvl w:val="0"/>
          <w:numId w:val="21"/>
        </w:numPr>
        <w:spacing w:line="288" w:lineRule="auto"/>
        <w:ind w:left="709"/>
      </w:pPr>
      <w:r w:rsidRPr="0022453B">
        <w:t xml:space="preserve">Оцінити </w:t>
      </w:r>
      <w:r w:rsidR="00891D98" w:rsidRPr="0022453B">
        <w:t>вміст маркерів фіброзу на підставі визначе</w:t>
      </w:r>
      <w:r w:rsidR="003B1AE1" w:rsidRPr="0022453B">
        <w:t>ння моноцитарного хемоатрактантного</w:t>
      </w:r>
      <w:r w:rsidR="00891D98" w:rsidRPr="0022453B">
        <w:t xml:space="preserve"> протеїну-1 та матри</w:t>
      </w:r>
      <w:r w:rsidR="00E220DD" w:rsidRPr="0022453B">
        <w:t>чної металопротеїнази-9 у</w:t>
      </w:r>
      <w:r w:rsidR="008602FB">
        <w:t> </w:t>
      </w:r>
      <w:r w:rsidR="00E220DD" w:rsidRPr="0022453B">
        <w:t>сирова</w:t>
      </w:r>
      <w:r w:rsidR="00891D98" w:rsidRPr="0022453B">
        <w:t xml:space="preserve">тці крові </w:t>
      </w:r>
      <w:r w:rsidRPr="0022453B">
        <w:t xml:space="preserve">у хворих на </w:t>
      </w:r>
      <w:r w:rsidR="00891D98" w:rsidRPr="0022453B">
        <w:t>бронхіальну астму</w:t>
      </w:r>
      <w:r w:rsidRPr="0022453B">
        <w:t xml:space="preserve"> </w:t>
      </w:r>
      <w:r w:rsidR="00E220DD" w:rsidRPr="0022453B">
        <w:t>із</w:t>
      </w:r>
      <w:r w:rsidRPr="0022453B">
        <w:t xml:space="preserve"> супутнім </w:t>
      </w:r>
      <w:r w:rsidR="00891D98" w:rsidRPr="0022453B">
        <w:t>цукровим діабетом 2-го типу та</w:t>
      </w:r>
      <w:r w:rsidRPr="0022453B">
        <w:t xml:space="preserve"> ожиріння</w:t>
      </w:r>
      <w:r w:rsidR="00AD0311" w:rsidRPr="0022453B">
        <w:t>м</w:t>
      </w:r>
      <w:r w:rsidR="00891D98" w:rsidRPr="0022453B">
        <w:t>.</w:t>
      </w:r>
      <w:r w:rsidRPr="0022453B">
        <w:t xml:space="preserve"> </w:t>
      </w:r>
    </w:p>
    <w:p w:rsidR="00C93627" w:rsidRPr="0022453B" w:rsidRDefault="00CE47B0" w:rsidP="00CD5061">
      <w:pPr>
        <w:pStyle w:val="atextRef"/>
        <w:numPr>
          <w:ilvl w:val="0"/>
          <w:numId w:val="21"/>
        </w:numPr>
        <w:spacing w:line="288" w:lineRule="auto"/>
        <w:ind w:left="709"/>
      </w:pPr>
      <w:r w:rsidRPr="0022453B">
        <w:t>Визначити стан показників</w:t>
      </w:r>
      <w:r w:rsidR="00C93627" w:rsidRPr="0022453B">
        <w:t xml:space="preserve"> клітинного та гуморального імунітету у</w:t>
      </w:r>
      <w:r w:rsidR="005610C2">
        <w:t> </w:t>
      </w:r>
      <w:r w:rsidR="00C93627" w:rsidRPr="0022453B">
        <w:t xml:space="preserve">хворих на </w:t>
      </w:r>
      <w:r w:rsidRPr="0022453B">
        <w:t>бронхіальну астму в поєднанні з цукровим діабетом 2-го типу</w:t>
      </w:r>
      <w:r w:rsidR="00C93627" w:rsidRPr="0022453B">
        <w:t xml:space="preserve"> та ожиріння</w:t>
      </w:r>
      <w:r w:rsidR="009216B8" w:rsidRPr="0022453B">
        <w:t>м</w:t>
      </w:r>
      <w:r w:rsidR="0075060F" w:rsidRPr="0022453B">
        <w:t xml:space="preserve"> з урахуванням пульморенальних розладів</w:t>
      </w:r>
      <w:r w:rsidR="00C93627" w:rsidRPr="0022453B">
        <w:t>.</w:t>
      </w:r>
    </w:p>
    <w:p w:rsidR="00C93627" w:rsidRPr="0022453B" w:rsidRDefault="009216B8" w:rsidP="00CD5061">
      <w:pPr>
        <w:pStyle w:val="atextRef"/>
        <w:numPr>
          <w:ilvl w:val="0"/>
          <w:numId w:val="21"/>
        </w:numPr>
        <w:spacing w:line="288" w:lineRule="auto"/>
        <w:ind w:left="709"/>
      </w:pPr>
      <w:r w:rsidRPr="0022453B">
        <w:t xml:space="preserve">Визначити чинники </w:t>
      </w:r>
      <w:r w:rsidR="004A00C7" w:rsidRPr="0022453B">
        <w:t>ризику</w:t>
      </w:r>
      <w:r w:rsidR="00C93627" w:rsidRPr="0022453B">
        <w:t xml:space="preserve"> </w:t>
      </w:r>
      <w:r w:rsidRPr="0022453B">
        <w:t>та прогресування бронхіальної астми у</w:t>
      </w:r>
      <w:r w:rsidR="005610C2">
        <w:t> </w:t>
      </w:r>
      <w:r w:rsidRPr="0022453B">
        <w:t xml:space="preserve">поєднанні з цукровим діабетом 2-го типу </w:t>
      </w:r>
      <w:r w:rsidR="00B87E0C">
        <w:t>та</w:t>
      </w:r>
      <w:r w:rsidRPr="0022453B">
        <w:t xml:space="preserve"> ожирінням </w:t>
      </w:r>
      <w:r w:rsidR="00C93627" w:rsidRPr="0022453B">
        <w:t xml:space="preserve">з урахуванням синдрому бронхіальної обструкції </w:t>
      </w:r>
      <w:r w:rsidR="009D7829" w:rsidRPr="0022453B">
        <w:t>та</w:t>
      </w:r>
      <w:r w:rsidR="00C93627" w:rsidRPr="0022453B">
        <w:t xml:space="preserve"> змін швидкості клубочкової фільтрації.</w:t>
      </w:r>
    </w:p>
    <w:p w:rsidR="00C93627" w:rsidRPr="0022453B" w:rsidRDefault="00C93627" w:rsidP="00CD5061">
      <w:pPr>
        <w:pStyle w:val="atextRef"/>
        <w:numPr>
          <w:ilvl w:val="0"/>
          <w:numId w:val="21"/>
        </w:numPr>
        <w:spacing w:line="288" w:lineRule="auto"/>
        <w:ind w:left="709"/>
      </w:pPr>
      <w:r w:rsidRPr="005610C2">
        <w:rPr>
          <w:spacing w:val="-4"/>
        </w:rPr>
        <w:t xml:space="preserve">Дослідити клінічні та метаболічні ефекти </w:t>
      </w:r>
      <w:r w:rsidR="00C64896" w:rsidRPr="005610C2">
        <w:rPr>
          <w:spacing w:val="-4"/>
        </w:rPr>
        <w:t xml:space="preserve">додаткового призначення </w:t>
      </w:r>
      <w:r w:rsidR="00386014" w:rsidRPr="00386014">
        <w:rPr>
          <w:spacing w:val="-4"/>
        </w:rPr>
        <w:t xml:space="preserve">             </w:t>
      </w:r>
      <w:r w:rsidR="00300D4A">
        <w:rPr>
          <w:lang w:val="en-US"/>
        </w:rPr>
        <w:t>L</w:t>
      </w:r>
      <w:r w:rsidR="00300D4A" w:rsidRPr="00300D4A">
        <w:t>-</w:t>
      </w:r>
      <w:r w:rsidR="00877251">
        <w:t xml:space="preserve">аргініну </w:t>
      </w:r>
      <w:r w:rsidR="00300D4A">
        <w:t>аспартату</w:t>
      </w:r>
      <w:r w:rsidR="00877251" w:rsidRPr="005610C2">
        <w:rPr>
          <w:spacing w:val="-4"/>
        </w:rPr>
        <w:t xml:space="preserve"> </w:t>
      </w:r>
      <w:r w:rsidR="009D7829" w:rsidRPr="005610C2">
        <w:rPr>
          <w:spacing w:val="-4"/>
        </w:rPr>
        <w:t>та</w:t>
      </w:r>
      <w:r w:rsidRPr="005610C2">
        <w:rPr>
          <w:spacing w:val="-4"/>
        </w:rPr>
        <w:t xml:space="preserve"> тіотропію бромід</w:t>
      </w:r>
      <w:r w:rsidR="009D7829" w:rsidRPr="005610C2">
        <w:rPr>
          <w:spacing w:val="-4"/>
        </w:rPr>
        <w:t>у</w:t>
      </w:r>
      <w:r w:rsidR="00143473" w:rsidRPr="005610C2">
        <w:rPr>
          <w:spacing w:val="-4"/>
        </w:rPr>
        <w:t xml:space="preserve"> та їх вплив на показники астми</w:t>
      </w:r>
      <w:r w:rsidR="00B87E0C">
        <w:rPr>
          <w:spacing w:val="-4"/>
        </w:rPr>
        <w:t xml:space="preserve">: </w:t>
      </w:r>
      <w:r w:rsidR="004A00C7" w:rsidRPr="005610C2">
        <w:rPr>
          <w:spacing w:val="-4"/>
        </w:rPr>
        <w:t xml:space="preserve">тест </w:t>
      </w:r>
      <w:r w:rsidR="00C64896" w:rsidRPr="005610C2">
        <w:rPr>
          <w:spacing w:val="-4"/>
        </w:rPr>
        <w:t xml:space="preserve">по </w:t>
      </w:r>
      <w:r w:rsidRPr="005610C2">
        <w:rPr>
          <w:spacing w:val="-4"/>
        </w:rPr>
        <w:t>контрол</w:t>
      </w:r>
      <w:r w:rsidR="004A00C7" w:rsidRPr="005610C2">
        <w:rPr>
          <w:spacing w:val="-4"/>
        </w:rPr>
        <w:t>ю</w:t>
      </w:r>
      <w:r w:rsidRPr="005610C2">
        <w:rPr>
          <w:spacing w:val="-4"/>
        </w:rPr>
        <w:t xml:space="preserve"> </w:t>
      </w:r>
      <w:r w:rsidR="004A00C7" w:rsidRPr="005610C2">
        <w:rPr>
          <w:spacing w:val="-4"/>
        </w:rPr>
        <w:t xml:space="preserve">над </w:t>
      </w:r>
      <w:r w:rsidR="00C11743" w:rsidRPr="005610C2">
        <w:rPr>
          <w:spacing w:val="-4"/>
        </w:rPr>
        <w:t xml:space="preserve">симптомами </w:t>
      </w:r>
      <w:r w:rsidR="004A00C7" w:rsidRPr="005610C2">
        <w:rPr>
          <w:spacing w:val="-4"/>
        </w:rPr>
        <w:t>астм</w:t>
      </w:r>
      <w:r w:rsidR="00C11743" w:rsidRPr="005610C2">
        <w:rPr>
          <w:spacing w:val="-4"/>
        </w:rPr>
        <w:t>и</w:t>
      </w:r>
      <w:r w:rsidRPr="005610C2">
        <w:rPr>
          <w:spacing w:val="-4"/>
        </w:rPr>
        <w:t>, як</w:t>
      </w:r>
      <w:r w:rsidR="00B87E0C">
        <w:rPr>
          <w:spacing w:val="-4"/>
        </w:rPr>
        <w:t>ість</w:t>
      </w:r>
      <w:r w:rsidRPr="005610C2">
        <w:rPr>
          <w:spacing w:val="-4"/>
        </w:rPr>
        <w:t xml:space="preserve"> життя, вуглеводн</w:t>
      </w:r>
      <w:r w:rsidR="00B87E0C">
        <w:rPr>
          <w:spacing w:val="-4"/>
        </w:rPr>
        <w:t>ий</w:t>
      </w:r>
      <w:r w:rsidRPr="005610C2">
        <w:rPr>
          <w:spacing w:val="-4"/>
        </w:rPr>
        <w:t xml:space="preserve"> обмін, ендотеліальн</w:t>
      </w:r>
      <w:r w:rsidR="00B87E0C">
        <w:rPr>
          <w:spacing w:val="-4"/>
        </w:rPr>
        <w:t>у</w:t>
      </w:r>
      <w:r w:rsidRPr="005610C2">
        <w:rPr>
          <w:spacing w:val="-4"/>
        </w:rPr>
        <w:t xml:space="preserve"> функці</w:t>
      </w:r>
      <w:r w:rsidR="00B87E0C">
        <w:rPr>
          <w:spacing w:val="-4"/>
        </w:rPr>
        <w:t>ю</w:t>
      </w:r>
      <w:r w:rsidRPr="005610C2">
        <w:rPr>
          <w:spacing w:val="-4"/>
        </w:rPr>
        <w:t xml:space="preserve"> у хворих на </w:t>
      </w:r>
      <w:r w:rsidR="00E21BEA" w:rsidRPr="005610C2">
        <w:rPr>
          <w:spacing w:val="-4"/>
        </w:rPr>
        <w:t>бронхіальну астму</w:t>
      </w:r>
      <w:r w:rsidRPr="005610C2">
        <w:rPr>
          <w:spacing w:val="-4"/>
        </w:rPr>
        <w:t xml:space="preserve"> в</w:t>
      </w:r>
      <w:r w:rsidR="00AF5C51" w:rsidRPr="005610C2">
        <w:rPr>
          <w:spacing w:val="-4"/>
          <w:lang w:val="ru-RU"/>
        </w:rPr>
        <w:t> </w:t>
      </w:r>
      <w:r w:rsidRPr="005610C2">
        <w:rPr>
          <w:spacing w:val="-4"/>
        </w:rPr>
        <w:t xml:space="preserve">поєднанні з </w:t>
      </w:r>
      <w:r w:rsidR="00E21BEA" w:rsidRPr="005610C2">
        <w:rPr>
          <w:spacing w:val="-4"/>
        </w:rPr>
        <w:t>цукровим діабетом 2-го типу</w:t>
      </w:r>
      <w:r w:rsidRPr="0022453B">
        <w:t>.</w:t>
      </w:r>
    </w:p>
    <w:p w:rsidR="0015178A" w:rsidRPr="0022453B" w:rsidRDefault="0015178A" w:rsidP="00CD5061">
      <w:pPr>
        <w:pStyle w:val="atextRef"/>
        <w:spacing w:line="288" w:lineRule="auto"/>
        <w:rPr>
          <w:rStyle w:val="rvts8"/>
          <w:rFonts w:cs="Arial"/>
        </w:rPr>
      </w:pPr>
      <w:r w:rsidRPr="0022453B">
        <w:rPr>
          <w:rStyle w:val="rvts12"/>
          <w:rFonts w:cs="Arial"/>
          <w:i/>
          <w:iCs/>
        </w:rPr>
        <w:t>Об</w:t>
      </w:r>
      <w:r w:rsidR="00AF5C51" w:rsidRPr="00547E73">
        <w:rPr>
          <w:rStyle w:val="rvts13"/>
          <w:rFonts w:cs="Arial"/>
          <w:i/>
          <w:iCs/>
        </w:rPr>
        <w:t>’</w:t>
      </w:r>
      <w:r w:rsidRPr="0022453B">
        <w:rPr>
          <w:rStyle w:val="rvts12"/>
          <w:rFonts w:cs="Arial"/>
          <w:i/>
          <w:iCs/>
        </w:rPr>
        <w:t>єкт дослідження:</w:t>
      </w:r>
      <w:r w:rsidR="009D7829" w:rsidRPr="0022453B">
        <w:rPr>
          <w:rStyle w:val="rvts12"/>
          <w:rFonts w:cs="Arial"/>
          <w:i/>
          <w:iCs/>
        </w:rPr>
        <w:t xml:space="preserve"> </w:t>
      </w:r>
      <w:r w:rsidR="00E21BEA" w:rsidRPr="0022453B">
        <w:rPr>
          <w:rStyle w:val="rvts8"/>
          <w:rFonts w:cs="Arial"/>
        </w:rPr>
        <w:t>бронхіальна астма</w:t>
      </w:r>
      <w:r w:rsidR="00385070" w:rsidRPr="0022453B">
        <w:rPr>
          <w:rStyle w:val="rvts8"/>
          <w:rFonts w:cs="Arial"/>
        </w:rPr>
        <w:t xml:space="preserve"> </w:t>
      </w:r>
      <w:r w:rsidRPr="0022453B">
        <w:rPr>
          <w:rStyle w:val="rvts8"/>
          <w:rFonts w:cs="Arial"/>
        </w:rPr>
        <w:t xml:space="preserve">в поєднанні з </w:t>
      </w:r>
      <w:r w:rsidR="00E21BEA" w:rsidRPr="0022453B">
        <w:t>цукровим діабетом 2-го типу</w:t>
      </w:r>
      <w:r w:rsidR="009D7829" w:rsidRPr="0022453B">
        <w:rPr>
          <w:rStyle w:val="rvts8"/>
          <w:rFonts w:cs="Arial"/>
        </w:rPr>
        <w:t xml:space="preserve"> </w:t>
      </w:r>
      <w:r w:rsidRPr="0022453B">
        <w:rPr>
          <w:rStyle w:val="rvts8"/>
          <w:rFonts w:cs="Arial"/>
        </w:rPr>
        <w:t>та ожирінням.</w:t>
      </w:r>
    </w:p>
    <w:p w:rsidR="0052555D" w:rsidRPr="0022453B" w:rsidRDefault="0015178A" w:rsidP="00CD5061">
      <w:pPr>
        <w:pStyle w:val="atextRef"/>
        <w:spacing w:line="288" w:lineRule="auto"/>
      </w:pPr>
      <w:r w:rsidRPr="0022453B">
        <w:rPr>
          <w:rStyle w:val="rvts12"/>
          <w:rFonts w:cs="Arial"/>
          <w:i/>
          <w:iCs/>
        </w:rPr>
        <w:t>Предмет дослідження:</w:t>
      </w:r>
      <w:r w:rsidRPr="0022453B">
        <w:t xml:space="preserve"> </w:t>
      </w:r>
      <w:r w:rsidR="00B96FA5" w:rsidRPr="0022453B">
        <w:t xml:space="preserve">клінічні, </w:t>
      </w:r>
      <w:r w:rsidR="0052555D" w:rsidRPr="0022453B">
        <w:t>антропометричні,</w:t>
      </w:r>
      <w:r w:rsidR="00B96FA5" w:rsidRPr="0022453B">
        <w:t xml:space="preserve"> </w:t>
      </w:r>
      <w:r w:rsidR="007131AC" w:rsidRPr="0022453B">
        <w:t>лабораторно-інструментальні показники, маркер</w:t>
      </w:r>
      <w:r w:rsidR="0087184C" w:rsidRPr="0022453B">
        <w:t>и</w:t>
      </w:r>
      <w:r w:rsidR="007131AC" w:rsidRPr="0022453B">
        <w:t xml:space="preserve"> імунозапалення</w:t>
      </w:r>
      <w:r w:rsidR="0087184C" w:rsidRPr="0022453B">
        <w:t xml:space="preserve"> та</w:t>
      </w:r>
      <w:r w:rsidR="00BE3F9E" w:rsidRPr="0022453B">
        <w:t xml:space="preserve"> неінвазівн</w:t>
      </w:r>
      <w:r w:rsidR="00047C73" w:rsidRPr="0022453B">
        <w:t>і</w:t>
      </w:r>
      <w:r w:rsidR="00BE3F9E" w:rsidRPr="0022453B">
        <w:t xml:space="preserve"> маркер</w:t>
      </w:r>
      <w:r w:rsidR="00047C73" w:rsidRPr="0022453B">
        <w:t>и</w:t>
      </w:r>
      <w:r w:rsidR="0022453B">
        <w:t xml:space="preserve"> </w:t>
      </w:r>
      <w:r w:rsidR="007131AC" w:rsidRPr="0022453B">
        <w:t>фіброзу</w:t>
      </w:r>
      <w:r w:rsidR="00BE3F9E" w:rsidRPr="0022453B">
        <w:t>,</w:t>
      </w:r>
      <w:r w:rsidR="0052555D" w:rsidRPr="0022453B">
        <w:t xml:space="preserve"> </w:t>
      </w:r>
      <w:r w:rsidR="00C64896" w:rsidRPr="0022453B">
        <w:rPr>
          <w:rStyle w:val="rvts8"/>
          <w:rFonts w:cs="Arial"/>
        </w:rPr>
        <w:t>параметри</w:t>
      </w:r>
      <w:r w:rsidR="0052555D" w:rsidRPr="0022453B">
        <w:rPr>
          <w:rStyle w:val="rvts8"/>
          <w:rFonts w:cs="Arial"/>
        </w:rPr>
        <w:t xml:space="preserve"> вуглеводного </w:t>
      </w:r>
      <w:r w:rsidR="0087184C" w:rsidRPr="0022453B">
        <w:rPr>
          <w:rStyle w:val="rvts8"/>
          <w:rFonts w:cs="Arial"/>
        </w:rPr>
        <w:t xml:space="preserve">та ліпідного </w:t>
      </w:r>
      <w:r w:rsidR="0052555D" w:rsidRPr="0022453B">
        <w:rPr>
          <w:rStyle w:val="rvts8"/>
          <w:rFonts w:cs="Arial"/>
        </w:rPr>
        <w:t>обмін</w:t>
      </w:r>
      <w:r w:rsidR="0087184C" w:rsidRPr="0022453B">
        <w:rPr>
          <w:rStyle w:val="rvts8"/>
          <w:rFonts w:cs="Arial"/>
        </w:rPr>
        <w:t>ів</w:t>
      </w:r>
      <w:r w:rsidR="0052555D" w:rsidRPr="0022453B">
        <w:rPr>
          <w:rStyle w:val="rvts8"/>
          <w:rFonts w:cs="Arial"/>
        </w:rPr>
        <w:t xml:space="preserve">, </w:t>
      </w:r>
      <w:r w:rsidR="0052555D" w:rsidRPr="0022453B">
        <w:t>функціональний стан судинного ендотелію</w:t>
      </w:r>
      <w:r w:rsidR="00BE3F9E" w:rsidRPr="0022453B">
        <w:t>,</w:t>
      </w:r>
      <w:r w:rsidR="0022453B">
        <w:t xml:space="preserve"> </w:t>
      </w:r>
      <w:r w:rsidR="00BE3F9E" w:rsidRPr="0022453B">
        <w:t>показники функції зовнішнього дихання</w:t>
      </w:r>
      <w:r w:rsidR="0052555D" w:rsidRPr="0022453B">
        <w:t xml:space="preserve">, </w:t>
      </w:r>
      <w:r w:rsidR="00791A31" w:rsidRPr="0022453B">
        <w:t>швидкість клубочков</w:t>
      </w:r>
      <w:r w:rsidR="00694819" w:rsidRPr="0022453B">
        <w:t>ої фільтрації</w:t>
      </w:r>
      <w:r w:rsidR="00791A31" w:rsidRPr="0022453B">
        <w:t xml:space="preserve">, </w:t>
      </w:r>
      <w:r w:rsidR="0052555D" w:rsidRPr="0022453B">
        <w:t xml:space="preserve">контроль астми, якість життя, </w:t>
      </w:r>
      <w:r w:rsidR="00047C73" w:rsidRPr="0022453B">
        <w:rPr>
          <w:rStyle w:val="rvts8"/>
          <w:rFonts w:cs="Arial"/>
        </w:rPr>
        <w:t>вплив фармакотерапії.</w:t>
      </w:r>
    </w:p>
    <w:p w:rsidR="0015178A" w:rsidRPr="0022453B" w:rsidRDefault="0015178A" w:rsidP="00CD5061">
      <w:pPr>
        <w:pStyle w:val="atextRef"/>
        <w:spacing w:line="288" w:lineRule="auto"/>
      </w:pPr>
      <w:r w:rsidRPr="0022453B">
        <w:rPr>
          <w:i/>
        </w:rPr>
        <w:lastRenderedPageBreak/>
        <w:t>Методи дослідження</w:t>
      </w:r>
      <w:r w:rsidRPr="0022453B">
        <w:t>: загально</w:t>
      </w:r>
      <w:r w:rsidR="00E220DD" w:rsidRPr="0022453B">
        <w:t>-</w:t>
      </w:r>
      <w:r w:rsidRPr="0022453B">
        <w:t xml:space="preserve">клінічні, </w:t>
      </w:r>
      <w:r w:rsidR="00C64896" w:rsidRPr="0022453B">
        <w:t xml:space="preserve">опитувальні, </w:t>
      </w:r>
      <w:r w:rsidRPr="0022453B">
        <w:t>антропометр</w:t>
      </w:r>
      <w:r w:rsidR="004B20AE" w:rsidRPr="0022453B">
        <w:t>и</w:t>
      </w:r>
      <w:r w:rsidRPr="0022453B">
        <w:t>чні, біохімічні, імуноферментні, імунологічні, інструментальні, статистичні.</w:t>
      </w:r>
    </w:p>
    <w:p w:rsidR="00B614AE" w:rsidRPr="0022453B" w:rsidRDefault="004F30A7" w:rsidP="00CD5061">
      <w:pPr>
        <w:pStyle w:val="atextRef"/>
        <w:spacing w:line="288" w:lineRule="auto"/>
      </w:pPr>
      <w:r w:rsidRPr="0022453B">
        <w:rPr>
          <w:b/>
        </w:rPr>
        <w:t>Наукова новизна одержаних результатів.</w:t>
      </w:r>
      <w:r w:rsidR="004B20AE" w:rsidRPr="0022453B">
        <w:rPr>
          <w:b/>
        </w:rPr>
        <w:t xml:space="preserve"> </w:t>
      </w:r>
      <w:r w:rsidR="00BE2D0B" w:rsidRPr="0022453B">
        <w:t>У роботі визначено патогенетичне значення маркерів системного запалення, ендотеліальної дисфункції, метаболічних змін, імунних розладів</w:t>
      </w:r>
      <w:r w:rsidR="00B614AE" w:rsidRPr="0022453B">
        <w:t xml:space="preserve"> у прогресуванні патологічного процесу та особливостей клінічних проявів</w:t>
      </w:r>
      <w:r w:rsidR="0022453B">
        <w:t xml:space="preserve"> </w:t>
      </w:r>
      <w:r w:rsidR="00B614AE" w:rsidRPr="0022453B">
        <w:t>у хворих із поєднаним перебігом БА, ЦД 2-го типу та ожирінням.</w:t>
      </w:r>
    </w:p>
    <w:p w:rsidR="00775BCC" w:rsidRPr="0022453B" w:rsidRDefault="00287006" w:rsidP="00CD5061">
      <w:pPr>
        <w:pStyle w:val="atextRef"/>
        <w:spacing w:line="288" w:lineRule="auto"/>
        <w:rPr>
          <w:iCs/>
        </w:rPr>
      </w:pPr>
      <w:r w:rsidRPr="0022453B">
        <w:t>Уперше</w:t>
      </w:r>
      <w:r w:rsidR="00775BCC" w:rsidRPr="0022453B">
        <w:t xml:space="preserve"> удосконалено ранню діагностику</w:t>
      </w:r>
      <w:r w:rsidRPr="0022453B">
        <w:t xml:space="preserve"> </w:t>
      </w:r>
      <w:r w:rsidR="00775BCC" w:rsidRPr="0022453B">
        <w:t>бронхіальної астми в</w:t>
      </w:r>
      <w:r w:rsidR="00AF5C51" w:rsidRPr="0022453B">
        <w:rPr>
          <w:lang w:val="ru-RU"/>
        </w:rPr>
        <w:t> </w:t>
      </w:r>
      <w:r w:rsidR="00775BCC" w:rsidRPr="0022453B">
        <w:t>поєднанні з</w:t>
      </w:r>
      <w:r w:rsidR="00AF5C51" w:rsidRPr="0022453B">
        <w:rPr>
          <w:lang w:val="ru-RU"/>
        </w:rPr>
        <w:t> </w:t>
      </w:r>
      <w:r w:rsidR="00775BCC" w:rsidRPr="0022453B">
        <w:t xml:space="preserve">ЦД2Т та ожирінням на основі вивчення клініко-лабораторних, інструментальних критеріїв, визначення предикторів несприятливого перебігу захворювання та механізми реалізації пульморенальних розладів, створено математичні моделі прогнозування та </w:t>
      </w:r>
      <w:r w:rsidR="00AF5C51" w:rsidRPr="0022453B">
        <w:t>обґрунтовано</w:t>
      </w:r>
      <w:r w:rsidR="00775BCC" w:rsidRPr="0022453B">
        <w:t xml:space="preserve"> показання до індивідуального призначення комплексних профілактичних та лікувальних засобів.</w:t>
      </w:r>
      <w:r w:rsidR="00775BCC" w:rsidRPr="0022453B">
        <w:rPr>
          <w:iCs/>
        </w:rPr>
        <w:t xml:space="preserve"> </w:t>
      </w:r>
    </w:p>
    <w:p w:rsidR="00BB1925" w:rsidRPr="0022453B" w:rsidRDefault="004B4D9E" w:rsidP="00CD5061">
      <w:pPr>
        <w:pStyle w:val="atextRef"/>
        <w:spacing w:line="288" w:lineRule="auto"/>
      </w:pPr>
      <w:r w:rsidRPr="0022453B">
        <w:t xml:space="preserve">Набуло подальшого розвитку комплексне вивчення клінічних та патогенетично значущих чинників, які мають важливе значення </w:t>
      </w:r>
      <w:r w:rsidR="00251105" w:rsidRPr="0022453B">
        <w:t>для</w:t>
      </w:r>
      <w:r w:rsidRPr="0022453B">
        <w:t xml:space="preserve"> реалізації пульморенальних розладів у пацієнтів на БА у поєднанні з ЦД2Т та</w:t>
      </w:r>
      <w:r w:rsidR="0022453B">
        <w:rPr>
          <w:lang w:val="ru-RU"/>
        </w:rPr>
        <w:t> </w:t>
      </w:r>
      <w:r w:rsidRPr="0022453B">
        <w:t>ожирінням і</w:t>
      </w:r>
      <w:r w:rsidR="008602FB">
        <w:t> </w:t>
      </w:r>
      <w:r w:rsidRPr="0022453B">
        <w:t xml:space="preserve">сприяють </w:t>
      </w:r>
      <w:r w:rsidR="00251105" w:rsidRPr="0022453B">
        <w:t>зростанню</w:t>
      </w:r>
      <w:r w:rsidRPr="0022453B">
        <w:t xml:space="preserve"> судинного ризику на ендотелій </w:t>
      </w:r>
      <w:r w:rsidR="00CD22CE" w:rsidRPr="0022453B">
        <w:t>–</w:t>
      </w:r>
      <w:r w:rsidRPr="0022453B">
        <w:t xml:space="preserve"> ЕТ-1, фракталкіну</w:t>
      </w:r>
      <w:r w:rsidR="006734BA" w:rsidRPr="0022453B">
        <w:t xml:space="preserve">, ФВ та </w:t>
      </w:r>
      <w:r w:rsidR="006734BA" w:rsidRPr="0022453B">
        <w:rPr>
          <w:lang w:val="en-US"/>
        </w:rPr>
        <w:t>S</w:t>
      </w:r>
      <w:r w:rsidR="006734BA" w:rsidRPr="0022453B">
        <w:t>-нітрозотіолів</w:t>
      </w:r>
      <w:r w:rsidR="0022453B">
        <w:t xml:space="preserve"> </w:t>
      </w:r>
      <w:r w:rsidR="00CD22CE" w:rsidRPr="0022453B">
        <w:t>–</w:t>
      </w:r>
      <w:r w:rsidRPr="0022453B">
        <w:t xml:space="preserve"> та їх вплив на процеси запалення.</w:t>
      </w:r>
    </w:p>
    <w:p w:rsidR="00331B9A" w:rsidRPr="0022453B" w:rsidRDefault="00331B9A" w:rsidP="00CD5061">
      <w:pPr>
        <w:pStyle w:val="atextRef"/>
        <w:spacing w:line="288" w:lineRule="auto"/>
      </w:pPr>
      <w:r w:rsidRPr="0022453B">
        <w:t>Визначено залежність стану ендотелію від ступеня прояву бронхообструктивного синдрому та функціонального стану нирок у хворих на БА з ЦД2Т й</w:t>
      </w:r>
      <w:r w:rsidR="00AE65D3" w:rsidRPr="0022453B">
        <w:t xml:space="preserve"> ожирінням </w:t>
      </w:r>
      <w:r w:rsidRPr="0022453B">
        <w:t>у хворих на БА у поєднанні з коморбідними станами та їх вплив на рівень контролю.</w:t>
      </w:r>
    </w:p>
    <w:p w:rsidR="006734BA" w:rsidRPr="0022453B" w:rsidRDefault="006734BA" w:rsidP="00CD5061">
      <w:pPr>
        <w:pStyle w:val="atextRef"/>
        <w:spacing w:line="288" w:lineRule="auto"/>
      </w:pPr>
      <w:r w:rsidRPr="0022453B">
        <w:t xml:space="preserve">Доказана роль ММР-9, МСР-1 у формуванні </w:t>
      </w:r>
      <w:r w:rsidR="009D28C0" w:rsidRPr="0022453B">
        <w:t>у розвитку системного запалення, яке призводить до фібропластичних змін у гладких м</w:t>
      </w:r>
      <w:r w:rsidR="0022453B">
        <w:rPr>
          <w:lang w:val="ru-RU"/>
        </w:rPr>
        <w:t>’</w:t>
      </w:r>
      <w:r w:rsidR="009D28C0" w:rsidRPr="0022453B">
        <w:t xml:space="preserve">язах та зниженню фільтраційної функції нирок </w:t>
      </w:r>
      <w:r w:rsidR="00CD22CE" w:rsidRPr="0022453B">
        <w:t>–</w:t>
      </w:r>
      <w:r w:rsidR="009D28C0" w:rsidRPr="0022453B">
        <w:t xml:space="preserve"> розвитку тубулоінтерстиціального фіброзу в нирках.</w:t>
      </w:r>
    </w:p>
    <w:p w:rsidR="004B4D9E" w:rsidRPr="0022453B" w:rsidRDefault="00C96998" w:rsidP="00CD5061">
      <w:pPr>
        <w:pStyle w:val="atextRef"/>
        <w:spacing w:line="288" w:lineRule="auto"/>
      </w:pPr>
      <w:r w:rsidRPr="0022453B">
        <w:t>Доповнен</w:t>
      </w:r>
      <w:r w:rsidR="00E220DD" w:rsidRPr="0022453B">
        <w:t>о</w:t>
      </w:r>
      <w:r w:rsidRPr="0022453B">
        <w:t xml:space="preserve"> наукові дані про</w:t>
      </w:r>
      <w:r w:rsidR="004B4D9E" w:rsidRPr="0022453B">
        <w:t xml:space="preserve"> дослідження значущості дисбалансу</w:t>
      </w:r>
      <w:r w:rsidR="00510961" w:rsidRPr="0022453B">
        <w:t xml:space="preserve"> імунної системи. Особливість імунологічної реактивності у хворих на БА + ЦД2Т та БА + Ож, на відміну від ізольованої БА, пов</w:t>
      </w:r>
      <w:r w:rsidR="00AF5C51" w:rsidRPr="0022453B">
        <w:t>’</w:t>
      </w:r>
      <w:r w:rsidR="00510961" w:rsidRPr="0022453B">
        <w:t>язана зі</w:t>
      </w:r>
      <w:r w:rsidR="0022453B">
        <w:rPr>
          <w:lang w:val="ru-RU"/>
        </w:rPr>
        <w:t> </w:t>
      </w:r>
      <w:r w:rsidR="00510961" w:rsidRPr="0022453B">
        <w:t>зниженням активності клітинно-опосередкованої імунної відповіді за участю Т-лімфоцитів</w:t>
      </w:r>
      <w:r w:rsidR="00B614AE" w:rsidRPr="0022453B">
        <w:t>.</w:t>
      </w:r>
      <w:r w:rsidR="00510961" w:rsidRPr="0022453B">
        <w:t xml:space="preserve"> </w:t>
      </w:r>
      <w:r w:rsidR="00BF20DF" w:rsidRPr="0022453B">
        <w:t>Визначені зміни а</w:t>
      </w:r>
      <w:r w:rsidR="004B4D9E" w:rsidRPr="0022453B">
        <w:t>соцію</w:t>
      </w:r>
      <w:r w:rsidR="00BF20DF" w:rsidRPr="0022453B">
        <w:t>ю</w:t>
      </w:r>
      <w:r w:rsidR="004B4D9E" w:rsidRPr="0022453B">
        <w:t>ться з</w:t>
      </w:r>
      <w:r w:rsidR="00267F6E" w:rsidRPr="0022453B">
        <w:t xml:space="preserve"> розвитком хронічного </w:t>
      </w:r>
      <w:r w:rsidR="00402230" w:rsidRPr="0022453B">
        <w:t xml:space="preserve">системного </w:t>
      </w:r>
      <w:r w:rsidR="00BF20DF" w:rsidRPr="0022453B">
        <w:t>запалення що супроводжується</w:t>
      </w:r>
      <w:r w:rsidR="00267F6E" w:rsidRPr="0022453B">
        <w:t xml:space="preserve"> гіперсекреці</w:t>
      </w:r>
      <w:r w:rsidR="00BF20DF" w:rsidRPr="0022453B">
        <w:t>єю</w:t>
      </w:r>
      <w:r w:rsidR="00251105" w:rsidRPr="0022453B">
        <w:t xml:space="preserve"> інтерлейкінів</w:t>
      </w:r>
      <w:r w:rsidR="00267F6E" w:rsidRPr="0022453B">
        <w:t xml:space="preserve">-8 </w:t>
      </w:r>
      <w:r w:rsidR="00251105" w:rsidRPr="0022453B">
        <w:t>і -</w:t>
      </w:r>
      <w:r w:rsidR="00267F6E" w:rsidRPr="0022453B">
        <w:t>12, що створює умови для формування пошкодження нирок</w:t>
      </w:r>
      <w:r w:rsidR="00BF20DF" w:rsidRPr="0022453B">
        <w:t>.</w:t>
      </w:r>
    </w:p>
    <w:p w:rsidR="00CA1D99" w:rsidRPr="0022453B" w:rsidRDefault="00E220DD" w:rsidP="00CD5061">
      <w:pPr>
        <w:pStyle w:val="atextRef"/>
        <w:spacing w:line="288" w:lineRule="auto"/>
      </w:pPr>
      <w:r w:rsidRPr="0022453B">
        <w:t>Доведено</w:t>
      </w:r>
      <w:r w:rsidR="00CA1D99" w:rsidRPr="0022453B">
        <w:t>, що формування пульморенального ризику у хворих на бронхіальну астму з коморбідними досліджуваними станами пов</w:t>
      </w:r>
      <w:r w:rsidR="00AF5C51" w:rsidRPr="0022453B">
        <w:t>’</w:t>
      </w:r>
      <w:r w:rsidR="00CA1D99" w:rsidRPr="0022453B">
        <w:t xml:space="preserve">язане </w:t>
      </w:r>
      <w:r w:rsidR="00CA1D99" w:rsidRPr="0022453B">
        <w:lastRenderedPageBreak/>
        <w:t>з</w:t>
      </w:r>
      <w:r w:rsidR="00AF5C51" w:rsidRPr="0022453B">
        <w:rPr>
          <w:lang w:val="ru-RU"/>
        </w:rPr>
        <w:t> </w:t>
      </w:r>
      <w:r w:rsidR="00CA1D99" w:rsidRPr="0022453B">
        <w:t>порушенням ліпідного обміну, що мають проатерогенну спрямованість та розгортаються в умовах інсулінорезистентності.</w:t>
      </w:r>
    </w:p>
    <w:p w:rsidR="00287006" w:rsidRPr="0022453B" w:rsidRDefault="00545B47" w:rsidP="00CD5061">
      <w:pPr>
        <w:pStyle w:val="atextRef"/>
        <w:spacing w:line="288" w:lineRule="auto"/>
      </w:pPr>
      <w:r w:rsidRPr="0022453B">
        <w:t>Отриман</w:t>
      </w:r>
      <w:r w:rsidR="00E220DD" w:rsidRPr="0022453B">
        <w:t>о</w:t>
      </w:r>
      <w:r w:rsidR="00287006" w:rsidRPr="0022453B">
        <w:t xml:space="preserve"> науково обґрунтован</w:t>
      </w:r>
      <w:r w:rsidR="00E220DD" w:rsidRPr="0022453B">
        <w:t>у</w:t>
      </w:r>
      <w:r w:rsidR="00287006" w:rsidRPr="0022453B">
        <w:t xml:space="preserve"> модель клінічного прогнозування та стратифікації </w:t>
      </w:r>
      <w:r w:rsidR="00251105" w:rsidRPr="0022453B">
        <w:t>ризику</w:t>
      </w:r>
      <w:r w:rsidR="00287006" w:rsidRPr="0022453B">
        <w:t xml:space="preserve"> прогресування захворювання та метаболічних змін у</w:t>
      </w:r>
      <w:r w:rsidR="0022453B">
        <w:rPr>
          <w:lang w:val="ru-RU"/>
        </w:rPr>
        <w:t> </w:t>
      </w:r>
      <w:r w:rsidR="00287006" w:rsidRPr="0022453B">
        <w:t>хворих на БА з ожирінням і у х</w:t>
      </w:r>
      <w:r w:rsidR="009D28C0" w:rsidRPr="0022453B">
        <w:t>ворих на БА з цукровим діабетом</w:t>
      </w:r>
      <w:r w:rsidR="00815CBE">
        <w:t xml:space="preserve"> 2-го типу</w:t>
      </w:r>
      <w:r w:rsidR="009D28C0" w:rsidRPr="0022453B">
        <w:t xml:space="preserve">, а саме, рівень креатиніну, індекс талія/стегно, індекс інсулінорезистентності, рівень глікованого гемоглобіну, </w:t>
      </w:r>
      <w:r w:rsidR="00815CBE" w:rsidRPr="0022453B">
        <w:t xml:space="preserve">загального імуноглобуліну Е в сироватці крові, </w:t>
      </w:r>
      <w:r w:rsidR="009D28C0" w:rsidRPr="0022453B">
        <w:rPr>
          <w:lang w:eastAsia="ru-RU"/>
        </w:rPr>
        <w:t>об</w:t>
      </w:r>
      <w:r w:rsidR="00AF5C51" w:rsidRPr="0022453B">
        <w:rPr>
          <w:lang w:eastAsia="ru-RU"/>
        </w:rPr>
        <w:t>’</w:t>
      </w:r>
      <w:r w:rsidR="00815CBE">
        <w:rPr>
          <w:lang w:eastAsia="ru-RU"/>
        </w:rPr>
        <w:t>єм</w:t>
      </w:r>
      <w:r w:rsidR="009D28C0" w:rsidRPr="0022453B">
        <w:rPr>
          <w:lang w:eastAsia="ru-RU"/>
        </w:rPr>
        <w:t xml:space="preserve"> форсованого видиху за 1 секунду у</w:t>
      </w:r>
      <w:r w:rsidR="00AF5C51" w:rsidRPr="0022453B">
        <w:rPr>
          <w:lang w:val="ru-RU" w:eastAsia="ru-RU"/>
        </w:rPr>
        <w:t> </w:t>
      </w:r>
      <w:r w:rsidR="009D28C0" w:rsidRPr="0022453B">
        <w:rPr>
          <w:lang w:eastAsia="ru-RU"/>
        </w:rPr>
        <w:t xml:space="preserve">відсотках, </w:t>
      </w:r>
      <w:r w:rsidR="009D28C0" w:rsidRPr="0022453B">
        <w:t>які мають визначальну прогностичну функцію рівня контролю та ступеня тяжкості в</w:t>
      </w:r>
      <w:r w:rsidR="0022453B">
        <w:rPr>
          <w:lang w:val="ru-RU"/>
        </w:rPr>
        <w:t> </w:t>
      </w:r>
      <w:r w:rsidR="009D28C0" w:rsidRPr="0022453B">
        <w:t>пацієнтів, хворих на БА у</w:t>
      </w:r>
      <w:r w:rsidR="005610C2">
        <w:t> </w:t>
      </w:r>
      <w:r w:rsidR="009D28C0" w:rsidRPr="0022453B">
        <w:t>поєднанні з ЦД2Т та ожирінням.</w:t>
      </w:r>
    </w:p>
    <w:p w:rsidR="00287006" w:rsidRPr="0022453B" w:rsidRDefault="00287006" w:rsidP="00CD5061">
      <w:pPr>
        <w:pStyle w:val="atextRef"/>
        <w:spacing w:line="288" w:lineRule="auto"/>
      </w:pPr>
      <w:r w:rsidRPr="0022453B">
        <w:t xml:space="preserve">Патогенетично </w:t>
      </w:r>
      <w:r w:rsidR="00A21A4F" w:rsidRPr="0022453B">
        <w:t>обґрунтовано</w:t>
      </w:r>
      <w:r w:rsidRPr="0022453B">
        <w:t xml:space="preserve"> </w:t>
      </w:r>
      <w:r w:rsidR="00251105" w:rsidRPr="0022453B">
        <w:t xml:space="preserve">модифіковану </w:t>
      </w:r>
      <w:r w:rsidRPr="0022453B">
        <w:t xml:space="preserve">схему комплексної терапії </w:t>
      </w:r>
      <w:r w:rsidR="00251105" w:rsidRPr="0022453B">
        <w:t>пацієнтів</w:t>
      </w:r>
      <w:r w:rsidRPr="0022453B">
        <w:t xml:space="preserve"> </w:t>
      </w:r>
      <w:r w:rsidR="000B18A0" w:rsidRPr="0022453B">
        <w:t>і</w:t>
      </w:r>
      <w:r w:rsidRPr="0022453B">
        <w:t xml:space="preserve">з поєднаним перебігом </w:t>
      </w:r>
      <w:r w:rsidR="00744D27" w:rsidRPr="0022453B">
        <w:t xml:space="preserve">БА і </w:t>
      </w:r>
      <w:r w:rsidRPr="0022453B">
        <w:t>ЦД2Т з додатковим використанням тіотропію бром</w:t>
      </w:r>
      <w:r w:rsidR="004B20AE" w:rsidRPr="0022453B">
        <w:t>і</w:t>
      </w:r>
      <w:r w:rsidRPr="0022453B">
        <w:t>д</w:t>
      </w:r>
      <w:r w:rsidR="00A21A4F" w:rsidRPr="0022453B">
        <w:t>у</w:t>
      </w:r>
      <w:r w:rsidRPr="0022453B">
        <w:t xml:space="preserve"> </w:t>
      </w:r>
      <w:r w:rsidR="00A21A4F" w:rsidRPr="0022453B">
        <w:t>та</w:t>
      </w:r>
      <w:r w:rsidR="002C01ED">
        <w:t xml:space="preserve"> </w:t>
      </w:r>
      <w:r w:rsidR="00DA5AAE">
        <w:rPr>
          <w:lang w:val="en-US"/>
        </w:rPr>
        <w:t>L</w:t>
      </w:r>
      <w:r w:rsidR="00DA5AAE" w:rsidRPr="00DA5AAE">
        <w:t>-</w:t>
      </w:r>
      <w:r w:rsidR="00DA5AAE">
        <w:t xml:space="preserve"> аргініну аспартату</w:t>
      </w:r>
      <w:r w:rsidR="002C01ED">
        <w:t>. Продемонстровано</w:t>
      </w:r>
      <w:r w:rsidRPr="0022453B">
        <w:t xml:space="preserve"> </w:t>
      </w:r>
      <w:r w:rsidR="00251105" w:rsidRPr="0022453B">
        <w:t xml:space="preserve">вища </w:t>
      </w:r>
      <w:r w:rsidRPr="0022453B">
        <w:t>ефективність запропонованої схеми терапії, п</w:t>
      </w:r>
      <w:r w:rsidR="000B18A0" w:rsidRPr="0022453B">
        <w:t>ризначення якої супроводжувалося</w:t>
      </w:r>
      <w:r w:rsidRPr="0022453B">
        <w:t xml:space="preserve"> </w:t>
      </w:r>
      <w:r w:rsidR="00251105" w:rsidRPr="0022453B">
        <w:t xml:space="preserve">частішим </w:t>
      </w:r>
      <w:r w:rsidRPr="0022453B">
        <w:t>досягненням контролю</w:t>
      </w:r>
      <w:r w:rsidR="007C7AA9" w:rsidRPr="0022453B">
        <w:t xml:space="preserve"> </w:t>
      </w:r>
      <w:r w:rsidRPr="0022453B">
        <w:t xml:space="preserve">та позитивною динамікою </w:t>
      </w:r>
      <w:r w:rsidR="00251105" w:rsidRPr="0022453B">
        <w:t xml:space="preserve">параметрів </w:t>
      </w:r>
      <w:r w:rsidR="00470A49" w:rsidRPr="0022453B">
        <w:t>АС</w:t>
      </w:r>
      <w:r w:rsidR="00BB1925" w:rsidRPr="0022453B">
        <w:rPr>
          <w:lang w:val="en-US"/>
        </w:rPr>
        <w:t>Q</w:t>
      </w:r>
      <w:r w:rsidR="00BB1925" w:rsidRPr="0022453B">
        <w:t>-5</w:t>
      </w:r>
      <w:r w:rsidR="00470A49" w:rsidRPr="0022453B">
        <w:t xml:space="preserve">, </w:t>
      </w:r>
      <w:r w:rsidR="00444C2B" w:rsidRPr="0022453B">
        <w:t>якості життя</w:t>
      </w:r>
      <w:r w:rsidR="00470A49" w:rsidRPr="0022453B">
        <w:t>, ендотеліальної функції</w:t>
      </w:r>
      <w:r w:rsidRPr="0022453B">
        <w:t>, функціонального стану леген</w:t>
      </w:r>
      <w:r w:rsidR="00E268BC" w:rsidRPr="0022453B">
        <w:t>ь</w:t>
      </w:r>
      <w:r w:rsidR="000B18A0" w:rsidRPr="0022453B">
        <w:t xml:space="preserve"> та нирок, що дає змогу</w:t>
      </w:r>
      <w:r w:rsidRPr="0022453B">
        <w:t xml:space="preserve"> покращити </w:t>
      </w:r>
      <w:r w:rsidR="00A21A4F" w:rsidRPr="0022453B">
        <w:t>прогноз.</w:t>
      </w:r>
    </w:p>
    <w:p w:rsidR="00526439" w:rsidRPr="0022453B" w:rsidRDefault="00287006" w:rsidP="00CD5061">
      <w:pPr>
        <w:pStyle w:val="atextRef"/>
        <w:spacing w:line="288" w:lineRule="auto"/>
      </w:pPr>
      <w:r w:rsidRPr="0022453B">
        <w:t xml:space="preserve">Наукова новизна роботи підтверджена </w:t>
      </w:r>
      <w:r w:rsidR="00295D92" w:rsidRPr="0022453B">
        <w:t>2 держав</w:t>
      </w:r>
      <w:r w:rsidR="00251105" w:rsidRPr="0022453B">
        <w:t>ними патентами України на винахо</w:t>
      </w:r>
      <w:r w:rsidR="00295D92" w:rsidRPr="0022453B">
        <w:t>д</w:t>
      </w:r>
      <w:r w:rsidR="00251105" w:rsidRPr="0022453B">
        <w:t>и</w:t>
      </w:r>
      <w:r w:rsidR="00295D92" w:rsidRPr="0022453B">
        <w:t xml:space="preserve">: </w:t>
      </w:r>
      <w:r w:rsidR="005822B0">
        <w:t>«</w:t>
      </w:r>
      <w:r w:rsidR="00295D92" w:rsidRPr="0022453B">
        <w:t xml:space="preserve">Спосіб </w:t>
      </w:r>
      <w:r w:rsidR="001500C8" w:rsidRPr="0022453B">
        <w:t>визначення ризику прогресування бронхіальної астми у</w:t>
      </w:r>
      <w:r w:rsidR="008602FB">
        <w:t> </w:t>
      </w:r>
      <w:r w:rsidR="001500C8" w:rsidRPr="0022453B">
        <w:t>пацієнтів з бронхіальною астмою і цукровим діабетом другого типу</w:t>
      </w:r>
      <w:r w:rsidR="005822B0">
        <w:t>»</w:t>
      </w:r>
      <w:r w:rsidR="00295D92" w:rsidRPr="0022453B">
        <w:t xml:space="preserve"> (деклараційний патент на </w:t>
      </w:r>
      <w:r w:rsidR="001500C8" w:rsidRPr="0022453B">
        <w:t>винахід</w:t>
      </w:r>
      <w:r w:rsidR="00295D92" w:rsidRPr="0022453B">
        <w:t xml:space="preserve"> №</w:t>
      </w:r>
      <w:r w:rsidR="005B1C91" w:rsidRPr="0022453B">
        <w:t xml:space="preserve"> </w:t>
      </w:r>
      <w:r w:rsidR="00295D92" w:rsidRPr="0022453B">
        <w:t>1</w:t>
      </w:r>
      <w:r w:rsidR="001500C8" w:rsidRPr="0022453B">
        <w:t>17323</w:t>
      </w:r>
      <w:r w:rsidR="00295D92" w:rsidRPr="0022453B">
        <w:t xml:space="preserve"> U</w:t>
      </w:r>
      <w:r w:rsidR="001500C8" w:rsidRPr="0022453B">
        <w:rPr>
          <w:lang w:val="en-US"/>
        </w:rPr>
        <w:t>A</w:t>
      </w:r>
      <w:r w:rsidR="00295D92" w:rsidRPr="0022453B">
        <w:t>, МПК A61</w:t>
      </w:r>
      <w:r w:rsidR="001500C8" w:rsidRPr="0022453B">
        <w:rPr>
          <w:lang w:val="en-US"/>
        </w:rPr>
        <w:t>B</w:t>
      </w:r>
      <w:r w:rsidR="001500C8" w:rsidRPr="0022453B">
        <w:t>5</w:t>
      </w:r>
      <w:r w:rsidR="00295D92" w:rsidRPr="0022453B">
        <w:t>/0</w:t>
      </w:r>
      <w:r w:rsidR="001500C8" w:rsidRPr="0022453B">
        <w:t>91</w:t>
      </w:r>
      <w:r w:rsidR="00251105" w:rsidRPr="0022453B">
        <w:t xml:space="preserve"> </w:t>
      </w:r>
      <w:r w:rsidR="001500C8" w:rsidRPr="0022453B">
        <w:t>(2006.01)</w:t>
      </w:r>
      <w:r w:rsidR="00295D92" w:rsidRPr="0022453B">
        <w:t xml:space="preserve">, </w:t>
      </w:r>
      <w:r w:rsidR="001500C8" w:rsidRPr="0022453B">
        <w:rPr>
          <w:lang w:val="en-US"/>
        </w:rPr>
        <w:t>G</w:t>
      </w:r>
      <w:r w:rsidR="001500C8" w:rsidRPr="0022453B">
        <w:t>01</w:t>
      </w:r>
      <w:r w:rsidR="001500C8" w:rsidRPr="0022453B">
        <w:rPr>
          <w:lang w:val="en-US"/>
        </w:rPr>
        <w:t>N</w:t>
      </w:r>
      <w:r w:rsidR="001500C8" w:rsidRPr="0022453B">
        <w:t>33</w:t>
      </w:r>
      <w:r w:rsidR="00295D92" w:rsidRPr="0022453B">
        <w:t>/</w:t>
      </w:r>
      <w:r w:rsidR="001500C8" w:rsidRPr="0022453B">
        <w:t>5</w:t>
      </w:r>
      <w:r w:rsidR="00295D92" w:rsidRPr="0022453B">
        <w:t xml:space="preserve">0 </w:t>
      </w:r>
      <w:r w:rsidR="001500C8" w:rsidRPr="0022453B">
        <w:t xml:space="preserve">(2006.01) </w:t>
      </w:r>
      <w:r w:rsidR="00295D92" w:rsidRPr="0022453B">
        <w:t>від 1</w:t>
      </w:r>
      <w:r w:rsidR="001500C8" w:rsidRPr="0022453B">
        <w:t>0</w:t>
      </w:r>
      <w:r w:rsidR="00295D92" w:rsidRPr="0022453B">
        <w:t>.0</w:t>
      </w:r>
      <w:r w:rsidR="001500C8" w:rsidRPr="0022453B">
        <w:t>7</w:t>
      </w:r>
      <w:r w:rsidR="00295D92" w:rsidRPr="0022453B">
        <w:t>.2018</w:t>
      </w:r>
      <w:r w:rsidR="00FA2EB7" w:rsidRPr="0022453B">
        <w:t xml:space="preserve"> р.</w:t>
      </w:r>
      <w:r w:rsidR="00295D92" w:rsidRPr="0022453B">
        <w:t xml:space="preserve">) та </w:t>
      </w:r>
      <w:r w:rsidR="005822B0">
        <w:t>«</w:t>
      </w:r>
      <w:r w:rsidR="00526439" w:rsidRPr="0022453B">
        <w:t>Спосіб визначення ризику прогресування бронхіальної астми у пацієнтів з</w:t>
      </w:r>
      <w:r w:rsidR="00AF5C51" w:rsidRPr="0022453B">
        <w:rPr>
          <w:lang w:val="ru-RU"/>
        </w:rPr>
        <w:t> </w:t>
      </w:r>
      <w:r w:rsidR="00526439" w:rsidRPr="0022453B">
        <w:t>бронхіальною астмою і</w:t>
      </w:r>
      <w:r w:rsidR="008602FB">
        <w:t> </w:t>
      </w:r>
      <w:r w:rsidR="00526439" w:rsidRPr="0022453B">
        <w:t>ожирінням</w:t>
      </w:r>
      <w:r w:rsidR="005822B0">
        <w:t>»</w:t>
      </w:r>
      <w:r w:rsidR="00295D92" w:rsidRPr="0022453B">
        <w:t xml:space="preserve"> (деклараційний патент на </w:t>
      </w:r>
      <w:r w:rsidR="001500C8" w:rsidRPr="0022453B">
        <w:t>винахід</w:t>
      </w:r>
      <w:r w:rsidR="00295D92" w:rsidRPr="0022453B">
        <w:t xml:space="preserve"> №</w:t>
      </w:r>
      <w:r w:rsidR="00AF5C51" w:rsidRPr="0022453B">
        <w:rPr>
          <w:lang w:val="ru-RU"/>
        </w:rPr>
        <w:t> </w:t>
      </w:r>
      <w:r w:rsidR="00526439" w:rsidRPr="0022453B">
        <w:t xml:space="preserve">118314 </w:t>
      </w:r>
      <w:r w:rsidR="00526439" w:rsidRPr="0022453B">
        <w:rPr>
          <w:lang w:val="en-US"/>
        </w:rPr>
        <w:t>UA</w:t>
      </w:r>
      <w:r w:rsidR="00295D92" w:rsidRPr="0022453B">
        <w:t xml:space="preserve">, </w:t>
      </w:r>
      <w:r w:rsidR="00526439" w:rsidRPr="0022453B">
        <w:t>МПК А61В 5/00</w:t>
      </w:r>
      <w:r w:rsidR="00251105" w:rsidRPr="0022453B">
        <w:t xml:space="preserve"> </w:t>
      </w:r>
      <w:r w:rsidR="00526439" w:rsidRPr="0022453B">
        <w:t>(2006.01)</w:t>
      </w:r>
      <w:r w:rsidR="00251105" w:rsidRPr="0022453B">
        <w:t xml:space="preserve">, </w:t>
      </w:r>
      <w:r w:rsidR="00526439" w:rsidRPr="0022453B">
        <w:rPr>
          <w:lang w:val="en-US"/>
        </w:rPr>
        <w:t>G</w:t>
      </w:r>
      <w:r w:rsidR="00526439" w:rsidRPr="0022453B">
        <w:t>01</w:t>
      </w:r>
      <w:r w:rsidR="00526439" w:rsidRPr="0022453B">
        <w:rPr>
          <w:lang w:val="en-US"/>
        </w:rPr>
        <w:t>N</w:t>
      </w:r>
      <w:r w:rsidR="00526439" w:rsidRPr="0022453B">
        <w:t>33/48</w:t>
      </w:r>
      <w:r w:rsidR="00251105" w:rsidRPr="0022453B">
        <w:t xml:space="preserve"> </w:t>
      </w:r>
      <w:r w:rsidR="00526439" w:rsidRPr="0022453B">
        <w:t>(2006.01)</w:t>
      </w:r>
      <w:r w:rsidR="00D8032A" w:rsidRPr="0022453B">
        <w:t xml:space="preserve"> </w:t>
      </w:r>
      <w:r w:rsidR="00295D92" w:rsidRPr="0022453B">
        <w:t>від</w:t>
      </w:r>
      <w:r w:rsidR="00AF5C51" w:rsidRPr="0022453B">
        <w:rPr>
          <w:lang w:val="ru-RU"/>
        </w:rPr>
        <w:t> </w:t>
      </w:r>
      <w:r w:rsidR="00526439" w:rsidRPr="0022453B">
        <w:t>26.12.2018.</w:t>
      </w:r>
    </w:p>
    <w:p w:rsidR="00DD65CB" w:rsidRPr="0022453B" w:rsidRDefault="005B1C91" w:rsidP="00CD5061">
      <w:pPr>
        <w:pStyle w:val="atextRef"/>
        <w:spacing w:line="288" w:lineRule="auto"/>
      </w:pPr>
      <w:r w:rsidRPr="0022453B">
        <w:rPr>
          <w:b/>
        </w:rPr>
        <w:t>Практичне</w:t>
      </w:r>
      <w:r w:rsidR="004F30A7" w:rsidRPr="0022453B">
        <w:rPr>
          <w:b/>
        </w:rPr>
        <w:t xml:space="preserve"> знач</w:t>
      </w:r>
      <w:r w:rsidRPr="0022453B">
        <w:rPr>
          <w:b/>
        </w:rPr>
        <w:t>ення</w:t>
      </w:r>
      <w:r w:rsidR="004B20AE" w:rsidRPr="0022453B">
        <w:rPr>
          <w:b/>
        </w:rPr>
        <w:t xml:space="preserve"> </w:t>
      </w:r>
      <w:r w:rsidR="004F30A7" w:rsidRPr="0022453B">
        <w:rPr>
          <w:b/>
        </w:rPr>
        <w:t>отриманих результатів</w:t>
      </w:r>
      <w:r w:rsidR="00C31F22" w:rsidRPr="0022453B">
        <w:rPr>
          <w:b/>
        </w:rPr>
        <w:t xml:space="preserve">. </w:t>
      </w:r>
      <w:r w:rsidRPr="0022453B">
        <w:t xml:space="preserve">Визначені, </w:t>
      </w:r>
      <w:r w:rsidR="0022453B" w:rsidRPr="0022453B">
        <w:t>обґрунтовані</w:t>
      </w:r>
      <w:r w:rsidR="0077610B" w:rsidRPr="0022453B">
        <w:t xml:space="preserve"> та апробовані клініко-лабораторні </w:t>
      </w:r>
      <w:r w:rsidR="008666D9" w:rsidRPr="0022453B">
        <w:t>критерії</w:t>
      </w:r>
      <w:r w:rsidR="0077610B" w:rsidRPr="0022453B">
        <w:t xml:space="preserve"> прогресування захворювання для пацієнтів, хворих на БА з </w:t>
      </w:r>
      <w:r w:rsidR="0077219E" w:rsidRPr="0022453B">
        <w:t>ЦД2Т</w:t>
      </w:r>
      <w:r w:rsidR="00DD65CB" w:rsidRPr="0022453B">
        <w:t xml:space="preserve"> та ожирінням, що дає </w:t>
      </w:r>
      <w:r w:rsidR="0077219E" w:rsidRPr="0022453B">
        <w:t>змогу</w:t>
      </w:r>
      <w:r w:rsidRPr="0022453B">
        <w:t xml:space="preserve"> лікарю загальної практики-</w:t>
      </w:r>
      <w:r w:rsidR="00DD65CB" w:rsidRPr="0022453B">
        <w:t xml:space="preserve">сімейної медицини, терапевту, ендокринологу, пульмонологу </w:t>
      </w:r>
      <w:r w:rsidRPr="0022453B">
        <w:t>здійснити персоніфікований підхід до терапії та провести раціональний відбір осіб для диспансерного нагляду та вторинної профілактики.</w:t>
      </w:r>
    </w:p>
    <w:p w:rsidR="00EE403B" w:rsidRPr="0022453B" w:rsidRDefault="001E641F" w:rsidP="00CD5061">
      <w:pPr>
        <w:pStyle w:val="atextRef"/>
        <w:spacing w:line="288" w:lineRule="auto"/>
      </w:pPr>
      <w:r w:rsidRPr="0022453B">
        <w:t>У</w:t>
      </w:r>
      <w:r w:rsidR="00DD65CB" w:rsidRPr="0022453B">
        <w:t xml:space="preserve">становлені ранні діагностичні критерії прогресування та предиктори формування пульморенальних розладів у хворих на </w:t>
      </w:r>
      <w:r w:rsidR="0077219E" w:rsidRPr="0022453B">
        <w:t>БА</w:t>
      </w:r>
      <w:r w:rsidR="00DD65CB" w:rsidRPr="0022453B">
        <w:t xml:space="preserve"> середньої тяжкості з</w:t>
      </w:r>
      <w:r w:rsidR="00AF5C51" w:rsidRPr="0022453B">
        <w:rPr>
          <w:lang w:val="ru-RU"/>
        </w:rPr>
        <w:t> </w:t>
      </w:r>
      <w:r w:rsidR="0077219E" w:rsidRPr="0022453B">
        <w:t>ЦД2Т</w:t>
      </w:r>
      <w:r w:rsidR="005B1C91" w:rsidRPr="0022453B">
        <w:t xml:space="preserve"> та ожирінням: </w:t>
      </w:r>
      <w:r w:rsidR="00EE403B" w:rsidRPr="0022453B">
        <w:t>гіперінсулінемія, інсулінорезистентність, гіперглікемія, дисліпідемія за рахунок гіпертригліцеридемії, зниження рівня ХС ЛПВЩ та підвищення ХС ЛПНЩ</w:t>
      </w:r>
      <w:r w:rsidR="005822B0">
        <w:t xml:space="preserve">; </w:t>
      </w:r>
      <w:r w:rsidR="00EE403B" w:rsidRPr="0022453B">
        <w:t>у хворих на бронхіальну астму в</w:t>
      </w:r>
      <w:r w:rsidR="00AF5C51" w:rsidRPr="0022453B">
        <w:rPr>
          <w:lang w:val="ru-RU"/>
        </w:rPr>
        <w:t> </w:t>
      </w:r>
      <w:r w:rsidR="00EE403B" w:rsidRPr="0022453B">
        <w:t xml:space="preserve">поєднанні з </w:t>
      </w:r>
      <w:r w:rsidR="00EE403B" w:rsidRPr="0022453B">
        <w:lastRenderedPageBreak/>
        <w:t xml:space="preserve">ожирінням </w:t>
      </w:r>
      <w:r w:rsidR="00CD22CE" w:rsidRPr="0022453B">
        <w:t>–</w:t>
      </w:r>
      <w:r w:rsidR="00EE403B" w:rsidRPr="0022453B">
        <w:t xml:space="preserve"> абдомінальне ожиріння, гіперінсулінемія, інсулінорезистентність, дисліпідемія за</w:t>
      </w:r>
      <w:r w:rsidR="00804933">
        <w:t> </w:t>
      </w:r>
      <w:r w:rsidR="00EE403B" w:rsidRPr="0022453B">
        <w:t>рахунок гіпертригліцеридемії, зниження рівня ХС ЛПВЩ.</w:t>
      </w:r>
    </w:p>
    <w:p w:rsidR="005B1C91" w:rsidRPr="0022453B" w:rsidRDefault="005B1C91" w:rsidP="00CD5061">
      <w:pPr>
        <w:pStyle w:val="atextRef"/>
        <w:spacing w:line="288" w:lineRule="auto"/>
      </w:pPr>
      <w:r w:rsidRPr="0022453B">
        <w:t>Обґрунтована доцільність поглибленого обстеження хворих на БА з</w:t>
      </w:r>
      <w:r w:rsidR="00AF5C51" w:rsidRPr="0022453B">
        <w:rPr>
          <w:lang w:val="ru-RU"/>
        </w:rPr>
        <w:t> </w:t>
      </w:r>
      <w:r w:rsidRPr="0022453B">
        <w:t>визначенням швидкості клубочкової фільтрації, рівня мікроальбумінурії, значень глюкози крові натще, глікованого гемоглобіну, показника інсулінорезистентності, вмісту загального холестерину та ліпідів низької щільності для покращення діагностики ренальних та метаболічних розладів і</w:t>
      </w:r>
      <w:r w:rsidR="00AF5C51" w:rsidRPr="0022453B">
        <w:rPr>
          <w:lang w:val="ru-RU"/>
        </w:rPr>
        <w:t> </w:t>
      </w:r>
      <w:r w:rsidRPr="0022453B">
        <w:t>прогнозування несприятливого перебігу.</w:t>
      </w:r>
    </w:p>
    <w:p w:rsidR="00E017AE" w:rsidRPr="0022453B" w:rsidRDefault="00E017AE" w:rsidP="00CD5061">
      <w:pPr>
        <w:pStyle w:val="atextRef"/>
        <w:spacing w:line="288" w:lineRule="auto"/>
      </w:pPr>
      <w:r w:rsidRPr="0022453B">
        <w:t xml:space="preserve">При коморбідності БА та </w:t>
      </w:r>
      <w:r w:rsidR="0077219E" w:rsidRPr="0022453B">
        <w:t>ЦД2Т</w:t>
      </w:r>
      <w:r w:rsidRPr="0022453B">
        <w:t xml:space="preserve"> </w:t>
      </w:r>
      <w:r w:rsidR="0077219E" w:rsidRPr="0022453B">
        <w:t>й</w:t>
      </w:r>
      <w:r w:rsidRPr="0022453B">
        <w:t xml:space="preserve"> ожиріння рекомендовано проведення моніторингу стану ендотеліальної функції, цитокінового статусу, ланок гуморального та клітинного імунітету з метою </w:t>
      </w:r>
      <w:r w:rsidR="005B1C91" w:rsidRPr="0022453B">
        <w:t>виявлення</w:t>
      </w:r>
      <w:r w:rsidRPr="0022453B">
        <w:t xml:space="preserve"> пошкодження ендотелію нирок та леген</w:t>
      </w:r>
      <w:r w:rsidR="0077219E" w:rsidRPr="0022453B">
        <w:t>ь</w:t>
      </w:r>
      <w:r w:rsidRPr="0022453B">
        <w:t xml:space="preserve"> та оцінки його вира</w:t>
      </w:r>
      <w:r w:rsidR="0077219E" w:rsidRPr="0022453B">
        <w:t>же</w:t>
      </w:r>
      <w:r w:rsidRPr="0022453B">
        <w:t>ності.</w:t>
      </w:r>
    </w:p>
    <w:p w:rsidR="00762E47" w:rsidRPr="0022453B" w:rsidRDefault="00762E47" w:rsidP="00CD5061">
      <w:pPr>
        <w:pStyle w:val="atextRef"/>
        <w:spacing w:line="288" w:lineRule="auto"/>
      </w:pPr>
      <w:r w:rsidRPr="0022453B">
        <w:t>Розроблено метод медикаментозної корекції порушень ендотеліальної та імунної</w:t>
      </w:r>
      <w:r w:rsidR="00D8032A" w:rsidRPr="0022453B">
        <w:t xml:space="preserve"> </w:t>
      </w:r>
      <w:r w:rsidRPr="0022453B">
        <w:t>систем, пульморенальних розладів</w:t>
      </w:r>
      <w:r w:rsidR="005B1C91" w:rsidRPr="0022453B">
        <w:t xml:space="preserve"> із застосуванням </w:t>
      </w:r>
      <w:r w:rsidR="00EE403B" w:rsidRPr="0022453B">
        <w:t>у</w:t>
      </w:r>
      <w:r w:rsidR="00815CBE">
        <w:t xml:space="preserve"> аспартату</w:t>
      </w:r>
      <w:r w:rsidRPr="0022453B">
        <w:t xml:space="preserve">, </w:t>
      </w:r>
      <w:r w:rsidR="005B1C91" w:rsidRPr="0022453B">
        <w:t xml:space="preserve">який створює </w:t>
      </w:r>
      <w:r w:rsidR="0077219E" w:rsidRPr="0022453B">
        <w:t>можливість</w:t>
      </w:r>
      <w:r w:rsidRPr="0022453B">
        <w:t xml:space="preserve"> сповільнити прогресування патологічного процесу та знизити ризик ускладнень.</w:t>
      </w:r>
    </w:p>
    <w:p w:rsidR="002D78C4" w:rsidRDefault="000824C5" w:rsidP="00CD5061">
      <w:pPr>
        <w:pStyle w:val="atextRef"/>
        <w:spacing w:line="288" w:lineRule="auto"/>
      </w:pPr>
      <w:r w:rsidRPr="0022453B">
        <w:t>Результати дисертаційної роботи впроваджені в практичну роботу лікувальних закладів</w:t>
      </w:r>
      <w:r w:rsidR="005B1C91" w:rsidRPr="0022453B">
        <w:t>:</w:t>
      </w:r>
      <w:r w:rsidRPr="0022453B">
        <w:t xml:space="preserve"> ХОКСДРЗН</w:t>
      </w:r>
      <w:r w:rsidR="00AF5C51" w:rsidRPr="0022453B">
        <w:t xml:space="preserve"> відділення терапії м.</w:t>
      </w:r>
      <w:r w:rsidR="00AF5C51" w:rsidRPr="0022453B">
        <w:rPr>
          <w:lang w:val="ru-RU"/>
        </w:rPr>
        <w:t> </w:t>
      </w:r>
      <w:r w:rsidR="00AF5C51" w:rsidRPr="0022453B">
        <w:t>Харкова</w:t>
      </w:r>
      <w:r w:rsidRPr="0022453B">
        <w:t xml:space="preserve">, КМУ </w:t>
      </w:r>
      <w:r w:rsidR="005822B0">
        <w:t>«</w:t>
      </w:r>
      <w:r w:rsidRPr="0022453B">
        <w:t>Чернівецька обласна клінічна лікарня</w:t>
      </w:r>
      <w:r w:rsidR="005822B0">
        <w:t>»</w:t>
      </w:r>
      <w:r w:rsidRPr="0022453B">
        <w:t xml:space="preserve"> м. Чернівці, КЗ </w:t>
      </w:r>
      <w:r w:rsidR="005822B0">
        <w:t>«</w:t>
      </w:r>
      <w:r w:rsidRPr="0022453B">
        <w:t>Черкаська обласна лікарня Черкаської обласної ради</w:t>
      </w:r>
      <w:r w:rsidR="005822B0">
        <w:t>»</w:t>
      </w:r>
      <w:r w:rsidRPr="0022453B">
        <w:t xml:space="preserve"> м. Черкаси,</w:t>
      </w:r>
      <w:r w:rsidR="0022453B">
        <w:t xml:space="preserve"> </w:t>
      </w:r>
      <w:r w:rsidRPr="0022453B">
        <w:t xml:space="preserve">ТОВ </w:t>
      </w:r>
      <w:r w:rsidR="005822B0">
        <w:t>«</w:t>
      </w:r>
      <w:r w:rsidRPr="0022453B">
        <w:t xml:space="preserve">Сімейна Клініка </w:t>
      </w:r>
      <w:r w:rsidR="005822B0">
        <w:t>«</w:t>
      </w:r>
      <w:r w:rsidRPr="0022453B">
        <w:t>МЕДЕКСПЕРТ</w:t>
      </w:r>
      <w:r w:rsidR="005822B0">
        <w:t>»</w:t>
      </w:r>
      <w:r w:rsidRPr="0022453B">
        <w:t xml:space="preserve"> м. Дніпро,</w:t>
      </w:r>
      <w:r w:rsidR="0022453B">
        <w:t xml:space="preserve"> </w:t>
      </w:r>
      <w:r w:rsidRPr="0022453B">
        <w:t xml:space="preserve">КЗ </w:t>
      </w:r>
      <w:r w:rsidR="005822B0">
        <w:t>«</w:t>
      </w:r>
      <w:r w:rsidRPr="0022453B">
        <w:t>Сумська обласна лікарня</w:t>
      </w:r>
      <w:r w:rsidR="005822B0">
        <w:t>»</w:t>
      </w:r>
      <w:r w:rsidRPr="0022453B">
        <w:t xml:space="preserve"> м. Суми,</w:t>
      </w:r>
      <w:r w:rsidR="0022453B">
        <w:t xml:space="preserve"> </w:t>
      </w:r>
      <w:r w:rsidRPr="0022453B">
        <w:t>ОКЛ ім.</w:t>
      </w:r>
      <w:r w:rsidR="0022453B">
        <w:rPr>
          <w:lang w:val="ru-RU"/>
        </w:rPr>
        <w:t> </w:t>
      </w:r>
      <w:r w:rsidRPr="0022453B">
        <w:t>М.І. Пирогова м. Вінниця,</w:t>
      </w:r>
      <w:r w:rsidR="0022453B">
        <w:t xml:space="preserve"> </w:t>
      </w:r>
      <w:r w:rsidRPr="0022453B">
        <w:t>ОКЛ м. </w:t>
      </w:r>
      <w:r w:rsidR="006977E2" w:rsidRPr="0022453B">
        <w:t xml:space="preserve">Одеса, КЗ </w:t>
      </w:r>
      <w:r w:rsidR="005822B0">
        <w:t>«</w:t>
      </w:r>
      <w:r w:rsidR="006977E2" w:rsidRPr="0022453B">
        <w:t>Дніпровське КОШМД</w:t>
      </w:r>
      <w:r w:rsidR="005822B0">
        <w:t>»</w:t>
      </w:r>
      <w:r w:rsidR="006977E2" w:rsidRPr="0022453B">
        <w:t>, Центр легеневого здоров</w:t>
      </w:r>
      <w:r w:rsidR="00AF5C51" w:rsidRPr="0022453B">
        <w:t>’</w:t>
      </w:r>
      <w:r w:rsidR="006977E2" w:rsidRPr="0022453B">
        <w:t xml:space="preserve">я </w:t>
      </w:r>
      <w:r w:rsidR="005822B0">
        <w:t>«</w:t>
      </w:r>
      <w:r w:rsidR="006977E2" w:rsidRPr="0022453B">
        <w:t>Львівський регіональний фтизіопульмонологічний клінічний лікувально-діагностичний центр</w:t>
      </w:r>
      <w:r w:rsidR="005822B0">
        <w:t>»</w:t>
      </w:r>
      <w:r w:rsidR="002F4FDB" w:rsidRPr="0022453B">
        <w:t xml:space="preserve"> діагностично-пульмонологічне</w:t>
      </w:r>
      <w:r w:rsidRPr="0022453B">
        <w:t xml:space="preserve"> відділення м. Львів</w:t>
      </w:r>
      <w:r w:rsidR="00B713E8">
        <w:t>,</w:t>
      </w:r>
      <w:r w:rsidRPr="0022453B">
        <w:t xml:space="preserve"> </w:t>
      </w:r>
      <w:r w:rsidR="00B713E8" w:rsidRPr="0022453B">
        <w:t xml:space="preserve">міська лікарня № 9 м. Кам’янське, </w:t>
      </w:r>
      <w:r w:rsidRPr="0022453B">
        <w:t xml:space="preserve">та міських </w:t>
      </w:r>
      <w:r w:rsidR="002D78C4">
        <w:t xml:space="preserve">і районних </w:t>
      </w:r>
      <w:r w:rsidRPr="0022453B">
        <w:t>лікарень</w:t>
      </w:r>
      <w:r w:rsidR="002D78C4">
        <w:t xml:space="preserve"> Харківської області</w:t>
      </w:r>
      <w:r w:rsidRPr="0022453B">
        <w:t xml:space="preserve">: клінічна лікарня № 13, КЗОЗ </w:t>
      </w:r>
      <w:r w:rsidR="005822B0">
        <w:t>«</w:t>
      </w:r>
      <w:r w:rsidRPr="0022453B">
        <w:t>Міська центральна лікарня</w:t>
      </w:r>
      <w:r w:rsidR="005822B0">
        <w:t>»</w:t>
      </w:r>
      <w:r w:rsidRPr="0022453B">
        <w:t xml:space="preserve"> м. Ізюм, КЗОЗ </w:t>
      </w:r>
      <w:r w:rsidR="005822B0">
        <w:t>«</w:t>
      </w:r>
      <w:r w:rsidRPr="0022453B">
        <w:t>ЦПМСД</w:t>
      </w:r>
      <w:r w:rsidR="005822B0">
        <w:t>»</w:t>
      </w:r>
      <w:r w:rsidRPr="0022453B">
        <w:t xml:space="preserve"> Печенізького району, КЗ </w:t>
      </w:r>
      <w:r w:rsidR="005822B0">
        <w:t>«</w:t>
      </w:r>
      <w:r w:rsidRPr="0022453B">
        <w:t>Центральна районна лікарня</w:t>
      </w:r>
      <w:r w:rsidR="005822B0">
        <w:t>»</w:t>
      </w:r>
      <w:r w:rsidRPr="0022453B">
        <w:t xml:space="preserve"> м. Борова,</w:t>
      </w:r>
      <w:r w:rsidR="00FA5C98" w:rsidRPr="0022453B">
        <w:t xml:space="preserve"> </w:t>
      </w:r>
      <w:r w:rsidRPr="0022453B">
        <w:t xml:space="preserve">КЗ </w:t>
      </w:r>
      <w:r w:rsidR="005822B0">
        <w:t>«</w:t>
      </w:r>
      <w:r w:rsidRPr="0022453B">
        <w:t>Центральна міська лікарня</w:t>
      </w:r>
      <w:r w:rsidR="005822B0">
        <w:t>»</w:t>
      </w:r>
      <w:r w:rsidRPr="0022453B">
        <w:t xml:space="preserve"> м. Куп</w:t>
      </w:r>
      <w:r w:rsidR="00AF5C51" w:rsidRPr="0022453B">
        <w:t>’</w:t>
      </w:r>
      <w:r w:rsidRPr="0022453B">
        <w:t xml:space="preserve">янськ </w:t>
      </w:r>
    </w:p>
    <w:p w:rsidR="00C2070F" w:rsidRPr="0022453B" w:rsidRDefault="00C2070F" w:rsidP="00CD5061">
      <w:pPr>
        <w:pStyle w:val="atextRef"/>
        <w:spacing w:line="288" w:lineRule="auto"/>
      </w:pPr>
      <w:r w:rsidRPr="0022453B">
        <w:t>Отримані наукові факти підвищення ефективності діагностики пульморенальних порушень, ендотеліальної дисфункції, плазматичної активності інтерлейкінів, контролю глікованого гемоглобіну, маси тіла та оцінки ЯЖ при БА з ЦД2Т та/або ожирінням впроваджені у навчальний процес кафедр пропедевтики внутрішньої медицини № 2 й медсестринства ХНМУ, внутрішньої медицини №2 ХНМУ, клінічної імунології та</w:t>
      </w:r>
      <w:r w:rsidR="008602FB">
        <w:t xml:space="preserve"> алергології імені академіка Л.</w:t>
      </w:r>
      <w:r w:rsidRPr="0022453B">
        <w:t>Т. Малої ХНМУ, внутрішньої медицини №2 ЛНМУ ім. Данила Галицького, професійних хвороб та клінічної імунології ДМА.</w:t>
      </w:r>
    </w:p>
    <w:p w:rsidR="009B04ED" w:rsidRPr="0022453B" w:rsidRDefault="004F30A7" w:rsidP="00CD5061">
      <w:pPr>
        <w:pStyle w:val="atextRef"/>
        <w:spacing w:line="288" w:lineRule="auto"/>
      </w:pPr>
      <w:r w:rsidRPr="0022453B">
        <w:rPr>
          <w:b/>
        </w:rPr>
        <w:lastRenderedPageBreak/>
        <w:t>Особистий внесок здобувача</w:t>
      </w:r>
      <w:r w:rsidR="00130CC1" w:rsidRPr="0022453B">
        <w:rPr>
          <w:b/>
        </w:rPr>
        <w:t xml:space="preserve">. </w:t>
      </w:r>
      <w:r w:rsidR="009027F1" w:rsidRPr="0022453B">
        <w:t>О</w:t>
      </w:r>
      <w:r w:rsidR="009B04ED" w:rsidRPr="0022453B">
        <w:t xml:space="preserve">брано напрямок дослідження та розроблено його дизайн, сформульовані </w:t>
      </w:r>
      <w:r w:rsidR="004A3C87" w:rsidRPr="0022453B">
        <w:t>завдання</w:t>
      </w:r>
      <w:r w:rsidR="009B04ED" w:rsidRPr="0022453B">
        <w:t xml:space="preserve"> дисертаційної роботи, план та методологія дослідження.</w:t>
      </w:r>
      <w:r w:rsidR="00D21E62" w:rsidRPr="0022453B">
        <w:t xml:space="preserve"> </w:t>
      </w:r>
      <w:r w:rsidR="00AF731B" w:rsidRPr="0022453B">
        <w:t xml:space="preserve">Особисто </w:t>
      </w:r>
      <w:r w:rsidR="004A3C87" w:rsidRPr="0022453B">
        <w:t>проведено</w:t>
      </w:r>
      <w:r w:rsidR="00AF731B" w:rsidRPr="0022453B">
        <w:t xml:space="preserve"> клінічний етап дослідження, як</w:t>
      </w:r>
      <w:r w:rsidR="00033656" w:rsidRPr="0022453B">
        <w:t>ий складався з</w:t>
      </w:r>
      <w:r w:rsidR="008602FB">
        <w:t> </w:t>
      </w:r>
      <w:r w:rsidR="00AF731B" w:rsidRPr="0022453B">
        <w:t>відб</w:t>
      </w:r>
      <w:r w:rsidR="00033656" w:rsidRPr="0022453B">
        <w:t>ору</w:t>
      </w:r>
      <w:r w:rsidR="00AF731B" w:rsidRPr="0022453B">
        <w:t xml:space="preserve"> хворих </w:t>
      </w:r>
      <w:r w:rsidR="004A3C87" w:rsidRPr="0022453B">
        <w:t>на підставі критеріїв включення</w:t>
      </w:r>
      <w:r w:rsidR="006139E4" w:rsidRPr="0022453B">
        <w:t xml:space="preserve"> та виключення, проведено</w:t>
      </w:r>
      <w:r w:rsidR="0022453B">
        <w:t xml:space="preserve"> </w:t>
      </w:r>
      <w:r w:rsidR="00AF731B" w:rsidRPr="0022453B">
        <w:t>комплексн</w:t>
      </w:r>
      <w:r w:rsidR="004A3C87" w:rsidRPr="0022453B">
        <w:t>е</w:t>
      </w:r>
      <w:r w:rsidR="00AF731B" w:rsidRPr="0022453B">
        <w:t xml:space="preserve"> клінічн</w:t>
      </w:r>
      <w:r w:rsidR="004A3C87" w:rsidRPr="0022453B">
        <w:t xml:space="preserve">е обстеження та </w:t>
      </w:r>
      <w:r w:rsidR="00AF731B" w:rsidRPr="0022453B">
        <w:t>анкетування хворих</w:t>
      </w:r>
      <w:r w:rsidR="004A3C87" w:rsidRPr="0022453B">
        <w:t>, приймала участь у</w:t>
      </w:r>
      <w:r w:rsidR="008602FB">
        <w:t> </w:t>
      </w:r>
      <w:r w:rsidR="004A3C87" w:rsidRPr="0022453B">
        <w:t>виконанні функціональних досліджень.</w:t>
      </w:r>
      <w:r w:rsidR="0022453B">
        <w:t xml:space="preserve"> </w:t>
      </w:r>
      <w:r w:rsidR="004A3C87" w:rsidRPr="0022453B">
        <w:t>Дисертант власноруч оформила усю</w:t>
      </w:r>
      <w:r w:rsidR="00AF731B" w:rsidRPr="0022453B">
        <w:t xml:space="preserve"> первинн</w:t>
      </w:r>
      <w:r w:rsidR="004A3C87" w:rsidRPr="0022453B">
        <w:t>у</w:t>
      </w:r>
      <w:r w:rsidR="00AF731B" w:rsidRPr="0022453B">
        <w:t xml:space="preserve"> медичн</w:t>
      </w:r>
      <w:r w:rsidR="004A3C87" w:rsidRPr="0022453B">
        <w:t>у</w:t>
      </w:r>
      <w:r w:rsidR="00AF731B" w:rsidRPr="0022453B">
        <w:t xml:space="preserve"> документаці</w:t>
      </w:r>
      <w:r w:rsidR="004A3C87" w:rsidRPr="0022453B">
        <w:t>ю</w:t>
      </w:r>
      <w:r w:rsidR="00AF731B" w:rsidRPr="0022453B">
        <w:t xml:space="preserve">, </w:t>
      </w:r>
      <w:r w:rsidR="004A3C87" w:rsidRPr="0022453B">
        <w:t>с</w:t>
      </w:r>
      <w:r w:rsidR="00AF731B" w:rsidRPr="0022453B">
        <w:t>форм</w:t>
      </w:r>
      <w:r w:rsidR="004A3C87" w:rsidRPr="0022453B">
        <w:t>увала</w:t>
      </w:r>
      <w:r w:rsidR="00AF731B" w:rsidRPr="0022453B">
        <w:t xml:space="preserve"> електронн</w:t>
      </w:r>
      <w:r w:rsidR="004A3C87" w:rsidRPr="0022453B">
        <w:t>у</w:t>
      </w:r>
      <w:r w:rsidR="00AF731B" w:rsidRPr="0022453B">
        <w:t xml:space="preserve"> баз</w:t>
      </w:r>
      <w:r w:rsidR="004A3C87" w:rsidRPr="0022453B">
        <w:t>у</w:t>
      </w:r>
      <w:r w:rsidR="00AF731B" w:rsidRPr="0022453B">
        <w:t xml:space="preserve"> даних</w:t>
      </w:r>
      <w:r w:rsidR="004A3C87" w:rsidRPr="0022453B">
        <w:t>, провела статистичну обробку</w:t>
      </w:r>
      <w:r w:rsidR="00AF731B" w:rsidRPr="0022453B">
        <w:t>.</w:t>
      </w:r>
      <w:r w:rsidR="009B04ED" w:rsidRPr="0022453B">
        <w:t xml:space="preserve"> </w:t>
      </w:r>
      <w:r w:rsidR="004A3C87" w:rsidRPr="0022453B">
        <w:t>Самостійно п</w:t>
      </w:r>
      <w:r w:rsidR="008323E0" w:rsidRPr="0022453B">
        <w:t>роаналізовані та узагальнені результати лабораторних, біохіміч</w:t>
      </w:r>
      <w:r w:rsidR="004A3C87" w:rsidRPr="0022453B">
        <w:t>них, імуноферментних досліджень,</w:t>
      </w:r>
      <w:r w:rsidR="008323E0" w:rsidRPr="0022453B">
        <w:t xml:space="preserve"> </w:t>
      </w:r>
      <w:r w:rsidR="004A3C87" w:rsidRPr="0022453B">
        <w:t>оцінена динаміка</w:t>
      </w:r>
      <w:r w:rsidR="008323E0" w:rsidRPr="0022453B">
        <w:t xml:space="preserve"> досліджених по</w:t>
      </w:r>
      <w:r w:rsidR="004A3C87" w:rsidRPr="0022453B">
        <w:t>казників під впливом лікування.</w:t>
      </w:r>
      <w:r w:rsidR="008323E0" w:rsidRPr="0022453B">
        <w:t xml:space="preserve"> </w:t>
      </w:r>
      <w:r w:rsidR="006139E4" w:rsidRPr="0022453B">
        <w:t xml:space="preserve">На підставі отриманих результатів обґрунтовані висновки та розроблені практичні рекомендації, підготовлені та оформлені матеріали для публікацій. </w:t>
      </w:r>
      <w:r w:rsidR="008323E0" w:rsidRPr="0022453B">
        <w:t>Особисто здобувачем написані в</w:t>
      </w:r>
      <w:r w:rsidR="004A3C87" w:rsidRPr="0022453B">
        <w:t>сі розділи дисертаційної роботи та текст автореферату.</w:t>
      </w:r>
      <w:r w:rsidR="009B04ED" w:rsidRPr="0022453B">
        <w:t xml:space="preserve"> Здобувач</w:t>
      </w:r>
      <w:r w:rsidR="00033656" w:rsidRPr="0022453B">
        <w:t>ем</w:t>
      </w:r>
      <w:r w:rsidR="009B04ED" w:rsidRPr="0022453B">
        <w:t xml:space="preserve"> забезпеч</w:t>
      </w:r>
      <w:r w:rsidR="00033656" w:rsidRPr="0022453B">
        <w:t>ено</w:t>
      </w:r>
      <w:r w:rsidR="009B04ED" w:rsidRPr="0022453B">
        <w:t xml:space="preserve"> впровадження ре</w:t>
      </w:r>
      <w:r w:rsidR="00745999" w:rsidRPr="0022453B">
        <w:t>зультатів дисертаційної роботи в</w:t>
      </w:r>
      <w:r w:rsidR="009B04ED" w:rsidRPr="0022453B">
        <w:t xml:space="preserve"> практичну роботу закладів охорони здоров</w:t>
      </w:r>
      <w:r w:rsidR="00AF5C51" w:rsidRPr="0022453B">
        <w:t>’</w:t>
      </w:r>
      <w:r w:rsidR="009B04ED" w:rsidRPr="0022453B">
        <w:t xml:space="preserve">я </w:t>
      </w:r>
      <w:r w:rsidR="00033656" w:rsidRPr="0022453B">
        <w:t>та</w:t>
      </w:r>
      <w:r w:rsidR="009B04ED" w:rsidRPr="0022453B">
        <w:t xml:space="preserve"> </w:t>
      </w:r>
      <w:r w:rsidR="004A3C87" w:rsidRPr="0022453B">
        <w:t xml:space="preserve">у </w:t>
      </w:r>
      <w:r w:rsidR="009B04ED" w:rsidRPr="0022453B">
        <w:t>навчальний процес.</w:t>
      </w:r>
    </w:p>
    <w:p w:rsidR="00F4078C" w:rsidRPr="0022453B" w:rsidRDefault="004F30A7" w:rsidP="00CD5061">
      <w:pPr>
        <w:pStyle w:val="atextRef"/>
        <w:spacing w:line="288" w:lineRule="auto"/>
      </w:pPr>
      <w:r w:rsidRPr="0022453B">
        <w:rPr>
          <w:b/>
        </w:rPr>
        <w:t>Апробація результатів дослідження.</w:t>
      </w:r>
      <w:r w:rsidR="00130CC1" w:rsidRPr="0022453B">
        <w:rPr>
          <w:b/>
        </w:rPr>
        <w:t xml:space="preserve"> </w:t>
      </w:r>
      <w:r w:rsidR="00F4078C" w:rsidRPr="0022453B">
        <w:rPr>
          <w:bCs/>
        </w:rPr>
        <w:t xml:space="preserve">Основні положення й результати дисертаційної роботи </w:t>
      </w:r>
      <w:r w:rsidR="008F0D0A" w:rsidRPr="0022453B">
        <w:rPr>
          <w:bCs/>
        </w:rPr>
        <w:t xml:space="preserve">оприлюднено на </w:t>
      </w:r>
      <w:r w:rsidR="00F4078C" w:rsidRPr="0022453B">
        <w:t>міжв</w:t>
      </w:r>
      <w:r w:rsidR="007D2AA3" w:rsidRPr="0022453B">
        <w:t>узі</w:t>
      </w:r>
      <w:r w:rsidR="008F0D0A" w:rsidRPr="0022453B">
        <w:t>вських</w:t>
      </w:r>
      <w:r w:rsidR="00571C49" w:rsidRPr="0022453B">
        <w:t xml:space="preserve"> </w:t>
      </w:r>
      <w:r w:rsidR="008F0D0A" w:rsidRPr="0022453B">
        <w:t>конференціях</w:t>
      </w:r>
      <w:r w:rsidR="00F4078C" w:rsidRPr="0022453B">
        <w:t xml:space="preserve"> молодих</w:t>
      </w:r>
      <w:r w:rsidR="007C7AA9" w:rsidRPr="0022453B">
        <w:t xml:space="preserve"> </w:t>
      </w:r>
      <w:r w:rsidR="00F4078C" w:rsidRPr="0022453B">
        <w:t xml:space="preserve">вчених та студентів </w:t>
      </w:r>
      <w:r w:rsidR="005822B0">
        <w:t>«</w:t>
      </w:r>
      <w:r w:rsidR="00F4078C" w:rsidRPr="0022453B">
        <w:t>Медицина третьог</w:t>
      </w:r>
      <w:r w:rsidR="00F86CBC" w:rsidRPr="0022453B">
        <w:t>о тисячоліття</w:t>
      </w:r>
      <w:r w:rsidR="005822B0">
        <w:t>»</w:t>
      </w:r>
      <w:r w:rsidR="00F86CBC" w:rsidRPr="0022453B">
        <w:t xml:space="preserve"> (Україна, </w:t>
      </w:r>
      <w:r w:rsidR="00E45A5F" w:rsidRPr="0022453B">
        <w:t xml:space="preserve">м. </w:t>
      </w:r>
      <w:r w:rsidR="00F86CBC" w:rsidRPr="0022453B">
        <w:t>Харків</w:t>
      </w:r>
      <w:r w:rsidR="00F4078C" w:rsidRPr="0022453B">
        <w:t xml:space="preserve"> 17</w:t>
      </w:r>
      <w:r w:rsidR="00571C49" w:rsidRPr="0022453B">
        <w:t>–</w:t>
      </w:r>
      <w:r w:rsidR="00F4078C" w:rsidRPr="0022453B">
        <w:t>18</w:t>
      </w:r>
      <w:r w:rsidR="008602FB">
        <w:t> </w:t>
      </w:r>
      <w:r w:rsidR="00F4078C" w:rsidRPr="0022453B">
        <w:t>січня 2012</w:t>
      </w:r>
      <w:r w:rsidR="00571C49" w:rsidRPr="0022453B">
        <w:t xml:space="preserve"> р.</w:t>
      </w:r>
      <w:r w:rsidR="00F4078C" w:rsidRPr="0022453B">
        <w:t>, 15</w:t>
      </w:r>
      <w:r w:rsidR="00571C49" w:rsidRPr="0022453B">
        <w:t>–</w:t>
      </w:r>
      <w:r w:rsidR="00F4078C" w:rsidRPr="0022453B">
        <w:t>16 січня 2013</w:t>
      </w:r>
      <w:r w:rsidR="00FA2EB7" w:rsidRPr="0022453B">
        <w:t> </w:t>
      </w:r>
      <w:r w:rsidR="00571C49" w:rsidRPr="0022453B">
        <w:t>р.</w:t>
      </w:r>
      <w:r w:rsidR="00F4078C" w:rsidRPr="0022453B">
        <w:t>, 17 січня 2014</w:t>
      </w:r>
      <w:r w:rsidR="00571C49" w:rsidRPr="0022453B">
        <w:t xml:space="preserve"> р.</w:t>
      </w:r>
      <w:r w:rsidR="00F4078C" w:rsidRPr="0022453B">
        <w:t>, 19</w:t>
      </w:r>
      <w:r w:rsidR="006230E6" w:rsidRPr="0022453B">
        <w:t> </w:t>
      </w:r>
      <w:r w:rsidR="00F4078C" w:rsidRPr="0022453B">
        <w:t>січня 2015</w:t>
      </w:r>
      <w:r w:rsidR="00571C49" w:rsidRPr="0022453B">
        <w:t xml:space="preserve"> р.</w:t>
      </w:r>
      <w:r w:rsidR="00F4078C" w:rsidRPr="0022453B">
        <w:t xml:space="preserve">, </w:t>
      </w:r>
      <w:r w:rsidR="00AF731B" w:rsidRPr="0022453B">
        <w:rPr>
          <w:bCs/>
        </w:rPr>
        <w:t>20</w:t>
      </w:r>
      <w:r w:rsidR="0022453B">
        <w:rPr>
          <w:bCs/>
          <w:lang w:val="ru-RU"/>
        </w:rPr>
        <w:t> </w:t>
      </w:r>
      <w:r w:rsidR="00AF731B" w:rsidRPr="0022453B">
        <w:rPr>
          <w:bCs/>
        </w:rPr>
        <w:t>січня 2016 р., 16</w:t>
      </w:r>
      <w:r w:rsidR="00B21257" w:rsidRPr="0022453B">
        <w:rPr>
          <w:bCs/>
        </w:rPr>
        <w:t>–</w:t>
      </w:r>
      <w:r w:rsidR="00AF731B" w:rsidRPr="0022453B">
        <w:rPr>
          <w:bCs/>
        </w:rPr>
        <w:t>17 січня 2017 р.</w:t>
      </w:r>
      <w:r w:rsidR="005822B0">
        <w:rPr>
          <w:bCs/>
        </w:rPr>
        <w:t xml:space="preserve">; </w:t>
      </w:r>
      <w:r w:rsidR="00AF731B" w:rsidRPr="0022453B">
        <w:rPr>
          <w:bCs/>
        </w:rPr>
        <w:t>22</w:t>
      </w:r>
      <w:r w:rsidR="00B21257" w:rsidRPr="0022453B">
        <w:rPr>
          <w:bCs/>
        </w:rPr>
        <w:t>–</w:t>
      </w:r>
      <w:r w:rsidR="00AF731B" w:rsidRPr="0022453B">
        <w:rPr>
          <w:bCs/>
        </w:rPr>
        <w:t>24 січня 2018)</w:t>
      </w:r>
      <w:r w:rsidR="005822B0">
        <w:t>; «</w:t>
      </w:r>
      <w:r w:rsidR="00F4078C" w:rsidRPr="0022453B">
        <w:t>Внесок молодих вчених у</w:t>
      </w:r>
      <w:r w:rsidR="008602FB">
        <w:t> </w:t>
      </w:r>
      <w:r w:rsidR="00F4078C" w:rsidRPr="0022453B">
        <w:t>розвиток медичної науки і практики: нові перспективи</w:t>
      </w:r>
      <w:r w:rsidR="005822B0">
        <w:t>»</w:t>
      </w:r>
      <w:r w:rsidR="00F4078C" w:rsidRPr="0022453B">
        <w:t xml:space="preserve"> (</w:t>
      </w:r>
      <w:r w:rsidR="00F86CBC" w:rsidRPr="0022453B">
        <w:t xml:space="preserve">Україна, </w:t>
      </w:r>
      <w:r w:rsidR="00FA2EB7" w:rsidRPr="0022453B">
        <w:t>м. </w:t>
      </w:r>
      <w:r w:rsidR="00F86CBC" w:rsidRPr="0022453B">
        <w:t>Харків</w:t>
      </w:r>
      <w:r w:rsidR="00F4078C" w:rsidRPr="0022453B">
        <w:t xml:space="preserve"> 16</w:t>
      </w:r>
      <w:r w:rsidR="008602FB">
        <w:t> </w:t>
      </w:r>
      <w:r w:rsidR="00F4078C" w:rsidRPr="0022453B">
        <w:t>травня 2013)</w:t>
      </w:r>
      <w:r w:rsidR="005822B0">
        <w:t xml:space="preserve">; </w:t>
      </w:r>
      <w:r w:rsidR="00F4078C" w:rsidRPr="0022453B">
        <w:t>7</w:t>
      </w:r>
      <w:r w:rsidR="00F4078C" w:rsidRPr="0022453B">
        <w:rPr>
          <w:vertAlign w:val="superscript"/>
        </w:rPr>
        <w:t>th</w:t>
      </w:r>
      <w:r w:rsidR="00571C49" w:rsidRPr="0022453B">
        <w:t xml:space="preserve"> </w:t>
      </w:r>
      <w:r w:rsidR="00F4078C" w:rsidRPr="0022453B">
        <w:t>International</w:t>
      </w:r>
      <w:r w:rsidR="00571C49" w:rsidRPr="0022453B">
        <w:t xml:space="preserve"> </w:t>
      </w:r>
      <w:r w:rsidR="00F4078C" w:rsidRPr="0022453B">
        <w:t>Scientific</w:t>
      </w:r>
      <w:r w:rsidR="00571C49" w:rsidRPr="0022453B">
        <w:t xml:space="preserve"> </w:t>
      </w:r>
      <w:r w:rsidR="00F4078C" w:rsidRPr="0022453B">
        <w:t>Interdisciplinary</w:t>
      </w:r>
      <w:r w:rsidR="00571C49" w:rsidRPr="0022453B">
        <w:t xml:space="preserve"> </w:t>
      </w:r>
      <w:r w:rsidR="00F4078C" w:rsidRPr="0022453B">
        <w:rPr>
          <w:lang w:val="en-US"/>
        </w:rPr>
        <w:t>conference</w:t>
      </w:r>
      <w:r w:rsidR="00571C49" w:rsidRPr="0022453B">
        <w:t xml:space="preserve"> </w:t>
      </w:r>
      <w:r w:rsidR="00F4078C" w:rsidRPr="0022453B">
        <w:t>for</w:t>
      </w:r>
      <w:r w:rsidR="00571C49" w:rsidRPr="0022453B">
        <w:t xml:space="preserve"> </w:t>
      </w:r>
      <w:r w:rsidR="00F4078C" w:rsidRPr="0022453B">
        <w:t>medical</w:t>
      </w:r>
      <w:r w:rsidR="00571C49" w:rsidRPr="0022453B">
        <w:t xml:space="preserve"> </w:t>
      </w:r>
      <w:r w:rsidR="00F4078C" w:rsidRPr="0022453B">
        <w:t>students</w:t>
      </w:r>
      <w:r w:rsidR="00571C49" w:rsidRPr="0022453B">
        <w:t xml:space="preserve"> </w:t>
      </w:r>
      <w:r w:rsidR="00F4078C" w:rsidRPr="0022453B">
        <w:t>and</w:t>
      </w:r>
      <w:r w:rsidR="00571C49" w:rsidRPr="0022453B">
        <w:t xml:space="preserve"> </w:t>
      </w:r>
      <w:r w:rsidR="00F4078C" w:rsidRPr="0022453B">
        <w:t>young</w:t>
      </w:r>
      <w:r w:rsidR="00571C49" w:rsidRPr="0022453B">
        <w:t xml:space="preserve"> </w:t>
      </w:r>
      <w:r w:rsidR="00F4078C" w:rsidRPr="0022453B">
        <w:t>scientists</w:t>
      </w:r>
      <w:r w:rsidR="00571C49" w:rsidRPr="0022453B">
        <w:t xml:space="preserve"> </w:t>
      </w:r>
      <w:r w:rsidR="00F86CBC" w:rsidRPr="0022453B">
        <w:t>(</w:t>
      </w:r>
      <w:r w:rsidR="00F86CBC" w:rsidRPr="0022453B">
        <w:rPr>
          <w:lang w:val="en-US"/>
        </w:rPr>
        <w:t>Ukraine</w:t>
      </w:r>
      <w:r w:rsidR="00F86CBC" w:rsidRPr="0022453B">
        <w:t>, Kharkiv</w:t>
      </w:r>
      <w:r w:rsidR="00F4078C" w:rsidRPr="0022453B">
        <w:t xml:space="preserve"> May 15</w:t>
      </w:r>
      <w:r w:rsidR="00F4078C" w:rsidRPr="0022453B">
        <w:rPr>
          <w:vertAlign w:val="superscript"/>
        </w:rPr>
        <w:t>th</w:t>
      </w:r>
      <w:r w:rsidR="00FA2EB7" w:rsidRPr="0022453B">
        <w:t>–</w:t>
      </w:r>
      <w:r w:rsidR="00F4078C" w:rsidRPr="0022453B">
        <w:t>16</w:t>
      </w:r>
      <w:r w:rsidR="00F4078C" w:rsidRPr="0022453B">
        <w:rPr>
          <w:vertAlign w:val="superscript"/>
        </w:rPr>
        <w:t>th</w:t>
      </w:r>
      <w:r w:rsidR="00F4078C" w:rsidRPr="0022453B">
        <w:t xml:space="preserve"> 2014)</w:t>
      </w:r>
      <w:r w:rsidR="005822B0">
        <w:t xml:space="preserve">; </w:t>
      </w:r>
      <w:r w:rsidR="00F4078C" w:rsidRPr="0022453B">
        <w:t>8</w:t>
      </w:r>
      <w:r w:rsidR="00F4078C" w:rsidRPr="0022453B">
        <w:rPr>
          <w:vertAlign w:val="superscript"/>
        </w:rPr>
        <w:t>th</w:t>
      </w:r>
      <w:r w:rsidR="00571C49" w:rsidRPr="0022453B">
        <w:t xml:space="preserve"> </w:t>
      </w:r>
      <w:r w:rsidR="00F4078C" w:rsidRPr="0022453B">
        <w:t>International</w:t>
      </w:r>
      <w:r w:rsidR="00571C49" w:rsidRPr="0022453B">
        <w:t xml:space="preserve"> </w:t>
      </w:r>
      <w:r w:rsidR="00F4078C" w:rsidRPr="0022453B">
        <w:t>Scientific</w:t>
      </w:r>
      <w:r w:rsidR="00571C49" w:rsidRPr="0022453B">
        <w:t xml:space="preserve"> </w:t>
      </w:r>
      <w:r w:rsidR="00F4078C" w:rsidRPr="0022453B">
        <w:t>Interdisciplinary</w:t>
      </w:r>
      <w:r w:rsidR="00571C49" w:rsidRPr="0022453B">
        <w:t xml:space="preserve"> </w:t>
      </w:r>
      <w:r w:rsidR="00F4078C" w:rsidRPr="0022453B">
        <w:t>conference</w:t>
      </w:r>
      <w:r w:rsidR="00571C49" w:rsidRPr="0022453B">
        <w:t xml:space="preserve"> </w:t>
      </w:r>
      <w:r w:rsidR="00F4078C" w:rsidRPr="0022453B">
        <w:t>for</w:t>
      </w:r>
      <w:r w:rsidR="00571C49" w:rsidRPr="0022453B">
        <w:t xml:space="preserve"> </w:t>
      </w:r>
      <w:r w:rsidR="00F4078C" w:rsidRPr="0022453B">
        <w:t>medical</w:t>
      </w:r>
      <w:r w:rsidR="00571C49" w:rsidRPr="0022453B">
        <w:t xml:space="preserve"> </w:t>
      </w:r>
      <w:r w:rsidR="00F4078C" w:rsidRPr="0022453B">
        <w:t>students</w:t>
      </w:r>
      <w:r w:rsidR="00571C49" w:rsidRPr="0022453B">
        <w:t xml:space="preserve"> </w:t>
      </w:r>
      <w:r w:rsidR="00F4078C" w:rsidRPr="0022453B">
        <w:t>and</w:t>
      </w:r>
      <w:r w:rsidR="00571C49" w:rsidRPr="0022453B">
        <w:t xml:space="preserve"> </w:t>
      </w:r>
      <w:r w:rsidR="00F4078C" w:rsidRPr="0022453B">
        <w:t>young</w:t>
      </w:r>
      <w:r w:rsidR="00571C49" w:rsidRPr="0022453B">
        <w:t xml:space="preserve"> </w:t>
      </w:r>
      <w:r w:rsidR="00F4078C" w:rsidRPr="0022453B">
        <w:t>scientists</w:t>
      </w:r>
      <w:r w:rsidR="00571C49" w:rsidRPr="0022453B">
        <w:t xml:space="preserve"> </w:t>
      </w:r>
      <w:r w:rsidR="00F4078C" w:rsidRPr="0022453B">
        <w:t>(</w:t>
      </w:r>
      <w:r w:rsidR="00F86CBC" w:rsidRPr="0022453B">
        <w:rPr>
          <w:lang w:val="en-US"/>
        </w:rPr>
        <w:t>Ukraine</w:t>
      </w:r>
      <w:r w:rsidR="00F86CBC" w:rsidRPr="0022453B">
        <w:t>, Kharkiv</w:t>
      </w:r>
      <w:r w:rsidR="00571C49" w:rsidRPr="0022453B">
        <w:t xml:space="preserve"> </w:t>
      </w:r>
      <w:r w:rsidR="00F4078C" w:rsidRPr="0022453B">
        <w:t>May 14</w:t>
      </w:r>
      <w:r w:rsidR="00F4078C" w:rsidRPr="0022453B">
        <w:rPr>
          <w:vertAlign w:val="superscript"/>
        </w:rPr>
        <w:t>th</w:t>
      </w:r>
      <w:r w:rsidR="00FA2EB7" w:rsidRPr="0022453B">
        <w:t>–</w:t>
      </w:r>
      <w:r w:rsidR="00F4078C" w:rsidRPr="0022453B">
        <w:t>15</w:t>
      </w:r>
      <w:r w:rsidR="00F4078C" w:rsidRPr="0022453B">
        <w:rPr>
          <w:vertAlign w:val="superscript"/>
        </w:rPr>
        <w:t>th</w:t>
      </w:r>
      <w:r w:rsidR="00F4078C" w:rsidRPr="0022453B">
        <w:t xml:space="preserve"> 2015)</w:t>
      </w:r>
      <w:r w:rsidR="005822B0">
        <w:t xml:space="preserve">; </w:t>
      </w:r>
      <w:r w:rsidR="00F4078C" w:rsidRPr="0022453B">
        <w:t>VIII</w:t>
      </w:r>
      <w:r w:rsidR="00571C49" w:rsidRPr="0022453B">
        <w:t xml:space="preserve"> </w:t>
      </w:r>
      <w:r w:rsidR="00F4078C" w:rsidRPr="0022453B">
        <w:t>съезд</w:t>
      </w:r>
      <w:r w:rsidR="008F0D0A" w:rsidRPr="0022453B">
        <w:t>е</w:t>
      </w:r>
      <w:r w:rsidR="00571C49" w:rsidRPr="0022453B">
        <w:t xml:space="preserve"> </w:t>
      </w:r>
      <w:r w:rsidR="00F4078C" w:rsidRPr="0022453B">
        <w:t>фтизиатров</w:t>
      </w:r>
      <w:r w:rsidR="00571C49" w:rsidRPr="0022453B">
        <w:t xml:space="preserve"> </w:t>
      </w:r>
      <w:r w:rsidR="00F4078C" w:rsidRPr="0022453B">
        <w:t>и</w:t>
      </w:r>
      <w:r w:rsidR="00571C49" w:rsidRPr="0022453B">
        <w:t xml:space="preserve"> </w:t>
      </w:r>
      <w:r w:rsidR="00F4078C" w:rsidRPr="0022453B">
        <w:t>пульмонологов</w:t>
      </w:r>
      <w:r w:rsidR="00571C49" w:rsidRPr="0022453B">
        <w:t xml:space="preserve"> </w:t>
      </w:r>
      <w:r w:rsidR="00F4078C" w:rsidRPr="0022453B">
        <w:t>Узбекистана</w:t>
      </w:r>
      <w:r w:rsidR="00571C49" w:rsidRPr="0022453B">
        <w:t xml:space="preserve"> </w:t>
      </w:r>
      <w:r w:rsidR="00F4078C" w:rsidRPr="0022453B">
        <w:t>(</w:t>
      </w:r>
      <w:r w:rsidR="00F86CBC" w:rsidRPr="0022453B">
        <w:t xml:space="preserve">Узбекистан, </w:t>
      </w:r>
      <w:r w:rsidR="00F4078C" w:rsidRPr="0022453B">
        <w:t>Ташкент</w:t>
      </w:r>
      <w:r w:rsidR="00571C49" w:rsidRPr="0022453B">
        <w:t xml:space="preserve"> </w:t>
      </w:r>
      <w:r w:rsidR="00DD6A30" w:rsidRPr="0022453B">
        <w:t xml:space="preserve">4–6 мая </w:t>
      </w:r>
      <w:r w:rsidR="00F4078C" w:rsidRPr="0022453B">
        <w:t xml:space="preserve">2015 </w:t>
      </w:r>
      <w:r w:rsidR="00571C49" w:rsidRPr="0022453B">
        <w:t>р</w:t>
      </w:r>
      <w:r w:rsidR="00F4078C" w:rsidRPr="0022453B">
        <w:t>.)</w:t>
      </w:r>
      <w:r w:rsidR="005822B0">
        <w:t xml:space="preserve">; </w:t>
      </w:r>
      <w:r w:rsidR="00F4078C" w:rsidRPr="0022453B">
        <w:t>4</w:t>
      </w:r>
      <w:r w:rsidR="00F4078C" w:rsidRPr="0022453B">
        <w:rPr>
          <w:vertAlign w:val="superscript"/>
        </w:rPr>
        <w:t>th</w:t>
      </w:r>
      <w:r w:rsidR="00571C49" w:rsidRPr="0022453B">
        <w:t xml:space="preserve"> </w:t>
      </w:r>
      <w:r w:rsidR="00F4078C" w:rsidRPr="0022453B">
        <w:t>European</w:t>
      </w:r>
      <w:r w:rsidR="00571C49" w:rsidRPr="0022453B">
        <w:t xml:space="preserve"> </w:t>
      </w:r>
      <w:r w:rsidR="00F4078C" w:rsidRPr="0022453B">
        <w:t>Congress</w:t>
      </w:r>
      <w:r w:rsidR="00571C49" w:rsidRPr="0022453B">
        <w:t xml:space="preserve"> </w:t>
      </w:r>
      <w:r w:rsidR="00F4078C" w:rsidRPr="0022453B">
        <w:t>of</w:t>
      </w:r>
      <w:r w:rsidR="00571C49" w:rsidRPr="0022453B">
        <w:t xml:space="preserve"> </w:t>
      </w:r>
      <w:r w:rsidR="00F4078C" w:rsidRPr="0022453B">
        <w:t>Immunology</w:t>
      </w:r>
      <w:r w:rsidR="00571C49" w:rsidRPr="0022453B">
        <w:t xml:space="preserve"> </w:t>
      </w:r>
      <w:r w:rsidR="00F4078C" w:rsidRPr="0022453B">
        <w:t>(Austria, Vienna</w:t>
      </w:r>
      <w:r w:rsidR="00571C49" w:rsidRPr="0022453B">
        <w:t xml:space="preserve"> </w:t>
      </w:r>
      <w:r w:rsidR="00F4078C" w:rsidRPr="0022453B">
        <w:t>September 6</w:t>
      </w:r>
      <w:r w:rsidR="00FA2EB7" w:rsidRPr="0022453B">
        <w:t>–</w:t>
      </w:r>
      <w:r w:rsidR="00930335" w:rsidRPr="0022453B">
        <w:t>9</w:t>
      </w:r>
      <w:r w:rsidR="00F4078C" w:rsidRPr="0022453B">
        <w:t xml:space="preserve"> 2015)</w:t>
      </w:r>
      <w:r w:rsidR="005822B0">
        <w:t xml:space="preserve">; </w:t>
      </w:r>
      <w:r w:rsidR="008F0D0A" w:rsidRPr="0022453B">
        <w:t xml:space="preserve">конференції </w:t>
      </w:r>
      <w:r w:rsidR="005822B0">
        <w:t>«</w:t>
      </w:r>
      <w:r w:rsidR="00F4078C" w:rsidRPr="0022453B">
        <w:t>Актуальні питання сучасної медицини</w:t>
      </w:r>
      <w:r w:rsidR="005822B0">
        <w:t>»</w:t>
      </w:r>
      <w:r w:rsidR="00FA2EB7" w:rsidRPr="0022453B">
        <w:t>: з</w:t>
      </w:r>
      <w:r w:rsidR="00F4078C" w:rsidRPr="0022453B">
        <w:t>бірник тез Харківський національний</w:t>
      </w:r>
      <w:r w:rsidR="00F4078C" w:rsidRPr="0022453B">
        <w:rPr>
          <w:bCs/>
          <w:lang w:eastAsia="ru-RU"/>
        </w:rPr>
        <w:t xml:space="preserve"> університет імені В.</w:t>
      </w:r>
      <w:r w:rsidR="00571C49" w:rsidRPr="0022453B">
        <w:rPr>
          <w:bCs/>
          <w:lang w:eastAsia="ru-RU"/>
        </w:rPr>
        <w:t> </w:t>
      </w:r>
      <w:r w:rsidR="00F4078C" w:rsidRPr="0022453B">
        <w:rPr>
          <w:bCs/>
          <w:lang w:eastAsia="ru-RU"/>
        </w:rPr>
        <w:t>Н.</w:t>
      </w:r>
      <w:r w:rsidR="00571C49" w:rsidRPr="0022453B">
        <w:rPr>
          <w:bCs/>
          <w:lang w:eastAsia="ru-RU"/>
        </w:rPr>
        <w:t> </w:t>
      </w:r>
      <w:r w:rsidR="00930335" w:rsidRPr="0022453B">
        <w:rPr>
          <w:bCs/>
          <w:lang w:eastAsia="ru-RU"/>
        </w:rPr>
        <w:t>Каразіна (Україна, Харків</w:t>
      </w:r>
      <w:r w:rsidR="00F4078C" w:rsidRPr="0022453B">
        <w:rPr>
          <w:bCs/>
          <w:lang w:eastAsia="ru-RU"/>
        </w:rPr>
        <w:t xml:space="preserve"> 14</w:t>
      </w:r>
      <w:r w:rsidR="00FA2EB7" w:rsidRPr="0022453B">
        <w:rPr>
          <w:bCs/>
          <w:lang w:eastAsia="ru-RU"/>
        </w:rPr>
        <w:t>–</w:t>
      </w:r>
      <w:r w:rsidR="00F4078C" w:rsidRPr="0022453B">
        <w:rPr>
          <w:bCs/>
          <w:lang w:eastAsia="ru-RU"/>
        </w:rPr>
        <w:t>15 квітня 2016 р</w:t>
      </w:r>
      <w:r w:rsidR="00FA2EB7" w:rsidRPr="0022453B">
        <w:rPr>
          <w:bCs/>
          <w:lang w:eastAsia="ru-RU"/>
        </w:rPr>
        <w:t>.</w:t>
      </w:r>
      <w:r w:rsidR="00F4078C" w:rsidRPr="0022453B">
        <w:rPr>
          <w:bCs/>
          <w:lang w:eastAsia="ru-RU"/>
        </w:rPr>
        <w:t>)</w:t>
      </w:r>
      <w:r w:rsidR="005822B0">
        <w:rPr>
          <w:bCs/>
          <w:lang w:eastAsia="ru-RU"/>
        </w:rPr>
        <w:t xml:space="preserve">; </w:t>
      </w:r>
      <w:r w:rsidR="00F4078C" w:rsidRPr="0022453B">
        <w:t>міжн</w:t>
      </w:r>
      <w:r w:rsidR="00745999" w:rsidRPr="0022453B">
        <w:t>ародн</w:t>
      </w:r>
      <w:r w:rsidR="008F0D0A" w:rsidRPr="0022453B">
        <w:t xml:space="preserve">ій </w:t>
      </w:r>
      <w:r w:rsidR="00745999" w:rsidRPr="0022453B">
        <w:t>науково-практичн</w:t>
      </w:r>
      <w:r w:rsidR="008F0D0A" w:rsidRPr="0022453B">
        <w:t>ій</w:t>
      </w:r>
      <w:r w:rsidR="00F4078C" w:rsidRPr="0022453B">
        <w:t xml:space="preserve"> конференції </w:t>
      </w:r>
      <w:r w:rsidR="005822B0">
        <w:t>«</w:t>
      </w:r>
      <w:r w:rsidR="00F4078C" w:rsidRPr="0022453B">
        <w:t xml:space="preserve">Науковий потенціал молоді </w:t>
      </w:r>
      <w:r w:rsidR="00CD22CE" w:rsidRPr="0022453B">
        <w:t>–</w:t>
      </w:r>
      <w:r w:rsidR="00F4078C" w:rsidRPr="0022453B">
        <w:t xml:space="preserve"> прогрес медицини майбутнього</w:t>
      </w:r>
      <w:r w:rsidR="005822B0">
        <w:t>»</w:t>
      </w:r>
      <w:r w:rsidR="00F4078C" w:rsidRPr="0022453B">
        <w:t xml:space="preserve"> (</w:t>
      </w:r>
      <w:r w:rsidR="00930335" w:rsidRPr="0022453B">
        <w:rPr>
          <w:bCs/>
          <w:lang w:eastAsia="ru-RU"/>
        </w:rPr>
        <w:t xml:space="preserve">Україна, </w:t>
      </w:r>
      <w:r w:rsidR="00F4078C" w:rsidRPr="0022453B">
        <w:t>Ужгород 20</w:t>
      </w:r>
      <w:r w:rsidR="00FA2EB7" w:rsidRPr="0022453B">
        <w:t>–</w:t>
      </w:r>
      <w:r w:rsidR="00F4078C" w:rsidRPr="0022453B">
        <w:t>23 квітня 2016</w:t>
      </w:r>
      <w:r w:rsidR="00FA2EB7" w:rsidRPr="0022453B">
        <w:t xml:space="preserve"> р.</w:t>
      </w:r>
      <w:r w:rsidR="00F4078C" w:rsidRPr="0022453B">
        <w:t>)</w:t>
      </w:r>
      <w:r w:rsidR="005822B0">
        <w:t xml:space="preserve">; </w:t>
      </w:r>
      <w:r w:rsidR="00F4078C" w:rsidRPr="0022453B">
        <w:rPr>
          <w:bCs/>
          <w:lang w:val="en-US" w:eastAsia="ru-RU"/>
        </w:rPr>
        <w:t>IV</w:t>
      </w:r>
      <w:r w:rsidR="00F4078C" w:rsidRPr="0022453B">
        <w:rPr>
          <w:bCs/>
          <w:lang w:eastAsia="ru-RU"/>
        </w:rPr>
        <w:t xml:space="preserve"> міжнародн</w:t>
      </w:r>
      <w:r w:rsidR="008F0D0A" w:rsidRPr="0022453B">
        <w:rPr>
          <w:bCs/>
          <w:lang w:eastAsia="ru-RU"/>
        </w:rPr>
        <w:t>ій</w:t>
      </w:r>
      <w:r w:rsidR="00F4078C" w:rsidRPr="0022453B">
        <w:rPr>
          <w:bCs/>
          <w:lang w:eastAsia="ru-RU"/>
        </w:rPr>
        <w:t xml:space="preserve"> науково-практичн</w:t>
      </w:r>
      <w:r w:rsidR="008F0D0A" w:rsidRPr="0022453B">
        <w:rPr>
          <w:bCs/>
          <w:lang w:eastAsia="ru-RU"/>
        </w:rPr>
        <w:t>ій</w:t>
      </w:r>
      <w:r w:rsidR="00F4078C" w:rsidRPr="0022453B">
        <w:rPr>
          <w:bCs/>
          <w:lang w:eastAsia="ru-RU"/>
        </w:rPr>
        <w:t xml:space="preserve"> конференції студентів та молодих вчених (</w:t>
      </w:r>
      <w:r w:rsidR="00930335" w:rsidRPr="0022453B">
        <w:rPr>
          <w:bCs/>
          <w:lang w:eastAsia="ru-RU"/>
        </w:rPr>
        <w:t>Україна, Суми</w:t>
      </w:r>
      <w:r w:rsidR="00F4078C" w:rsidRPr="0022453B">
        <w:rPr>
          <w:bCs/>
          <w:lang w:eastAsia="ru-RU"/>
        </w:rPr>
        <w:t xml:space="preserve"> 21</w:t>
      </w:r>
      <w:r w:rsidR="00FA2EB7" w:rsidRPr="0022453B">
        <w:rPr>
          <w:bCs/>
          <w:lang w:eastAsia="ru-RU"/>
        </w:rPr>
        <w:t>–</w:t>
      </w:r>
      <w:r w:rsidR="00F4078C" w:rsidRPr="0022453B">
        <w:rPr>
          <w:bCs/>
          <w:lang w:eastAsia="ru-RU"/>
        </w:rPr>
        <w:t>22 квітня 2016 р</w:t>
      </w:r>
      <w:r w:rsidR="00FA2EB7" w:rsidRPr="0022453B">
        <w:rPr>
          <w:bCs/>
          <w:lang w:eastAsia="ru-RU"/>
        </w:rPr>
        <w:t>.</w:t>
      </w:r>
      <w:r w:rsidR="00F4078C" w:rsidRPr="0022453B">
        <w:rPr>
          <w:bCs/>
          <w:lang w:eastAsia="ru-RU"/>
        </w:rPr>
        <w:t>)</w:t>
      </w:r>
      <w:r w:rsidR="005822B0">
        <w:rPr>
          <w:bCs/>
          <w:lang w:eastAsia="ru-RU"/>
        </w:rPr>
        <w:t xml:space="preserve">; </w:t>
      </w:r>
      <w:r w:rsidR="00F4078C" w:rsidRPr="0022453B">
        <w:rPr>
          <w:bCs/>
          <w:lang w:val="en-US" w:eastAsia="ru-RU"/>
        </w:rPr>
        <w:t>IX</w:t>
      </w:r>
      <w:r w:rsidR="00FA2EB7" w:rsidRPr="0022453B">
        <w:rPr>
          <w:bCs/>
          <w:lang w:eastAsia="ru-RU"/>
        </w:rPr>
        <w:t xml:space="preserve"> </w:t>
      </w:r>
      <w:r w:rsidR="00F4078C" w:rsidRPr="0022453B">
        <w:rPr>
          <w:bCs/>
          <w:lang w:val="en-US" w:eastAsia="ru-RU"/>
        </w:rPr>
        <w:t>International</w:t>
      </w:r>
      <w:r w:rsidR="00FA2EB7" w:rsidRPr="0022453B">
        <w:rPr>
          <w:bCs/>
          <w:lang w:eastAsia="ru-RU"/>
        </w:rPr>
        <w:t xml:space="preserve"> </w:t>
      </w:r>
      <w:r w:rsidR="00F4078C" w:rsidRPr="0022453B">
        <w:rPr>
          <w:bCs/>
          <w:lang w:val="en-US" w:eastAsia="ru-RU"/>
        </w:rPr>
        <w:t>Interdisciplinary</w:t>
      </w:r>
      <w:r w:rsidR="00FA2EB7" w:rsidRPr="0022453B">
        <w:rPr>
          <w:bCs/>
          <w:lang w:eastAsia="ru-RU"/>
        </w:rPr>
        <w:t xml:space="preserve"> </w:t>
      </w:r>
      <w:r w:rsidR="00F4078C" w:rsidRPr="0022453B">
        <w:rPr>
          <w:bCs/>
          <w:lang w:val="en-US" w:eastAsia="ru-RU"/>
        </w:rPr>
        <w:t>scientific</w:t>
      </w:r>
      <w:r w:rsidR="00FA2EB7" w:rsidRPr="0022453B">
        <w:rPr>
          <w:bCs/>
          <w:lang w:eastAsia="ru-RU"/>
        </w:rPr>
        <w:t xml:space="preserve"> </w:t>
      </w:r>
      <w:r w:rsidR="00F4078C" w:rsidRPr="0022453B">
        <w:rPr>
          <w:bCs/>
          <w:lang w:val="en-US" w:eastAsia="ru-RU"/>
        </w:rPr>
        <w:t>conference</w:t>
      </w:r>
      <w:r w:rsidR="00FA2EB7" w:rsidRPr="0022453B">
        <w:rPr>
          <w:bCs/>
          <w:lang w:eastAsia="ru-RU"/>
        </w:rPr>
        <w:t xml:space="preserve"> </w:t>
      </w:r>
      <w:r w:rsidR="00F4078C" w:rsidRPr="0022453B">
        <w:rPr>
          <w:bCs/>
          <w:lang w:val="en-US" w:eastAsia="ru-RU"/>
        </w:rPr>
        <w:t>of</w:t>
      </w:r>
      <w:r w:rsidR="00FA2EB7" w:rsidRPr="0022453B">
        <w:rPr>
          <w:bCs/>
          <w:lang w:eastAsia="ru-RU"/>
        </w:rPr>
        <w:t xml:space="preserve"> </w:t>
      </w:r>
      <w:r w:rsidR="00F4078C" w:rsidRPr="0022453B">
        <w:rPr>
          <w:bCs/>
          <w:lang w:val="en-US" w:eastAsia="ru-RU"/>
        </w:rPr>
        <w:t>young</w:t>
      </w:r>
      <w:r w:rsidR="00FA2EB7" w:rsidRPr="0022453B">
        <w:rPr>
          <w:bCs/>
          <w:lang w:eastAsia="ru-RU"/>
        </w:rPr>
        <w:t xml:space="preserve"> </w:t>
      </w:r>
      <w:r w:rsidR="00F4078C" w:rsidRPr="0022453B">
        <w:rPr>
          <w:bCs/>
          <w:lang w:val="en-US" w:eastAsia="ru-RU"/>
        </w:rPr>
        <w:t>scientists</w:t>
      </w:r>
      <w:r w:rsidR="00FA2EB7" w:rsidRPr="0022453B">
        <w:rPr>
          <w:bCs/>
          <w:lang w:eastAsia="ru-RU"/>
        </w:rPr>
        <w:t xml:space="preserve"> </w:t>
      </w:r>
      <w:r w:rsidR="00F4078C" w:rsidRPr="0022453B">
        <w:rPr>
          <w:bCs/>
          <w:lang w:val="en-US" w:eastAsia="ru-RU"/>
        </w:rPr>
        <w:t>and</w:t>
      </w:r>
      <w:r w:rsidR="00FA2EB7" w:rsidRPr="0022453B">
        <w:rPr>
          <w:bCs/>
          <w:lang w:eastAsia="ru-RU"/>
        </w:rPr>
        <w:t xml:space="preserve"> </w:t>
      </w:r>
      <w:r w:rsidR="00F4078C" w:rsidRPr="0022453B">
        <w:rPr>
          <w:bCs/>
          <w:lang w:val="en-US" w:eastAsia="ru-RU"/>
        </w:rPr>
        <w:t>medical</w:t>
      </w:r>
      <w:r w:rsidR="00FA2EB7" w:rsidRPr="0022453B">
        <w:rPr>
          <w:bCs/>
          <w:lang w:eastAsia="ru-RU"/>
        </w:rPr>
        <w:t xml:space="preserve"> </w:t>
      </w:r>
      <w:r w:rsidR="00526439" w:rsidRPr="0022453B">
        <w:rPr>
          <w:bCs/>
          <w:lang w:val="en-US" w:eastAsia="ru-RU"/>
        </w:rPr>
        <w:t>s</w:t>
      </w:r>
      <w:r w:rsidR="00F4078C" w:rsidRPr="0022453B">
        <w:rPr>
          <w:bCs/>
          <w:lang w:val="en-US" w:eastAsia="ru-RU"/>
        </w:rPr>
        <w:t>tudents</w:t>
      </w:r>
      <w:r w:rsidR="00F4078C" w:rsidRPr="0022453B">
        <w:rPr>
          <w:bCs/>
          <w:lang w:eastAsia="ru-RU"/>
        </w:rPr>
        <w:t xml:space="preserve"> </w:t>
      </w:r>
      <w:r w:rsidR="005822B0">
        <w:rPr>
          <w:bCs/>
          <w:lang w:eastAsia="ru-RU"/>
        </w:rPr>
        <w:t>«</w:t>
      </w:r>
      <w:r w:rsidR="00F4078C" w:rsidRPr="0022453B">
        <w:rPr>
          <w:bCs/>
          <w:lang w:val="en-US" w:eastAsia="ru-RU"/>
        </w:rPr>
        <w:t>Actual</w:t>
      </w:r>
      <w:r w:rsidR="00571C49" w:rsidRPr="0022453B">
        <w:rPr>
          <w:bCs/>
          <w:lang w:eastAsia="ru-RU"/>
        </w:rPr>
        <w:t xml:space="preserve"> </w:t>
      </w:r>
      <w:r w:rsidR="00F4078C" w:rsidRPr="0022453B">
        <w:rPr>
          <w:bCs/>
          <w:lang w:val="en-US" w:eastAsia="ru-RU"/>
        </w:rPr>
        <w:t>problems</w:t>
      </w:r>
      <w:r w:rsidR="00571C49" w:rsidRPr="0022453B">
        <w:rPr>
          <w:bCs/>
          <w:lang w:eastAsia="ru-RU"/>
        </w:rPr>
        <w:t xml:space="preserve"> </w:t>
      </w:r>
      <w:r w:rsidR="00F4078C" w:rsidRPr="0022453B">
        <w:rPr>
          <w:bCs/>
          <w:lang w:val="en-US" w:eastAsia="ru-RU"/>
        </w:rPr>
        <w:t>of</w:t>
      </w:r>
      <w:r w:rsidR="00571C49" w:rsidRPr="0022453B">
        <w:rPr>
          <w:bCs/>
          <w:lang w:eastAsia="ru-RU"/>
        </w:rPr>
        <w:t xml:space="preserve"> </w:t>
      </w:r>
      <w:r w:rsidR="00F4078C" w:rsidRPr="0022453B">
        <w:rPr>
          <w:bCs/>
          <w:lang w:val="en-US" w:eastAsia="ru-RU"/>
        </w:rPr>
        <w:t>clinical</w:t>
      </w:r>
      <w:r w:rsidR="00571C49" w:rsidRPr="0022453B">
        <w:rPr>
          <w:bCs/>
          <w:lang w:eastAsia="ru-RU"/>
        </w:rPr>
        <w:t xml:space="preserve"> </w:t>
      </w:r>
      <w:r w:rsidR="00F4078C" w:rsidRPr="0022453B">
        <w:rPr>
          <w:bCs/>
          <w:lang w:val="en-US" w:eastAsia="ru-RU"/>
        </w:rPr>
        <w:t>and</w:t>
      </w:r>
      <w:r w:rsidR="00571C49" w:rsidRPr="0022453B">
        <w:rPr>
          <w:bCs/>
          <w:lang w:eastAsia="ru-RU"/>
        </w:rPr>
        <w:t xml:space="preserve"> </w:t>
      </w:r>
      <w:r w:rsidR="00F4078C" w:rsidRPr="0022453B">
        <w:rPr>
          <w:bCs/>
          <w:lang w:val="en-US" w:eastAsia="ru-RU"/>
        </w:rPr>
        <w:t>theoretical</w:t>
      </w:r>
      <w:r w:rsidR="00571C49" w:rsidRPr="0022453B">
        <w:rPr>
          <w:bCs/>
          <w:lang w:eastAsia="ru-RU"/>
        </w:rPr>
        <w:t xml:space="preserve"> </w:t>
      </w:r>
      <w:r w:rsidR="00F4078C" w:rsidRPr="0022453B">
        <w:rPr>
          <w:bCs/>
          <w:lang w:val="en-US" w:eastAsia="ru-RU"/>
        </w:rPr>
        <w:t>medicine</w:t>
      </w:r>
      <w:r w:rsidR="005822B0">
        <w:rPr>
          <w:bCs/>
          <w:lang w:eastAsia="ru-RU"/>
        </w:rPr>
        <w:t>»</w:t>
      </w:r>
      <w:r w:rsidR="00F4078C" w:rsidRPr="0022453B">
        <w:rPr>
          <w:bCs/>
          <w:lang w:eastAsia="ru-RU"/>
        </w:rPr>
        <w:t xml:space="preserve"> </w:t>
      </w:r>
      <w:r w:rsidR="00F4078C" w:rsidRPr="0022453B">
        <w:rPr>
          <w:bCs/>
          <w:lang w:val="en-US" w:eastAsia="ru-RU"/>
        </w:rPr>
        <w:t>Kharkiv</w:t>
      </w:r>
      <w:r w:rsidR="00571C49" w:rsidRPr="0022453B">
        <w:rPr>
          <w:bCs/>
          <w:lang w:eastAsia="ru-RU"/>
        </w:rPr>
        <w:t xml:space="preserve"> </w:t>
      </w:r>
      <w:r w:rsidR="00F4078C" w:rsidRPr="0022453B">
        <w:rPr>
          <w:bCs/>
          <w:lang w:val="en-US" w:eastAsia="ru-RU"/>
        </w:rPr>
        <w:t>KNMU</w:t>
      </w:r>
      <w:r w:rsidR="00994911" w:rsidRPr="0022453B">
        <w:rPr>
          <w:bCs/>
          <w:lang w:eastAsia="ru-RU"/>
        </w:rPr>
        <w:t>– 2016</w:t>
      </w:r>
      <w:r w:rsidR="005822B0">
        <w:rPr>
          <w:bCs/>
          <w:lang w:eastAsia="ru-RU"/>
        </w:rPr>
        <w:t xml:space="preserve">; </w:t>
      </w:r>
      <w:r w:rsidR="00994911" w:rsidRPr="0022453B">
        <w:rPr>
          <w:bCs/>
          <w:lang w:eastAsia="ru-RU"/>
        </w:rPr>
        <w:t>науково-практичн</w:t>
      </w:r>
      <w:r w:rsidR="008F0D0A" w:rsidRPr="0022453B">
        <w:rPr>
          <w:bCs/>
          <w:lang w:eastAsia="ru-RU"/>
        </w:rPr>
        <w:t>ій</w:t>
      </w:r>
      <w:r w:rsidR="001159F9" w:rsidRPr="0022453B">
        <w:rPr>
          <w:bCs/>
          <w:lang w:eastAsia="ru-RU"/>
        </w:rPr>
        <w:t xml:space="preserve"> </w:t>
      </w:r>
      <w:r w:rsidR="00994911" w:rsidRPr="0022453B">
        <w:rPr>
          <w:bCs/>
          <w:lang w:eastAsia="ru-RU"/>
        </w:rPr>
        <w:t>конференції</w:t>
      </w:r>
      <w:r w:rsidR="00F4078C" w:rsidRPr="0022453B">
        <w:rPr>
          <w:bCs/>
          <w:lang w:eastAsia="ru-RU"/>
        </w:rPr>
        <w:t xml:space="preserve"> </w:t>
      </w:r>
      <w:r w:rsidR="005822B0">
        <w:rPr>
          <w:bCs/>
          <w:lang w:eastAsia="ru-RU"/>
        </w:rPr>
        <w:t>«</w:t>
      </w:r>
      <w:r w:rsidR="00F4078C" w:rsidRPr="0022453B">
        <w:rPr>
          <w:bCs/>
          <w:lang w:eastAsia="ru-RU"/>
        </w:rPr>
        <w:t xml:space="preserve">Щорічні терапевтичні читання: профілактика неінфекційних </w:t>
      </w:r>
      <w:r w:rsidR="00F4078C" w:rsidRPr="0022453B">
        <w:rPr>
          <w:bCs/>
          <w:lang w:eastAsia="ru-RU"/>
        </w:rPr>
        <w:lastRenderedPageBreak/>
        <w:t>захворювань на перехресті терапевтичних наук (</w:t>
      </w:r>
      <w:r w:rsidR="00930335" w:rsidRPr="0022453B">
        <w:rPr>
          <w:bCs/>
          <w:lang w:eastAsia="ru-RU"/>
        </w:rPr>
        <w:t xml:space="preserve">Україна, </w:t>
      </w:r>
      <w:r w:rsidR="00F4078C" w:rsidRPr="0022453B">
        <w:rPr>
          <w:bCs/>
          <w:lang w:eastAsia="ru-RU"/>
        </w:rPr>
        <w:t>21 квітня 2016 р.)</w:t>
      </w:r>
      <w:r w:rsidR="005822B0">
        <w:rPr>
          <w:bCs/>
          <w:lang w:eastAsia="ru-RU"/>
        </w:rPr>
        <w:t xml:space="preserve">; </w:t>
      </w:r>
      <w:r w:rsidR="00F4078C" w:rsidRPr="0022453B">
        <w:t>IV конгресс</w:t>
      </w:r>
      <w:r w:rsidR="001159F9" w:rsidRPr="0022453B">
        <w:t>а</w:t>
      </w:r>
      <w:r w:rsidR="00F4078C" w:rsidRPr="0022453B">
        <w:t xml:space="preserve"> ассоциации нефрологов новы</w:t>
      </w:r>
      <w:r w:rsidR="008D3BEE" w:rsidRPr="0022453B">
        <w:t>х независимых государств (</w:t>
      </w:r>
      <w:r w:rsidR="00930335" w:rsidRPr="0022453B">
        <w:t>Беларусь, Минск</w:t>
      </w:r>
      <w:r w:rsidR="00F4078C" w:rsidRPr="0022453B">
        <w:t xml:space="preserve"> </w:t>
      </w:r>
      <w:r w:rsidR="008D3BEE" w:rsidRPr="0022453B">
        <w:t xml:space="preserve">29-30 сентября </w:t>
      </w:r>
      <w:r w:rsidR="00F4078C" w:rsidRPr="0022453B">
        <w:t xml:space="preserve">2016 </w:t>
      </w:r>
      <w:r w:rsidR="006F66C1" w:rsidRPr="0022453B">
        <w:t>р</w:t>
      </w:r>
      <w:r w:rsidR="00994911" w:rsidRPr="0022453B">
        <w:t>.), науково-практичн</w:t>
      </w:r>
      <w:r w:rsidR="008F0D0A" w:rsidRPr="0022453B">
        <w:t>ій</w:t>
      </w:r>
      <w:r w:rsidR="00994911" w:rsidRPr="0022453B">
        <w:t xml:space="preserve"> конференції</w:t>
      </w:r>
      <w:r w:rsidR="00F4078C" w:rsidRPr="0022453B">
        <w:t xml:space="preserve"> з міжнародною участю </w:t>
      </w:r>
      <w:r w:rsidR="005822B0">
        <w:t>«</w:t>
      </w:r>
      <w:r w:rsidR="00F4078C" w:rsidRPr="0022453B">
        <w:t>Стратегії профілактики неінфекційних хвороб та шляхи їх реалізації: від постулатів минулого в</w:t>
      </w:r>
      <w:r w:rsidR="008602FB">
        <w:t> </w:t>
      </w:r>
      <w:r w:rsidR="00F4078C" w:rsidRPr="0022453B">
        <w:t>майбутнє</w:t>
      </w:r>
      <w:r w:rsidR="005822B0">
        <w:t>»</w:t>
      </w:r>
      <w:r w:rsidR="00994911" w:rsidRPr="0022453B">
        <w:t xml:space="preserve"> (</w:t>
      </w:r>
      <w:r w:rsidR="00930335" w:rsidRPr="0022453B">
        <w:rPr>
          <w:bCs/>
          <w:lang w:eastAsia="ru-RU"/>
        </w:rPr>
        <w:t>Україна,</w:t>
      </w:r>
      <w:r w:rsidR="00930335" w:rsidRPr="0022453B">
        <w:t xml:space="preserve"> Харків</w:t>
      </w:r>
      <w:r w:rsidR="00994911" w:rsidRPr="0022453B">
        <w:t xml:space="preserve"> </w:t>
      </w:r>
      <w:r w:rsidR="00B247B1" w:rsidRPr="0022453B">
        <w:t xml:space="preserve">4 листопада </w:t>
      </w:r>
      <w:r w:rsidR="00994911" w:rsidRPr="0022453B">
        <w:t>2016 р.), Регіональн</w:t>
      </w:r>
      <w:r w:rsidR="001159F9" w:rsidRPr="0022453B">
        <w:t>ої</w:t>
      </w:r>
      <w:r w:rsidR="00994911" w:rsidRPr="0022453B">
        <w:t xml:space="preserve"> науково-практичн</w:t>
      </w:r>
      <w:r w:rsidR="008F0D0A" w:rsidRPr="0022453B">
        <w:t>ій</w:t>
      </w:r>
      <w:r w:rsidR="00994911" w:rsidRPr="0022453B">
        <w:t xml:space="preserve"> конференції</w:t>
      </w:r>
      <w:r w:rsidR="00F4078C" w:rsidRPr="0022453B">
        <w:t xml:space="preserve"> </w:t>
      </w:r>
      <w:r w:rsidR="005822B0">
        <w:t>«</w:t>
      </w:r>
      <w:r w:rsidR="00F4078C" w:rsidRPr="0022453B">
        <w:t>Алергологи Слобожанщини</w:t>
      </w:r>
      <w:r w:rsidR="005822B0">
        <w:t>»</w:t>
      </w:r>
      <w:r w:rsidR="00F4078C" w:rsidRPr="0022453B">
        <w:t xml:space="preserve"> (</w:t>
      </w:r>
      <w:r w:rsidR="00E45A5F" w:rsidRPr="0022453B">
        <w:t xml:space="preserve">Україна, </w:t>
      </w:r>
      <w:r w:rsidR="00F4078C" w:rsidRPr="0022453B">
        <w:t>Харків 13 квітня 2016</w:t>
      </w:r>
      <w:r w:rsidR="00FA2EB7" w:rsidRPr="0022453B">
        <w:t xml:space="preserve"> р.</w:t>
      </w:r>
      <w:r w:rsidR="00F4078C" w:rsidRPr="0022453B">
        <w:t>),</w:t>
      </w:r>
      <w:r w:rsidR="007C7AA9" w:rsidRPr="0022453B">
        <w:t xml:space="preserve"> </w:t>
      </w:r>
      <w:r w:rsidR="00994911" w:rsidRPr="0022453B">
        <w:t>науково-практичн</w:t>
      </w:r>
      <w:r w:rsidR="008F0D0A" w:rsidRPr="0022453B">
        <w:t>ій</w:t>
      </w:r>
      <w:r w:rsidR="00994911" w:rsidRPr="0022453B">
        <w:t xml:space="preserve"> конференції</w:t>
      </w:r>
      <w:r w:rsidR="00F4078C" w:rsidRPr="0022453B">
        <w:t xml:space="preserve"> з міжнародною участю </w:t>
      </w:r>
      <w:r w:rsidR="005822B0">
        <w:t>«</w:t>
      </w:r>
      <w:r w:rsidR="00F4078C" w:rsidRPr="0022453B">
        <w:t>Цукровий діабет як інтегральна проблема внутрішньої медицини</w:t>
      </w:r>
      <w:r w:rsidR="005822B0">
        <w:t>»</w:t>
      </w:r>
      <w:r w:rsidR="00F4078C" w:rsidRPr="0022453B">
        <w:t xml:space="preserve"> (</w:t>
      </w:r>
      <w:r w:rsidR="00E45A5F" w:rsidRPr="0022453B">
        <w:t>Україна, Харків</w:t>
      </w:r>
      <w:r w:rsidR="00F4078C" w:rsidRPr="0022453B">
        <w:t xml:space="preserve"> </w:t>
      </w:r>
      <w:r w:rsidR="00A169F0" w:rsidRPr="0022453B">
        <w:t>9</w:t>
      </w:r>
      <w:r w:rsidR="008602FB">
        <w:t> </w:t>
      </w:r>
      <w:r w:rsidR="00F4078C" w:rsidRPr="0022453B">
        <w:t>вересня 2016</w:t>
      </w:r>
      <w:r w:rsidR="00FA2EB7" w:rsidRPr="0022453B">
        <w:t xml:space="preserve"> р.</w:t>
      </w:r>
      <w:r w:rsidR="00F4078C" w:rsidRPr="0022453B">
        <w:t>), міжнародн</w:t>
      </w:r>
      <w:r w:rsidR="008F0D0A" w:rsidRPr="0022453B">
        <w:t>ій</w:t>
      </w:r>
      <w:r w:rsidR="00F4078C" w:rsidRPr="0022453B">
        <w:t xml:space="preserve"> конференці</w:t>
      </w:r>
      <w:r w:rsidR="001159F9" w:rsidRPr="0022453B">
        <w:t>ї</w:t>
      </w:r>
      <w:r w:rsidR="00F4078C" w:rsidRPr="0022453B">
        <w:t xml:space="preserve"> </w:t>
      </w:r>
      <w:r w:rsidR="005822B0">
        <w:t>«</w:t>
      </w:r>
      <w:r w:rsidR="00F4078C" w:rsidRPr="0022453B">
        <w:t>Різдвяні читання з імунології та алергології: практична та наукова генеалогія</w:t>
      </w:r>
      <w:r w:rsidR="005822B0">
        <w:t>»</w:t>
      </w:r>
      <w:r w:rsidR="007C7AA9" w:rsidRPr="0022453B">
        <w:t xml:space="preserve"> </w:t>
      </w:r>
      <w:r w:rsidR="00F4078C" w:rsidRPr="0022453B">
        <w:t>(</w:t>
      </w:r>
      <w:r w:rsidR="00E45A5F" w:rsidRPr="0022453B">
        <w:t xml:space="preserve">Україна, Львів </w:t>
      </w:r>
      <w:r w:rsidR="00F4078C" w:rsidRPr="0022453B">
        <w:t>11</w:t>
      </w:r>
      <w:r w:rsidR="00FA2EB7" w:rsidRPr="0022453B">
        <w:t>–</w:t>
      </w:r>
      <w:r w:rsidR="00F4078C" w:rsidRPr="0022453B">
        <w:t>14 січня 2017</w:t>
      </w:r>
      <w:r w:rsidR="008602FB">
        <w:t> </w:t>
      </w:r>
      <w:r w:rsidR="00F4078C" w:rsidRPr="0022453B">
        <w:t>р.)</w:t>
      </w:r>
      <w:r w:rsidR="005822B0">
        <w:t xml:space="preserve">; </w:t>
      </w:r>
      <w:r w:rsidR="00F4078C" w:rsidRPr="0022453B">
        <w:t>доповід</w:t>
      </w:r>
      <w:r w:rsidR="001159F9" w:rsidRPr="0022453B">
        <w:t>і</w:t>
      </w:r>
      <w:r w:rsidR="00F4078C" w:rsidRPr="0022453B">
        <w:t xml:space="preserve"> на ХНМТ </w:t>
      </w:r>
      <w:r w:rsidR="00CD22CE" w:rsidRPr="0022453B">
        <w:t>–</w:t>
      </w:r>
      <w:r w:rsidR="007C7AA9" w:rsidRPr="0022453B">
        <w:t xml:space="preserve"> </w:t>
      </w:r>
      <w:r w:rsidR="00F4078C" w:rsidRPr="0022453B">
        <w:t>товариств</w:t>
      </w:r>
      <w:r w:rsidR="00FA2EB7" w:rsidRPr="0022453B">
        <w:t>і</w:t>
      </w:r>
      <w:r w:rsidR="00F4078C" w:rsidRPr="0022453B">
        <w:t xml:space="preserve"> алергологів та імунологів (</w:t>
      </w:r>
      <w:r w:rsidR="00E45A5F" w:rsidRPr="0022453B">
        <w:t>Україна, Харків</w:t>
      </w:r>
      <w:r w:rsidR="00F7706C" w:rsidRPr="0022453B">
        <w:t xml:space="preserve"> 17 травня</w:t>
      </w:r>
      <w:r w:rsidR="00F4078C" w:rsidRPr="0022453B">
        <w:t xml:space="preserve"> 2017 р.)</w:t>
      </w:r>
      <w:r w:rsidR="005822B0">
        <w:t xml:space="preserve">; </w:t>
      </w:r>
      <w:r w:rsidR="00F4078C" w:rsidRPr="0022453B">
        <w:rPr>
          <w:lang w:val="en-US"/>
        </w:rPr>
        <w:t>V</w:t>
      </w:r>
      <w:r w:rsidR="00FA2EB7" w:rsidRPr="0022453B">
        <w:t xml:space="preserve"> </w:t>
      </w:r>
      <w:r w:rsidR="00F4078C" w:rsidRPr="0022453B">
        <w:t>регіональн</w:t>
      </w:r>
      <w:r w:rsidR="001159F9" w:rsidRPr="0022453B">
        <w:t>ої</w:t>
      </w:r>
      <w:r w:rsidR="00F4078C" w:rsidRPr="0022453B">
        <w:t xml:space="preserve"> науково-практичн</w:t>
      </w:r>
      <w:r w:rsidR="008F0D0A" w:rsidRPr="0022453B">
        <w:t>ій</w:t>
      </w:r>
      <w:r w:rsidR="00F4078C" w:rsidRPr="0022453B">
        <w:t xml:space="preserve"> конференції </w:t>
      </w:r>
      <w:r w:rsidR="005822B0">
        <w:t>«</w:t>
      </w:r>
      <w:r w:rsidR="00F4078C" w:rsidRPr="0022453B">
        <w:t>Алергологи Слобожанщини</w:t>
      </w:r>
      <w:r w:rsidR="005822B0">
        <w:t>»</w:t>
      </w:r>
      <w:r w:rsidR="00F4078C" w:rsidRPr="0022453B">
        <w:t xml:space="preserve"> (</w:t>
      </w:r>
      <w:r w:rsidR="00E45A5F" w:rsidRPr="0022453B">
        <w:t>Україна, Харків</w:t>
      </w:r>
      <w:r w:rsidR="00F4078C" w:rsidRPr="0022453B">
        <w:t xml:space="preserve"> 12 квітня 2017</w:t>
      </w:r>
      <w:r w:rsidR="00FA2EB7" w:rsidRPr="0022453B">
        <w:t xml:space="preserve"> р.</w:t>
      </w:r>
      <w:r w:rsidR="00F4078C" w:rsidRPr="0022453B">
        <w:t xml:space="preserve">), </w:t>
      </w:r>
      <w:r w:rsidR="00F4078C" w:rsidRPr="0022453B">
        <w:rPr>
          <w:lang w:val="en-US"/>
        </w:rPr>
        <w:t>EAACI</w:t>
      </w:r>
      <w:r w:rsidR="006F66C1" w:rsidRPr="0022453B">
        <w:t xml:space="preserve"> </w:t>
      </w:r>
      <w:r w:rsidR="00F4078C" w:rsidRPr="0022453B">
        <w:rPr>
          <w:lang w:val="en-US"/>
        </w:rPr>
        <w:t>Congress</w:t>
      </w:r>
      <w:r w:rsidR="00F4078C" w:rsidRPr="0022453B">
        <w:t xml:space="preserve"> (</w:t>
      </w:r>
      <w:r w:rsidR="00F4078C" w:rsidRPr="0022453B">
        <w:rPr>
          <w:lang w:val="en-US"/>
        </w:rPr>
        <w:t>Finland</w:t>
      </w:r>
      <w:r w:rsidR="00F4078C" w:rsidRPr="0022453B">
        <w:t>,</w:t>
      </w:r>
      <w:r w:rsidR="006F66C1" w:rsidRPr="0022453B">
        <w:t xml:space="preserve"> </w:t>
      </w:r>
      <w:r w:rsidR="00F4078C" w:rsidRPr="0022453B">
        <w:rPr>
          <w:lang w:val="en-US"/>
        </w:rPr>
        <w:t>Helsinki</w:t>
      </w:r>
      <w:r w:rsidR="00F4078C" w:rsidRPr="0022453B">
        <w:t xml:space="preserve"> 17</w:t>
      </w:r>
      <w:r w:rsidR="00FA2EB7" w:rsidRPr="0022453B">
        <w:t>–</w:t>
      </w:r>
      <w:r w:rsidR="00F4078C" w:rsidRPr="0022453B">
        <w:t xml:space="preserve">21 </w:t>
      </w:r>
      <w:r w:rsidR="00F4078C" w:rsidRPr="0022453B">
        <w:rPr>
          <w:lang w:val="en-US"/>
        </w:rPr>
        <w:t>June</w:t>
      </w:r>
      <w:r w:rsidR="00F4078C" w:rsidRPr="0022453B">
        <w:t xml:space="preserve"> 2017)</w:t>
      </w:r>
      <w:r w:rsidR="005822B0">
        <w:t xml:space="preserve">; </w:t>
      </w:r>
      <w:r w:rsidR="00F4078C" w:rsidRPr="0022453B">
        <w:t>науково-практичн</w:t>
      </w:r>
      <w:r w:rsidR="008F0D0A" w:rsidRPr="0022453B">
        <w:t>ій</w:t>
      </w:r>
      <w:r w:rsidR="00F4078C" w:rsidRPr="0022453B">
        <w:t xml:space="preserve"> конференції з</w:t>
      </w:r>
      <w:r w:rsidR="008602FB">
        <w:t> </w:t>
      </w:r>
      <w:r w:rsidR="00F4078C" w:rsidRPr="0022453B">
        <w:t>міжнародною участю</w:t>
      </w:r>
      <w:r w:rsidR="00FA2EB7" w:rsidRPr="0022453B">
        <w:t xml:space="preserve"> </w:t>
      </w:r>
      <w:r w:rsidR="005822B0">
        <w:t>«</w:t>
      </w:r>
      <w:r w:rsidR="00F4078C" w:rsidRPr="0022453B">
        <w:t>Профілактика неінфекційних загострень</w:t>
      </w:r>
      <w:r w:rsidR="001159F9" w:rsidRPr="0022453B">
        <w:t>:</w:t>
      </w:r>
      <w:r w:rsidR="00F4078C" w:rsidRPr="0022453B">
        <w:t xml:space="preserve"> фокус на коморбідність</w:t>
      </w:r>
      <w:r w:rsidR="005822B0">
        <w:t>»</w:t>
      </w:r>
      <w:r w:rsidR="00F4078C" w:rsidRPr="0022453B">
        <w:t xml:space="preserve"> (</w:t>
      </w:r>
      <w:r w:rsidR="00E45A5F" w:rsidRPr="0022453B">
        <w:t>Україна, Харків</w:t>
      </w:r>
      <w:r w:rsidR="00F4078C" w:rsidRPr="0022453B">
        <w:t xml:space="preserve"> 3</w:t>
      </w:r>
      <w:r w:rsidR="0022453B">
        <w:rPr>
          <w:lang w:val="ru-RU"/>
        </w:rPr>
        <w:t> </w:t>
      </w:r>
      <w:r w:rsidR="00F4078C" w:rsidRPr="0022453B">
        <w:t>листопада 2017</w:t>
      </w:r>
      <w:r w:rsidR="00FA2EB7" w:rsidRPr="0022453B">
        <w:t xml:space="preserve"> р.</w:t>
      </w:r>
      <w:r w:rsidR="00F4078C" w:rsidRPr="0022453B">
        <w:t xml:space="preserve">), </w:t>
      </w:r>
      <w:r w:rsidR="006F66C1" w:rsidRPr="0022453B">
        <w:rPr>
          <w:lang w:val="en-US"/>
        </w:rPr>
        <w:t>II</w:t>
      </w:r>
      <w:r w:rsidR="00994911" w:rsidRPr="0022453B">
        <w:t xml:space="preserve"> міжнародн</w:t>
      </w:r>
      <w:r w:rsidR="001159F9" w:rsidRPr="0022453B">
        <w:t>ої</w:t>
      </w:r>
      <w:r w:rsidR="00994911" w:rsidRPr="0022453B">
        <w:t xml:space="preserve"> науково-практичн</w:t>
      </w:r>
      <w:r w:rsidR="008F0D0A" w:rsidRPr="0022453B">
        <w:t>ій</w:t>
      </w:r>
      <w:r w:rsidR="00994911" w:rsidRPr="0022453B">
        <w:t xml:space="preserve"> конференції</w:t>
      </w:r>
      <w:r w:rsidR="00F4078C" w:rsidRPr="0022453B">
        <w:t xml:space="preserve"> </w:t>
      </w:r>
      <w:r w:rsidR="005822B0">
        <w:t>«</w:t>
      </w:r>
      <w:r w:rsidR="00F4078C" w:rsidRPr="0022453B">
        <w:t>Проблеми, досягнення та перспективи розвитку медико-біологічних і</w:t>
      </w:r>
      <w:r w:rsidR="0022453B">
        <w:rPr>
          <w:lang w:val="ru-RU"/>
        </w:rPr>
        <w:t> </w:t>
      </w:r>
      <w:r w:rsidR="00F4078C" w:rsidRPr="0022453B">
        <w:t>спортивних наук</w:t>
      </w:r>
      <w:r w:rsidR="005822B0">
        <w:t>»</w:t>
      </w:r>
      <w:r w:rsidR="00F4078C" w:rsidRPr="0022453B">
        <w:t xml:space="preserve"> (</w:t>
      </w:r>
      <w:r w:rsidR="00E45A5F" w:rsidRPr="0022453B">
        <w:t xml:space="preserve">Україна, Миколаїв </w:t>
      </w:r>
      <w:r w:rsidR="00F4078C" w:rsidRPr="0022453B">
        <w:t>30 жовтня 2017</w:t>
      </w:r>
      <w:r w:rsidR="00804933">
        <w:t> </w:t>
      </w:r>
      <w:r w:rsidR="006F66C1" w:rsidRPr="0022453B">
        <w:t>р.</w:t>
      </w:r>
      <w:r w:rsidR="00F4078C" w:rsidRPr="0022453B">
        <w:t>), Всеукраїнськ</w:t>
      </w:r>
      <w:r w:rsidR="001159F9" w:rsidRPr="0022453B">
        <w:t>ої</w:t>
      </w:r>
      <w:r w:rsidR="00F4078C" w:rsidRPr="0022453B">
        <w:t xml:space="preserve"> науково-практичн</w:t>
      </w:r>
      <w:r w:rsidR="008F0D0A" w:rsidRPr="0022453B">
        <w:t>ій</w:t>
      </w:r>
      <w:r w:rsidR="00F4078C" w:rsidRPr="0022453B">
        <w:t xml:space="preserve"> конференції молодих вчених </w:t>
      </w:r>
      <w:r w:rsidR="005822B0">
        <w:t>«</w:t>
      </w:r>
      <w:r w:rsidR="00F4078C" w:rsidRPr="0022453B">
        <w:t>Медична наука в практику охорони здоров</w:t>
      </w:r>
      <w:r w:rsidR="00AF5C51" w:rsidRPr="0022453B">
        <w:t>’</w:t>
      </w:r>
      <w:r w:rsidR="00F4078C" w:rsidRPr="0022453B">
        <w:t>я</w:t>
      </w:r>
      <w:r w:rsidR="005822B0">
        <w:t>»</w:t>
      </w:r>
      <w:r w:rsidR="00F4078C" w:rsidRPr="0022453B">
        <w:t xml:space="preserve"> (</w:t>
      </w:r>
      <w:r w:rsidR="00E45A5F" w:rsidRPr="0022453B">
        <w:t xml:space="preserve">Україна, Полтава </w:t>
      </w:r>
      <w:r w:rsidR="00F4078C" w:rsidRPr="0022453B">
        <w:t>17 листопада 2017</w:t>
      </w:r>
      <w:r w:rsidR="00804933">
        <w:t> </w:t>
      </w:r>
      <w:r w:rsidR="00FA2EB7" w:rsidRPr="0022453B">
        <w:t>р.</w:t>
      </w:r>
      <w:r w:rsidR="00F4078C" w:rsidRPr="0022453B">
        <w:t xml:space="preserve">), </w:t>
      </w:r>
      <w:r w:rsidR="00F4078C" w:rsidRPr="0022453B">
        <w:rPr>
          <w:lang w:val="en-US"/>
        </w:rPr>
        <w:t>VI</w:t>
      </w:r>
      <w:r w:rsidR="008602FB">
        <w:t> </w:t>
      </w:r>
      <w:r w:rsidR="00F4078C" w:rsidRPr="0022453B">
        <w:t>Всеукраїнськ</w:t>
      </w:r>
      <w:r w:rsidR="001159F9" w:rsidRPr="0022453B">
        <w:t>ої</w:t>
      </w:r>
      <w:r w:rsidR="00F4078C" w:rsidRPr="0022453B">
        <w:t xml:space="preserve"> науково-практичн</w:t>
      </w:r>
      <w:r w:rsidR="001159F9" w:rsidRPr="0022453B">
        <w:t>ої</w:t>
      </w:r>
      <w:r w:rsidR="00F4078C" w:rsidRPr="0022453B">
        <w:t xml:space="preserve"> конференції </w:t>
      </w:r>
      <w:r w:rsidR="005822B0">
        <w:t>«</w:t>
      </w:r>
      <w:r w:rsidR="00F4078C" w:rsidRPr="0022453B">
        <w:t>Алергологи Слобожанщини</w:t>
      </w:r>
      <w:r w:rsidR="005822B0">
        <w:t>»</w:t>
      </w:r>
      <w:r w:rsidR="00F4078C" w:rsidRPr="0022453B">
        <w:t xml:space="preserve"> (</w:t>
      </w:r>
      <w:r w:rsidR="00E45A5F" w:rsidRPr="0022453B">
        <w:t>Україна, Харків</w:t>
      </w:r>
      <w:r w:rsidR="00F4078C" w:rsidRPr="0022453B">
        <w:t xml:space="preserve"> 12 квітня 2018</w:t>
      </w:r>
      <w:r w:rsidR="00FA2EB7" w:rsidRPr="0022453B">
        <w:t xml:space="preserve"> р.</w:t>
      </w:r>
      <w:r w:rsidR="00F4078C" w:rsidRPr="0022453B">
        <w:t>), ІІІ Національно</w:t>
      </w:r>
      <w:r w:rsidR="001159F9" w:rsidRPr="0022453B">
        <w:t>го</w:t>
      </w:r>
      <w:r w:rsidR="00F4078C" w:rsidRPr="0022453B">
        <w:t xml:space="preserve"> конгрес</w:t>
      </w:r>
      <w:r w:rsidR="001159F9" w:rsidRPr="0022453B">
        <w:t>у</w:t>
      </w:r>
      <w:r w:rsidR="00F4078C" w:rsidRPr="0022453B">
        <w:t xml:space="preserve"> з імунології, алергології та імунореабілітації</w:t>
      </w:r>
      <w:r w:rsidR="006F66C1" w:rsidRPr="0022453B">
        <w:t xml:space="preserve"> </w:t>
      </w:r>
      <w:r w:rsidR="00F4078C" w:rsidRPr="0022453B">
        <w:t>(</w:t>
      </w:r>
      <w:r w:rsidR="00E45A5F" w:rsidRPr="0022453B">
        <w:t>Україна, Дніпро</w:t>
      </w:r>
      <w:r w:rsidR="00F4078C" w:rsidRPr="0022453B">
        <w:t xml:space="preserve"> 17</w:t>
      </w:r>
      <w:r w:rsidR="00FA2EB7" w:rsidRPr="0022453B">
        <w:t>–</w:t>
      </w:r>
      <w:r w:rsidR="00F4078C" w:rsidRPr="0022453B">
        <w:t>19 квітня 2018</w:t>
      </w:r>
      <w:r w:rsidR="00FA2EB7" w:rsidRPr="0022453B">
        <w:t xml:space="preserve"> </w:t>
      </w:r>
      <w:r w:rsidR="006F66C1" w:rsidRPr="0022453B">
        <w:t>р.</w:t>
      </w:r>
      <w:r w:rsidR="00F4078C" w:rsidRPr="0022453B">
        <w:t>),</w:t>
      </w:r>
      <w:r w:rsidR="006F66C1" w:rsidRPr="0022453B">
        <w:t xml:space="preserve"> </w:t>
      </w:r>
      <w:r w:rsidR="00F4078C" w:rsidRPr="0022453B">
        <w:t>науково-практичн</w:t>
      </w:r>
      <w:r w:rsidR="008F0D0A" w:rsidRPr="0022453B">
        <w:t>ій</w:t>
      </w:r>
      <w:r w:rsidR="00F4078C" w:rsidRPr="0022453B">
        <w:t xml:space="preserve"> конференції, присвячен</w:t>
      </w:r>
      <w:r w:rsidR="001159F9" w:rsidRPr="0022453B">
        <w:t>ої</w:t>
      </w:r>
      <w:r w:rsidR="00F4078C" w:rsidRPr="0022453B">
        <w:t xml:space="preserve"> 80-річчю кафедри пропедевтики внутрішньої медицини №</w:t>
      </w:r>
      <w:r w:rsidR="006F66C1" w:rsidRPr="0022453B">
        <w:t> </w:t>
      </w:r>
      <w:r w:rsidR="00F4078C" w:rsidRPr="0022453B">
        <w:t>2 т</w:t>
      </w:r>
      <w:r w:rsidR="006F66C1" w:rsidRPr="0022453B">
        <w:t>а</w:t>
      </w:r>
      <w:r w:rsidR="00F4078C" w:rsidRPr="0022453B">
        <w:t xml:space="preserve"> медсестринства ХНМУ </w:t>
      </w:r>
      <w:r w:rsidR="005822B0">
        <w:t>«</w:t>
      </w:r>
      <w:r w:rsidR="00F4078C" w:rsidRPr="0022453B">
        <w:t>Коморбідність: міжд</w:t>
      </w:r>
      <w:r w:rsidR="006F66C1" w:rsidRPr="0022453B">
        <w:t>и</w:t>
      </w:r>
      <w:r w:rsidR="00F4078C" w:rsidRPr="0022453B">
        <w:t>сциплінарні аспекти та сучасний пацієнт</w:t>
      </w:r>
      <w:r w:rsidR="005822B0">
        <w:t>»</w:t>
      </w:r>
      <w:r w:rsidR="00FA2EB7" w:rsidRPr="0022453B">
        <w:t xml:space="preserve"> </w:t>
      </w:r>
      <w:r w:rsidR="00F4078C" w:rsidRPr="0022453B">
        <w:t>(</w:t>
      </w:r>
      <w:r w:rsidR="0083008F" w:rsidRPr="0022453B">
        <w:t>Україна, Харків</w:t>
      </w:r>
      <w:r w:rsidR="00F4078C" w:rsidRPr="0022453B">
        <w:t xml:space="preserve"> 27 вересня 2018</w:t>
      </w:r>
      <w:r w:rsidR="008602FB">
        <w:t> </w:t>
      </w:r>
      <w:r w:rsidR="00FA2EB7" w:rsidRPr="0022453B">
        <w:t>р.</w:t>
      </w:r>
      <w:r w:rsidR="00F4078C" w:rsidRPr="0022453B">
        <w:t>), І Національно</w:t>
      </w:r>
      <w:r w:rsidR="001159F9" w:rsidRPr="0022453B">
        <w:t>го</w:t>
      </w:r>
      <w:r w:rsidR="00F4078C" w:rsidRPr="0022453B">
        <w:t xml:space="preserve"> конгрес</w:t>
      </w:r>
      <w:r w:rsidR="001159F9" w:rsidRPr="0022453B">
        <w:t>у</w:t>
      </w:r>
      <w:r w:rsidR="00F4078C" w:rsidRPr="0022453B">
        <w:t xml:space="preserve"> пульмонологів України (</w:t>
      </w:r>
      <w:r w:rsidR="0083008F" w:rsidRPr="0022453B">
        <w:t>Україна, Київ</w:t>
      </w:r>
      <w:r w:rsidR="00F4078C" w:rsidRPr="0022453B">
        <w:t xml:space="preserve"> 18</w:t>
      </w:r>
      <w:r w:rsidR="00FA2EB7" w:rsidRPr="0022453B">
        <w:t>–</w:t>
      </w:r>
      <w:r w:rsidR="00F4078C" w:rsidRPr="0022453B">
        <w:t>19</w:t>
      </w:r>
      <w:r w:rsidR="008602FB">
        <w:t> </w:t>
      </w:r>
      <w:r w:rsidR="00F4078C" w:rsidRPr="0022453B">
        <w:t>жовтня 2018</w:t>
      </w:r>
      <w:r w:rsidR="00FA2EB7" w:rsidRPr="0022453B">
        <w:t xml:space="preserve"> р.</w:t>
      </w:r>
      <w:r w:rsidR="00F4078C" w:rsidRPr="0022453B">
        <w:t>).</w:t>
      </w:r>
    </w:p>
    <w:p w:rsidR="00143A50" w:rsidRPr="0022453B" w:rsidRDefault="00143A50" w:rsidP="00CD5061">
      <w:pPr>
        <w:pStyle w:val="atextRef"/>
        <w:spacing w:line="288" w:lineRule="auto"/>
      </w:pPr>
      <w:r w:rsidRPr="0022453B">
        <w:rPr>
          <w:b/>
        </w:rPr>
        <w:t>Публікації.</w:t>
      </w:r>
      <w:r w:rsidR="006F66C1" w:rsidRPr="0022453B">
        <w:rPr>
          <w:b/>
        </w:rPr>
        <w:t xml:space="preserve"> </w:t>
      </w:r>
      <w:r w:rsidRPr="0022453B">
        <w:t xml:space="preserve">Основні положення дисертаційної роботи </w:t>
      </w:r>
      <w:r w:rsidR="006F66C1" w:rsidRPr="0022453B">
        <w:t>подано</w:t>
      </w:r>
      <w:r w:rsidRPr="0022453B">
        <w:t xml:space="preserve"> в</w:t>
      </w:r>
      <w:r w:rsidR="0022453B">
        <w:rPr>
          <w:lang w:val="ru-RU"/>
        </w:rPr>
        <w:t> </w:t>
      </w:r>
      <w:r w:rsidR="00BB0985" w:rsidRPr="0022453B">
        <w:t>5</w:t>
      </w:r>
      <w:r w:rsidR="00946A0E" w:rsidRPr="0022453B">
        <w:rPr>
          <w:lang w:val="ru-RU"/>
        </w:rPr>
        <w:t>6</w:t>
      </w:r>
      <w:r w:rsidR="0022453B">
        <w:rPr>
          <w:lang w:val="ru-RU"/>
        </w:rPr>
        <w:t> </w:t>
      </w:r>
      <w:r w:rsidRPr="0022453B">
        <w:t>друкованих наукових працях</w:t>
      </w:r>
      <w:r w:rsidR="005822B0">
        <w:t xml:space="preserve">; </w:t>
      </w:r>
      <w:r w:rsidRPr="0022453B">
        <w:t>за темою дисертації</w:t>
      </w:r>
      <w:r w:rsidR="005822B0">
        <w:t xml:space="preserve">; </w:t>
      </w:r>
      <w:r w:rsidR="00EC4A08" w:rsidRPr="0022453B">
        <w:t xml:space="preserve">з них </w:t>
      </w:r>
      <w:r w:rsidR="000965A9" w:rsidRPr="0022453B">
        <w:t>2</w:t>
      </w:r>
      <w:r w:rsidR="00232C2F" w:rsidRPr="0022453B">
        <w:rPr>
          <w:lang w:val="ru-RU"/>
        </w:rPr>
        <w:t>3</w:t>
      </w:r>
      <w:r w:rsidRPr="0022453B">
        <w:t xml:space="preserve"> статт</w:t>
      </w:r>
      <w:r w:rsidR="000965A9" w:rsidRPr="0022453B">
        <w:t>і</w:t>
      </w:r>
      <w:r w:rsidRPr="0022453B">
        <w:t xml:space="preserve">, </w:t>
      </w:r>
      <w:r w:rsidR="0022453B">
        <w:rPr>
          <w:lang w:val="ru-RU"/>
        </w:rPr>
        <w:t>у </w:t>
      </w:r>
      <w:r w:rsidR="00EC4A08" w:rsidRPr="0022453B">
        <w:t>тому числі</w:t>
      </w:r>
      <w:r w:rsidR="0022453B">
        <w:t xml:space="preserve"> </w:t>
      </w:r>
      <w:r w:rsidR="0089761F" w:rsidRPr="0022453B">
        <w:t>17</w:t>
      </w:r>
      <w:r w:rsidR="0022453B">
        <w:t xml:space="preserve"> </w:t>
      </w:r>
      <w:r w:rsidRPr="0022453B">
        <w:t xml:space="preserve">у </w:t>
      </w:r>
      <w:r w:rsidR="00EC4A08" w:rsidRPr="0022453B">
        <w:t>фахових виданнях</w:t>
      </w:r>
      <w:r w:rsidRPr="0022453B">
        <w:t xml:space="preserve"> України, </w:t>
      </w:r>
      <w:r w:rsidR="00B5479B" w:rsidRPr="0022453B">
        <w:t>5</w:t>
      </w:r>
      <w:r w:rsidRPr="0022453B">
        <w:t xml:space="preserve"> </w:t>
      </w:r>
      <w:r w:rsidR="00EC4A08" w:rsidRPr="0022453B">
        <w:t>статей</w:t>
      </w:r>
      <w:r w:rsidR="0022453B">
        <w:t xml:space="preserve"> </w:t>
      </w:r>
      <w:r w:rsidR="00FA2EB7" w:rsidRPr="0022453B">
        <w:t>у</w:t>
      </w:r>
      <w:r w:rsidRPr="0022453B">
        <w:t xml:space="preserve"> </w:t>
      </w:r>
      <w:r w:rsidR="00EC4A08" w:rsidRPr="0022453B">
        <w:t>іноземних</w:t>
      </w:r>
      <w:r w:rsidRPr="0022453B">
        <w:t xml:space="preserve"> виданнях</w:t>
      </w:r>
      <w:r w:rsidR="0089761F" w:rsidRPr="0022453B">
        <w:t xml:space="preserve">, </w:t>
      </w:r>
      <w:r w:rsidR="00EC4A08" w:rsidRPr="0022453B">
        <w:t>1</w:t>
      </w:r>
      <w:r w:rsidR="0022453B">
        <w:rPr>
          <w:lang w:val="ru-RU"/>
        </w:rPr>
        <w:t> </w:t>
      </w:r>
      <w:r w:rsidR="00EC4A08" w:rsidRPr="0022453B">
        <w:t>стаття</w:t>
      </w:r>
      <w:r w:rsidR="00EC226A" w:rsidRPr="0022453B">
        <w:t xml:space="preserve"> в</w:t>
      </w:r>
      <w:r w:rsidR="008602FB">
        <w:t> </w:t>
      </w:r>
      <w:r w:rsidR="008F0D0A" w:rsidRPr="0022453B">
        <w:t xml:space="preserve">іншому медичному </w:t>
      </w:r>
      <w:r w:rsidR="00EC4A08" w:rsidRPr="0022453B">
        <w:t>виданні, о</w:t>
      </w:r>
      <w:r w:rsidR="00A169F0" w:rsidRPr="0022453B">
        <w:t xml:space="preserve">тримано </w:t>
      </w:r>
      <w:r w:rsidR="00A169F0" w:rsidRPr="0022453B">
        <w:rPr>
          <w:lang w:val="ru-RU"/>
        </w:rPr>
        <w:t>2</w:t>
      </w:r>
      <w:r w:rsidR="00A169F0" w:rsidRPr="0022453B">
        <w:t xml:space="preserve"> патент</w:t>
      </w:r>
      <w:r w:rsidR="001159F9" w:rsidRPr="0022453B">
        <w:rPr>
          <w:lang w:val="ru-RU"/>
        </w:rPr>
        <w:t>и</w:t>
      </w:r>
      <w:r w:rsidR="008F0D0A" w:rsidRPr="0022453B">
        <w:t xml:space="preserve"> України на</w:t>
      </w:r>
      <w:r w:rsidR="0022453B">
        <w:rPr>
          <w:lang w:val="ru-RU"/>
        </w:rPr>
        <w:t> </w:t>
      </w:r>
      <w:r w:rsidR="008F0D0A" w:rsidRPr="0022453B">
        <w:t>винахо</w:t>
      </w:r>
      <w:r w:rsidR="00A169F0" w:rsidRPr="0022453B">
        <w:t>д</w:t>
      </w:r>
      <w:r w:rsidR="008F0D0A" w:rsidRPr="0022453B">
        <w:t>и</w:t>
      </w:r>
      <w:r w:rsidR="00A169F0" w:rsidRPr="0022453B">
        <w:t>. Здобув</w:t>
      </w:r>
      <w:r w:rsidR="00EC4A08" w:rsidRPr="0022453B">
        <w:t>ач має 11 робіт у моноавторстві</w:t>
      </w:r>
      <w:r w:rsidR="00A169F0" w:rsidRPr="0022453B">
        <w:t xml:space="preserve"> </w:t>
      </w:r>
      <w:r w:rsidR="00EC4A08" w:rsidRPr="0022453B">
        <w:t>та</w:t>
      </w:r>
      <w:r w:rsidR="00A169F0" w:rsidRPr="0022453B">
        <w:t xml:space="preserve"> </w:t>
      </w:r>
      <w:r w:rsidR="00F8766F" w:rsidRPr="0022453B">
        <w:rPr>
          <w:lang w:val="ru-RU"/>
        </w:rPr>
        <w:t>31</w:t>
      </w:r>
      <w:r w:rsidR="00A169F0" w:rsidRPr="0022453B">
        <w:t xml:space="preserve"> тез</w:t>
      </w:r>
      <w:r w:rsidR="008F0D0A" w:rsidRPr="0022453B">
        <w:t>и</w:t>
      </w:r>
      <w:r w:rsidR="00A169F0" w:rsidRPr="0022453B">
        <w:t xml:space="preserve"> у матеріалах вітчизняних та закордонних </w:t>
      </w:r>
      <w:r w:rsidR="00D70F66" w:rsidRPr="0022453B">
        <w:t xml:space="preserve">конгресів та науково-практичних </w:t>
      </w:r>
      <w:r w:rsidR="00A169F0" w:rsidRPr="0022453B">
        <w:t>конференцій.</w:t>
      </w:r>
    </w:p>
    <w:p w:rsidR="00143A50" w:rsidRPr="0022453B" w:rsidRDefault="004F30A7" w:rsidP="00CD5061">
      <w:pPr>
        <w:spacing w:after="0" w:line="288" w:lineRule="auto"/>
        <w:ind w:firstLine="720"/>
        <w:jc w:val="both"/>
        <w:rPr>
          <w:rFonts w:ascii="Times New Roman" w:hAnsi="Times New Roman"/>
          <w:sz w:val="28"/>
          <w:szCs w:val="28"/>
        </w:rPr>
      </w:pPr>
      <w:r w:rsidRPr="0022453B">
        <w:rPr>
          <w:rFonts w:ascii="Times New Roman" w:hAnsi="Times New Roman"/>
          <w:b/>
          <w:sz w:val="28"/>
          <w:szCs w:val="28"/>
        </w:rPr>
        <w:t>Обсяг та структура дисертації.</w:t>
      </w:r>
      <w:r w:rsidR="00A127EB" w:rsidRPr="0022453B">
        <w:rPr>
          <w:rFonts w:ascii="Times New Roman" w:hAnsi="Times New Roman"/>
          <w:sz w:val="28"/>
          <w:szCs w:val="28"/>
        </w:rPr>
        <w:t xml:space="preserve"> </w:t>
      </w:r>
      <w:r w:rsidR="00143A50" w:rsidRPr="0022453B">
        <w:rPr>
          <w:rFonts w:ascii="Times New Roman" w:hAnsi="Times New Roman"/>
          <w:sz w:val="28"/>
          <w:szCs w:val="28"/>
        </w:rPr>
        <w:t xml:space="preserve">Дисертація викладена на </w:t>
      </w:r>
      <w:r w:rsidR="00F8766F" w:rsidRPr="0022453B">
        <w:rPr>
          <w:rFonts w:ascii="Times New Roman" w:hAnsi="Times New Roman"/>
          <w:sz w:val="28"/>
          <w:szCs w:val="28"/>
          <w:lang w:val="ru-RU"/>
        </w:rPr>
        <w:t>3</w:t>
      </w:r>
      <w:r w:rsidR="00D36EA2" w:rsidRPr="00D36EA2">
        <w:rPr>
          <w:rFonts w:ascii="Times New Roman" w:hAnsi="Times New Roman"/>
          <w:sz w:val="28"/>
          <w:szCs w:val="28"/>
          <w:lang w:val="ru-RU"/>
        </w:rPr>
        <w:t>49</w:t>
      </w:r>
      <w:r w:rsidR="0022453B">
        <w:rPr>
          <w:rFonts w:ascii="Times New Roman" w:hAnsi="Times New Roman"/>
          <w:sz w:val="28"/>
          <w:szCs w:val="28"/>
          <w:lang w:val="ru-RU"/>
        </w:rPr>
        <w:t> </w:t>
      </w:r>
      <w:r w:rsidR="00143A50" w:rsidRPr="0022453B">
        <w:rPr>
          <w:rFonts w:ascii="Times New Roman" w:hAnsi="Times New Roman"/>
          <w:sz w:val="28"/>
          <w:szCs w:val="28"/>
        </w:rPr>
        <w:t xml:space="preserve">сторінках друкованого тексту, ілюстрована </w:t>
      </w:r>
      <w:r w:rsidR="0083739E">
        <w:rPr>
          <w:rFonts w:ascii="Times New Roman" w:hAnsi="Times New Roman"/>
          <w:sz w:val="28"/>
          <w:szCs w:val="28"/>
        </w:rPr>
        <w:t>46</w:t>
      </w:r>
      <w:r w:rsidR="00143A50" w:rsidRPr="0022453B">
        <w:rPr>
          <w:rFonts w:ascii="Times New Roman" w:hAnsi="Times New Roman"/>
          <w:sz w:val="28"/>
          <w:szCs w:val="28"/>
        </w:rPr>
        <w:t xml:space="preserve"> рисунком, містить </w:t>
      </w:r>
      <w:r w:rsidR="0083739E">
        <w:rPr>
          <w:rFonts w:ascii="Times New Roman" w:hAnsi="Times New Roman"/>
          <w:sz w:val="28"/>
          <w:szCs w:val="28"/>
        </w:rPr>
        <w:t>8</w:t>
      </w:r>
      <w:r w:rsidR="0072368E">
        <w:rPr>
          <w:rFonts w:ascii="Times New Roman" w:hAnsi="Times New Roman"/>
          <w:sz w:val="28"/>
          <w:szCs w:val="28"/>
        </w:rPr>
        <w:t>8</w:t>
      </w:r>
      <w:r w:rsidR="0022453B">
        <w:rPr>
          <w:rFonts w:ascii="Times New Roman" w:hAnsi="Times New Roman"/>
          <w:sz w:val="28"/>
          <w:szCs w:val="28"/>
          <w:lang w:val="ru-RU"/>
        </w:rPr>
        <w:t> </w:t>
      </w:r>
      <w:r w:rsidR="00143A50" w:rsidRPr="0022453B">
        <w:rPr>
          <w:rFonts w:ascii="Times New Roman" w:hAnsi="Times New Roman"/>
          <w:sz w:val="28"/>
          <w:szCs w:val="28"/>
        </w:rPr>
        <w:t xml:space="preserve">таблиць. Складається </w:t>
      </w:r>
      <w:r w:rsidR="00143A50" w:rsidRPr="0022453B">
        <w:rPr>
          <w:rFonts w:ascii="Times New Roman" w:hAnsi="Times New Roman"/>
          <w:sz w:val="28"/>
          <w:szCs w:val="28"/>
        </w:rPr>
        <w:lastRenderedPageBreak/>
        <w:t xml:space="preserve">зі вступу, огляду літератури, </w:t>
      </w:r>
      <w:r w:rsidR="007E2DDA" w:rsidRPr="0022453B">
        <w:rPr>
          <w:rFonts w:ascii="Times New Roman" w:hAnsi="Times New Roman"/>
          <w:sz w:val="28"/>
          <w:szCs w:val="28"/>
        </w:rPr>
        <w:t>м</w:t>
      </w:r>
      <w:r w:rsidR="00FA7009" w:rsidRPr="0022453B">
        <w:rPr>
          <w:rFonts w:ascii="Times New Roman" w:hAnsi="Times New Roman"/>
          <w:sz w:val="28"/>
          <w:szCs w:val="28"/>
        </w:rPr>
        <w:t>атеріалів та методів</w:t>
      </w:r>
      <w:r w:rsidR="00143A50" w:rsidRPr="0022453B">
        <w:rPr>
          <w:rFonts w:ascii="Times New Roman" w:hAnsi="Times New Roman"/>
          <w:sz w:val="28"/>
          <w:szCs w:val="28"/>
        </w:rPr>
        <w:t xml:space="preserve"> дослідження, </w:t>
      </w:r>
      <w:r w:rsidR="003E2C7D">
        <w:rPr>
          <w:rFonts w:ascii="Times New Roman" w:hAnsi="Times New Roman"/>
          <w:sz w:val="28"/>
          <w:szCs w:val="28"/>
        </w:rPr>
        <w:t>шести</w:t>
      </w:r>
      <w:r w:rsidR="008F0D0A" w:rsidRPr="0022453B">
        <w:rPr>
          <w:rFonts w:ascii="Times New Roman" w:hAnsi="Times New Roman"/>
          <w:sz w:val="28"/>
          <w:szCs w:val="28"/>
        </w:rPr>
        <w:t xml:space="preserve"> </w:t>
      </w:r>
      <w:r w:rsidR="00143A50" w:rsidRPr="0022453B">
        <w:rPr>
          <w:rFonts w:ascii="Times New Roman" w:hAnsi="Times New Roman"/>
          <w:sz w:val="28"/>
          <w:szCs w:val="28"/>
        </w:rPr>
        <w:t xml:space="preserve">розділів власних досліджень, аналізу </w:t>
      </w:r>
      <w:r w:rsidR="00815CBE">
        <w:rPr>
          <w:rFonts w:ascii="Times New Roman" w:hAnsi="Times New Roman"/>
          <w:sz w:val="28"/>
          <w:szCs w:val="28"/>
        </w:rPr>
        <w:t>й</w:t>
      </w:r>
      <w:r w:rsidR="00143A50" w:rsidRPr="0022453B">
        <w:rPr>
          <w:rFonts w:ascii="Times New Roman" w:hAnsi="Times New Roman"/>
          <w:sz w:val="28"/>
          <w:szCs w:val="28"/>
        </w:rPr>
        <w:t xml:space="preserve"> узагальнен</w:t>
      </w:r>
      <w:r w:rsidR="00815CBE">
        <w:rPr>
          <w:rFonts w:ascii="Times New Roman" w:hAnsi="Times New Roman"/>
          <w:sz w:val="28"/>
          <w:szCs w:val="28"/>
        </w:rPr>
        <w:t>ня</w:t>
      </w:r>
      <w:r w:rsidR="00143A50" w:rsidRPr="0022453B">
        <w:rPr>
          <w:rFonts w:ascii="Times New Roman" w:hAnsi="Times New Roman"/>
          <w:sz w:val="28"/>
          <w:szCs w:val="28"/>
        </w:rPr>
        <w:t xml:space="preserve"> отриманих результатів, висновків, практичних рекомендацій, переліку літератури, що </w:t>
      </w:r>
      <w:r w:rsidR="008F0D0A" w:rsidRPr="0022453B">
        <w:rPr>
          <w:rFonts w:ascii="Times New Roman" w:hAnsi="Times New Roman"/>
          <w:sz w:val="28"/>
          <w:szCs w:val="28"/>
        </w:rPr>
        <w:t>складає</w:t>
      </w:r>
      <w:r w:rsidR="00143A50" w:rsidRPr="0022453B">
        <w:rPr>
          <w:rFonts w:ascii="Times New Roman" w:hAnsi="Times New Roman"/>
          <w:sz w:val="28"/>
          <w:szCs w:val="28"/>
        </w:rPr>
        <w:t xml:space="preserve"> </w:t>
      </w:r>
      <w:r w:rsidR="00946A0E" w:rsidRPr="0022453B">
        <w:rPr>
          <w:rFonts w:ascii="Times New Roman" w:hAnsi="Times New Roman"/>
          <w:sz w:val="28"/>
          <w:szCs w:val="28"/>
        </w:rPr>
        <w:t>439</w:t>
      </w:r>
      <w:r w:rsidR="00143A50" w:rsidRPr="0022453B">
        <w:rPr>
          <w:rFonts w:ascii="Times New Roman" w:hAnsi="Times New Roman"/>
          <w:sz w:val="28"/>
          <w:szCs w:val="28"/>
        </w:rPr>
        <w:t xml:space="preserve"> джерел (</w:t>
      </w:r>
      <w:r w:rsidR="00F8766F" w:rsidRPr="0022453B">
        <w:rPr>
          <w:rFonts w:ascii="Times New Roman" w:hAnsi="Times New Roman"/>
          <w:sz w:val="28"/>
          <w:szCs w:val="28"/>
        </w:rPr>
        <w:t>1</w:t>
      </w:r>
      <w:r w:rsidR="00C11743" w:rsidRPr="0022453B">
        <w:rPr>
          <w:rFonts w:ascii="Times New Roman" w:hAnsi="Times New Roman"/>
          <w:sz w:val="28"/>
          <w:szCs w:val="28"/>
        </w:rPr>
        <w:t>61</w:t>
      </w:r>
      <w:r w:rsidR="008602FB">
        <w:rPr>
          <w:rFonts w:ascii="Times New Roman" w:hAnsi="Times New Roman"/>
          <w:sz w:val="28"/>
          <w:szCs w:val="28"/>
        </w:rPr>
        <w:t> </w:t>
      </w:r>
      <w:r w:rsidR="00143A50" w:rsidRPr="0022453B">
        <w:rPr>
          <w:rFonts w:ascii="Times New Roman" w:hAnsi="Times New Roman"/>
          <w:sz w:val="28"/>
          <w:szCs w:val="28"/>
        </w:rPr>
        <w:t xml:space="preserve">кирилицею та </w:t>
      </w:r>
      <w:r w:rsidR="00F8766F" w:rsidRPr="0022453B">
        <w:rPr>
          <w:rFonts w:ascii="Times New Roman" w:hAnsi="Times New Roman"/>
          <w:sz w:val="28"/>
          <w:szCs w:val="28"/>
        </w:rPr>
        <w:t>2</w:t>
      </w:r>
      <w:r w:rsidR="00946A0E" w:rsidRPr="0022453B">
        <w:rPr>
          <w:rFonts w:ascii="Times New Roman" w:hAnsi="Times New Roman"/>
          <w:sz w:val="28"/>
          <w:szCs w:val="28"/>
        </w:rPr>
        <w:t>7</w:t>
      </w:r>
      <w:r w:rsidR="00C11743" w:rsidRPr="0022453B">
        <w:rPr>
          <w:rFonts w:ascii="Times New Roman" w:hAnsi="Times New Roman"/>
          <w:sz w:val="28"/>
          <w:szCs w:val="28"/>
        </w:rPr>
        <w:t>8</w:t>
      </w:r>
      <w:r w:rsidR="00143A50" w:rsidRPr="0022453B">
        <w:rPr>
          <w:rFonts w:ascii="Times New Roman" w:hAnsi="Times New Roman"/>
          <w:sz w:val="28"/>
          <w:szCs w:val="28"/>
        </w:rPr>
        <w:t xml:space="preserve"> латиницею)</w:t>
      </w:r>
      <w:r w:rsidR="0072368E">
        <w:rPr>
          <w:rFonts w:ascii="Times New Roman" w:hAnsi="Times New Roman"/>
          <w:sz w:val="28"/>
          <w:szCs w:val="28"/>
        </w:rPr>
        <w:t>, одного додатку</w:t>
      </w:r>
      <w:r w:rsidR="00D36EA2">
        <w:rPr>
          <w:rFonts w:ascii="Times New Roman" w:hAnsi="Times New Roman"/>
          <w:sz w:val="28"/>
          <w:szCs w:val="28"/>
        </w:rPr>
        <w:t>.</w:t>
      </w:r>
      <w:r w:rsidR="007E2DDA" w:rsidRPr="0022453B">
        <w:rPr>
          <w:rFonts w:ascii="Times New Roman" w:hAnsi="Times New Roman"/>
          <w:sz w:val="28"/>
          <w:szCs w:val="28"/>
        </w:rPr>
        <w:t xml:space="preserve"> </w:t>
      </w:r>
      <w:r w:rsidR="00D36EA2" w:rsidRPr="0022453B">
        <w:rPr>
          <w:rFonts w:ascii="Times New Roman" w:hAnsi="Times New Roman"/>
          <w:sz w:val="28"/>
          <w:szCs w:val="28"/>
        </w:rPr>
        <w:t>О</w:t>
      </w:r>
      <w:r w:rsidR="005E6C30" w:rsidRPr="0022453B">
        <w:rPr>
          <w:rFonts w:ascii="Times New Roman" w:hAnsi="Times New Roman"/>
          <w:sz w:val="28"/>
          <w:szCs w:val="28"/>
        </w:rPr>
        <w:t xml:space="preserve">сновний зміст займає </w:t>
      </w:r>
      <w:r w:rsidR="00D36EA2" w:rsidRPr="00D36EA2">
        <w:rPr>
          <w:rFonts w:ascii="Times New Roman" w:hAnsi="Times New Roman"/>
          <w:sz w:val="28"/>
          <w:szCs w:val="28"/>
        </w:rPr>
        <w:t>294</w:t>
      </w:r>
      <w:r w:rsidR="005E6C30" w:rsidRPr="0022453B">
        <w:rPr>
          <w:rFonts w:ascii="Times New Roman" w:hAnsi="Times New Roman"/>
          <w:sz w:val="28"/>
          <w:szCs w:val="28"/>
        </w:rPr>
        <w:t xml:space="preserve"> сторін</w:t>
      </w:r>
      <w:r w:rsidR="00D36EA2">
        <w:rPr>
          <w:rFonts w:ascii="Times New Roman" w:hAnsi="Times New Roman"/>
          <w:sz w:val="28"/>
          <w:szCs w:val="28"/>
        </w:rPr>
        <w:t>ки</w:t>
      </w:r>
      <w:r w:rsidR="005E6C30" w:rsidRPr="0022453B">
        <w:rPr>
          <w:rFonts w:ascii="Times New Roman" w:hAnsi="Times New Roman"/>
          <w:sz w:val="28"/>
          <w:szCs w:val="28"/>
        </w:rPr>
        <w:t>.</w:t>
      </w:r>
    </w:p>
    <w:p w:rsidR="00386014" w:rsidRPr="00D36EA2" w:rsidRDefault="00386014" w:rsidP="00CD5061">
      <w:pPr>
        <w:pStyle w:val="arefZag"/>
        <w:spacing w:before="0" w:after="0" w:line="288" w:lineRule="auto"/>
      </w:pPr>
    </w:p>
    <w:p w:rsidR="002D1028" w:rsidRPr="0022453B" w:rsidRDefault="003B1AE1" w:rsidP="00CD5061">
      <w:pPr>
        <w:pStyle w:val="arefZag"/>
        <w:spacing w:before="0" w:line="288" w:lineRule="auto"/>
      </w:pPr>
      <w:r w:rsidRPr="0022453B">
        <w:t>ОСНОВНИЙ ЗМІСТ РОБОТИ</w:t>
      </w:r>
    </w:p>
    <w:p w:rsidR="00122151" w:rsidRPr="0022453B" w:rsidRDefault="00D731CC" w:rsidP="00CD5061">
      <w:pPr>
        <w:pStyle w:val="atextRef"/>
        <w:spacing w:line="288" w:lineRule="auto"/>
      </w:pPr>
      <w:r w:rsidRPr="0022453B">
        <w:rPr>
          <w:b/>
        </w:rPr>
        <w:t>Матеріали та методи дослідження</w:t>
      </w:r>
      <w:r w:rsidRPr="0022453B">
        <w:t xml:space="preserve">. </w:t>
      </w:r>
      <w:r w:rsidR="008666D9" w:rsidRPr="0022453B">
        <w:t>У дослідження</w:t>
      </w:r>
      <w:r w:rsidR="00860A99" w:rsidRPr="0022453B">
        <w:t xml:space="preserve"> було залучено 252</w:t>
      </w:r>
      <w:r w:rsidR="0022453B" w:rsidRPr="0022453B">
        <w:t> </w:t>
      </w:r>
      <w:r w:rsidR="00262C6D" w:rsidRPr="0022453B">
        <w:t xml:space="preserve">хворих на </w:t>
      </w:r>
      <w:r w:rsidR="00DF0C57" w:rsidRPr="0022453B">
        <w:t xml:space="preserve">неконтрольовану БА </w:t>
      </w:r>
      <w:r w:rsidR="00860A99" w:rsidRPr="0022453B">
        <w:t>середньо</w:t>
      </w:r>
      <w:r w:rsidR="006F66C1" w:rsidRPr="0022453B">
        <w:t>тя</w:t>
      </w:r>
      <w:r w:rsidR="00B031C5" w:rsidRPr="0022453B">
        <w:t xml:space="preserve">жкого перебігу. </w:t>
      </w:r>
      <w:r w:rsidR="00860A99" w:rsidRPr="0022453B">
        <w:t>Нозологічн</w:t>
      </w:r>
      <w:r w:rsidR="00DF0C57" w:rsidRPr="0022453B">
        <w:t>а</w:t>
      </w:r>
      <w:r w:rsidR="00860A99" w:rsidRPr="0022453B">
        <w:t xml:space="preserve"> структур</w:t>
      </w:r>
      <w:r w:rsidR="00DF0C57" w:rsidRPr="0022453B">
        <w:t>а</w:t>
      </w:r>
      <w:r w:rsidR="00860A99" w:rsidRPr="0022453B">
        <w:t xml:space="preserve"> обстеженого контингенту</w:t>
      </w:r>
      <w:r w:rsidR="008B119D" w:rsidRPr="0022453B">
        <w:t xml:space="preserve">: </w:t>
      </w:r>
      <w:r w:rsidR="00860A99" w:rsidRPr="0022453B">
        <w:t xml:space="preserve">основна група </w:t>
      </w:r>
      <w:r w:rsidR="00262C6D" w:rsidRPr="0022453B">
        <w:t>склала</w:t>
      </w:r>
      <w:r w:rsidR="008B119D" w:rsidRPr="0022453B">
        <w:t xml:space="preserve"> </w:t>
      </w:r>
      <w:r w:rsidR="00CD22CE" w:rsidRPr="0022453B">
        <w:t>–</w:t>
      </w:r>
      <w:r w:rsidR="00DF0C57" w:rsidRPr="0022453B">
        <w:t xml:space="preserve"> </w:t>
      </w:r>
      <w:r w:rsidR="00860A99" w:rsidRPr="0022453B">
        <w:t xml:space="preserve">190 </w:t>
      </w:r>
      <w:r w:rsidR="008B119D" w:rsidRPr="0022453B">
        <w:t>пацієнтів</w:t>
      </w:r>
      <w:r w:rsidR="00262C6D" w:rsidRPr="0022453B">
        <w:t>,</w:t>
      </w:r>
      <w:r w:rsidR="00860A99" w:rsidRPr="0022453B">
        <w:t xml:space="preserve"> </w:t>
      </w:r>
      <w:r w:rsidR="00DF0C57" w:rsidRPr="0022453B">
        <w:t xml:space="preserve">серед яких </w:t>
      </w:r>
      <w:r w:rsidR="00860A99" w:rsidRPr="0022453B">
        <w:t>БА</w:t>
      </w:r>
      <w:r w:rsidR="000B77BB" w:rsidRPr="0022453B">
        <w:t> </w:t>
      </w:r>
      <w:r w:rsidR="00860A99" w:rsidRPr="0022453B">
        <w:t>+</w:t>
      </w:r>
      <w:r w:rsidR="000B77BB" w:rsidRPr="0022453B">
        <w:t> </w:t>
      </w:r>
      <w:r w:rsidR="00860A99" w:rsidRPr="0022453B">
        <w:t>ЦД2Т</w:t>
      </w:r>
      <w:r w:rsidR="000B77BB" w:rsidRPr="0022453B">
        <w:t xml:space="preserve"> </w:t>
      </w:r>
      <w:r w:rsidR="00CD22CE" w:rsidRPr="0022453B">
        <w:t>–</w:t>
      </w:r>
      <w:r w:rsidR="00860A99" w:rsidRPr="0022453B">
        <w:t xml:space="preserve"> 105 хворих</w:t>
      </w:r>
      <w:r w:rsidR="00DF0C57" w:rsidRPr="0022453B">
        <w:t>,</w:t>
      </w:r>
      <w:r w:rsidR="00860A99" w:rsidRPr="0022453B">
        <w:t xml:space="preserve"> БА</w:t>
      </w:r>
      <w:r w:rsidR="000B77BB" w:rsidRPr="0022453B">
        <w:t> </w:t>
      </w:r>
      <w:r w:rsidR="00860A99" w:rsidRPr="0022453B">
        <w:t>+</w:t>
      </w:r>
      <w:r w:rsidR="000B77BB" w:rsidRPr="0022453B">
        <w:t> </w:t>
      </w:r>
      <w:r w:rsidR="00860A99" w:rsidRPr="0022453B">
        <w:t>О</w:t>
      </w:r>
      <w:r w:rsidR="00A96FD5" w:rsidRPr="0022453B">
        <w:t>ж</w:t>
      </w:r>
      <w:r w:rsidR="00860A99" w:rsidRPr="0022453B">
        <w:t xml:space="preserve"> </w:t>
      </w:r>
      <w:r w:rsidR="00CD22CE" w:rsidRPr="0022453B">
        <w:t>–</w:t>
      </w:r>
      <w:r w:rsidR="00860A99" w:rsidRPr="0022453B">
        <w:t xml:space="preserve"> 85 хворих і група порівняння</w:t>
      </w:r>
      <w:r w:rsidR="0022453B" w:rsidRPr="0022453B">
        <w:t> –</w:t>
      </w:r>
      <w:r w:rsidR="00860A99" w:rsidRPr="0022453B">
        <w:t xml:space="preserve"> </w:t>
      </w:r>
      <w:r w:rsidR="00DF0C57" w:rsidRPr="0022453B">
        <w:t xml:space="preserve">ізольована </w:t>
      </w:r>
      <w:r w:rsidR="00860A99" w:rsidRPr="0022453B">
        <w:t xml:space="preserve">БА </w:t>
      </w:r>
      <w:r w:rsidR="00F8199E" w:rsidRPr="0022453B">
        <w:t>середньої тяжкості</w:t>
      </w:r>
      <w:r w:rsidR="00860A99" w:rsidRPr="0022453B">
        <w:t xml:space="preserve"> </w:t>
      </w:r>
      <w:r w:rsidR="00CD22CE" w:rsidRPr="0022453B">
        <w:t>–</w:t>
      </w:r>
      <w:r w:rsidR="007D2AA3" w:rsidRPr="0022453B">
        <w:t xml:space="preserve"> 62 хворих. </w:t>
      </w:r>
      <w:r w:rsidR="00CC430B" w:rsidRPr="0022453B">
        <w:t>Контрольну групу склали 21</w:t>
      </w:r>
      <w:r w:rsidR="008602FB">
        <w:t> </w:t>
      </w:r>
      <w:r w:rsidR="00CC430B" w:rsidRPr="0022453B">
        <w:t>практично здорова особа аналогічного віку та статі, у якої БА, ЦД2Т та ожиріння були виключені на підставі комплексу клініко-інструментальних обстежень, що дало змогу порівнювати результати.</w:t>
      </w:r>
      <w:r w:rsidR="0022453B" w:rsidRPr="0022453B">
        <w:t xml:space="preserve"> </w:t>
      </w:r>
      <w:r w:rsidR="00122151" w:rsidRPr="0022453B">
        <w:t>Контингент для дослідження кожної групи формувався шляхом рандомізованої вибірки із загальної бази даних осіб, які проходили обстеження в клініці, зі стратифікацією за наявністю поєднаної патології, віком та статтю з метою за</w:t>
      </w:r>
      <w:r w:rsidR="00DF0C57" w:rsidRPr="0022453B">
        <w:t>безпечення зіставлення вибірок.</w:t>
      </w:r>
    </w:p>
    <w:p w:rsidR="007C7AA9" w:rsidRPr="0022453B" w:rsidRDefault="006F66C1" w:rsidP="00CD5061">
      <w:pPr>
        <w:pStyle w:val="atextRef"/>
        <w:spacing w:line="288" w:lineRule="auto"/>
        <w:rPr>
          <w:sz w:val="32"/>
          <w:lang w:val="ru-RU"/>
        </w:rPr>
      </w:pPr>
      <w:r w:rsidRPr="0022453B">
        <w:t>У</w:t>
      </w:r>
      <w:r w:rsidR="00FA6004" w:rsidRPr="0022453B">
        <w:t xml:space="preserve">сі </w:t>
      </w:r>
      <w:r w:rsidR="007D2AA3" w:rsidRPr="0022453B">
        <w:t>пацієнти</w:t>
      </w:r>
      <w:r w:rsidR="00FA6004" w:rsidRPr="0022453B">
        <w:t xml:space="preserve"> були </w:t>
      </w:r>
      <w:r w:rsidRPr="0022453B">
        <w:t>обстежені</w:t>
      </w:r>
      <w:r w:rsidR="00FA6004" w:rsidRPr="0022453B">
        <w:t xml:space="preserve"> </w:t>
      </w:r>
      <w:r w:rsidRPr="0022453B">
        <w:t>в</w:t>
      </w:r>
      <w:r w:rsidR="00FA6004" w:rsidRPr="0022453B">
        <w:t xml:space="preserve"> пері</w:t>
      </w:r>
      <w:r w:rsidR="00262C6D" w:rsidRPr="0022453B">
        <w:t>од загострення БА, коли</w:t>
      </w:r>
      <w:r w:rsidR="00D8032A" w:rsidRPr="0022453B">
        <w:t xml:space="preserve"> </w:t>
      </w:r>
      <w:r w:rsidR="007D2AA3" w:rsidRPr="0022453B">
        <w:t>відсутній контроль</w:t>
      </w:r>
      <w:r w:rsidR="00FA6004" w:rsidRPr="0022453B">
        <w:t xml:space="preserve"> над симптомами захворювання</w:t>
      </w:r>
      <w:r w:rsidR="00241479" w:rsidRPr="0022453B">
        <w:t>.</w:t>
      </w:r>
      <w:r w:rsidR="00FA6004" w:rsidRPr="0022453B">
        <w:t xml:space="preserve"> </w:t>
      </w:r>
      <w:r w:rsidR="00860A99" w:rsidRPr="0022453B">
        <w:t>Діагностику</w:t>
      </w:r>
      <w:r w:rsidR="00262C6D" w:rsidRPr="0022453B">
        <w:t xml:space="preserve"> захворювань здійснювали згідно з галузевим</w:t>
      </w:r>
      <w:r w:rsidR="007D2AA3" w:rsidRPr="0022453B">
        <w:t>и</w:t>
      </w:r>
      <w:r w:rsidR="00262C6D" w:rsidRPr="0022453B">
        <w:t xml:space="preserve"> стандарт</w:t>
      </w:r>
      <w:r w:rsidR="007D2AA3" w:rsidRPr="0022453B">
        <w:t>а</w:t>
      </w:r>
      <w:r w:rsidR="00860A99" w:rsidRPr="0022453B">
        <w:t>м</w:t>
      </w:r>
      <w:r w:rsidR="007D2AA3" w:rsidRPr="0022453B">
        <w:t>и</w:t>
      </w:r>
      <w:r w:rsidR="00860A99" w:rsidRPr="0022453B">
        <w:t>, регламентованими наказами МОЗ України №</w:t>
      </w:r>
      <w:r w:rsidRPr="0022453B">
        <w:t> </w:t>
      </w:r>
      <w:r w:rsidR="00860A99" w:rsidRPr="0022453B">
        <w:t>128 від</w:t>
      </w:r>
      <w:r w:rsidRPr="0022453B">
        <w:t xml:space="preserve"> </w:t>
      </w:r>
      <w:r w:rsidR="00860A99" w:rsidRPr="0022453B">
        <w:t>19.03.2007</w:t>
      </w:r>
      <w:r w:rsidRPr="0022453B">
        <w:t xml:space="preserve"> р. </w:t>
      </w:r>
      <w:r w:rsidR="005822B0">
        <w:t>«</w:t>
      </w:r>
      <w:r w:rsidR="00860A99" w:rsidRPr="0022453B">
        <w:t>Про затвердження</w:t>
      </w:r>
      <w:r w:rsidRPr="0022453B">
        <w:t xml:space="preserve"> </w:t>
      </w:r>
      <w:r w:rsidR="00860A99" w:rsidRPr="0022453B">
        <w:t>клінічних протоколів надання</w:t>
      </w:r>
      <w:r w:rsidRPr="0022453B">
        <w:t xml:space="preserve"> </w:t>
      </w:r>
      <w:r w:rsidR="00860A99" w:rsidRPr="0022453B">
        <w:t>медичної</w:t>
      </w:r>
      <w:r w:rsidRPr="0022453B">
        <w:t xml:space="preserve"> </w:t>
      </w:r>
      <w:r w:rsidR="00860A99" w:rsidRPr="0022453B">
        <w:t>допомоги</w:t>
      </w:r>
      <w:r w:rsidRPr="0022453B">
        <w:t xml:space="preserve"> </w:t>
      </w:r>
      <w:r w:rsidR="00860A99" w:rsidRPr="0022453B">
        <w:t>за</w:t>
      </w:r>
      <w:r w:rsidRPr="0022453B">
        <w:t xml:space="preserve"> </w:t>
      </w:r>
      <w:r w:rsidR="00860A99" w:rsidRPr="0022453B">
        <w:t xml:space="preserve">спеціальністю </w:t>
      </w:r>
      <w:r w:rsidR="005822B0">
        <w:t>«</w:t>
      </w:r>
      <w:r w:rsidR="00860A99" w:rsidRPr="0022453B">
        <w:t>Пульмонологія</w:t>
      </w:r>
      <w:r w:rsidR="005822B0">
        <w:t xml:space="preserve">»; </w:t>
      </w:r>
      <w:r w:rsidR="00860A99" w:rsidRPr="0022453B">
        <w:t>№</w:t>
      </w:r>
      <w:r w:rsidR="000B77BB" w:rsidRPr="0022453B">
        <w:t> </w:t>
      </w:r>
      <w:r w:rsidR="00860A99" w:rsidRPr="0022453B">
        <w:t>868 від 08.10.2013</w:t>
      </w:r>
      <w:r w:rsidR="000B77BB" w:rsidRPr="0022453B">
        <w:t xml:space="preserve"> </w:t>
      </w:r>
      <w:r w:rsidR="00860A99" w:rsidRPr="0022453B">
        <w:t>р</w:t>
      </w:r>
      <w:r w:rsidR="000B77BB" w:rsidRPr="0022453B">
        <w:t>.</w:t>
      </w:r>
      <w:r w:rsidR="00860A99" w:rsidRPr="0022453B">
        <w:t xml:space="preserve"> </w:t>
      </w:r>
      <w:r w:rsidR="005822B0">
        <w:t>«</w:t>
      </w:r>
      <w:r w:rsidR="00860A99" w:rsidRPr="0022453B">
        <w:t>Про затвердження та впровадження медико-технологічних документів зі стандартизації медичної допомоги при бронхіальній</w:t>
      </w:r>
      <w:r w:rsidR="007C7AA9" w:rsidRPr="0022453B">
        <w:t xml:space="preserve"> </w:t>
      </w:r>
      <w:r w:rsidR="00860A99" w:rsidRPr="0022453B">
        <w:t>астмі</w:t>
      </w:r>
      <w:r w:rsidR="005822B0">
        <w:t>»</w:t>
      </w:r>
      <w:r w:rsidR="00E81375" w:rsidRPr="0022453B">
        <w:t>.</w:t>
      </w:r>
      <w:r w:rsidR="00860A99" w:rsidRPr="0022453B">
        <w:t xml:space="preserve"> Діагностика та лікув</w:t>
      </w:r>
      <w:r w:rsidR="002D0593" w:rsidRPr="0022453B">
        <w:t>ання супутнього ЦД2Т здійснювала</w:t>
      </w:r>
      <w:r w:rsidR="00860A99" w:rsidRPr="0022453B">
        <w:t xml:space="preserve">ся </w:t>
      </w:r>
      <w:r w:rsidR="007D2AA3" w:rsidRPr="0022453B">
        <w:t>під контролем спеціаліста</w:t>
      </w:r>
      <w:r w:rsidR="007C7AA9" w:rsidRPr="0022453B">
        <w:t>-</w:t>
      </w:r>
      <w:r w:rsidR="007D2AA3" w:rsidRPr="0022453B">
        <w:t>ендокринолога</w:t>
      </w:r>
      <w:r w:rsidR="00860A99" w:rsidRPr="0022453B">
        <w:t xml:space="preserve"> відповідно до </w:t>
      </w:r>
      <w:r w:rsidR="007C7AA9" w:rsidRPr="0022453B">
        <w:t>чинн</w:t>
      </w:r>
      <w:r w:rsidR="00860A99" w:rsidRPr="0022453B">
        <w:t xml:space="preserve">их українських </w:t>
      </w:r>
      <w:r w:rsidR="00DF0C57" w:rsidRPr="0022453B">
        <w:t xml:space="preserve">протоколів </w:t>
      </w:r>
      <w:r w:rsidR="00860A99" w:rsidRPr="0022453B">
        <w:t>(наказ МОЗ України від 21.12.2012</w:t>
      </w:r>
      <w:r w:rsidR="0022453B">
        <w:rPr>
          <w:lang w:val="ru-RU"/>
        </w:rPr>
        <w:t> </w:t>
      </w:r>
      <w:r w:rsidR="00860A99" w:rsidRPr="0022453B">
        <w:t>р</w:t>
      </w:r>
      <w:r w:rsidRPr="0022453B">
        <w:t>.</w:t>
      </w:r>
      <w:r w:rsidR="00860A99" w:rsidRPr="0022453B">
        <w:t xml:space="preserve"> №</w:t>
      </w:r>
      <w:r w:rsidR="000B77BB" w:rsidRPr="0022453B">
        <w:t> </w:t>
      </w:r>
      <w:r w:rsidR="00262C6D" w:rsidRPr="0022453B">
        <w:t>1118). Діагноз ЦД2Т у</w:t>
      </w:r>
      <w:r w:rsidR="00860A99" w:rsidRPr="0022453B">
        <w:t>становлювали відповідно до сумісних рекомендацій American</w:t>
      </w:r>
      <w:r w:rsidRPr="0022453B">
        <w:t xml:space="preserve"> </w:t>
      </w:r>
      <w:r w:rsidR="00860A99" w:rsidRPr="0022453B">
        <w:t>Diabetes</w:t>
      </w:r>
      <w:r w:rsidRPr="0022453B">
        <w:t xml:space="preserve"> </w:t>
      </w:r>
      <w:r w:rsidR="00860A99" w:rsidRPr="0022453B">
        <w:t>Association</w:t>
      </w:r>
      <w:r w:rsidRPr="0022453B">
        <w:t xml:space="preserve"> </w:t>
      </w:r>
      <w:r w:rsidR="00DF0C57" w:rsidRPr="0022453B">
        <w:t>(</w:t>
      </w:r>
      <w:r w:rsidR="00860A99" w:rsidRPr="0022453B">
        <w:t xml:space="preserve">ADA) та </w:t>
      </w:r>
      <w:r w:rsidR="007C7AA9" w:rsidRPr="0022453B">
        <w:t>Є</w:t>
      </w:r>
      <w:r w:rsidR="00860A99" w:rsidRPr="0022453B">
        <w:t>вропейської Асоціації з</w:t>
      </w:r>
      <w:r w:rsidR="008602FB">
        <w:t> </w:t>
      </w:r>
      <w:r w:rsidR="00860A99" w:rsidRPr="0022453B">
        <w:t>вивчення ЦД (EASD) щодо критеріїв діагнос</w:t>
      </w:r>
      <w:r w:rsidR="00262C6D" w:rsidRPr="0022453B">
        <w:t>тики ЦД. Цільовими показниками в</w:t>
      </w:r>
      <w:r w:rsidR="0022453B">
        <w:rPr>
          <w:lang w:val="ru-RU"/>
        </w:rPr>
        <w:t> </w:t>
      </w:r>
      <w:r w:rsidR="00860A99" w:rsidRPr="0022453B">
        <w:t>лікуванні хворих на ЦД були дані EASD</w:t>
      </w:r>
      <w:r w:rsidR="00E81375" w:rsidRPr="0022453B">
        <w:t xml:space="preserve"> 201</w:t>
      </w:r>
      <w:r w:rsidR="00B4363C" w:rsidRPr="0022453B">
        <w:t>8</w:t>
      </w:r>
      <w:r w:rsidR="00E81375" w:rsidRPr="0022453B">
        <w:t xml:space="preserve"> р.</w:t>
      </w:r>
    </w:p>
    <w:p w:rsidR="00772E5C" w:rsidRPr="0022453B" w:rsidRDefault="00F8199E" w:rsidP="00CD5061">
      <w:pPr>
        <w:pStyle w:val="atextRef"/>
        <w:spacing w:line="288" w:lineRule="auto"/>
      </w:pPr>
      <w:r w:rsidRPr="0022453B">
        <w:t>Хворі, залежно від віку, були розподілені таким чином: до 45 років (30,2</w:t>
      </w:r>
      <w:r w:rsidR="0022453B">
        <w:t>%</w:t>
      </w:r>
      <w:r w:rsidRPr="0022453B">
        <w:t xml:space="preserve">), </w:t>
      </w:r>
      <w:r w:rsidR="00772E5C" w:rsidRPr="0022453B">
        <w:t>45–49 роками (13,9</w:t>
      </w:r>
      <w:r w:rsidR="0022453B">
        <w:t>%</w:t>
      </w:r>
      <w:r w:rsidR="00772E5C" w:rsidRPr="0022453B">
        <w:t xml:space="preserve">), 50–54 роками </w:t>
      </w:r>
      <w:r w:rsidR="00CD22CE" w:rsidRPr="0022453B">
        <w:t>–</w:t>
      </w:r>
      <w:r w:rsidR="00772E5C" w:rsidRPr="0022453B">
        <w:t xml:space="preserve"> 27</w:t>
      </w:r>
      <w:r w:rsidR="0022453B">
        <w:t>%</w:t>
      </w:r>
      <w:r w:rsidRPr="0022453B">
        <w:t xml:space="preserve"> та понад 55 років </w:t>
      </w:r>
      <w:r w:rsidR="00CD22CE" w:rsidRPr="0022453B">
        <w:t>–</w:t>
      </w:r>
      <w:r w:rsidRPr="0022453B">
        <w:t xml:space="preserve"> </w:t>
      </w:r>
      <w:r w:rsidR="00772E5C" w:rsidRPr="0022453B">
        <w:t>(</w:t>
      </w:r>
      <w:r w:rsidRPr="0022453B">
        <w:t>28,9</w:t>
      </w:r>
      <w:r w:rsidR="0022453B">
        <w:t>%</w:t>
      </w:r>
      <w:r w:rsidR="00772E5C" w:rsidRPr="0022453B">
        <w:t>)</w:t>
      </w:r>
      <w:r w:rsidRPr="0022453B">
        <w:t>.</w:t>
      </w:r>
      <w:r w:rsidR="00D8032A" w:rsidRPr="0022453B">
        <w:t xml:space="preserve"> </w:t>
      </w:r>
      <w:r w:rsidRPr="0022453B">
        <w:t>Таким чином, 55,4</w:t>
      </w:r>
      <w:r w:rsidR="0022453B">
        <w:t>%</w:t>
      </w:r>
      <w:r w:rsidRPr="0022453B">
        <w:t xml:space="preserve"> досліджених склали хворі після 50 років, що, безумовно, </w:t>
      </w:r>
      <w:r w:rsidR="00772E5C" w:rsidRPr="0022453B">
        <w:t xml:space="preserve">зумовлює високу ймовірність наявності коморбідної патології. Аналіз </w:t>
      </w:r>
      <w:r w:rsidR="00772E5C" w:rsidRPr="0022453B">
        <w:lastRenderedPageBreak/>
        <w:t>гендерного складу обстежених пацієнтів показав значну перевагу осіб жіночої статі (62,63</w:t>
      </w:r>
      <w:r w:rsidR="0022453B">
        <w:t>%</w:t>
      </w:r>
      <w:r w:rsidR="00772E5C" w:rsidRPr="0022453B">
        <w:t>) проти чоловічої (37,73</w:t>
      </w:r>
      <w:r w:rsidR="0022453B">
        <w:t>%</w:t>
      </w:r>
      <w:r w:rsidR="00772E5C" w:rsidRPr="0022453B">
        <w:t>), що збігається з даними літератури.</w:t>
      </w:r>
      <w:r w:rsidRPr="0022453B">
        <w:t xml:space="preserve"> </w:t>
      </w:r>
    </w:p>
    <w:p w:rsidR="002D78C4" w:rsidRPr="0022453B" w:rsidRDefault="00F8199E" w:rsidP="00CD5061">
      <w:pPr>
        <w:pStyle w:val="atextRef"/>
        <w:spacing w:line="288" w:lineRule="auto"/>
      </w:pPr>
      <w:r w:rsidRPr="0022453B">
        <w:t xml:space="preserve">Середній вік основної групи склав </w:t>
      </w:r>
      <w:r w:rsidR="00CD22CE" w:rsidRPr="0022453B">
        <w:t>–</w:t>
      </w:r>
      <w:r w:rsidRPr="0022453B">
        <w:t xml:space="preserve"> 51,5 [41,50</w:t>
      </w:r>
      <w:r w:rsidR="005822B0">
        <w:t>; </w:t>
      </w:r>
      <w:r w:rsidRPr="0022453B">
        <w:t xml:space="preserve">57,0] років проти групи контролю </w:t>
      </w:r>
      <w:r w:rsidR="00CD22CE" w:rsidRPr="0022453B">
        <w:t>–</w:t>
      </w:r>
      <w:r w:rsidRPr="0022453B">
        <w:t xml:space="preserve"> 48,0 [36,0</w:t>
      </w:r>
      <w:r w:rsidR="005822B0">
        <w:t>; </w:t>
      </w:r>
      <w:r w:rsidRPr="0022453B">
        <w:t xml:space="preserve">53,0] років. Хворі з надмірною </w:t>
      </w:r>
      <w:r w:rsidR="00D137D0" w:rsidRPr="0022453B">
        <w:t>масою ті</w:t>
      </w:r>
      <w:r w:rsidR="00D60784" w:rsidRPr="0022453B">
        <w:t>ла</w:t>
      </w:r>
      <w:r w:rsidRPr="0022453B">
        <w:t xml:space="preserve"> </w:t>
      </w:r>
      <w:r w:rsidR="00F163CB" w:rsidRPr="0022453B">
        <w:t>та ожирінням 1</w:t>
      </w:r>
      <w:r w:rsidR="008602FB">
        <w:t> </w:t>
      </w:r>
      <w:r w:rsidR="00D60784" w:rsidRPr="0022453B">
        <w:t xml:space="preserve">ступеня </w:t>
      </w:r>
      <w:r w:rsidRPr="0022453B">
        <w:t xml:space="preserve">були як в основній групі, так </w:t>
      </w:r>
      <w:r w:rsidR="00D60784" w:rsidRPr="0022453B">
        <w:t>у</w:t>
      </w:r>
      <w:r w:rsidRPr="0022453B">
        <w:t xml:space="preserve"> групі </w:t>
      </w:r>
      <w:r w:rsidR="00F163CB" w:rsidRPr="0022453B">
        <w:t>порівняння</w:t>
      </w:r>
      <w:r w:rsidR="00D60784" w:rsidRPr="0022453B">
        <w:t xml:space="preserve"> (</w:t>
      </w:r>
      <w:r w:rsidRPr="0022453B">
        <w:t>28,9</w:t>
      </w:r>
      <w:r w:rsidR="0022453B">
        <w:t>%</w:t>
      </w:r>
      <w:r w:rsidRPr="0022453B">
        <w:t xml:space="preserve"> та 11,3</w:t>
      </w:r>
      <w:r w:rsidR="0022453B">
        <w:t>%</w:t>
      </w:r>
      <w:r w:rsidR="00D60784" w:rsidRPr="0022453B">
        <w:t xml:space="preserve">). </w:t>
      </w:r>
      <w:r w:rsidRPr="0022453B">
        <w:t xml:space="preserve">Тривалість БА, згідно з даними анамнезу, коливалася </w:t>
      </w:r>
      <w:r w:rsidR="00DF0C57" w:rsidRPr="0022453B">
        <w:t>у</w:t>
      </w:r>
      <w:r w:rsidRPr="0022453B">
        <w:t xml:space="preserve"> межах від 5 до 23 років. </w:t>
      </w:r>
      <w:r w:rsidR="00D60784" w:rsidRPr="0022453B">
        <w:t>Перша м</w:t>
      </w:r>
      <w:r w:rsidRPr="0022453B">
        <w:t>аніфестація БА за даними анамнезу була розподіл</w:t>
      </w:r>
      <w:r w:rsidR="00D60784" w:rsidRPr="0022453B">
        <w:t>ена таким чином: її виникнення в осіб д</w:t>
      </w:r>
      <w:r w:rsidRPr="0022453B">
        <w:t>о 20 років реєстрували у 111 хворих основної групи (58,4</w:t>
      </w:r>
      <w:r w:rsidR="0022453B">
        <w:t>%</w:t>
      </w:r>
      <w:r w:rsidRPr="0022453B">
        <w:t>) та 6 (14,5</w:t>
      </w:r>
      <w:r w:rsidR="0022453B">
        <w:t>%</w:t>
      </w:r>
      <w:r w:rsidRPr="0022453B">
        <w:t xml:space="preserve">) групи порівняння. У </w:t>
      </w:r>
      <w:r w:rsidR="00D60784" w:rsidRPr="0022453B">
        <w:t xml:space="preserve">віковій </w:t>
      </w:r>
      <w:r w:rsidRPr="0022453B">
        <w:t xml:space="preserve">період від 21 до 30 років життя </w:t>
      </w:r>
      <w:r w:rsidR="00CD22CE" w:rsidRPr="0022453B">
        <w:t>–</w:t>
      </w:r>
      <w:r w:rsidRPr="0022453B">
        <w:t xml:space="preserve"> у 59 (31,0</w:t>
      </w:r>
      <w:r w:rsidR="0022453B">
        <w:t>%</w:t>
      </w:r>
      <w:r w:rsidRPr="0022453B">
        <w:t>) та 39 осіб (62,9</w:t>
      </w:r>
      <w:r w:rsidR="0022453B">
        <w:t>%</w:t>
      </w:r>
      <w:r w:rsidRPr="0022453B">
        <w:t>), відповідно. Після 30</w:t>
      </w:r>
      <w:r w:rsidR="0022453B">
        <w:rPr>
          <w:lang w:val="ru-RU"/>
        </w:rPr>
        <w:t> </w:t>
      </w:r>
      <w:r w:rsidRPr="0022453B">
        <w:t>років БА дебютувала у 20 (10,5</w:t>
      </w:r>
      <w:r w:rsidR="0022453B">
        <w:t>%</w:t>
      </w:r>
      <w:r w:rsidRPr="0022453B">
        <w:t xml:space="preserve">) та </w:t>
      </w:r>
      <w:r w:rsidR="00815CBE">
        <w:t xml:space="preserve">у </w:t>
      </w:r>
      <w:r w:rsidRPr="0022453B">
        <w:t>14 (22,5</w:t>
      </w:r>
      <w:r w:rsidR="0022453B">
        <w:t>%</w:t>
      </w:r>
      <w:r w:rsidRPr="0022453B">
        <w:t>) хворих</w:t>
      </w:r>
      <w:r w:rsidR="00DF0C57" w:rsidRPr="0022453B">
        <w:t>,</w:t>
      </w:r>
      <w:r w:rsidRPr="0022453B">
        <w:t xml:space="preserve"> відповідно.</w:t>
      </w:r>
      <w:r w:rsidR="00DF0C57" w:rsidRPr="0022453B">
        <w:t xml:space="preserve"> </w:t>
      </w:r>
      <w:r w:rsidR="002016C3" w:rsidRPr="0022453B">
        <w:t xml:space="preserve">Усім хворим проведено комплексне </w:t>
      </w:r>
      <w:r w:rsidR="00D60784" w:rsidRPr="0022453B">
        <w:t>обсте</w:t>
      </w:r>
      <w:r w:rsidR="002016C3" w:rsidRPr="0022453B">
        <w:t xml:space="preserve">ження, що передбачало </w:t>
      </w:r>
      <w:r w:rsidR="00D60784" w:rsidRPr="0022453B">
        <w:t xml:space="preserve">опитування та </w:t>
      </w:r>
      <w:r w:rsidR="002016C3" w:rsidRPr="0022453B">
        <w:t>збір анамнестичних даних,</w:t>
      </w:r>
      <w:r w:rsidR="00D60784" w:rsidRPr="0022453B">
        <w:t xml:space="preserve"> антропометрію,</w:t>
      </w:r>
      <w:r w:rsidR="002016C3" w:rsidRPr="0022453B">
        <w:t xml:space="preserve"> фізикальне обстеження, клінічні та інструментальні </w:t>
      </w:r>
      <w:r w:rsidR="00D60784" w:rsidRPr="0022453B">
        <w:t xml:space="preserve">(рентгенографія органів грудної клітки, електрокардіографія, визначення функції зовнішнього дихання) дослідження. </w:t>
      </w:r>
      <w:r w:rsidR="003745BD" w:rsidRPr="0022453B">
        <w:t>Основною причиною загострення були перенесені вірусні інфекції як у</w:t>
      </w:r>
      <w:r w:rsidR="0022453B">
        <w:rPr>
          <w:lang w:val="ru-RU"/>
        </w:rPr>
        <w:t> </w:t>
      </w:r>
      <w:r w:rsidR="003745BD" w:rsidRPr="0022453B">
        <w:t>хворих на ізольовану БА</w:t>
      </w:r>
      <w:r w:rsidR="00DF0C57" w:rsidRPr="0022453B">
        <w:t>,</w:t>
      </w:r>
      <w:r w:rsidR="003745BD" w:rsidRPr="0022453B">
        <w:t xml:space="preserve"> так і основної групи </w:t>
      </w:r>
      <w:r w:rsidR="00CD22CE" w:rsidRPr="0022453B">
        <w:t>–</w:t>
      </w:r>
      <w:r w:rsidR="00DF0C57" w:rsidRPr="0022453B">
        <w:t xml:space="preserve"> </w:t>
      </w:r>
      <w:r w:rsidR="003745BD" w:rsidRPr="0022453B">
        <w:t>35,8</w:t>
      </w:r>
      <w:r w:rsidR="0022453B">
        <w:t>%</w:t>
      </w:r>
      <w:r w:rsidR="003745BD" w:rsidRPr="0022453B">
        <w:t xml:space="preserve"> і 48,3</w:t>
      </w:r>
      <w:r w:rsidR="0022453B">
        <w:t>%</w:t>
      </w:r>
      <w:r w:rsidR="00DF0C57" w:rsidRPr="0022453B">
        <w:t>,</w:t>
      </w:r>
      <w:r w:rsidR="003745BD" w:rsidRPr="0022453B">
        <w:t xml:space="preserve"> відповідно,</w:t>
      </w:r>
      <w:r w:rsidR="00D8032A" w:rsidRPr="0022453B">
        <w:t xml:space="preserve"> </w:t>
      </w:r>
      <w:r w:rsidR="003745BD" w:rsidRPr="0022453B">
        <w:t xml:space="preserve">дії алергенів як інгаляційних, так і харчових </w:t>
      </w:r>
      <w:r w:rsidR="00CD22CE" w:rsidRPr="0022453B">
        <w:t>–</w:t>
      </w:r>
      <w:r w:rsidR="003745BD" w:rsidRPr="0022453B">
        <w:t xml:space="preserve"> 26,8</w:t>
      </w:r>
      <w:r w:rsidR="0022453B">
        <w:t>%</w:t>
      </w:r>
      <w:r w:rsidR="003745BD" w:rsidRPr="0022453B">
        <w:t xml:space="preserve"> та 42,5</w:t>
      </w:r>
      <w:r w:rsidR="0022453B">
        <w:t>%</w:t>
      </w:r>
      <w:r w:rsidR="00DF0C57" w:rsidRPr="0022453B">
        <w:t>,</w:t>
      </w:r>
      <w:r w:rsidR="003745BD" w:rsidRPr="0022453B">
        <w:t xml:space="preserve"> відповідно.</w:t>
      </w:r>
      <w:r w:rsidR="003F0E30" w:rsidRPr="0022453B">
        <w:t xml:space="preserve"> </w:t>
      </w:r>
      <w:r w:rsidR="003745BD" w:rsidRPr="0022453B">
        <w:rPr>
          <w:bCs/>
        </w:rPr>
        <w:t>110</w:t>
      </w:r>
      <w:r w:rsidR="008602FB">
        <w:rPr>
          <w:bCs/>
        </w:rPr>
        <w:t> </w:t>
      </w:r>
      <w:r w:rsidR="00D137D0" w:rsidRPr="0022453B">
        <w:rPr>
          <w:bCs/>
        </w:rPr>
        <w:t>пацієнтів основної групи (57,</w:t>
      </w:r>
      <w:r w:rsidR="003745BD" w:rsidRPr="0022453B">
        <w:rPr>
          <w:bCs/>
        </w:rPr>
        <w:t>9</w:t>
      </w:r>
      <w:r w:rsidR="0022453B">
        <w:rPr>
          <w:bCs/>
        </w:rPr>
        <w:t>%</w:t>
      </w:r>
      <w:r w:rsidR="003745BD" w:rsidRPr="0022453B">
        <w:rPr>
          <w:bCs/>
        </w:rPr>
        <w:t>) та</w:t>
      </w:r>
      <w:r w:rsidR="00D8032A" w:rsidRPr="0022453B">
        <w:rPr>
          <w:bCs/>
        </w:rPr>
        <w:t xml:space="preserve"> </w:t>
      </w:r>
      <w:r w:rsidR="003745BD" w:rsidRPr="0022453B">
        <w:rPr>
          <w:bCs/>
        </w:rPr>
        <w:t>35 хворих групи порівняння (56,45</w:t>
      </w:r>
      <w:r w:rsidR="0022453B">
        <w:rPr>
          <w:bCs/>
        </w:rPr>
        <w:t>%</w:t>
      </w:r>
      <w:r w:rsidR="003745BD" w:rsidRPr="0022453B">
        <w:rPr>
          <w:bCs/>
        </w:rPr>
        <w:t>) мали обтяжливий алерг</w:t>
      </w:r>
      <w:r w:rsidR="00D137D0" w:rsidRPr="0022453B">
        <w:rPr>
          <w:bCs/>
        </w:rPr>
        <w:t>ологічн</w:t>
      </w:r>
      <w:r w:rsidR="003745BD" w:rsidRPr="0022453B">
        <w:rPr>
          <w:bCs/>
        </w:rPr>
        <w:t>ий анамнез</w:t>
      </w:r>
      <w:r w:rsidR="00D137D0" w:rsidRPr="0022453B">
        <w:rPr>
          <w:bCs/>
        </w:rPr>
        <w:t>.</w:t>
      </w:r>
      <w:r w:rsidR="00D137D0" w:rsidRPr="0022453B">
        <w:rPr>
          <w:bCs/>
          <w:color w:val="FF0000"/>
        </w:rPr>
        <w:t xml:space="preserve"> </w:t>
      </w:r>
      <w:r w:rsidR="003745BD" w:rsidRPr="0022453B">
        <w:rPr>
          <w:bCs/>
        </w:rPr>
        <w:t>У</w:t>
      </w:r>
      <w:r w:rsidR="00E52F25" w:rsidRPr="0022453B">
        <w:rPr>
          <w:bCs/>
        </w:rPr>
        <w:t xml:space="preserve"> </w:t>
      </w:r>
      <w:r w:rsidR="003745BD" w:rsidRPr="0022453B">
        <w:rPr>
          <w:bCs/>
        </w:rPr>
        <w:t>75 хворих (39,3</w:t>
      </w:r>
      <w:r w:rsidR="0022453B">
        <w:rPr>
          <w:bCs/>
        </w:rPr>
        <w:t>%</w:t>
      </w:r>
      <w:r w:rsidR="003745BD" w:rsidRPr="0022453B">
        <w:rPr>
          <w:bCs/>
        </w:rPr>
        <w:t>) з</w:t>
      </w:r>
      <w:r w:rsidR="0022453B">
        <w:rPr>
          <w:bCs/>
          <w:lang w:val="ru-RU"/>
        </w:rPr>
        <w:t> </w:t>
      </w:r>
      <w:r w:rsidR="003745BD" w:rsidRPr="0022453B">
        <w:rPr>
          <w:bCs/>
        </w:rPr>
        <w:t>коморбідною патологією та 28 (45,2</w:t>
      </w:r>
      <w:r w:rsidR="0022453B">
        <w:rPr>
          <w:bCs/>
        </w:rPr>
        <w:t>%</w:t>
      </w:r>
      <w:r w:rsidR="003745BD" w:rsidRPr="0022453B">
        <w:rPr>
          <w:bCs/>
        </w:rPr>
        <w:t>) з ізольованою БА не було визначено причини загострення захворювання і їх родичі не мали обтяжливого анамнезу.</w:t>
      </w:r>
      <w:r w:rsidR="002D78C4" w:rsidRPr="002D78C4">
        <w:t xml:space="preserve"> </w:t>
      </w:r>
      <w:r w:rsidR="002D78C4" w:rsidRPr="0022453B">
        <w:t>Артеріальну гіпертензію І ст. мали</w:t>
      </w:r>
      <w:r w:rsidR="002D78C4">
        <w:t xml:space="preserve"> </w:t>
      </w:r>
      <w:r w:rsidR="002D78C4" w:rsidRPr="0022453B">
        <w:t>42 (22,1</w:t>
      </w:r>
      <w:r w:rsidR="002D78C4">
        <w:t>%</w:t>
      </w:r>
      <w:r w:rsidR="002D78C4" w:rsidRPr="0022453B">
        <w:t>) хворих, ІІ ст –</w:t>
      </w:r>
      <w:r w:rsidR="002D78C4">
        <w:t xml:space="preserve"> </w:t>
      </w:r>
      <w:r w:rsidR="002D78C4" w:rsidRPr="0022453B">
        <w:t>14 (7,4%) хворих.</w:t>
      </w:r>
      <w:r w:rsidR="002D78C4">
        <w:t xml:space="preserve"> </w:t>
      </w:r>
      <w:r w:rsidR="002D78C4" w:rsidRPr="0022453B">
        <w:t>Рівень артеріального тиску основної групи склав САТ – 135,1 [134,15</w:t>
      </w:r>
      <w:r w:rsidR="002D78C4">
        <w:t>; </w:t>
      </w:r>
      <w:r w:rsidR="002D78C4" w:rsidRPr="0022453B">
        <w:t>139,34] мм рт. ст., рівень ДАТ – 84,54 [81,15</w:t>
      </w:r>
      <w:r w:rsidR="002D78C4">
        <w:t>; </w:t>
      </w:r>
      <w:r w:rsidR="002D78C4" w:rsidRPr="0022453B">
        <w:t>87,34] мм рт. ст.</w:t>
      </w:r>
    </w:p>
    <w:p w:rsidR="003745BD" w:rsidRPr="0022453B" w:rsidRDefault="00E52F25" w:rsidP="00CD5061">
      <w:pPr>
        <w:pStyle w:val="atextRef"/>
        <w:spacing w:line="288" w:lineRule="auto"/>
      </w:pPr>
      <w:r w:rsidRPr="0022453B">
        <w:t>У</w:t>
      </w:r>
      <w:r w:rsidR="003745BD" w:rsidRPr="0022453B">
        <w:t xml:space="preserve"> клінічному аналізі сечі протеїнурія спостерігалась </w:t>
      </w:r>
      <w:r w:rsidRPr="0022453B">
        <w:t>у</w:t>
      </w:r>
      <w:r w:rsidR="003745BD" w:rsidRPr="0022453B">
        <w:t xml:space="preserve"> цілому </w:t>
      </w:r>
      <w:r w:rsidRPr="0022453B">
        <w:t>в</w:t>
      </w:r>
      <w:r w:rsidR="005822B0">
        <w:rPr>
          <w:lang w:val="ru-RU"/>
        </w:rPr>
        <w:t> </w:t>
      </w:r>
      <w:r w:rsidR="003745BD" w:rsidRPr="0022453B">
        <w:t>основній групі у 104 (54,7</w:t>
      </w:r>
      <w:r w:rsidR="0022453B">
        <w:t>%</w:t>
      </w:r>
      <w:r w:rsidR="003745BD" w:rsidRPr="0022453B">
        <w:t>) хворих</w:t>
      </w:r>
      <w:r w:rsidR="00D8032A" w:rsidRPr="0022453B">
        <w:t xml:space="preserve"> </w:t>
      </w:r>
      <w:r w:rsidR="003745BD" w:rsidRPr="0022453B">
        <w:t xml:space="preserve">та становила </w:t>
      </w:r>
      <w:r w:rsidR="002C02C0" w:rsidRPr="0022453B">
        <w:t>в</w:t>
      </w:r>
      <w:r w:rsidR="003745BD" w:rsidRPr="0022453B">
        <w:t xml:space="preserve"> середньому 0,14</w:t>
      </w:r>
      <w:r w:rsidRPr="0022453B">
        <w:t xml:space="preserve"> </w:t>
      </w:r>
      <w:r w:rsidR="003745BD" w:rsidRPr="0022453B">
        <w:t>[0,08</w:t>
      </w:r>
      <w:r w:rsidR="005822B0">
        <w:t>; </w:t>
      </w:r>
      <w:r w:rsidR="003745BD" w:rsidRPr="0022453B">
        <w:t>0,19]</w:t>
      </w:r>
      <w:r w:rsidRPr="0022453B">
        <w:t xml:space="preserve"> </w:t>
      </w:r>
      <w:r w:rsidR="003745BD" w:rsidRPr="0022453B">
        <w:t xml:space="preserve">г/л. Під час дослідження сечового осаду лейкоцитурія </w:t>
      </w:r>
      <w:r w:rsidRPr="0022453B">
        <w:t>й</w:t>
      </w:r>
      <w:r w:rsidR="005822B0">
        <w:rPr>
          <w:lang w:val="ru-RU"/>
        </w:rPr>
        <w:t> </w:t>
      </w:r>
      <w:r w:rsidR="003745BD" w:rsidRPr="0022453B">
        <w:t>еритроцитурія бул</w:t>
      </w:r>
      <w:r w:rsidRPr="0022453B">
        <w:t>и</w:t>
      </w:r>
      <w:r w:rsidR="003745BD" w:rsidRPr="0022453B">
        <w:t xml:space="preserve"> відсутн</w:t>
      </w:r>
      <w:r w:rsidRPr="0022453B">
        <w:t>і</w:t>
      </w:r>
      <w:r w:rsidR="003745BD" w:rsidRPr="0022453B">
        <w:t xml:space="preserve">. </w:t>
      </w:r>
      <w:r w:rsidR="00656E5C" w:rsidRPr="0022453B">
        <w:t>В</w:t>
      </w:r>
      <w:r w:rsidR="003745BD" w:rsidRPr="0022453B">
        <w:t>иявлена альбумінурія у 146 (76,84</w:t>
      </w:r>
      <w:r w:rsidR="0022453B">
        <w:t>%</w:t>
      </w:r>
      <w:r w:rsidR="003745BD" w:rsidRPr="0022453B">
        <w:t>) хворих, що в середньому склало</w:t>
      </w:r>
      <w:r w:rsidR="00D8032A" w:rsidRPr="0022453B">
        <w:t xml:space="preserve"> </w:t>
      </w:r>
      <w:r w:rsidR="003745BD" w:rsidRPr="0022453B">
        <w:t>112,31 [20,51</w:t>
      </w:r>
      <w:r w:rsidR="005822B0">
        <w:t>; </w:t>
      </w:r>
      <w:r w:rsidR="003745BD" w:rsidRPr="0022453B">
        <w:t>198,44</w:t>
      </w:r>
      <w:r w:rsidRPr="0022453B">
        <w:t>]</w:t>
      </w:r>
      <w:r w:rsidR="003745BD" w:rsidRPr="0022453B">
        <w:t xml:space="preserve"> мг/л.</w:t>
      </w:r>
      <w:r w:rsidR="002D78C4">
        <w:t xml:space="preserve"> </w:t>
      </w:r>
      <w:r w:rsidR="002D78C4" w:rsidRPr="00660A85">
        <w:t xml:space="preserve">При визначенні показників клінічного аналізу крові в пацієнтів істотних відмінностей </w:t>
      </w:r>
      <w:r w:rsidR="002D78C4">
        <w:t xml:space="preserve">відносно норми </w:t>
      </w:r>
      <w:r w:rsidR="002D78C4" w:rsidRPr="00660A85">
        <w:t>не спостерігалося.</w:t>
      </w:r>
    </w:p>
    <w:p w:rsidR="002016C3" w:rsidRPr="008602FB" w:rsidRDefault="002016C3" w:rsidP="00CD5061">
      <w:pPr>
        <w:pStyle w:val="atextRef"/>
        <w:spacing w:line="288" w:lineRule="auto"/>
        <w:rPr>
          <w:spacing w:val="-4"/>
        </w:rPr>
      </w:pPr>
      <w:r w:rsidRPr="008602FB">
        <w:rPr>
          <w:spacing w:val="-4"/>
        </w:rPr>
        <w:t xml:space="preserve">Для оцінки контролю роботи </w:t>
      </w:r>
      <w:r w:rsidR="00E52F25" w:rsidRPr="008602FB">
        <w:rPr>
          <w:spacing w:val="-4"/>
        </w:rPr>
        <w:t>у</w:t>
      </w:r>
      <w:r w:rsidRPr="008602FB">
        <w:rPr>
          <w:spacing w:val="-4"/>
        </w:rPr>
        <w:t>сім хворим використ</w:t>
      </w:r>
      <w:r w:rsidR="00E52F25" w:rsidRPr="008602FB">
        <w:rPr>
          <w:spacing w:val="-4"/>
        </w:rPr>
        <w:t xml:space="preserve">овували </w:t>
      </w:r>
      <w:r w:rsidRPr="008602FB">
        <w:rPr>
          <w:spacing w:val="-4"/>
        </w:rPr>
        <w:t xml:space="preserve">комплексний спосіб скринінгу та моніторування ефективності лікування пацієнтів з </w:t>
      </w:r>
      <w:r w:rsidR="00E52F25" w:rsidRPr="008602FB">
        <w:rPr>
          <w:spacing w:val="-4"/>
        </w:rPr>
        <w:t>БА</w:t>
      </w:r>
      <w:r w:rsidRPr="008602FB">
        <w:rPr>
          <w:spacing w:val="-4"/>
        </w:rPr>
        <w:t xml:space="preserve">, що складався з оцінки контрольованості хвороби за допомогою опитувальника </w:t>
      </w:r>
      <w:r w:rsidR="002460F0" w:rsidRPr="002460F0">
        <w:rPr>
          <w:spacing w:val="-4"/>
        </w:rPr>
        <w:t xml:space="preserve">    </w:t>
      </w:r>
      <w:r w:rsidRPr="008602FB">
        <w:rPr>
          <w:spacing w:val="-4"/>
        </w:rPr>
        <w:t>ACQ-5.</w:t>
      </w:r>
    </w:p>
    <w:p w:rsidR="002016C3" w:rsidRPr="0022453B" w:rsidRDefault="002016C3" w:rsidP="00CD5061">
      <w:pPr>
        <w:pStyle w:val="atextRef"/>
        <w:spacing w:line="288" w:lineRule="auto"/>
      </w:pPr>
      <w:r w:rsidRPr="0022453B">
        <w:t xml:space="preserve">Якість життя (ЯЖ) пацієнтів досліджувалася за допомогою опитувальника The Short Form-36 (SF-36) </w:t>
      </w:r>
      <w:r w:rsidR="00CD22CE" w:rsidRPr="0022453B">
        <w:t>–</w:t>
      </w:r>
      <w:r w:rsidRPr="0022453B">
        <w:t xml:space="preserve"> 36 питань, що дають змогу </w:t>
      </w:r>
      <w:r w:rsidRPr="0022453B">
        <w:lastRenderedPageBreak/>
        <w:t>найбільшою мірою оцінювати взаємозв</w:t>
      </w:r>
      <w:r w:rsidR="00AF5C51" w:rsidRPr="0022453B">
        <w:t>’</w:t>
      </w:r>
      <w:r w:rsidRPr="0022453B">
        <w:t xml:space="preserve">язок ЯЖ </w:t>
      </w:r>
      <w:r w:rsidR="00E52F25" w:rsidRPr="0022453B">
        <w:t>і</w:t>
      </w:r>
      <w:r w:rsidRPr="0022453B">
        <w:t>з соціальним статусом, психічним здоров</w:t>
      </w:r>
      <w:r w:rsidR="00AF5C51" w:rsidRPr="0022453B">
        <w:t>’</w:t>
      </w:r>
      <w:r w:rsidRPr="0022453B">
        <w:t>ям і</w:t>
      </w:r>
      <w:r w:rsidR="008602FB">
        <w:t> </w:t>
      </w:r>
      <w:r w:rsidRPr="0022453B">
        <w:t>за</w:t>
      </w:r>
      <w:r w:rsidR="00E52F25" w:rsidRPr="0022453B">
        <w:t>гальним добробутом індивідуума.</w:t>
      </w:r>
    </w:p>
    <w:p w:rsidR="002D78C4" w:rsidRPr="0068604C" w:rsidRDefault="00F8199E" w:rsidP="00CD5061">
      <w:pPr>
        <w:pStyle w:val="a6"/>
        <w:spacing w:line="288" w:lineRule="auto"/>
        <w:ind w:left="113" w:firstLine="567"/>
        <w:rPr>
          <w:lang w:val="uk-UA" w:eastAsia="x-none"/>
        </w:rPr>
      </w:pPr>
      <w:r w:rsidRPr="00CD5061">
        <w:rPr>
          <w:lang w:val="uk-UA"/>
        </w:rPr>
        <w:t>Пацієнтам основної групи, групи порівняння та контролю проведене комплексне клінічне обстеження згідно з Наказ</w:t>
      </w:r>
      <w:r w:rsidR="00E52F25" w:rsidRPr="00CD5061">
        <w:rPr>
          <w:lang w:val="uk-UA"/>
        </w:rPr>
        <w:t>ами</w:t>
      </w:r>
      <w:r w:rsidRPr="00CD5061">
        <w:rPr>
          <w:lang w:val="uk-UA"/>
        </w:rPr>
        <w:t xml:space="preserve"> МОЗ України № 384 від 24.05.2012 р. та № 1118 від 21.12.2012 р. Антропометричні вимірювання охоплювали визначення росту, маси тіла, площі поверхні тіла, окружності талії (ОТ), окружності стегон (ОС) із розрахунком співвідношення ОТ до ОС. </w:t>
      </w:r>
      <w:r w:rsidR="00027D67" w:rsidRPr="00CD5061">
        <w:rPr>
          <w:lang w:val="ru-RU"/>
        </w:rPr>
        <w:t xml:space="preserve">Маса тіла вимірювалася за допомогою медичних ваг, довжина тіла </w:t>
      </w:r>
      <w:r w:rsidR="00CD22CE" w:rsidRPr="00CD5061">
        <w:rPr>
          <w:lang w:val="ru-RU"/>
        </w:rPr>
        <w:t>–</w:t>
      </w:r>
      <w:r w:rsidR="00027D67" w:rsidRPr="00CD5061">
        <w:rPr>
          <w:lang w:val="ru-RU"/>
        </w:rPr>
        <w:t xml:space="preserve"> за</w:t>
      </w:r>
      <w:r w:rsidR="005822B0">
        <w:rPr>
          <w:lang w:val="ru-RU" w:eastAsia="x-none"/>
        </w:rPr>
        <w:t> </w:t>
      </w:r>
      <w:r w:rsidR="00027D67" w:rsidRPr="00CD5061">
        <w:rPr>
          <w:lang w:val="ru-RU"/>
        </w:rPr>
        <w:t>допомогою ростоміра, метричні величини окремих тестів вимірювалися мірною стрічкою.</w:t>
      </w:r>
      <w:r w:rsidR="00C25A6C" w:rsidRPr="00CD5061">
        <w:rPr>
          <w:lang w:val="ru-RU"/>
        </w:rPr>
        <w:t xml:space="preserve"> </w:t>
      </w:r>
      <w:r w:rsidRPr="00CD5061">
        <w:rPr>
          <w:lang w:val="ru-RU"/>
        </w:rPr>
        <w:t xml:space="preserve">Для діагностики ожиріння та визначення його ступеня застосовували класифікаційні критерії ВООЗ (1997) </w:t>
      </w:r>
      <w:r w:rsidR="002D78C4" w:rsidRPr="00F57677">
        <w:rPr>
          <w:lang w:val="uk-UA" w:eastAsia="x-none"/>
        </w:rPr>
        <w:t xml:space="preserve">з </w:t>
      </w:r>
      <w:r w:rsidR="002D78C4" w:rsidRPr="002D78C4">
        <w:rPr>
          <w:lang w:val="uk-UA" w:eastAsia="x-none"/>
        </w:rPr>
        <w:t xml:space="preserve">визначенням індексу маси тіла (ІМТ), який обраховували за Кеттле: </w:t>
      </w:r>
      <w:r w:rsidR="002D78C4" w:rsidRPr="002D78C4">
        <w:rPr>
          <w:rStyle w:val="a7"/>
          <w:lang w:val="uk-UA"/>
        </w:rPr>
        <w:t>ІМТ = маса, кг/(зріст, м)</w:t>
      </w:r>
      <w:r w:rsidR="002D78C4" w:rsidRPr="002D78C4">
        <w:rPr>
          <w:rStyle w:val="a7"/>
          <w:vertAlign w:val="superscript"/>
          <w:lang w:val="uk-UA"/>
        </w:rPr>
        <w:t>2</w:t>
      </w:r>
      <w:r w:rsidR="002D78C4" w:rsidRPr="002D78C4">
        <w:rPr>
          <w:rStyle w:val="a7"/>
          <w:lang w:val="uk-UA"/>
        </w:rPr>
        <w:t>.</w:t>
      </w:r>
    </w:p>
    <w:p w:rsidR="005F2494" w:rsidRPr="0022453B" w:rsidRDefault="005F2494" w:rsidP="00CD5061">
      <w:pPr>
        <w:pStyle w:val="atextRef"/>
        <w:spacing w:line="288" w:lineRule="auto"/>
      </w:pPr>
      <w:r w:rsidRPr="0022453B">
        <w:t xml:space="preserve">Усі хворі на БА та БА </w:t>
      </w:r>
      <w:r w:rsidR="003C1187" w:rsidRPr="0022453B">
        <w:t>у</w:t>
      </w:r>
      <w:r w:rsidRPr="0022453B">
        <w:t xml:space="preserve"> поєднанні з ЦД2Т та ожирінням приймали лікування згідно з галузевими стандартами. Хворі отримували стандартну 2-х компонентну базисну терапію </w:t>
      </w:r>
      <w:r w:rsidR="00CD22CE" w:rsidRPr="0022453B">
        <w:t>–</w:t>
      </w:r>
      <w:r w:rsidR="004E7C91">
        <w:t xml:space="preserve"> будесонід/формотеролу</w:t>
      </w:r>
      <w:r w:rsidRPr="0022453B">
        <w:t xml:space="preserve"> фумарату дигідрату</w:t>
      </w:r>
      <w:r w:rsidR="005822B0">
        <w:rPr>
          <w:lang w:val="ru-RU"/>
        </w:rPr>
        <w:t> </w:t>
      </w:r>
      <w:r w:rsidR="00CD22CE" w:rsidRPr="0022453B">
        <w:t>–</w:t>
      </w:r>
      <w:r w:rsidR="005822B0">
        <w:rPr>
          <w:lang w:val="ru-RU"/>
        </w:rPr>
        <w:t xml:space="preserve"> </w:t>
      </w:r>
      <w:r w:rsidRPr="0022453B">
        <w:t>160/4,5</w:t>
      </w:r>
      <w:r w:rsidR="003C1187" w:rsidRPr="0022453B">
        <w:t> </w:t>
      </w:r>
      <w:r w:rsidRPr="0022453B">
        <w:t xml:space="preserve">мкг або 320/9,0 мкг </w:t>
      </w:r>
      <w:r w:rsidR="007F1F99" w:rsidRPr="0022453B">
        <w:t xml:space="preserve">по 2 вдихи. </w:t>
      </w:r>
      <w:r w:rsidRPr="0022453B">
        <w:t xml:space="preserve">Хворі з </w:t>
      </w:r>
      <w:r w:rsidR="007F1F99" w:rsidRPr="0022453B">
        <w:t xml:space="preserve">супутньою </w:t>
      </w:r>
      <w:r w:rsidRPr="0022453B">
        <w:t xml:space="preserve">артеріальною гіпертензією отримували препарати </w:t>
      </w:r>
      <w:r w:rsidR="00CD22CE" w:rsidRPr="0022453B">
        <w:t>–</w:t>
      </w:r>
      <w:r w:rsidRPr="0022453B">
        <w:t xml:space="preserve"> лізіноприл 5 мг 1 раз на добу або д</w:t>
      </w:r>
      <w:r w:rsidR="002D78C4">
        <w:t>и</w:t>
      </w:r>
      <w:r w:rsidRPr="0022453B">
        <w:t>лт</w:t>
      </w:r>
      <w:r w:rsidR="002D78C4">
        <w:t>і</w:t>
      </w:r>
      <w:r w:rsidRPr="0022453B">
        <w:t>азем 60 мг 2 раз</w:t>
      </w:r>
      <w:r w:rsidR="007633EB" w:rsidRPr="0022453B">
        <w:t>и</w:t>
      </w:r>
      <w:r w:rsidRPr="0022453B">
        <w:t xml:space="preserve"> на добу. Контроль артеріального тиску проводився </w:t>
      </w:r>
      <w:r w:rsidR="007F1F99" w:rsidRPr="0022453B">
        <w:t>щоденно</w:t>
      </w:r>
      <w:r w:rsidRPr="0022453B">
        <w:t xml:space="preserve"> </w:t>
      </w:r>
      <w:r w:rsidR="00E52F25" w:rsidRPr="0022453B">
        <w:t>упродовж</w:t>
      </w:r>
      <w:r w:rsidRPr="0022453B">
        <w:t xml:space="preserve"> дослідження. </w:t>
      </w:r>
      <w:r w:rsidR="007F1F99" w:rsidRPr="0022453B">
        <w:t>Пацієнти з БА+ЦД2Т отримували додатково метформін у</w:t>
      </w:r>
      <w:r w:rsidR="008602FB">
        <w:t> </w:t>
      </w:r>
      <w:r w:rsidR="007F1F99" w:rsidRPr="0022453B">
        <w:t xml:space="preserve">середній добовій дозі </w:t>
      </w:r>
      <w:r w:rsidR="00D520BB">
        <w:t>500</w:t>
      </w:r>
      <w:r w:rsidR="007F1F99" w:rsidRPr="0022453B">
        <w:t>–</w:t>
      </w:r>
      <w:r w:rsidR="00D520BB">
        <w:t>1500</w:t>
      </w:r>
      <w:r w:rsidR="007F1F99" w:rsidRPr="0022453B">
        <w:t xml:space="preserve"> мг </w:t>
      </w:r>
      <w:r w:rsidR="00E37E1A" w:rsidRPr="00C12B77">
        <w:t xml:space="preserve">на добу </w:t>
      </w:r>
      <w:r w:rsidR="007F1F99" w:rsidRPr="0022453B">
        <w:t>залежно від глікемічного профілю, глікованого гемоглобіну під контролем ендокринолога.</w:t>
      </w:r>
    </w:p>
    <w:p w:rsidR="0015648B" w:rsidRPr="0022453B" w:rsidRDefault="00556F35" w:rsidP="00CD5061">
      <w:pPr>
        <w:pStyle w:val="atextRef"/>
        <w:spacing w:line="288" w:lineRule="auto"/>
      </w:pPr>
      <w:r w:rsidRPr="0022453B">
        <w:t xml:space="preserve">Критеріями включення учасників </w:t>
      </w:r>
      <w:r w:rsidR="00B031C5" w:rsidRPr="0022453B">
        <w:t>до</w:t>
      </w:r>
      <w:r w:rsidRPr="0022453B">
        <w:t xml:space="preserve"> дослідження: наявність </w:t>
      </w:r>
      <w:r w:rsidR="00B031C5" w:rsidRPr="0022453B">
        <w:t>БА різного</w:t>
      </w:r>
      <w:r w:rsidR="007C7AA9" w:rsidRPr="0022453B">
        <w:t xml:space="preserve"> </w:t>
      </w:r>
      <w:r w:rsidR="00B031C5" w:rsidRPr="0022453B">
        <w:t>ступеня</w:t>
      </w:r>
      <w:r w:rsidRPr="0022453B">
        <w:t xml:space="preserve"> контролю, </w:t>
      </w:r>
      <w:r w:rsidR="002A1AE8" w:rsidRPr="0022453B">
        <w:t>зокрема</w:t>
      </w:r>
      <w:r w:rsidR="008435A7" w:rsidRPr="0022453B">
        <w:t xml:space="preserve"> </w:t>
      </w:r>
      <w:r w:rsidRPr="0022453B">
        <w:t xml:space="preserve">у поєднанні з </w:t>
      </w:r>
      <w:r w:rsidR="00FC5877" w:rsidRPr="0022453B">
        <w:t>цукровим діабетом 2 типу</w:t>
      </w:r>
      <w:r w:rsidRPr="0022453B">
        <w:t xml:space="preserve"> </w:t>
      </w:r>
      <w:r w:rsidR="00B031C5" w:rsidRPr="0022453B">
        <w:t xml:space="preserve">(тривалість БА довша за анамнез ЦД2Т) </w:t>
      </w:r>
      <w:r w:rsidRPr="0022453B">
        <w:t xml:space="preserve">та ожирінням. Вік </w:t>
      </w:r>
      <w:r w:rsidR="002A1AE8" w:rsidRPr="0022453B">
        <w:t xml:space="preserve">складав </w:t>
      </w:r>
      <w:r w:rsidRPr="0022453B">
        <w:t>від 30</w:t>
      </w:r>
      <w:r w:rsidR="000B77BB" w:rsidRPr="0022453B">
        <w:t>–</w:t>
      </w:r>
      <w:r w:rsidRPr="0022453B">
        <w:t>65</w:t>
      </w:r>
      <w:r w:rsidR="005822B0">
        <w:rPr>
          <w:lang w:val="ru-RU"/>
        </w:rPr>
        <w:t> </w:t>
      </w:r>
      <w:r w:rsidRPr="0022453B">
        <w:t>років</w:t>
      </w:r>
      <w:r w:rsidR="005822B0">
        <w:t xml:space="preserve">; </w:t>
      </w:r>
      <w:r w:rsidRPr="0022453B">
        <w:t xml:space="preserve">артеріальна гіпертензія </w:t>
      </w:r>
      <w:r w:rsidR="006230E6" w:rsidRPr="0022453B">
        <w:t>(</w:t>
      </w:r>
      <w:r w:rsidRPr="0022453B">
        <w:t>САТ</w:t>
      </w:r>
      <w:r w:rsidR="002A1AE8" w:rsidRPr="0022453B">
        <w:t> </w:t>
      </w:r>
      <w:r w:rsidRPr="0022453B">
        <w:t>&lt;</w:t>
      </w:r>
      <w:r w:rsidR="002A1AE8" w:rsidRPr="0022453B">
        <w:t> </w:t>
      </w:r>
      <w:r w:rsidRPr="0022453B">
        <w:t>140 мм.</w:t>
      </w:r>
      <w:r w:rsidR="00262562" w:rsidRPr="0022453B">
        <w:t> </w:t>
      </w:r>
      <w:r w:rsidRPr="0022453B">
        <w:t>рт.</w:t>
      </w:r>
      <w:r w:rsidR="00262562" w:rsidRPr="0022453B">
        <w:t> </w:t>
      </w:r>
      <w:r w:rsidR="006230E6" w:rsidRPr="0022453B">
        <w:t>ст.,</w:t>
      </w:r>
      <w:r w:rsidRPr="0022453B">
        <w:t xml:space="preserve"> ДАТ</w:t>
      </w:r>
      <w:r w:rsidR="000B77BB" w:rsidRPr="0022453B">
        <w:t> </w:t>
      </w:r>
      <w:r w:rsidRPr="0022453B">
        <w:t>&lt;</w:t>
      </w:r>
      <w:r w:rsidR="000B77BB" w:rsidRPr="0022453B">
        <w:t> </w:t>
      </w:r>
      <w:r w:rsidRPr="0022453B">
        <w:t>90 мм.</w:t>
      </w:r>
      <w:r w:rsidR="003C1187" w:rsidRPr="0022453B">
        <w:t> рт. ст</w:t>
      </w:r>
      <w:r w:rsidRPr="0022453B">
        <w:t>.</w:t>
      </w:r>
      <w:r w:rsidR="006230E6" w:rsidRPr="0022453B">
        <w:t>)</w:t>
      </w:r>
      <w:r w:rsidR="005822B0">
        <w:t xml:space="preserve">; </w:t>
      </w:r>
      <w:r w:rsidRPr="0022453B">
        <w:t>ЦД2Т середнь</w:t>
      </w:r>
      <w:r w:rsidR="008435A7" w:rsidRPr="0022453B">
        <w:t xml:space="preserve">ої </w:t>
      </w:r>
      <w:r w:rsidR="002A1AE8" w:rsidRPr="0022453B">
        <w:t>тя</w:t>
      </w:r>
      <w:r w:rsidR="008435A7" w:rsidRPr="0022453B">
        <w:t>жкості, субкомпенсований (у</w:t>
      </w:r>
      <w:r w:rsidRPr="0022453B">
        <w:t>становлена тривалість захворювання БА</w:t>
      </w:r>
      <w:r w:rsidR="000B77BB" w:rsidRPr="0022453B">
        <w:t> </w:t>
      </w:r>
      <w:r w:rsidRPr="0022453B">
        <w:t>&gt;</w:t>
      </w:r>
      <w:r w:rsidR="000B77BB" w:rsidRPr="0022453B">
        <w:t> </w:t>
      </w:r>
      <w:r w:rsidRPr="0022453B">
        <w:t>анамнезу ЦД2Т)</w:t>
      </w:r>
      <w:r w:rsidR="005822B0">
        <w:t xml:space="preserve">; </w:t>
      </w:r>
      <w:r w:rsidR="008435A7" w:rsidRPr="0022453B">
        <w:t>к</w:t>
      </w:r>
      <w:r w:rsidRPr="0022453B">
        <w:t xml:space="preserve">онтингент контрольної групи формувався з практично здорових волонтерів, </w:t>
      </w:r>
      <w:r w:rsidR="002A1AE8" w:rsidRPr="0022453B">
        <w:t>які</w:t>
      </w:r>
      <w:r w:rsidRPr="0022453B">
        <w:t xml:space="preserve"> ніколи не мали обтяжу</w:t>
      </w:r>
      <w:r w:rsidR="00F85E7B" w:rsidRPr="0022453B">
        <w:t>вального</w:t>
      </w:r>
      <w:r w:rsidRPr="0022453B">
        <w:t xml:space="preserve"> анамнезу та супутніх </w:t>
      </w:r>
      <w:r w:rsidR="002A1AE8" w:rsidRPr="0022453B">
        <w:t>захворювань</w:t>
      </w:r>
      <w:r w:rsidRPr="0022453B">
        <w:t xml:space="preserve">, а також </w:t>
      </w:r>
      <w:r w:rsidR="002A1AE8" w:rsidRPr="0022453B">
        <w:t>з огляду</w:t>
      </w:r>
      <w:r w:rsidRPr="0022453B">
        <w:t xml:space="preserve"> </w:t>
      </w:r>
      <w:r w:rsidR="00FA3DCF" w:rsidRPr="0022453B">
        <w:t xml:space="preserve">на </w:t>
      </w:r>
      <w:r w:rsidRPr="0022453B">
        <w:t xml:space="preserve">принцип </w:t>
      </w:r>
      <w:r w:rsidR="00674BDB" w:rsidRPr="0022453B">
        <w:t>зі</w:t>
      </w:r>
      <w:r w:rsidRPr="0022453B">
        <w:t>ставл</w:t>
      </w:r>
      <w:r w:rsidR="00FA3DCF" w:rsidRPr="0022453B">
        <w:t xml:space="preserve">ення </w:t>
      </w:r>
      <w:r w:rsidRPr="0022453B">
        <w:t>за антропо-демографічними показниками. Неодмінною умовою включення учасників було ї</w:t>
      </w:r>
      <w:r w:rsidR="002D0593" w:rsidRPr="0022453B">
        <w:t>х бажання взяти в ньому участь.</w:t>
      </w:r>
    </w:p>
    <w:p w:rsidR="0015648B" w:rsidRPr="0022453B" w:rsidRDefault="00B031C5" w:rsidP="00CD5061">
      <w:pPr>
        <w:pStyle w:val="atextRef"/>
        <w:spacing w:line="288" w:lineRule="auto"/>
        <w:rPr>
          <w:lang w:eastAsia="uk-UA"/>
        </w:rPr>
      </w:pPr>
      <w:r w:rsidRPr="0022453B">
        <w:t>Критерії</w:t>
      </w:r>
      <w:r w:rsidR="0015648B" w:rsidRPr="0022453B">
        <w:t xml:space="preserve"> виключення</w:t>
      </w:r>
      <w:r w:rsidRPr="0022453B">
        <w:t>:</w:t>
      </w:r>
      <w:r w:rsidR="0015648B" w:rsidRPr="0022453B">
        <w:t xml:space="preserve"> наявність будь-якої іншої патології, яка б могла вплинути на результати дослідження та небаж</w:t>
      </w:r>
      <w:r w:rsidRPr="0022453B">
        <w:t>ання брати участь у</w:t>
      </w:r>
      <w:r w:rsidR="005822B0">
        <w:rPr>
          <w:lang w:val="ru-RU"/>
        </w:rPr>
        <w:t> </w:t>
      </w:r>
      <w:r w:rsidRPr="0022453B">
        <w:t>дослідженні</w:t>
      </w:r>
      <w:r w:rsidR="005822B0">
        <w:t xml:space="preserve">; </w:t>
      </w:r>
      <w:r w:rsidRPr="0022453B">
        <w:t xml:space="preserve">діагностована хронічна хвороба </w:t>
      </w:r>
      <w:r w:rsidR="0015648B" w:rsidRPr="0022453B">
        <w:t>нирок (</w:t>
      </w:r>
      <w:r w:rsidR="002D0593" w:rsidRPr="0022453B">
        <w:t>креатинін</w:t>
      </w:r>
      <w:r w:rsidR="0015648B" w:rsidRPr="0022453B">
        <w:t xml:space="preserve"> сироватки крові 200 мкмоль/л і</w:t>
      </w:r>
      <w:r w:rsidR="008602FB">
        <w:t> </w:t>
      </w:r>
      <w:r w:rsidR="0015648B" w:rsidRPr="0022453B">
        <w:t>вище</w:t>
      </w:r>
      <w:r w:rsidR="005822B0">
        <w:t xml:space="preserve">; </w:t>
      </w:r>
      <w:r w:rsidR="0015648B" w:rsidRPr="0022453B">
        <w:t>супутні а</w:t>
      </w:r>
      <w:r w:rsidR="00671C0D" w:rsidRPr="0022453B">
        <w:t>у</w:t>
      </w:r>
      <w:r w:rsidR="0015648B" w:rsidRPr="0022453B">
        <w:t>тоімунні, інфекційні, онкологічні захворювання), ХОЗЛ,</w:t>
      </w:r>
      <w:r w:rsidR="001A23CD" w:rsidRPr="0022453B">
        <w:t xml:space="preserve"> ІХС,</w:t>
      </w:r>
      <w:r w:rsidR="000B77BB" w:rsidRPr="0022453B">
        <w:t xml:space="preserve"> </w:t>
      </w:r>
      <w:r w:rsidR="0015648B" w:rsidRPr="0022453B">
        <w:t xml:space="preserve">загострення хронічних запальних процесів </w:t>
      </w:r>
      <w:r w:rsidR="002A1AE8" w:rsidRPr="0022453B">
        <w:t>або</w:t>
      </w:r>
      <w:r w:rsidR="0015648B" w:rsidRPr="0022453B">
        <w:t xml:space="preserve"> наявність гострих запальних захворювань</w:t>
      </w:r>
      <w:r w:rsidR="005822B0">
        <w:t xml:space="preserve">; </w:t>
      </w:r>
      <w:r w:rsidR="00671C0D" w:rsidRPr="0022453B">
        <w:t>вагітність чи лактація</w:t>
      </w:r>
      <w:r w:rsidR="005822B0">
        <w:t xml:space="preserve">; </w:t>
      </w:r>
      <w:r w:rsidR="0015648B" w:rsidRPr="0022453B">
        <w:rPr>
          <w:lang w:eastAsia="uk-UA"/>
        </w:rPr>
        <w:t xml:space="preserve">небажання дати добровільну інформовану </w:t>
      </w:r>
      <w:r w:rsidR="0015648B" w:rsidRPr="0022453B">
        <w:rPr>
          <w:lang w:eastAsia="uk-UA"/>
        </w:rPr>
        <w:lastRenderedPageBreak/>
        <w:t>згоду на участь у дослідженн</w:t>
      </w:r>
      <w:r w:rsidR="00671C0D" w:rsidRPr="0022453B">
        <w:rPr>
          <w:lang w:eastAsia="uk-UA"/>
        </w:rPr>
        <w:t xml:space="preserve">і, </w:t>
      </w:r>
      <w:r w:rsidR="0015648B" w:rsidRPr="0022453B">
        <w:rPr>
          <w:lang w:eastAsia="uk-UA"/>
        </w:rPr>
        <w:t xml:space="preserve">порушення його протоколу, </w:t>
      </w:r>
      <w:r w:rsidR="00671C0D" w:rsidRPr="0022453B">
        <w:rPr>
          <w:lang w:eastAsia="uk-UA"/>
        </w:rPr>
        <w:t>відсутність громадянства</w:t>
      </w:r>
      <w:r w:rsidR="0015648B" w:rsidRPr="0022453B">
        <w:rPr>
          <w:lang w:eastAsia="uk-UA"/>
        </w:rPr>
        <w:t xml:space="preserve"> України.</w:t>
      </w:r>
    </w:p>
    <w:p w:rsidR="00EC33F5" w:rsidRPr="0022453B" w:rsidRDefault="00D32CCE" w:rsidP="00CD5061">
      <w:pPr>
        <w:pStyle w:val="atextRef"/>
        <w:spacing w:line="288" w:lineRule="auto"/>
      </w:pPr>
      <w:r w:rsidRPr="0022453B">
        <w:t>Усі</w:t>
      </w:r>
      <w:r w:rsidR="005035B5" w:rsidRPr="0022453B">
        <w:t xml:space="preserve"> пацієнтам і особам контрольної групи виконували загальний аналіз крові, біохімічний ана</w:t>
      </w:r>
      <w:r w:rsidR="004E7C91">
        <w:t>ліз крові з визначенням креатині</w:t>
      </w:r>
      <w:r w:rsidR="005035B5" w:rsidRPr="0022453B">
        <w:t xml:space="preserve">ну, ліпідного та вуглеводного обмінів. </w:t>
      </w:r>
      <w:r w:rsidR="00EC33F5" w:rsidRPr="0022453B">
        <w:t>Імуноферментним методом у крові досліджували концент</w:t>
      </w:r>
      <w:r w:rsidR="00F061D6" w:rsidRPr="0022453B">
        <w:t>рації: цитокінів ІЛ-8, ІЛ-12</w:t>
      </w:r>
      <w:r w:rsidR="002A1AE8" w:rsidRPr="0022453B">
        <w:t xml:space="preserve"> </w:t>
      </w:r>
      <w:r w:rsidR="00F061D6" w:rsidRPr="0022453B">
        <w:t>(ім</w:t>
      </w:r>
      <w:r w:rsidR="00EC33F5" w:rsidRPr="0022453B">
        <w:t xml:space="preserve">уноферментних тест-систем </w:t>
      </w:r>
      <w:r w:rsidR="005822B0">
        <w:t>«</w:t>
      </w:r>
      <w:r w:rsidR="00EC33F5" w:rsidRPr="0022453B">
        <w:t>БЕСТ-ІФА</w:t>
      </w:r>
      <w:r w:rsidR="005822B0">
        <w:t>»</w:t>
      </w:r>
      <w:r w:rsidR="00EC33F5" w:rsidRPr="0022453B">
        <w:t xml:space="preserve"> фірми </w:t>
      </w:r>
      <w:r w:rsidR="005822B0">
        <w:t>«</w:t>
      </w:r>
      <w:r w:rsidR="00EC33F5" w:rsidRPr="0022453B">
        <w:t>Вектор-Бест</w:t>
      </w:r>
      <w:r w:rsidR="005822B0">
        <w:t>»</w:t>
      </w:r>
      <w:r w:rsidR="00EC33F5" w:rsidRPr="0022453B">
        <w:t>, м</w:t>
      </w:r>
      <w:r w:rsidR="00F061D6" w:rsidRPr="0022453B">
        <w:t>.</w:t>
      </w:r>
      <w:r w:rsidR="00EC33F5" w:rsidRPr="0022453B">
        <w:t xml:space="preserve"> Новосибірск, РФ), ФКУ</w:t>
      </w:r>
      <w:r w:rsidR="002A1AE8" w:rsidRPr="0022453B">
        <w:t xml:space="preserve"> </w:t>
      </w:r>
      <w:r w:rsidR="00EC33F5" w:rsidRPr="0022453B">
        <w:t xml:space="preserve">(тест-системи </w:t>
      </w:r>
      <w:r w:rsidR="005822B0">
        <w:t>«</w:t>
      </w:r>
      <w:r w:rsidR="00EC33F5" w:rsidRPr="0022453B">
        <w:t>RayBio® Human Фракталкін</w:t>
      </w:r>
      <w:r w:rsidR="005822B0">
        <w:t>»</w:t>
      </w:r>
      <w:r w:rsidR="00EC33F5" w:rsidRPr="0022453B">
        <w:t xml:space="preserve">, фірми </w:t>
      </w:r>
      <w:r w:rsidR="005822B0">
        <w:t>«</w:t>
      </w:r>
      <w:r w:rsidR="00EC33F5" w:rsidRPr="0022453B">
        <w:t>Ray</w:t>
      </w:r>
      <w:r w:rsidR="000251B9" w:rsidRPr="0022453B">
        <w:t xml:space="preserve"> </w:t>
      </w:r>
      <w:r w:rsidR="00EC33F5" w:rsidRPr="0022453B">
        <w:t>Biotech, Inc.</w:t>
      </w:r>
      <w:r w:rsidR="005822B0">
        <w:t>»</w:t>
      </w:r>
      <w:r w:rsidR="00EC33F5" w:rsidRPr="0022453B">
        <w:t xml:space="preserve">, США), </w:t>
      </w:r>
      <w:r w:rsidR="00E702B9">
        <w:t>ММР-9</w:t>
      </w:r>
      <w:r w:rsidR="00F24BBF" w:rsidRPr="0022453B">
        <w:t xml:space="preserve"> </w:t>
      </w:r>
      <w:r w:rsidR="00EC33F5" w:rsidRPr="0022453B">
        <w:t>(набор</w:t>
      </w:r>
      <w:r w:rsidR="007C7AA9" w:rsidRPr="0022453B">
        <w:t xml:space="preserve"> </w:t>
      </w:r>
      <w:r w:rsidR="005822B0">
        <w:t>«</w:t>
      </w:r>
      <w:r w:rsidR="00EC33F5" w:rsidRPr="0022453B">
        <w:t>HUMANММР-9</w:t>
      </w:r>
      <w:r w:rsidR="005822B0">
        <w:t>»</w:t>
      </w:r>
      <w:r w:rsidR="00EC33F5" w:rsidRPr="0022453B">
        <w:t xml:space="preserve"> (eBioscience,</w:t>
      </w:r>
      <w:r w:rsidR="00F24BBF" w:rsidRPr="0022453B">
        <w:t xml:space="preserve"> </w:t>
      </w:r>
      <w:r w:rsidR="00EC33F5" w:rsidRPr="0022453B">
        <w:t>Austria),</w:t>
      </w:r>
      <w:r w:rsidR="007C7AA9" w:rsidRPr="0022453B">
        <w:t xml:space="preserve"> </w:t>
      </w:r>
      <w:r w:rsidR="00EC33F5" w:rsidRPr="0022453B">
        <w:t xml:space="preserve">МСР-1 (реагент </w:t>
      </w:r>
      <w:r w:rsidR="005822B0">
        <w:t>«</w:t>
      </w:r>
      <w:r w:rsidR="00EC33F5" w:rsidRPr="0022453B">
        <w:t>HUMANМСР-1</w:t>
      </w:r>
      <w:r w:rsidR="005822B0">
        <w:t>»</w:t>
      </w:r>
      <w:r w:rsidR="00EC33F5" w:rsidRPr="0022453B">
        <w:t>, eBioscience,</w:t>
      </w:r>
      <w:r w:rsidR="00F24BBF" w:rsidRPr="0022453B">
        <w:t xml:space="preserve"> </w:t>
      </w:r>
      <w:r w:rsidR="00EC33F5" w:rsidRPr="0022453B">
        <w:t xml:space="preserve">Austria), ЕТ-1 (набор </w:t>
      </w:r>
      <w:r w:rsidR="005822B0">
        <w:t>«</w:t>
      </w:r>
      <w:r w:rsidR="00EC33F5" w:rsidRPr="0022453B">
        <w:t>ENDOTHELIN (1-21)</w:t>
      </w:r>
      <w:r w:rsidR="005822B0">
        <w:t>»</w:t>
      </w:r>
      <w:r w:rsidR="00F24BBF" w:rsidRPr="0022453B">
        <w:t xml:space="preserve"> </w:t>
      </w:r>
      <w:r w:rsidR="00EC33F5" w:rsidRPr="0022453B">
        <w:t>Biomedica).</w:t>
      </w:r>
      <w:r w:rsidR="005035B5" w:rsidRPr="0022453B">
        <w:t xml:space="preserve"> </w:t>
      </w:r>
      <w:r w:rsidR="00EC2CC4" w:rsidRPr="0022453B">
        <w:t>Активність S-нітрозотіол</w:t>
      </w:r>
      <w:r w:rsidR="000030CE">
        <w:t>ів</w:t>
      </w:r>
      <w:r w:rsidR="00EC2CC4" w:rsidRPr="0022453B">
        <w:t xml:space="preserve"> визначали спектрофотометричним методом за M.</w:t>
      </w:r>
      <w:r w:rsidR="006230E6" w:rsidRPr="0022453B">
        <w:t> </w:t>
      </w:r>
      <w:r w:rsidR="00EC2CC4" w:rsidRPr="0022453B">
        <w:t>Marzinzing</w:t>
      </w:r>
      <w:r w:rsidR="006230E6" w:rsidRPr="0022453B">
        <w:t> </w:t>
      </w:r>
      <w:r w:rsidR="00EC2CC4" w:rsidRPr="0022453B">
        <w:t>et al. (1997) у модиф</w:t>
      </w:r>
      <w:r w:rsidR="000251B9" w:rsidRPr="0022453B">
        <w:t>і</w:t>
      </w:r>
      <w:r w:rsidR="00804933">
        <w:t>кації О.</w:t>
      </w:r>
      <w:r w:rsidR="00EC2CC4" w:rsidRPr="0022453B">
        <w:t>М.</w:t>
      </w:r>
      <w:r w:rsidR="00804933">
        <w:t> </w:t>
      </w:r>
      <w:r w:rsidR="00EC2CC4" w:rsidRPr="0022453B">
        <w:t xml:space="preserve">Ковальової та співав. </w:t>
      </w:r>
      <w:r w:rsidR="0047501C" w:rsidRPr="0022453B">
        <w:t>(2007)</w:t>
      </w:r>
      <w:r w:rsidR="00EC2CC4" w:rsidRPr="0022453B">
        <w:t>.</w:t>
      </w:r>
      <w:r w:rsidR="00F24BBF" w:rsidRPr="0022453B">
        <w:t xml:space="preserve"> </w:t>
      </w:r>
      <w:r w:rsidR="00EC33F5" w:rsidRPr="0022453B">
        <w:t>ФВ</w:t>
      </w:r>
      <w:r w:rsidR="00F24BBF" w:rsidRPr="0022453B">
        <w:t xml:space="preserve"> </w:t>
      </w:r>
      <w:r w:rsidR="00EC33F5" w:rsidRPr="0022453B">
        <w:t>визначали фотоелектроколориметричним методом.</w:t>
      </w:r>
      <w:r w:rsidR="007C7AA9" w:rsidRPr="0022453B">
        <w:t xml:space="preserve"> </w:t>
      </w:r>
      <w:r w:rsidR="00EC33F5" w:rsidRPr="0022453B">
        <w:t xml:space="preserve">Активність ФВ </w:t>
      </w:r>
      <w:r w:rsidR="00F24BBF" w:rsidRPr="0022453B">
        <w:t>у</w:t>
      </w:r>
      <w:r w:rsidR="00EC33F5" w:rsidRPr="0022453B">
        <w:t xml:space="preserve"> досліджуваній плазмі оцінювали </w:t>
      </w:r>
      <w:r w:rsidR="00F24BBF" w:rsidRPr="0022453B">
        <w:t>за</w:t>
      </w:r>
      <w:r w:rsidR="00EC33F5" w:rsidRPr="0022453B">
        <w:t xml:space="preserve"> аглют</w:t>
      </w:r>
      <w:r w:rsidR="00F24BBF" w:rsidRPr="0022453B">
        <w:t>инацією</w:t>
      </w:r>
      <w:r w:rsidR="00EC33F5" w:rsidRPr="0022453B">
        <w:t xml:space="preserve"> стандартизованого препарату тромбоцитів (</w:t>
      </w:r>
      <w:r w:rsidR="00F24BBF" w:rsidRPr="0022453B">
        <w:t>З. Г. </w:t>
      </w:r>
      <w:r w:rsidR="00EC33F5" w:rsidRPr="0022453B">
        <w:t>Баркаган, 2008)</w:t>
      </w:r>
      <w:r w:rsidR="00F061D6" w:rsidRPr="0022453B">
        <w:t>.</w:t>
      </w:r>
      <w:r w:rsidR="005035B5" w:rsidRPr="0022453B">
        <w:t xml:space="preserve"> </w:t>
      </w:r>
      <w:r w:rsidR="001266BB">
        <w:t>Проведено д</w:t>
      </w:r>
      <w:r w:rsidR="00EC33F5" w:rsidRPr="0022453B">
        <w:t>ослідження стану клітинної, гуморальної ланок імунітету та фагоцитозу</w:t>
      </w:r>
      <w:r w:rsidR="001266BB">
        <w:t xml:space="preserve">. </w:t>
      </w:r>
      <w:r w:rsidR="00EC33F5" w:rsidRPr="0022453B">
        <w:t xml:space="preserve">Визначення субпопуляцій Т- і В-лімфоцитів (CD3, CD4, CD8, CD16, CD22) </w:t>
      </w:r>
      <w:r w:rsidR="00E77691" w:rsidRPr="0022453B">
        <w:t xml:space="preserve">проводили </w:t>
      </w:r>
      <w:r w:rsidR="00EC33F5" w:rsidRPr="0022453B">
        <w:t xml:space="preserve">в абсолютних та відносних величинах методом їх визначення за допомогою діагностикума </w:t>
      </w:r>
      <w:r w:rsidR="005822B0">
        <w:t>«</w:t>
      </w:r>
      <w:r w:rsidR="00EC33F5" w:rsidRPr="0022453B">
        <w:t>НВЛ Гранум</w:t>
      </w:r>
      <w:r w:rsidR="005822B0">
        <w:t>»</w:t>
      </w:r>
      <w:r w:rsidR="00EC33F5" w:rsidRPr="0022453B">
        <w:t xml:space="preserve"> (Україна), рівнів Ig A, Ig M, Ig G сироватки крові </w:t>
      </w:r>
      <w:r w:rsidR="00F24BBF" w:rsidRPr="0022453B">
        <w:t xml:space="preserve">за </w:t>
      </w:r>
      <w:r w:rsidR="00EC33F5" w:rsidRPr="0022453B">
        <w:t>методом G.</w:t>
      </w:r>
      <w:r w:rsidR="00F24BBF" w:rsidRPr="0022453B">
        <w:t> </w:t>
      </w:r>
      <w:r w:rsidR="00EC33F5" w:rsidRPr="0022453B">
        <w:t xml:space="preserve">Mancini (1965) за допомогою реагентів ФГУП </w:t>
      </w:r>
      <w:r w:rsidR="00181878" w:rsidRPr="0022453B">
        <w:t xml:space="preserve">НПО </w:t>
      </w:r>
      <w:r w:rsidR="005822B0">
        <w:t>«</w:t>
      </w:r>
      <w:r w:rsidR="00181878" w:rsidRPr="0022453B">
        <w:t>Мі</w:t>
      </w:r>
      <w:r w:rsidR="00EC33F5" w:rsidRPr="0022453B">
        <w:t>кроген</w:t>
      </w:r>
      <w:r w:rsidR="005822B0">
        <w:t>»</w:t>
      </w:r>
      <w:r w:rsidR="00EC33F5" w:rsidRPr="0022453B">
        <w:t xml:space="preserve"> (МЗ РФ Росія), циркул</w:t>
      </w:r>
      <w:r w:rsidR="00632C17" w:rsidRPr="0022453B">
        <w:t xml:space="preserve">яційних </w:t>
      </w:r>
      <w:r w:rsidR="00EC33F5" w:rsidRPr="0022453B">
        <w:t>імунних комплексів (ЦІК) за методом V.</w:t>
      </w:r>
      <w:r w:rsidR="008602FB">
        <w:t> </w:t>
      </w:r>
      <w:r w:rsidR="00EC33F5" w:rsidRPr="0022453B">
        <w:t>Haskova et al. у</w:t>
      </w:r>
      <w:r w:rsidR="005822B0">
        <w:rPr>
          <w:lang w:val="ru-RU"/>
        </w:rPr>
        <w:t> </w:t>
      </w:r>
      <w:r w:rsidR="00EC33F5" w:rsidRPr="0022453B">
        <w:t>модифікації Ю.А.</w:t>
      </w:r>
      <w:r w:rsidR="00F24BBF" w:rsidRPr="0022453B">
        <w:t> </w:t>
      </w:r>
      <w:r w:rsidR="00EC33F5" w:rsidRPr="0022453B">
        <w:t>Гриневича й А.Н.</w:t>
      </w:r>
      <w:r w:rsidR="00F24BBF" w:rsidRPr="0022453B">
        <w:t> </w:t>
      </w:r>
      <w:r w:rsidR="00EC33F5" w:rsidRPr="0022453B">
        <w:t>Алфьорова (1978), показники фагоцитозу (нейтрофіли фагоцит</w:t>
      </w:r>
      <w:r w:rsidR="00181878" w:rsidRPr="0022453B">
        <w:t>арні</w:t>
      </w:r>
      <w:r w:rsidR="00EC33F5" w:rsidRPr="0022453B">
        <w:t>, фагоцитарне число та індекс активності нейтрофілів) за принципом здатності поліморфноядерних лейкоцитів та моноцитів периферичної крові пов</w:t>
      </w:r>
      <w:r w:rsidR="00AF5C51" w:rsidRPr="0022453B">
        <w:t>’</w:t>
      </w:r>
      <w:r w:rsidR="00EC33F5" w:rsidRPr="0022453B">
        <w:t xml:space="preserve">язувати на своїй поверхні, поглинати </w:t>
      </w:r>
      <w:r w:rsidR="00632C17" w:rsidRPr="0022453B">
        <w:t>та</w:t>
      </w:r>
      <w:r w:rsidR="00EC33F5" w:rsidRPr="0022453B">
        <w:t xml:space="preserve"> перетравлювати мікробну тест-культуру, НСT-тесту за Стюарт (1975) </w:t>
      </w:r>
      <w:r w:rsidR="00F24BBF" w:rsidRPr="0022453B">
        <w:t>у</w:t>
      </w:r>
      <w:r w:rsidR="008602FB">
        <w:t> </w:t>
      </w:r>
      <w:r w:rsidR="00EC33F5" w:rsidRPr="0022453B">
        <w:t>модифікації Б.С.</w:t>
      </w:r>
      <w:r w:rsidR="00F24BBF" w:rsidRPr="0022453B">
        <w:t> </w:t>
      </w:r>
      <w:r w:rsidR="00EC33F5" w:rsidRPr="0022453B">
        <w:t xml:space="preserve">Нагоєва (1983). Специфічні IgE визначали методом імуноферментного аналізу з використанням тест-систем, розроблених ТОВ </w:t>
      </w:r>
      <w:r w:rsidR="005822B0">
        <w:t>«</w:t>
      </w:r>
      <w:r w:rsidR="00EC33F5" w:rsidRPr="0022453B">
        <w:t>Укрмед-Дон</w:t>
      </w:r>
      <w:r w:rsidR="005822B0">
        <w:t>»</w:t>
      </w:r>
      <w:r w:rsidR="00EC33F5" w:rsidRPr="0022453B">
        <w:t xml:space="preserve"> (</w:t>
      </w:r>
      <w:r w:rsidR="00F24BBF" w:rsidRPr="0022453B">
        <w:t>м. </w:t>
      </w:r>
      <w:r w:rsidR="00EC33F5" w:rsidRPr="0022453B">
        <w:t xml:space="preserve">Донецьк, Україна) </w:t>
      </w:r>
      <w:r w:rsidR="00F061D6" w:rsidRPr="0022453B">
        <w:t>і</w:t>
      </w:r>
      <w:r w:rsidR="00EC33F5" w:rsidRPr="0022453B">
        <w:t xml:space="preserve">з можливістю індивідуального підбору досліджуваного переліку алергенів, а також використання виробником для діагностики вітчизняних алергенів та </w:t>
      </w:r>
      <w:r w:rsidR="00E77691" w:rsidRPr="0022453B">
        <w:t>і</w:t>
      </w:r>
      <w:r w:rsidR="00EC33F5" w:rsidRPr="0022453B">
        <w:t>спанськими алергенами.</w:t>
      </w:r>
    </w:p>
    <w:p w:rsidR="0054650B" w:rsidRPr="0022453B" w:rsidRDefault="00EC33F5" w:rsidP="00CD5061">
      <w:pPr>
        <w:pStyle w:val="atextRef"/>
        <w:spacing w:line="288" w:lineRule="auto"/>
      </w:pPr>
      <w:r w:rsidRPr="0022453B">
        <w:t xml:space="preserve">Оцінка функції </w:t>
      </w:r>
      <w:r w:rsidR="0045720A" w:rsidRPr="0022453B">
        <w:t xml:space="preserve">зовнішнього дихання </w:t>
      </w:r>
      <w:r w:rsidRPr="0022453B">
        <w:t>проводилася на підставі ре</w:t>
      </w:r>
      <w:r w:rsidR="00F061D6" w:rsidRPr="0022453B">
        <w:t xml:space="preserve">єстрації </w:t>
      </w:r>
      <w:r w:rsidR="0045720A" w:rsidRPr="0022453B">
        <w:t>кривої</w:t>
      </w:r>
      <w:r w:rsidR="00F061D6" w:rsidRPr="0022453B">
        <w:t xml:space="preserve"> </w:t>
      </w:r>
      <w:r w:rsidR="005822B0">
        <w:t>«</w:t>
      </w:r>
      <w:r w:rsidR="00F061D6" w:rsidRPr="0022453B">
        <w:t>потік</w:t>
      </w:r>
      <w:r w:rsidR="00E77691" w:rsidRPr="0022453B">
        <w:t xml:space="preserve"> – </w:t>
      </w:r>
      <w:r w:rsidR="00F061D6" w:rsidRPr="0022453B">
        <w:t>об</w:t>
      </w:r>
      <w:r w:rsidR="00AF5C51" w:rsidRPr="0022453B">
        <w:t>’</w:t>
      </w:r>
      <w:r w:rsidR="00F061D6" w:rsidRPr="0022453B">
        <w:t>єм</w:t>
      </w:r>
      <w:r w:rsidR="005822B0">
        <w:t>»</w:t>
      </w:r>
      <w:r w:rsidR="00F061D6" w:rsidRPr="0022453B">
        <w:t xml:space="preserve"> </w:t>
      </w:r>
      <w:r w:rsidR="0045720A" w:rsidRPr="0022453B">
        <w:t xml:space="preserve">за </w:t>
      </w:r>
      <w:r w:rsidRPr="0022453B">
        <w:t>допомогою спірографічного комплексу</w:t>
      </w:r>
      <w:r w:rsidR="00F24BBF" w:rsidRPr="0022453B">
        <w:t xml:space="preserve"> </w:t>
      </w:r>
      <w:r w:rsidR="005822B0">
        <w:t>«</w:t>
      </w:r>
      <w:r w:rsidRPr="0022453B">
        <w:t>Спіро</w:t>
      </w:r>
      <w:r w:rsidR="00884A7E">
        <w:t>к</w:t>
      </w:r>
      <w:r w:rsidRPr="0022453B">
        <w:t>ом</w:t>
      </w:r>
      <w:r w:rsidR="005822B0">
        <w:t>»</w:t>
      </w:r>
      <w:r w:rsidRPr="0022453B">
        <w:t>, (</w:t>
      </w:r>
      <w:r w:rsidR="00E017CC">
        <w:t>Україна</w:t>
      </w:r>
      <w:r w:rsidRPr="0022453B">
        <w:t xml:space="preserve">) </w:t>
      </w:r>
      <w:r w:rsidR="0045720A" w:rsidRPr="0022453B">
        <w:t>з</w:t>
      </w:r>
      <w:r w:rsidRPr="0022453B">
        <w:t xml:space="preserve"> визначенням </w:t>
      </w:r>
      <w:r w:rsidR="0045720A" w:rsidRPr="0022453B">
        <w:t xml:space="preserve">відносних </w:t>
      </w:r>
      <w:r w:rsidR="009F4D9A">
        <w:t xml:space="preserve">значень </w:t>
      </w:r>
      <w:r w:rsidRPr="0022453B">
        <w:t>життєвої ємності легень (ЖЄЛ), форсованої життєвої ємності легень (ФЖЄЛ), об</w:t>
      </w:r>
      <w:r w:rsidR="00AF5C51" w:rsidRPr="0022453B">
        <w:t>’</w:t>
      </w:r>
      <w:r w:rsidRPr="0022453B">
        <w:t>єму форсованого видиху за 1</w:t>
      </w:r>
      <w:r w:rsidR="008602FB">
        <w:t> </w:t>
      </w:r>
      <w:r w:rsidRPr="0022453B">
        <w:t>с (ОФВ</w:t>
      </w:r>
      <w:r w:rsidRPr="0022453B">
        <w:rPr>
          <w:vertAlign w:val="subscript"/>
        </w:rPr>
        <w:t>1</w:t>
      </w:r>
      <w:r w:rsidRPr="0022453B">
        <w:t xml:space="preserve">), індексу </w:t>
      </w:r>
      <w:r w:rsidR="00EC5E4F" w:rsidRPr="0022453B">
        <w:t>Тіффно (</w:t>
      </w:r>
      <w:r w:rsidRPr="0022453B">
        <w:t>ОФВ</w:t>
      </w:r>
      <w:r w:rsidRPr="0022453B">
        <w:rPr>
          <w:vertAlign w:val="subscript"/>
        </w:rPr>
        <w:t>1</w:t>
      </w:r>
      <w:r w:rsidRPr="0022453B">
        <w:t>/ЖЄЛ</w:t>
      </w:r>
      <w:r w:rsidR="00EC5E4F" w:rsidRPr="0022453B">
        <w:t>)</w:t>
      </w:r>
      <w:r w:rsidRPr="0022453B">
        <w:t>, форсована швидкість видиху на 25</w:t>
      </w:r>
      <w:r w:rsidR="0022453B">
        <w:t>%</w:t>
      </w:r>
      <w:r w:rsidRPr="0022453B">
        <w:t>, 50</w:t>
      </w:r>
      <w:r w:rsidR="0022453B">
        <w:t>%</w:t>
      </w:r>
      <w:r w:rsidRPr="0022453B">
        <w:t xml:space="preserve"> та 75</w:t>
      </w:r>
      <w:r w:rsidR="0022453B">
        <w:t>%</w:t>
      </w:r>
      <w:r w:rsidRPr="0022453B">
        <w:t xml:space="preserve"> (</w:t>
      </w:r>
      <w:r w:rsidR="005C7721" w:rsidRPr="0022453B">
        <w:t>ФШВ</w:t>
      </w:r>
      <w:r w:rsidR="005C7721" w:rsidRPr="0022453B">
        <w:rPr>
          <w:vertAlign w:val="subscript"/>
        </w:rPr>
        <w:t>25</w:t>
      </w:r>
      <w:r w:rsidR="005C7721" w:rsidRPr="0022453B">
        <w:t>, ФШВ</w:t>
      </w:r>
      <w:r w:rsidR="005C7721" w:rsidRPr="0022453B">
        <w:rPr>
          <w:vertAlign w:val="subscript"/>
        </w:rPr>
        <w:t>50</w:t>
      </w:r>
      <w:r w:rsidR="005C7721" w:rsidRPr="0022453B">
        <w:t xml:space="preserve"> і ФШВ</w:t>
      </w:r>
      <w:r w:rsidR="005C7721" w:rsidRPr="0022453B">
        <w:rPr>
          <w:vertAlign w:val="subscript"/>
        </w:rPr>
        <w:t>75</w:t>
      </w:r>
      <w:r w:rsidR="00884A7E">
        <w:t>) та</w:t>
      </w:r>
      <w:r w:rsidRPr="0022453B">
        <w:t xml:space="preserve"> </w:t>
      </w:r>
      <w:r w:rsidR="00884A7E" w:rsidRPr="0022453B">
        <w:t>пікової об’ємної швидкості (ПШВ)</w:t>
      </w:r>
      <w:r w:rsidR="006A4ACA">
        <w:t>.</w:t>
      </w:r>
      <w:r w:rsidR="00884A7E" w:rsidRPr="0022453B">
        <w:t xml:space="preserve"> </w:t>
      </w:r>
      <w:r w:rsidR="0033652E" w:rsidRPr="0022453B">
        <w:lastRenderedPageBreak/>
        <w:t>Статистична обробка даних виконувалась за допомогою пакету статистичних програм SPSS (</w:t>
      </w:r>
      <w:r w:rsidR="00E77691" w:rsidRPr="0022453B">
        <w:t>V</w:t>
      </w:r>
      <w:r w:rsidR="0033652E" w:rsidRPr="0022453B">
        <w:t>ersion 17.0 for Windows</w:t>
      </w:r>
      <w:r w:rsidR="005822B0">
        <w:t xml:space="preserve">; </w:t>
      </w:r>
      <w:r w:rsidR="0045720A" w:rsidRPr="0022453B">
        <w:t>США</w:t>
      </w:r>
      <w:r w:rsidR="0033652E" w:rsidRPr="0022453B">
        <w:t>). Для</w:t>
      </w:r>
      <w:r w:rsidR="00FA077D" w:rsidRPr="0022453B">
        <w:t xml:space="preserve"> </w:t>
      </w:r>
      <w:r w:rsidR="0033652E" w:rsidRPr="0022453B">
        <w:t>перевірки ознаки на нормальність використовували критерій Шапіро-Уілка.</w:t>
      </w:r>
      <w:r w:rsidR="0012473B" w:rsidRPr="0022453B">
        <w:t xml:space="preserve"> </w:t>
      </w:r>
      <w:r w:rsidR="00DC719C">
        <w:t>Описова статистика включала:</w:t>
      </w:r>
      <w:r w:rsidR="0033652E" w:rsidRPr="0022453B">
        <w:t xml:space="preserve"> медіан</w:t>
      </w:r>
      <w:r w:rsidR="00DC719C">
        <w:t>у</w:t>
      </w:r>
      <w:r w:rsidR="0033652E" w:rsidRPr="0022453B">
        <w:t xml:space="preserve"> </w:t>
      </w:r>
      <w:r w:rsidR="006A4ACA">
        <w:t>(</w:t>
      </w:r>
      <w:r w:rsidR="006A4ACA" w:rsidRPr="0022453B">
        <w:t>Ме</w:t>
      </w:r>
      <w:r w:rsidR="006A4ACA">
        <w:t>)</w:t>
      </w:r>
      <w:r w:rsidR="006A4ACA" w:rsidRPr="0022453B">
        <w:t xml:space="preserve"> </w:t>
      </w:r>
      <w:r w:rsidR="00266884">
        <w:t>та</w:t>
      </w:r>
      <w:r w:rsidR="0033652E" w:rsidRPr="0022453B">
        <w:t xml:space="preserve"> </w:t>
      </w:r>
      <w:r w:rsidR="00DC719C">
        <w:t>інтерквартальний розмах (</w:t>
      </w:r>
      <w:r w:rsidR="00DC719C">
        <w:rPr>
          <w:lang w:val="en-US"/>
        </w:rPr>
        <w:t>Q</w:t>
      </w:r>
      <w:r w:rsidR="00DC719C" w:rsidRPr="00DC719C">
        <w:rPr>
          <w:vertAlign w:val="subscript"/>
          <w:lang w:val="ru-RU"/>
        </w:rPr>
        <w:t>1</w:t>
      </w:r>
      <w:r w:rsidR="00DC719C" w:rsidRPr="00DC719C">
        <w:rPr>
          <w:lang w:val="ru-RU"/>
        </w:rPr>
        <w:t>;</w:t>
      </w:r>
      <w:r w:rsidR="00DC719C">
        <w:rPr>
          <w:lang w:val="en-US"/>
        </w:rPr>
        <w:t>Q</w:t>
      </w:r>
      <w:r w:rsidR="00DC719C" w:rsidRPr="00DC719C">
        <w:rPr>
          <w:vertAlign w:val="subscript"/>
          <w:lang w:val="ru-RU"/>
        </w:rPr>
        <w:t>3</w:t>
      </w:r>
      <w:r w:rsidR="00DC719C">
        <w:t>), а також мінімум і максимум). Для попарного порівняння</w:t>
      </w:r>
      <w:r w:rsidR="00266884">
        <w:t xml:space="preserve"> </w:t>
      </w:r>
      <w:r w:rsidR="00300D4A">
        <w:t xml:space="preserve">незалежних груп </w:t>
      </w:r>
      <w:r w:rsidR="00266884">
        <w:t xml:space="preserve">використовували </w:t>
      </w:r>
      <w:r w:rsidR="0033652E" w:rsidRPr="0022453B">
        <w:t>критерій Манна-У</w:t>
      </w:r>
      <w:r w:rsidR="00E77691" w:rsidRPr="0022453B">
        <w:t>і</w:t>
      </w:r>
      <w:r w:rsidR="0033652E" w:rsidRPr="0022453B">
        <w:t>тні. Порівняння</w:t>
      </w:r>
      <w:r w:rsidR="0012473B" w:rsidRPr="0022453B">
        <w:t xml:space="preserve"> </w:t>
      </w:r>
      <w:r w:rsidR="0033652E" w:rsidRPr="0022453B">
        <w:t>якісних ознак, а також дослідження частоти виявлення показників проводили за</w:t>
      </w:r>
      <w:r w:rsidR="0012473B" w:rsidRPr="0022453B">
        <w:t xml:space="preserve"> </w:t>
      </w:r>
      <w:r w:rsidR="0033652E" w:rsidRPr="0022453B">
        <w:t>допомогою критерію χ2 з аналізом таблиць спряженості. Аналіз динаміки досліджуваних показників проводили з використанням критерію У</w:t>
      </w:r>
      <w:r w:rsidR="00E77691" w:rsidRPr="0022453B">
        <w:t>і</w:t>
      </w:r>
      <w:r w:rsidR="0033652E" w:rsidRPr="0022453B">
        <w:t>лкоксона для зв</w:t>
      </w:r>
      <w:r w:rsidR="00AF5C51" w:rsidRPr="0022453B">
        <w:t>’</w:t>
      </w:r>
      <w:r w:rsidR="0033652E" w:rsidRPr="0022453B">
        <w:t>язаних вибірок. Кореляційні зв</w:t>
      </w:r>
      <w:r w:rsidR="00AF5C51" w:rsidRPr="0022453B">
        <w:t>’</w:t>
      </w:r>
      <w:r w:rsidR="0033652E" w:rsidRPr="0022453B">
        <w:t>язки оцінювали за коефіцієнтом кореляції Спірмена</w:t>
      </w:r>
      <w:r w:rsidR="003B3AC5" w:rsidRPr="0022453B">
        <w:t xml:space="preserve"> (R) </w:t>
      </w:r>
      <w:r w:rsidR="00E77691" w:rsidRPr="0022453B">
        <w:t>та</w:t>
      </w:r>
      <w:r w:rsidR="0033652E" w:rsidRPr="0022453B">
        <w:t xml:space="preserve"> шкали</w:t>
      </w:r>
      <w:r w:rsidR="00D8032A" w:rsidRPr="0022453B">
        <w:t xml:space="preserve"> </w:t>
      </w:r>
      <w:r w:rsidR="0033652E" w:rsidRPr="0022453B">
        <w:t>Чеддока. Для оцінки впливу фактора на досліджувані ознаки використовували критерій Краскела-Уолл</w:t>
      </w:r>
      <w:r w:rsidR="00286D3A" w:rsidRPr="0022453B">
        <w:t>і</w:t>
      </w:r>
      <w:r w:rsidR="0033652E" w:rsidRPr="0022453B">
        <w:t xml:space="preserve">са (Н-критерій). Для побудови моделі прогресування </w:t>
      </w:r>
      <w:r w:rsidR="0045720A" w:rsidRPr="0022453B">
        <w:t>БА</w:t>
      </w:r>
      <w:r w:rsidR="0033652E" w:rsidRPr="0022453B">
        <w:t xml:space="preserve"> у пацієнтів з</w:t>
      </w:r>
      <w:r w:rsidR="005822B0">
        <w:rPr>
          <w:lang w:val="ru-RU"/>
        </w:rPr>
        <w:t> </w:t>
      </w:r>
      <w:r w:rsidR="0033652E" w:rsidRPr="0022453B">
        <w:t>бронхіальною а</w:t>
      </w:r>
      <w:r w:rsidR="00286D3A" w:rsidRPr="0022453B">
        <w:t>стмою і цукровим діабетом 2</w:t>
      </w:r>
      <w:r w:rsidR="00D9291E">
        <w:t>-го</w:t>
      </w:r>
      <w:r w:rsidR="00286D3A" w:rsidRPr="0022453B">
        <w:t xml:space="preserve"> типу</w:t>
      </w:r>
      <w:r w:rsidR="0033652E" w:rsidRPr="0022453B">
        <w:t xml:space="preserve"> використовували </w:t>
      </w:r>
      <w:r w:rsidR="00286D3A" w:rsidRPr="0022453B">
        <w:t>метод бінарної логістичної регресії</w:t>
      </w:r>
      <w:r w:rsidR="0033652E" w:rsidRPr="0022453B">
        <w:t xml:space="preserve">, в якому значущість використаних </w:t>
      </w:r>
      <w:r w:rsidR="00FA3DCF" w:rsidRPr="0022453B">
        <w:t>у</w:t>
      </w:r>
      <w:r w:rsidR="0033652E" w:rsidRPr="0022453B">
        <w:t xml:space="preserve"> моделі предикторів оцінювали за статистикою Вальда. Для перевірки якості моделі використовували критері</w:t>
      </w:r>
      <w:r w:rsidR="00DC719C">
        <w:t>ї</w:t>
      </w:r>
      <w:r w:rsidR="0033652E" w:rsidRPr="0022453B">
        <w:t xml:space="preserve"> Нейджелкерка (R</w:t>
      </w:r>
      <w:r w:rsidR="0033652E" w:rsidRPr="0022453B">
        <w:rPr>
          <w:vertAlign w:val="superscript"/>
        </w:rPr>
        <w:t>2</w:t>
      </w:r>
      <w:r w:rsidR="0033652E" w:rsidRPr="0022453B">
        <w:t>) і Хосмера-Лемешова, а для оцінки ефективності моделі використовували ROC</w:t>
      </w:r>
      <w:r w:rsidR="0045720A" w:rsidRPr="0022453B">
        <w:t xml:space="preserve"> </w:t>
      </w:r>
      <w:r w:rsidR="008602FB">
        <w:t>–</w:t>
      </w:r>
      <w:r w:rsidR="0045720A" w:rsidRPr="0022453B">
        <w:t xml:space="preserve"> </w:t>
      </w:r>
      <w:r w:rsidR="0033652E" w:rsidRPr="0022453B">
        <w:t>аналіз (а</w:t>
      </w:r>
      <w:r w:rsidR="008602FB">
        <w:t> </w:t>
      </w:r>
      <w:r w:rsidR="0033652E" w:rsidRPr="0022453B">
        <w:t>саме, площу під кривою, AUC).</w:t>
      </w:r>
      <w:r w:rsidR="0054650B" w:rsidRPr="0022453B">
        <w:t xml:space="preserve"> Відмінності вважалис</w:t>
      </w:r>
      <w:r w:rsidR="00EE58CC" w:rsidRPr="0022453B">
        <w:t>я</w:t>
      </w:r>
      <w:r w:rsidR="0054650B" w:rsidRPr="0022453B">
        <w:t xml:space="preserve"> статистично знач</w:t>
      </w:r>
      <w:r w:rsidR="00EE58CC" w:rsidRPr="0022453B">
        <w:t xml:space="preserve">ущими </w:t>
      </w:r>
      <w:r w:rsidR="0054650B" w:rsidRPr="0022453B">
        <w:t>при значенні р&lt;0,05.</w:t>
      </w:r>
    </w:p>
    <w:p w:rsidR="00B95CD7" w:rsidRPr="009301EF" w:rsidRDefault="009A341B" w:rsidP="00CD5061">
      <w:pPr>
        <w:spacing w:after="0" w:line="288" w:lineRule="auto"/>
        <w:ind w:firstLine="680"/>
        <w:jc w:val="both"/>
        <w:rPr>
          <w:rFonts w:ascii="Times New Roman" w:hAnsi="Times New Roman"/>
          <w:sz w:val="28"/>
          <w:szCs w:val="28"/>
        </w:rPr>
      </w:pPr>
      <w:r w:rsidRPr="009301EF">
        <w:rPr>
          <w:rFonts w:ascii="Times New Roman" w:hAnsi="Times New Roman"/>
          <w:b/>
          <w:sz w:val="28"/>
          <w:szCs w:val="28"/>
        </w:rPr>
        <w:t>Р</w:t>
      </w:r>
      <w:r w:rsidR="00D731CC" w:rsidRPr="009301EF">
        <w:rPr>
          <w:rFonts w:ascii="Times New Roman" w:hAnsi="Times New Roman"/>
          <w:b/>
          <w:sz w:val="28"/>
          <w:szCs w:val="28"/>
        </w:rPr>
        <w:t>езультати</w:t>
      </w:r>
      <w:r w:rsidR="003C1187" w:rsidRPr="009301EF">
        <w:rPr>
          <w:rFonts w:ascii="Times New Roman" w:hAnsi="Times New Roman"/>
          <w:b/>
          <w:sz w:val="28"/>
          <w:szCs w:val="28"/>
        </w:rPr>
        <w:t xml:space="preserve"> дослідження та їх обговорення</w:t>
      </w:r>
      <w:r w:rsidR="00F06411" w:rsidRPr="009301EF">
        <w:rPr>
          <w:rFonts w:ascii="Times New Roman" w:hAnsi="Times New Roman"/>
          <w:b/>
          <w:sz w:val="28"/>
          <w:szCs w:val="28"/>
        </w:rPr>
        <w:t>.</w:t>
      </w:r>
      <w:r w:rsidR="00F06411" w:rsidRPr="009301EF">
        <w:rPr>
          <w:rFonts w:ascii="Times New Roman" w:hAnsi="Times New Roman"/>
          <w:sz w:val="28"/>
          <w:szCs w:val="28"/>
        </w:rPr>
        <w:t xml:space="preserve"> </w:t>
      </w:r>
      <w:r w:rsidR="004E59C9" w:rsidRPr="009301EF">
        <w:rPr>
          <w:rFonts w:ascii="Times New Roman" w:hAnsi="Times New Roman"/>
          <w:sz w:val="28"/>
          <w:szCs w:val="28"/>
        </w:rPr>
        <w:t>При дослідженні показників Ф</w:t>
      </w:r>
      <w:r w:rsidR="00C50B29" w:rsidRPr="009301EF">
        <w:rPr>
          <w:rFonts w:ascii="Times New Roman" w:hAnsi="Times New Roman"/>
          <w:sz w:val="28"/>
          <w:szCs w:val="28"/>
        </w:rPr>
        <w:t>ЗД</w:t>
      </w:r>
      <w:r w:rsidR="00C0513B" w:rsidRPr="009301EF">
        <w:rPr>
          <w:rFonts w:ascii="Times New Roman" w:hAnsi="Times New Roman"/>
          <w:sz w:val="28"/>
          <w:szCs w:val="28"/>
        </w:rPr>
        <w:t xml:space="preserve"> встановлено, що</w:t>
      </w:r>
      <w:r w:rsidR="0022453B" w:rsidRPr="009301EF">
        <w:rPr>
          <w:rFonts w:ascii="Times New Roman" w:hAnsi="Times New Roman"/>
          <w:sz w:val="28"/>
          <w:szCs w:val="28"/>
        </w:rPr>
        <w:t xml:space="preserve"> </w:t>
      </w:r>
      <w:r w:rsidR="001F3BED" w:rsidRPr="009301EF">
        <w:rPr>
          <w:rFonts w:ascii="Times New Roman" w:hAnsi="Times New Roman"/>
          <w:sz w:val="28"/>
          <w:szCs w:val="28"/>
        </w:rPr>
        <w:t>у всіх хворих як основної групи</w:t>
      </w:r>
      <w:r w:rsidR="0064064E" w:rsidRPr="009301EF">
        <w:rPr>
          <w:rFonts w:ascii="Times New Roman" w:hAnsi="Times New Roman"/>
          <w:sz w:val="28"/>
          <w:szCs w:val="28"/>
        </w:rPr>
        <w:t>,</w:t>
      </w:r>
      <w:r w:rsidR="001F3BED" w:rsidRPr="009301EF">
        <w:rPr>
          <w:rFonts w:ascii="Times New Roman" w:hAnsi="Times New Roman"/>
          <w:sz w:val="28"/>
          <w:szCs w:val="28"/>
        </w:rPr>
        <w:t xml:space="preserve"> та</w:t>
      </w:r>
      <w:r w:rsidR="00D722D6" w:rsidRPr="009301EF">
        <w:rPr>
          <w:rFonts w:ascii="Times New Roman" w:hAnsi="Times New Roman"/>
          <w:sz w:val="28"/>
          <w:szCs w:val="28"/>
        </w:rPr>
        <w:t>к і</w:t>
      </w:r>
      <w:r w:rsidR="004E59C9" w:rsidRPr="009301EF">
        <w:rPr>
          <w:rFonts w:ascii="Times New Roman" w:hAnsi="Times New Roman"/>
          <w:sz w:val="28"/>
          <w:szCs w:val="28"/>
        </w:rPr>
        <w:t xml:space="preserve"> групи порівняння</w:t>
      </w:r>
      <w:r w:rsidR="0064064E" w:rsidRPr="009301EF">
        <w:rPr>
          <w:rFonts w:ascii="Times New Roman" w:hAnsi="Times New Roman"/>
          <w:sz w:val="28"/>
          <w:szCs w:val="28"/>
        </w:rPr>
        <w:t>,</w:t>
      </w:r>
      <w:r w:rsidR="004E59C9" w:rsidRPr="009301EF">
        <w:rPr>
          <w:rFonts w:ascii="Times New Roman" w:hAnsi="Times New Roman"/>
          <w:sz w:val="28"/>
          <w:szCs w:val="28"/>
        </w:rPr>
        <w:t xml:space="preserve"> були</w:t>
      </w:r>
      <w:r w:rsidR="00D8032A" w:rsidRPr="009301EF">
        <w:rPr>
          <w:rFonts w:ascii="Times New Roman" w:hAnsi="Times New Roman"/>
          <w:sz w:val="28"/>
          <w:szCs w:val="28"/>
        </w:rPr>
        <w:t xml:space="preserve"> </w:t>
      </w:r>
      <w:r w:rsidR="001F3BED" w:rsidRPr="009301EF">
        <w:rPr>
          <w:rFonts w:ascii="Times New Roman" w:hAnsi="Times New Roman"/>
          <w:sz w:val="28"/>
          <w:szCs w:val="28"/>
        </w:rPr>
        <w:t>знижені об</w:t>
      </w:r>
      <w:r w:rsidR="00AF5C51" w:rsidRPr="009301EF">
        <w:rPr>
          <w:rFonts w:ascii="Times New Roman" w:hAnsi="Times New Roman"/>
          <w:sz w:val="28"/>
          <w:szCs w:val="28"/>
        </w:rPr>
        <w:t>’</w:t>
      </w:r>
      <w:r w:rsidR="001F3BED" w:rsidRPr="009301EF">
        <w:rPr>
          <w:rFonts w:ascii="Times New Roman" w:hAnsi="Times New Roman"/>
          <w:sz w:val="28"/>
          <w:szCs w:val="28"/>
        </w:rPr>
        <w:t xml:space="preserve">ємні та швидкісні показники. </w:t>
      </w:r>
      <w:r w:rsidR="004E59C9" w:rsidRPr="009301EF">
        <w:rPr>
          <w:rFonts w:ascii="Times New Roman" w:hAnsi="Times New Roman"/>
          <w:sz w:val="28"/>
          <w:szCs w:val="28"/>
        </w:rPr>
        <w:t>У</w:t>
      </w:r>
      <w:r w:rsidR="001F3BED" w:rsidRPr="009301EF">
        <w:rPr>
          <w:rFonts w:ascii="Times New Roman" w:hAnsi="Times New Roman"/>
          <w:sz w:val="28"/>
          <w:szCs w:val="28"/>
        </w:rPr>
        <w:t xml:space="preserve"> пацієнтів з</w:t>
      </w:r>
      <w:r w:rsidR="005822B0" w:rsidRPr="009301EF">
        <w:rPr>
          <w:rFonts w:ascii="Times New Roman" w:hAnsi="Times New Roman"/>
          <w:sz w:val="28"/>
          <w:szCs w:val="28"/>
        </w:rPr>
        <w:t> </w:t>
      </w:r>
      <w:r w:rsidR="001F3BED" w:rsidRPr="009301EF">
        <w:rPr>
          <w:rFonts w:ascii="Times New Roman" w:hAnsi="Times New Roman"/>
          <w:sz w:val="28"/>
          <w:szCs w:val="28"/>
        </w:rPr>
        <w:t xml:space="preserve">основної групи було визначено, що </w:t>
      </w:r>
      <w:r w:rsidR="0054650B" w:rsidRPr="009301EF">
        <w:rPr>
          <w:rFonts w:ascii="Times New Roman" w:hAnsi="Times New Roman"/>
          <w:sz w:val="28"/>
          <w:szCs w:val="28"/>
        </w:rPr>
        <w:t>Ф</w:t>
      </w:r>
      <w:r w:rsidR="0064064E" w:rsidRPr="009301EF">
        <w:rPr>
          <w:rFonts w:ascii="Times New Roman" w:hAnsi="Times New Roman"/>
          <w:sz w:val="28"/>
          <w:szCs w:val="28"/>
        </w:rPr>
        <w:t>ЖЄЛ</w:t>
      </w:r>
      <w:r w:rsidR="001F3BED" w:rsidRPr="009301EF">
        <w:rPr>
          <w:rFonts w:ascii="Times New Roman" w:hAnsi="Times New Roman"/>
          <w:sz w:val="28"/>
          <w:szCs w:val="28"/>
        </w:rPr>
        <w:t xml:space="preserve"> у середньому склала 61,21</w:t>
      </w:r>
      <w:r w:rsidR="0022453B" w:rsidRPr="009301EF">
        <w:rPr>
          <w:rFonts w:ascii="Times New Roman" w:hAnsi="Times New Roman"/>
          <w:sz w:val="28"/>
          <w:szCs w:val="28"/>
        </w:rPr>
        <w:t>%</w:t>
      </w:r>
      <w:r w:rsidR="001F3BED" w:rsidRPr="009301EF">
        <w:rPr>
          <w:rFonts w:ascii="Times New Roman" w:hAnsi="Times New Roman"/>
          <w:sz w:val="28"/>
          <w:szCs w:val="28"/>
        </w:rPr>
        <w:t xml:space="preserve"> [55,37</w:t>
      </w:r>
      <w:r w:rsidR="005822B0" w:rsidRPr="009301EF">
        <w:rPr>
          <w:rFonts w:ascii="Times New Roman" w:hAnsi="Times New Roman"/>
          <w:sz w:val="28"/>
          <w:szCs w:val="28"/>
        </w:rPr>
        <w:t>; </w:t>
      </w:r>
      <w:r w:rsidR="001F3BED" w:rsidRPr="009301EF">
        <w:rPr>
          <w:rFonts w:ascii="Times New Roman" w:hAnsi="Times New Roman"/>
          <w:sz w:val="28"/>
          <w:szCs w:val="28"/>
        </w:rPr>
        <w:t>81,00 ]</w:t>
      </w:r>
      <w:r w:rsidR="0043174B" w:rsidRPr="009301EF">
        <w:rPr>
          <w:rFonts w:ascii="Times New Roman" w:hAnsi="Times New Roman"/>
          <w:sz w:val="28"/>
          <w:szCs w:val="28"/>
        </w:rPr>
        <w:t>%</w:t>
      </w:r>
      <w:r w:rsidR="001F3BED" w:rsidRPr="009301EF">
        <w:rPr>
          <w:rFonts w:ascii="Times New Roman" w:hAnsi="Times New Roman"/>
          <w:sz w:val="28"/>
          <w:szCs w:val="28"/>
        </w:rPr>
        <w:t xml:space="preserve"> і була</w:t>
      </w:r>
      <w:r w:rsidR="00D8032A" w:rsidRPr="009301EF">
        <w:rPr>
          <w:rFonts w:ascii="Times New Roman" w:hAnsi="Times New Roman"/>
          <w:sz w:val="28"/>
          <w:szCs w:val="28"/>
        </w:rPr>
        <w:t xml:space="preserve"> </w:t>
      </w:r>
      <w:r w:rsidR="001F3BED" w:rsidRPr="009301EF">
        <w:rPr>
          <w:rFonts w:ascii="Times New Roman" w:hAnsi="Times New Roman"/>
          <w:sz w:val="28"/>
          <w:szCs w:val="28"/>
        </w:rPr>
        <w:t>нижчою за аналогічну в контрол</w:t>
      </w:r>
      <w:r w:rsidR="0043174B" w:rsidRPr="009301EF">
        <w:rPr>
          <w:rFonts w:ascii="Times New Roman" w:hAnsi="Times New Roman"/>
          <w:sz w:val="28"/>
          <w:szCs w:val="28"/>
        </w:rPr>
        <w:t>ьній групі 98,10</w:t>
      </w:r>
      <w:r w:rsidR="0022453B" w:rsidRPr="009301EF">
        <w:rPr>
          <w:rFonts w:ascii="Times New Roman" w:hAnsi="Times New Roman"/>
          <w:sz w:val="28"/>
          <w:szCs w:val="28"/>
        </w:rPr>
        <w:t>%</w:t>
      </w:r>
      <w:r w:rsidR="0043174B" w:rsidRPr="009301EF">
        <w:rPr>
          <w:rFonts w:ascii="Times New Roman" w:hAnsi="Times New Roman"/>
          <w:sz w:val="28"/>
          <w:szCs w:val="28"/>
        </w:rPr>
        <w:t xml:space="preserve"> [97,5</w:t>
      </w:r>
      <w:r w:rsidR="005822B0" w:rsidRPr="009301EF">
        <w:rPr>
          <w:rFonts w:ascii="Times New Roman" w:hAnsi="Times New Roman"/>
          <w:sz w:val="28"/>
          <w:szCs w:val="28"/>
        </w:rPr>
        <w:t>; </w:t>
      </w:r>
      <w:r w:rsidR="0043174B" w:rsidRPr="009301EF">
        <w:rPr>
          <w:rFonts w:ascii="Times New Roman" w:hAnsi="Times New Roman"/>
          <w:sz w:val="28"/>
          <w:szCs w:val="28"/>
        </w:rPr>
        <w:t>98,1]%</w:t>
      </w:r>
      <w:r w:rsidR="001F3BED" w:rsidRPr="009301EF">
        <w:rPr>
          <w:rFonts w:ascii="Times New Roman" w:hAnsi="Times New Roman"/>
          <w:sz w:val="28"/>
          <w:szCs w:val="28"/>
        </w:rPr>
        <w:t xml:space="preserve"> у 1,5 раз</w:t>
      </w:r>
      <w:r w:rsidR="00FA6BF8">
        <w:rPr>
          <w:rFonts w:ascii="Times New Roman" w:hAnsi="Times New Roman"/>
          <w:sz w:val="28"/>
          <w:szCs w:val="28"/>
        </w:rPr>
        <w:t>а</w:t>
      </w:r>
      <w:r w:rsidR="001F3BED" w:rsidRPr="009301EF">
        <w:rPr>
          <w:rFonts w:ascii="Times New Roman" w:hAnsi="Times New Roman"/>
          <w:sz w:val="28"/>
          <w:szCs w:val="28"/>
        </w:rPr>
        <w:t xml:space="preserve"> (p &lt; 0,001) та групі порівняння</w:t>
      </w:r>
      <w:r w:rsidR="00D8032A" w:rsidRPr="009301EF">
        <w:rPr>
          <w:rFonts w:ascii="Times New Roman" w:hAnsi="Times New Roman"/>
          <w:sz w:val="28"/>
          <w:szCs w:val="28"/>
        </w:rPr>
        <w:t xml:space="preserve"> </w:t>
      </w:r>
      <w:r w:rsidR="001F3BED" w:rsidRPr="009301EF">
        <w:rPr>
          <w:rFonts w:ascii="Times New Roman" w:hAnsi="Times New Roman"/>
          <w:sz w:val="28"/>
          <w:szCs w:val="28"/>
        </w:rPr>
        <w:t>72,55</w:t>
      </w:r>
      <w:r w:rsidR="0022453B" w:rsidRPr="009301EF">
        <w:rPr>
          <w:rFonts w:ascii="Times New Roman" w:hAnsi="Times New Roman"/>
          <w:sz w:val="28"/>
          <w:szCs w:val="28"/>
        </w:rPr>
        <w:t>%</w:t>
      </w:r>
      <w:r w:rsidR="001F3BED" w:rsidRPr="009301EF">
        <w:rPr>
          <w:rFonts w:ascii="Times New Roman" w:hAnsi="Times New Roman"/>
          <w:sz w:val="28"/>
          <w:szCs w:val="28"/>
        </w:rPr>
        <w:t xml:space="preserve"> [64,00</w:t>
      </w:r>
      <w:r w:rsidR="005822B0" w:rsidRPr="009301EF">
        <w:rPr>
          <w:rFonts w:ascii="Times New Roman" w:hAnsi="Times New Roman"/>
          <w:sz w:val="28"/>
          <w:szCs w:val="28"/>
        </w:rPr>
        <w:t>; </w:t>
      </w:r>
      <w:r w:rsidR="001F3BED" w:rsidRPr="009301EF">
        <w:rPr>
          <w:rFonts w:ascii="Times New Roman" w:hAnsi="Times New Roman"/>
          <w:sz w:val="28"/>
          <w:szCs w:val="28"/>
        </w:rPr>
        <w:t>80,50 ]</w:t>
      </w:r>
      <w:r w:rsidR="0043174B" w:rsidRPr="009301EF">
        <w:rPr>
          <w:rFonts w:ascii="Times New Roman" w:hAnsi="Times New Roman"/>
          <w:sz w:val="28"/>
          <w:szCs w:val="28"/>
        </w:rPr>
        <w:t>%</w:t>
      </w:r>
      <w:r w:rsidR="001F3BED" w:rsidRPr="009301EF">
        <w:rPr>
          <w:rFonts w:ascii="Times New Roman" w:hAnsi="Times New Roman"/>
          <w:sz w:val="28"/>
          <w:szCs w:val="28"/>
        </w:rPr>
        <w:t xml:space="preserve"> (p &lt; 0,001)</w:t>
      </w:r>
      <w:r w:rsidR="004E59C9" w:rsidRPr="009301EF">
        <w:rPr>
          <w:rFonts w:ascii="Times New Roman" w:hAnsi="Times New Roman"/>
          <w:sz w:val="28"/>
          <w:szCs w:val="28"/>
        </w:rPr>
        <w:t xml:space="preserve"> у 1,2 раз</w:t>
      </w:r>
      <w:r w:rsidR="0089008F">
        <w:rPr>
          <w:rFonts w:ascii="Times New Roman" w:hAnsi="Times New Roman"/>
          <w:sz w:val="28"/>
          <w:szCs w:val="28"/>
        </w:rPr>
        <w:t>а</w:t>
      </w:r>
      <w:r w:rsidR="001F3BED" w:rsidRPr="009301EF">
        <w:rPr>
          <w:rFonts w:ascii="Times New Roman" w:hAnsi="Times New Roman"/>
          <w:sz w:val="28"/>
          <w:szCs w:val="28"/>
        </w:rPr>
        <w:t>. У хворих на БА</w:t>
      </w:r>
      <w:r w:rsidR="005A37AD" w:rsidRPr="009301EF">
        <w:rPr>
          <w:rFonts w:ascii="Times New Roman" w:hAnsi="Times New Roman"/>
          <w:sz w:val="28"/>
          <w:szCs w:val="28"/>
        </w:rPr>
        <w:t> </w:t>
      </w:r>
      <w:r w:rsidR="001F3BED" w:rsidRPr="009301EF">
        <w:rPr>
          <w:rFonts w:ascii="Times New Roman" w:hAnsi="Times New Roman"/>
          <w:sz w:val="28"/>
          <w:szCs w:val="28"/>
        </w:rPr>
        <w:t>+</w:t>
      </w:r>
      <w:r w:rsidR="005A37AD" w:rsidRPr="009301EF">
        <w:rPr>
          <w:rFonts w:ascii="Times New Roman" w:hAnsi="Times New Roman"/>
          <w:sz w:val="28"/>
          <w:szCs w:val="28"/>
        </w:rPr>
        <w:t> </w:t>
      </w:r>
      <w:r w:rsidR="001F3BED" w:rsidRPr="009301EF">
        <w:rPr>
          <w:rFonts w:ascii="Times New Roman" w:hAnsi="Times New Roman"/>
          <w:sz w:val="28"/>
          <w:szCs w:val="28"/>
        </w:rPr>
        <w:t>О</w:t>
      </w:r>
      <w:r w:rsidR="00266C5F" w:rsidRPr="009301EF">
        <w:rPr>
          <w:rFonts w:ascii="Times New Roman" w:hAnsi="Times New Roman"/>
          <w:sz w:val="28"/>
          <w:szCs w:val="28"/>
        </w:rPr>
        <w:t>ж</w:t>
      </w:r>
      <w:r w:rsidR="001F3BED" w:rsidRPr="009301EF">
        <w:rPr>
          <w:rFonts w:ascii="Times New Roman" w:hAnsi="Times New Roman"/>
          <w:sz w:val="28"/>
          <w:szCs w:val="28"/>
        </w:rPr>
        <w:t xml:space="preserve"> середній показник </w:t>
      </w:r>
      <w:r w:rsidR="0054650B" w:rsidRPr="009301EF">
        <w:rPr>
          <w:rFonts w:ascii="Times New Roman" w:hAnsi="Times New Roman"/>
          <w:sz w:val="28"/>
          <w:szCs w:val="28"/>
        </w:rPr>
        <w:t>Ф</w:t>
      </w:r>
      <w:r w:rsidR="001F3BED" w:rsidRPr="009301EF">
        <w:rPr>
          <w:rFonts w:ascii="Times New Roman" w:hAnsi="Times New Roman"/>
          <w:sz w:val="28"/>
          <w:szCs w:val="28"/>
        </w:rPr>
        <w:t>ЖЄЛ склав </w:t>
      </w:r>
      <w:r w:rsidR="00C33319" w:rsidRPr="009301EF">
        <w:rPr>
          <w:rFonts w:ascii="Times New Roman" w:hAnsi="Times New Roman"/>
          <w:sz w:val="28"/>
          <w:szCs w:val="28"/>
        </w:rPr>
        <w:t>73</w:t>
      </w:r>
      <w:r w:rsidR="001F3BED" w:rsidRPr="009301EF">
        <w:rPr>
          <w:rFonts w:ascii="Times New Roman" w:hAnsi="Times New Roman"/>
          <w:sz w:val="28"/>
          <w:szCs w:val="28"/>
        </w:rPr>
        <w:t>,5</w:t>
      </w:r>
      <w:r w:rsidR="0022453B" w:rsidRPr="009301EF">
        <w:rPr>
          <w:rFonts w:ascii="Times New Roman" w:hAnsi="Times New Roman"/>
          <w:sz w:val="28"/>
          <w:szCs w:val="28"/>
        </w:rPr>
        <w:t>%</w:t>
      </w:r>
      <w:r w:rsidR="005B4A63" w:rsidRPr="009301EF">
        <w:rPr>
          <w:rFonts w:ascii="Times New Roman" w:hAnsi="Times New Roman"/>
          <w:sz w:val="28"/>
          <w:szCs w:val="28"/>
        </w:rPr>
        <w:t xml:space="preserve"> </w:t>
      </w:r>
      <w:r w:rsidR="001F3BED" w:rsidRPr="009301EF">
        <w:rPr>
          <w:rFonts w:ascii="Times New Roman" w:hAnsi="Times New Roman"/>
          <w:sz w:val="28"/>
          <w:szCs w:val="28"/>
        </w:rPr>
        <w:t>[58,9</w:t>
      </w:r>
      <w:r w:rsidR="005822B0" w:rsidRPr="009301EF">
        <w:rPr>
          <w:rFonts w:ascii="Times New Roman" w:hAnsi="Times New Roman"/>
          <w:sz w:val="28"/>
          <w:szCs w:val="28"/>
        </w:rPr>
        <w:t>; </w:t>
      </w:r>
      <w:r w:rsidR="001F3BED" w:rsidRPr="009301EF">
        <w:rPr>
          <w:rFonts w:ascii="Times New Roman" w:hAnsi="Times New Roman"/>
          <w:sz w:val="28"/>
          <w:szCs w:val="28"/>
        </w:rPr>
        <w:t>78,6 ]</w:t>
      </w:r>
      <w:r w:rsidR="0022453B" w:rsidRPr="009301EF">
        <w:rPr>
          <w:rFonts w:ascii="Times New Roman" w:hAnsi="Times New Roman"/>
          <w:sz w:val="28"/>
          <w:szCs w:val="28"/>
        </w:rPr>
        <w:t>%</w:t>
      </w:r>
      <w:r w:rsidR="001F3BED" w:rsidRPr="009301EF">
        <w:rPr>
          <w:rFonts w:ascii="Times New Roman" w:hAnsi="Times New Roman"/>
          <w:sz w:val="28"/>
          <w:szCs w:val="28"/>
        </w:rPr>
        <w:t xml:space="preserve"> був нижчим за аналогічний у</w:t>
      </w:r>
      <w:r w:rsidR="005822B0" w:rsidRPr="009301EF">
        <w:rPr>
          <w:rFonts w:ascii="Times New Roman" w:hAnsi="Times New Roman"/>
          <w:sz w:val="28"/>
          <w:szCs w:val="28"/>
        </w:rPr>
        <w:t> </w:t>
      </w:r>
      <w:r w:rsidR="001F3BED" w:rsidRPr="009301EF">
        <w:rPr>
          <w:rFonts w:ascii="Times New Roman" w:hAnsi="Times New Roman"/>
          <w:sz w:val="28"/>
          <w:szCs w:val="28"/>
        </w:rPr>
        <w:t>практично здорових осіб, у 1,2 раз</w:t>
      </w:r>
      <w:r w:rsidR="0089008F">
        <w:rPr>
          <w:rFonts w:ascii="Times New Roman" w:hAnsi="Times New Roman"/>
          <w:sz w:val="28"/>
          <w:szCs w:val="28"/>
        </w:rPr>
        <w:t>а</w:t>
      </w:r>
      <w:r w:rsidR="001F3BED" w:rsidRPr="009301EF">
        <w:rPr>
          <w:rFonts w:ascii="Times New Roman" w:hAnsi="Times New Roman"/>
          <w:sz w:val="28"/>
          <w:szCs w:val="28"/>
        </w:rPr>
        <w:t xml:space="preserve"> (р &lt; 0,001), проте більшим </w:t>
      </w:r>
      <w:r w:rsidR="00C33319" w:rsidRPr="009301EF">
        <w:rPr>
          <w:rFonts w:ascii="Times New Roman" w:hAnsi="Times New Roman"/>
          <w:sz w:val="28"/>
          <w:szCs w:val="28"/>
        </w:rPr>
        <w:t>у</w:t>
      </w:r>
      <w:r w:rsidR="008602FB" w:rsidRPr="009301EF">
        <w:rPr>
          <w:rFonts w:ascii="Times New Roman" w:hAnsi="Times New Roman"/>
          <w:sz w:val="28"/>
          <w:szCs w:val="28"/>
        </w:rPr>
        <w:t> </w:t>
      </w:r>
      <w:r w:rsidR="00C33319" w:rsidRPr="009301EF">
        <w:rPr>
          <w:rFonts w:ascii="Times New Roman" w:hAnsi="Times New Roman"/>
          <w:sz w:val="28"/>
          <w:szCs w:val="28"/>
        </w:rPr>
        <w:t xml:space="preserve">хворих </w:t>
      </w:r>
      <w:r w:rsidR="00EE58CC" w:rsidRPr="009301EF">
        <w:rPr>
          <w:rFonts w:ascii="Times New Roman" w:hAnsi="Times New Roman"/>
          <w:sz w:val="28"/>
          <w:szCs w:val="28"/>
        </w:rPr>
        <w:t>у</w:t>
      </w:r>
      <w:r w:rsidR="005822B0" w:rsidRPr="009301EF">
        <w:rPr>
          <w:rFonts w:ascii="Times New Roman" w:hAnsi="Times New Roman"/>
          <w:sz w:val="28"/>
          <w:szCs w:val="28"/>
        </w:rPr>
        <w:t> </w:t>
      </w:r>
      <w:r w:rsidR="00B81A6D" w:rsidRPr="009301EF">
        <w:rPr>
          <w:rFonts w:ascii="Times New Roman" w:hAnsi="Times New Roman"/>
          <w:sz w:val="28"/>
          <w:szCs w:val="28"/>
        </w:rPr>
        <w:t>групі порівняння</w:t>
      </w:r>
      <w:r w:rsidR="001F3BED" w:rsidRPr="009301EF">
        <w:rPr>
          <w:rFonts w:ascii="Times New Roman" w:hAnsi="Times New Roman"/>
          <w:sz w:val="28"/>
          <w:szCs w:val="28"/>
        </w:rPr>
        <w:t xml:space="preserve"> у 1,3 раз</w:t>
      </w:r>
      <w:r w:rsidR="001768D5">
        <w:rPr>
          <w:rFonts w:ascii="Times New Roman" w:hAnsi="Times New Roman"/>
          <w:sz w:val="28"/>
          <w:szCs w:val="28"/>
        </w:rPr>
        <w:t>а</w:t>
      </w:r>
      <w:r w:rsidR="001F3BED" w:rsidRPr="009301EF">
        <w:rPr>
          <w:rFonts w:ascii="Times New Roman" w:hAnsi="Times New Roman"/>
          <w:sz w:val="28"/>
          <w:szCs w:val="28"/>
        </w:rPr>
        <w:t xml:space="preserve"> (р &lt; 0,05). </w:t>
      </w:r>
      <w:r w:rsidR="0054650B" w:rsidRPr="009301EF">
        <w:rPr>
          <w:rFonts w:ascii="Times New Roman" w:hAnsi="Times New Roman"/>
          <w:sz w:val="28"/>
          <w:szCs w:val="28"/>
        </w:rPr>
        <w:t>Ф</w:t>
      </w:r>
      <w:r w:rsidR="001F3BED" w:rsidRPr="009301EF">
        <w:rPr>
          <w:rFonts w:ascii="Times New Roman" w:hAnsi="Times New Roman"/>
          <w:sz w:val="28"/>
          <w:szCs w:val="28"/>
        </w:rPr>
        <w:t>ЖЄЛ у пацієнтів на БА</w:t>
      </w:r>
      <w:r w:rsidR="005A37AD" w:rsidRPr="009301EF">
        <w:rPr>
          <w:rFonts w:ascii="Times New Roman" w:hAnsi="Times New Roman"/>
          <w:sz w:val="28"/>
          <w:szCs w:val="28"/>
        </w:rPr>
        <w:t> </w:t>
      </w:r>
      <w:r w:rsidR="001F3BED" w:rsidRPr="009301EF">
        <w:rPr>
          <w:rFonts w:ascii="Times New Roman" w:hAnsi="Times New Roman"/>
          <w:sz w:val="28"/>
          <w:szCs w:val="28"/>
        </w:rPr>
        <w:t>+</w:t>
      </w:r>
      <w:r w:rsidR="005A37AD" w:rsidRPr="009301EF">
        <w:rPr>
          <w:rFonts w:ascii="Times New Roman" w:hAnsi="Times New Roman"/>
          <w:sz w:val="28"/>
          <w:szCs w:val="28"/>
        </w:rPr>
        <w:t> </w:t>
      </w:r>
      <w:r w:rsidR="001F3BED" w:rsidRPr="009301EF">
        <w:rPr>
          <w:rFonts w:ascii="Times New Roman" w:hAnsi="Times New Roman"/>
          <w:sz w:val="28"/>
          <w:szCs w:val="28"/>
        </w:rPr>
        <w:t>ЦД2Т скла</w:t>
      </w:r>
      <w:r w:rsidR="00C33319" w:rsidRPr="009301EF">
        <w:rPr>
          <w:rFonts w:ascii="Times New Roman" w:hAnsi="Times New Roman"/>
          <w:sz w:val="28"/>
          <w:szCs w:val="28"/>
        </w:rPr>
        <w:t>ла</w:t>
      </w:r>
      <w:r w:rsidR="001F3BED" w:rsidRPr="009301EF">
        <w:rPr>
          <w:rFonts w:ascii="Times New Roman" w:hAnsi="Times New Roman"/>
          <w:sz w:val="28"/>
          <w:szCs w:val="28"/>
        </w:rPr>
        <w:t> 61,3</w:t>
      </w:r>
      <w:r w:rsidR="0022453B" w:rsidRPr="009301EF">
        <w:rPr>
          <w:rFonts w:ascii="Times New Roman" w:hAnsi="Times New Roman"/>
          <w:sz w:val="28"/>
          <w:szCs w:val="28"/>
        </w:rPr>
        <w:t>%</w:t>
      </w:r>
      <w:r w:rsidR="005B4A63" w:rsidRPr="009301EF">
        <w:rPr>
          <w:rFonts w:ascii="Times New Roman" w:hAnsi="Times New Roman"/>
          <w:sz w:val="28"/>
          <w:szCs w:val="28"/>
        </w:rPr>
        <w:t xml:space="preserve"> </w:t>
      </w:r>
      <w:r w:rsidR="001F3BED" w:rsidRPr="009301EF">
        <w:rPr>
          <w:rFonts w:ascii="Times New Roman" w:hAnsi="Times New Roman"/>
          <w:sz w:val="28"/>
          <w:szCs w:val="28"/>
        </w:rPr>
        <w:t>[</w:t>
      </w:r>
      <w:r w:rsidR="0043174B" w:rsidRPr="009301EF">
        <w:rPr>
          <w:rFonts w:ascii="Times New Roman" w:hAnsi="Times New Roman"/>
          <w:sz w:val="28"/>
          <w:szCs w:val="28"/>
        </w:rPr>
        <w:t> 54,3</w:t>
      </w:r>
      <w:r w:rsidR="005822B0" w:rsidRPr="009301EF">
        <w:rPr>
          <w:rFonts w:ascii="Times New Roman" w:hAnsi="Times New Roman"/>
          <w:sz w:val="28"/>
          <w:szCs w:val="28"/>
        </w:rPr>
        <w:t>; </w:t>
      </w:r>
      <w:r w:rsidR="001F3BED" w:rsidRPr="009301EF">
        <w:rPr>
          <w:rFonts w:ascii="Times New Roman" w:hAnsi="Times New Roman"/>
          <w:sz w:val="28"/>
          <w:szCs w:val="28"/>
        </w:rPr>
        <w:t>73,8 ]</w:t>
      </w:r>
      <w:r w:rsidR="0022453B" w:rsidRPr="009301EF">
        <w:rPr>
          <w:rFonts w:ascii="Times New Roman" w:hAnsi="Times New Roman"/>
          <w:sz w:val="28"/>
          <w:szCs w:val="28"/>
        </w:rPr>
        <w:t>%</w:t>
      </w:r>
      <w:r w:rsidR="008B1268" w:rsidRPr="009301EF">
        <w:rPr>
          <w:rFonts w:ascii="Times New Roman" w:hAnsi="Times New Roman"/>
          <w:sz w:val="28"/>
          <w:szCs w:val="28"/>
        </w:rPr>
        <w:t xml:space="preserve">, </w:t>
      </w:r>
      <w:r w:rsidR="00C33319" w:rsidRPr="009301EF">
        <w:rPr>
          <w:rFonts w:ascii="Times New Roman" w:hAnsi="Times New Roman"/>
          <w:sz w:val="28"/>
          <w:szCs w:val="28"/>
        </w:rPr>
        <w:t xml:space="preserve">що </w:t>
      </w:r>
      <w:r w:rsidR="008B1268" w:rsidRPr="009301EF">
        <w:rPr>
          <w:rFonts w:ascii="Times New Roman" w:hAnsi="Times New Roman"/>
          <w:sz w:val="28"/>
          <w:szCs w:val="28"/>
        </w:rPr>
        <w:t>було нижчим ніж у</w:t>
      </w:r>
      <w:r w:rsidR="00D8032A" w:rsidRPr="009301EF">
        <w:rPr>
          <w:rFonts w:ascii="Times New Roman" w:hAnsi="Times New Roman"/>
          <w:sz w:val="28"/>
          <w:szCs w:val="28"/>
        </w:rPr>
        <w:t xml:space="preserve"> </w:t>
      </w:r>
      <w:r w:rsidR="001F3BED" w:rsidRPr="009301EF">
        <w:rPr>
          <w:rFonts w:ascii="Times New Roman" w:hAnsi="Times New Roman"/>
          <w:sz w:val="28"/>
          <w:szCs w:val="28"/>
        </w:rPr>
        <w:t>хворих на БА + О</w:t>
      </w:r>
      <w:r w:rsidR="00266C5F" w:rsidRPr="009301EF">
        <w:rPr>
          <w:rFonts w:ascii="Times New Roman" w:hAnsi="Times New Roman"/>
          <w:sz w:val="28"/>
          <w:szCs w:val="28"/>
        </w:rPr>
        <w:t>ж</w:t>
      </w:r>
      <w:r w:rsidR="001F3BED" w:rsidRPr="009301EF">
        <w:rPr>
          <w:rFonts w:ascii="Times New Roman" w:hAnsi="Times New Roman"/>
          <w:sz w:val="28"/>
          <w:szCs w:val="28"/>
        </w:rPr>
        <w:t xml:space="preserve"> у 1,3 раз</w:t>
      </w:r>
      <w:r w:rsidR="001768D5">
        <w:rPr>
          <w:rFonts w:ascii="Times New Roman" w:hAnsi="Times New Roman"/>
          <w:sz w:val="28"/>
          <w:szCs w:val="28"/>
        </w:rPr>
        <w:t>а</w:t>
      </w:r>
      <w:r w:rsidR="001F3BED" w:rsidRPr="009301EF">
        <w:rPr>
          <w:rFonts w:ascii="Times New Roman" w:hAnsi="Times New Roman"/>
          <w:sz w:val="28"/>
          <w:szCs w:val="28"/>
        </w:rPr>
        <w:t xml:space="preserve"> (р &lt; 0,001)</w:t>
      </w:r>
      <w:r w:rsidR="00A15B4A" w:rsidRPr="009301EF">
        <w:rPr>
          <w:rFonts w:ascii="Times New Roman" w:hAnsi="Times New Roman"/>
          <w:sz w:val="28"/>
          <w:szCs w:val="28"/>
        </w:rPr>
        <w:t xml:space="preserve"> і нижчим у 1,2 раз</w:t>
      </w:r>
      <w:r w:rsidR="001768D5">
        <w:rPr>
          <w:rFonts w:ascii="Times New Roman" w:hAnsi="Times New Roman"/>
          <w:sz w:val="28"/>
          <w:szCs w:val="28"/>
        </w:rPr>
        <w:t>а</w:t>
      </w:r>
      <w:r w:rsidR="00A15B4A" w:rsidRPr="009301EF">
        <w:rPr>
          <w:rFonts w:ascii="Times New Roman" w:hAnsi="Times New Roman"/>
          <w:sz w:val="28"/>
          <w:szCs w:val="28"/>
        </w:rPr>
        <w:t xml:space="preserve"> ніж у хворих групи порівняння</w:t>
      </w:r>
      <w:r w:rsidR="001F3BED" w:rsidRPr="009301EF">
        <w:rPr>
          <w:rFonts w:ascii="Times New Roman" w:hAnsi="Times New Roman"/>
          <w:sz w:val="28"/>
          <w:szCs w:val="28"/>
        </w:rPr>
        <w:t xml:space="preserve">. Середнє значення </w:t>
      </w:r>
      <w:r w:rsidR="004E59C9" w:rsidRPr="009301EF">
        <w:rPr>
          <w:rFonts w:ascii="Times New Roman" w:hAnsi="Times New Roman"/>
          <w:sz w:val="28"/>
          <w:szCs w:val="28"/>
        </w:rPr>
        <w:t>ОФВ</w:t>
      </w:r>
      <w:r w:rsidR="004E59C9" w:rsidRPr="001768D5">
        <w:rPr>
          <w:rFonts w:ascii="Times New Roman" w:hAnsi="Times New Roman"/>
          <w:sz w:val="28"/>
          <w:szCs w:val="28"/>
          <w:vertAlign w:val="subscript"/>
        </w:rPr>
        <w:t>1</w:t>
      </w:r>
      <w:r w:rsidR="001F3BED" w:rsidRPr="009301EF">
        <w:rPr>
          <w:rFonts w:ascii="Times New Roman" w:hAnsi="Times New Roman"/>
          <w:sz w:val="28"/>
          <w:szCs w:val="28"/>
        </w:rPr>
        <w:t xml:space="preserve"> у хворих </w:t>
      </w:r>
      <w:r w:rsidR="004E59C9" w:rsidRPr="009301EF">
        <w:rPr>
          <w:rFonts w:ascii="Times New Roman" w:hAnsi="Times New Roman"/>
          <w:sz w:val="28"/>
          <w:szCs w:val="28"/>
        </w:rPr>
        <w:t>з</w:t>
      </w:r>
      <w:r w:rsidR="001F3BED" w:rsidRPr="009301EF">
        <w:rPr>
          <w:rFonts w:ascii="Times New Roman" w:hAnsi="Times New Roman"/>
          <w:sz w:val="28"/>
          <w:szCs w:val="28"/>
        </w:rPr>
        <w:t xml:space="preserve"> основної групи дорівнювала 50,75</w:t>
      </w:r>
      <w:r w:rsidR="0022453B" w:rsidRPr="009301EF">
        <w:rPr>
          <w:rFonts w:ascii="Times New Roman" w:hAnsi="Times New Roman"/>
          <w:sz w:val="28"/>
          <w:szCs w:val="28"/>
        </w:rPr>
        <w:t>%</w:t>
      </w:r>
      <w:r w:rsidR="001F3BED" w:rsidRPr="009301EF">
        <w:rPr>
          <w:rFonts w:ascii="Times New Roman" w:hAnsi="Times New Roman"/>
          <w:sz w:val="28"/>
          <w:szCs w:val="28"/>
        </w:rPr>
        <w:t xml:space="preserve"> [44,75</w:t>
      </w:r>
      <w:r w:rsidR="005822B0" w:rsidRPr="009301EF">
        <w:rPr>
          <w:rFonts w:ascii="Times New Roman" w:hAnsi="Times New Roman"/>
          <w:sz w:val="28"/>
          <w:szCs w:val="28"/>
        </w:rPr>
        <w:t>; </w:t>
      </w:r>
      <w:r w:rsidR="001F3BED" w:rsidRPr="009301EF">
        <w:rPr>
          <w:rFonts w:ascii="Times New Roman" w:hAnsi="Times New Roman"/>
          <w:sz w:val="28"/>
          <w:szCs w:val="28"/>
        </w:rPr>
        <w:t>59,00]</w:t>
      </w:r>
      <w:r w:rsidR="0022453B" w:rsidRPr="009301EF">
        <w:rPr>
          <w:rFonts w:ascii="Times New Roman" w:hAnsi="Times New Roman"/>
          <w:sz w:val="28"/>
          <w:szCs w:val="28"/>
        </w:rPr>
        <w:t>%</w:t>
      </w:r>
      <w:r w:rsidR="001F3BED" w:rsidRPr="009301EF">
        <w:rPr>
          <w:rFonts w:ascii="Times New Roman" w:hAnsi="Times New Roman"/>
          <w:sz w:val="28"/>
          <w:szCs w:val="28"/>
        </w:rPr>
        <w:t>, що було також вірогідно нижчим за показник у контрольній групі 95</w:t>
      </w:r>
      <w:r w:rsidR="0022453B" w:rsidRPr="009301EF">
        <w:rPr>
          <w:rFonts w:ascii="Times New Roman" w:hAnsi="Times New Roman"/>
          <w:sz w:val="28"/>
          <w:szCs w:val="28"/>
        </w:rPr>
        <w:t>%</w:t>
      </w:r>
      <w:r w:rsidR="001F3BED" w:rsidRPr="009301EF">
        <w:rPr>
          <w:rFonts w:ascii="Times New Roman" w:hAnsi="Times New Roman"/>
          <w:sz w:val="28"/>
          <w:szCs w:val="28"/>
        </w:rPr>
        <w:t xml:space="preserve"> [94,5</w:t>
      </w:r>
      <w:r w:rsidR="005822B0" w:rsidRPr="009301EF">
        <w:rPr>
          <w:rFonts w:ascii="Times New Roman" w:hAnsi="Times New Roman"/>
          <w:sz w:val="28"/>
          <w:szCs w:val="28"/>
        </w:rPr>
        <w:t>; </w:t>
      </w:r>
      <w:r w:rsidR="001F3BED" w:rsidRPr="009301EF">
        <w:rPr>
          <w:rFonts w:ascii="Times New Roman" w:hAnsi="Times New Roman"/>
          <w:sz w:val="28"/>
          <w:szCs w:val="28"/>
        </w:rPr>
        <w:t>95,00 ]</w:t>
      </w:r>
      <w:r w:rsidR="0022453B" w:rsidRPr="009301EF">
        <w:rPr>
          <w:rFonts w:ascii="Times New Roman" w:hAnsi="Times New Roman"/>
          <w:sz w:val="28"/>
          <w:szCs w:val="28"/>
        </w:rPr>
        <w:t>%</w:t>
      </w:r>
      <w:r w:rsidR="001F3BED" w:rsidRPr="009301EF">
        <w:rPr>
          <w:rFonts w:ascii="Times New Roman" w:hAnsi="Times New Roman"/>
          <w:sz w:val="28"/>
          <w:szCs w:val="28"/>
        </w:rPr>
        <w:t xml:space="preserve"> у 1,8 раз</w:t>
      </w:r>
      <w:r w:rsidR="001768D5">
        <w:rPr>
          <w:rFonts w:ascii="Times New Roman" w:hAnsi="Times New Roman"/>
          <w:sz w:val="28"/>
          <w:szCs w:val="28"/>
        </w:rPr>
        <w:t>а</w:t>
      </w:r>
      <w:r w:rsidR="001F3BED" w:rsidRPr="009301EF">
        <w:rPr>
          <w:rFonts w:ascii="Times New Roman" w:hAnsi="Times New Roman"/>
          <w:sz w:val="28"/>
          <w:szCs w:val="28"/>
        </w:rPr>
        <w:t xml:space="preserve"> (p &lt; 0,001) та групі порівняння</w:t>
      </w:r>
      <w:r w:rsidR="00D8032A" w:rsidRPr="009301EF">
        <w:rPr>
          <w:rFonts w:ascii="Times New Roman" w:hAnsi="Times New Roman"/>
          <w:sz w:val="28"/>
          <w:szCs w:val="28"/>
        </w:rPr>
        <w:t xml:space="preserve"> </w:t>
      </w:r>
      <w:r w:rsidR="00B22E4F" w:rsidRPr="009301EF">
        <w:rPr>
          <w:rFonts w:ascii="Times New Roman" w:hAnsi="Times New Roman"/>
          <w:sz w:val="28"/>
          <w:szCs w:val="28"/>
        </w:rPr>
        <w:t>64</w:t>
      </w:r>
      <w:r w:rsidR="001F3BED" w:rsidRPr="009301EF">
        <w:rPr>
          <w:rFonts w:ascii="Times New Roman" w:hAnsi="Times New Roman"/>
          <w:sz w:val="28"/>
          <w:szCs w:val="28"/>
        </w:rPr>
        <w:t>,00</w:t>
      </w:r>
      <w:r w:rsidR="0022453B" w:rsidRPr="009301EF">
        <w:rPr>
          <w:rFonts w:ascii="Times New Roman" w:hAnsi="Times New Roman"/>
          <w:sz w:val="28"/>
          <w:szCs w:val="28"/>
        </w:rPr>
        <w:t>%</w:t>
      </w:r>
      <w:r w:rsidR="001F3BED" w:rsidRPr="009301EF">
        <w:rPr>
          <w:rFonts w:ascii="Times New Roman" w:hAnsi="Times New Roman"/>
          <w:sz w:val="28"/>
          <w:szCs w:val="28"/>
        </w:rPr>
        <w:t xml:space="preserve"> [44,50</w:t>
      </w:r>
      <w:r w:rsidR="005822B0" w:rsidRPr="009301EF">
        <w:rPr>
          <w:rFonts w:ascii="Times New Roman" w:hAnsi="Times New Roman"/>
          <w:sz w:val="28"/>
          <w:szCs w:val="28"/>
        </w:rPr>
        <w:t>; </w:t>
      </w:r>
      <w:r w:rsidR="001F3BED" w:rsidRPr="009301EF">
        <w:rPr>
          <w:rFonts w:ascii="Times New Roman" w:hAnsi="Times New Roman"/>
          <w:sz w:val="28"/>
          <w:szCs w:val="28"/>
        </w:rPr>
        <w:t>6</w:t>
      </w:r>
      <w:r w:rsidR="00B22E4F" w:rsidRPr="009301EF">
        <w:rPr>
          <w:rFonts w:ascii="Times New Roman" w:hAnsi="Times New Roman"/>
          <w:sz w:val="28"/>
          <w:szCs w:val="28"/>
        </w:rPr>
        <w:t>9</w:t>
      </w:r>
      <w:r w:rsidR="001F3BED" w:rsidRPr="009301EF">
        <w:rPr>
          <w:rFonts w:ascii="Times New Roman" w:hAnsi="Times New Roman"/>
          <w:sz w:val="28"/>
          <w:szCs w:val="28"/>
        </w:rPr>
        <w:t>,10]</w:t>
      </w:r>
      <w:r w:rsidR="0022453B" w:rsidRPr="009301EF">
        <w:rPr>
          <w:rFonts w:ascii="Times New Roman" w:hAnsi="Times New Roman"/>
          <w:sz w:val="28"/>
          <w:szCs w:val="28"/>
        </w:rPr>
        <w:t>%</w:t>
      </w:r>
      <w:r w:rsidR="003F0E30" w:rsidRPr="009301EF">
        <w:rPr>
          <w:rFonts w:ascii="Times New Roman" w:hAnsi="Times New Roman"/>
          <w:sz w:val="28"/>
          <w:szCs w:val="28"/>
        </w:rPr>
        <w:t xml:space="preserve"> у 1,1 </w:t>
      </w:r>
      <w:r w:rsidR="00525780" w:rsidRPr="009301EF">
        <w:rPr>
          <w:rFonts w:ascii="Times New Roman" w:hAnsi="Times New Roman"/>
          <w:sz w:val="28"/>
          <w:szCs w:val="28"/>
        </w:rPr>
        <w:t>раз</w:t>
      </w:r>
      <w:r w:rsidR="001768D5">
        <w:rPr>
          <w:rFonts w:ascii="Times New Roman" w:hAnsi="Times New Roman"/>
          <w:sz w:val="28"/>
          <w:szCs w:val="28"/>
        </w:rPr>
        <w:t>а</w:t>
      </w:r>
      <w:r w:rsidR="003F0E30" w:rsidRPr="009301EF">
        <w:rPr>
          <w:rFonts w:ascii="Times New Roman" w:hAnsi="Times New Roman"/>
          <w:sz w:val="28"/>
          <w:szCs w:val="28"/>
        </w:rPr>
        <w:t>.</w:t>
      </w:r>
      <w:r w:rsidR="00D8032A" w:rsidRPr="009301EF">
        <w:rPr>
          <w:rFonts w:ascii="Times New Roman" w:hAnsi="Times New Roman"/>
          <w:sz w:val="28"/>
          <w:szCs w:val="28"/>
        </w:rPr>
        <w:t xml:space="preserve"> </w:t>
      </w:r>
      <w:r w:rsidR="006F4CFA" w:rsidRPr="009301EF">
        <w:rPr>
          <w:rFonts w:ascii="Times New Roman" w:hAnsi="Times New Roman"/>
          <w:sz w:val="28"/>
          <w:szCs w:val="28"/>
        </w:rPr>
        <w:t xml:space="preserve">При </w:t>
      </w:r>
      <w:r w:rsidR="003F0E30" w:rsidRPr="009301EF">
        <w:rPr>
          <w:rFonts w:ascii="Times New Roman" w:hAnsi="Times New Roman"/>
          <w:sz w:val="28"/>
          <w:szCs w:val="28"/>
        </w:rPr>
        <w:t>порівнянні</w:t>
      </w:r>
      <w:r w:rsidR="006F4CFA" w:rsidRPr="009301EF">
        <w:rPr>
          <w:rFonts w:ascii="Times New Roman" w:hAnsi="Times New Roman"/>
          <w:sz w:val="28"/>
          <w:szCs w:val="28"/>
        </w:rPr>
        <w:t xml:space="preserve"> </w:t>
      </w:r>
      <w:r w:rsidR="003F0E30" w:rsidRPr="009301EF">
        <w:rPr>
          <w:rFonts w:ascii="Times New Roman" w:hAnsi="Times New Roman"/>
          <w:sz w:val="28"/>
          <w:szCs w:val="28"/>
        </w:rPr>
        <w:t xml:space="preserve">швидкісних </w:t>
      </w:r>
      <w:r w:rsidR="006F4CFA" w:rsidRPr="009301EF">
        <w:rPr>
          <w:rFonts w:ascii="Times New Roman" w:hAnsi="Times New Roman"/>
          <w:sz w:val="28"/>
          <w:szCs w:val="28"/>
        </w:rPr>
        <w:t>показників</w:t>
      </w:r>
      <w:r w:rsidR="003F0E30" w:rsidRPr="009301EF">
        <w:rPr>
          <w:rFonts w:ascii="Times New Roman" w:hAnsi="Times New Roman"/>
          <w:sz w:val="28"/>
          <w:szCs w:val="28"/>
        </w:rPr>
        <w:t xml:space="preserve"> на рівні ФШВ</w:t>
      </w:r>
      <w:r w:rsidR="003F0E30" w:rsidRPr="009301EF">
        <w:rPr>
          <w:rFonts w:ascii="Times New Roman" w:hAnsi="Times New Roman"/>
          <w:sz w:val="28"/>
          <w:szCs w:val="28"/>
          <w:vertAlign w:val="subscript"/>
        </w:rPr>
        <w:t>25</w:t>
      </w:r>
      <w:r w:rsidR="003F0E30" w:rsidRPr="009301EF">
        <w:rPr>
          <w:rFonts w:ascii="Times New Roman" w:hAnsi="Times New Roman"/>
          <w:sz w:val="28"/>
          <w:szCs w:val="28"/>
        </w:rPr>
        <w:t>, ФШВ</w:t>
      </w:r>
      <w:r w:rsidR="003F0E30" w:rsidRPr="009301EF">
        <w:rPr>
          <w:rFonts w:ascii="Times New Roman" w:hAnsi="Times New Roman"/>
          <w:sz w:val="28"/>
          <w:szCs w:val="28"/>
          <w:vertAlign w:val="subscript"/>
        </w:rPr>
        <w:t>50</w:t>
      </w:r>
      <w:r w:rsidR="003F0E30" w:rsidRPr="009301EF">
        <w:rPr>
          <w:rFonts w:ascii="Times New Roman" w:hAnsi="Times New Roman"/>
          <w:sz w:val="28"/>
          <w:szCs w:val="28"/>
        </w:rPr>
        <w:t>, ФШВ</w:t>
      </w:r>
      <w:r w:rsidR="003F0E30" w:rsidRPr="009301EF">
        <w:rPr>
          <w:rFonts w:ascii="Times New Roman" w:hAnsi="Times New Roman"/>
          <w:sz w:val="28"/>
          <w:szCs w:val="28"/>
          <w:vertAlign w:val="subscript"/>
        </w:rPr>
        <w:t>75</w:t>
      </w:r>
      <w:r w:rsidR="003F0E30" w:rsidRPr="009301EF">
        <w:rPr>
          <w:rFonts w:ascii="Times New Roman" w:hAnsi="Times New Roman"/>
          <w:sz w:val="28"/>
          <w:szCs w:val="28"/>
        </w:rPr>
        <w:t xml:space="preserve">, </w:t>
      </w:r>
      <w:r w:rsidR="006F4CFA" w:rsidRPr="009301EF">
        <w:rPr>
          <w:rFonts w:ascii="Times New Roman" w:hAnsi="Times New Roman"/>
          <w:sz w:val="28"/>
          <w:szCs w:val="28"/>
        </w:rPr>
        <w:t xml:space="preserve">у хворих </w:t>
      </w:r>
      <w:r w:rsidR="00A15B4A" w:rsidRPr="009301EF">
        <w:rPr>
          <w:rFonts w:ascii="Times New Roman" w:hAnsi="Times New Roman"/>
          <w:sz w:val="28"/>
          <w:szCs w:val="28"/>
        </w:rPr>
        <w:t xml:space="preserve">між групами </w:t>
      </w:r>
      <w:r w:rsidR="005A37AD" w:rsidRPr="009301EF">
        <w:rPr>
          <w:rFonts w:ascii="Times New Roman" w:hAnsi="Times New Roman"/>
          <w:sz w:val="28"/>
          <w:szCs w:val="28"/>
        </w:rPr>
        <w:t xml:space="preserve">хворих </w:t>
      </w:r>
      <w:r w:rsidR="006F4CFA" w:rsidRPr="009301EF">
        <w:rPr>
          <w:rFonts w:ascii="Times New Roman" w:hAnsi="Times New Roman"/>
          <w:sz w:val="28"/>
          <w:szCs w:val="28"/>
        </w:rPr>
        <w:t>на</w:t>
      </w:r>
      <w:r w:rsidR="00D8032A" w:rsidRPr="009301EF">
        <w:rPr>
          <w:rFonts w:ascii="Times New Roman" w:hAnsi="Times New Roman"/>
          <w:sz w:val="28"/>
          <w:szCs w:val="28"/>
        </w:rPr>
        <w:t xml:space="preserve"> </w:t>
      </w:r>
      <w:r w:rsidR="006F4CFA" w:rsidRPr="009301EF">
        <w:rPr>
          <w:rFonts w:ascii="Times New Roman" w:hAnsi="Times New Roman"/>
          <w:sz w:val="28"/>
          <w:szCs w:val="28"/>
        </w:rPr>
        <w:t>БА</w:t>
      </w:r>
      <w:r w:rsidR="0064064E" w:rsidRPr="009301EF">
        <w:rPr>
          <w:rFonts w:ascii="Times New Roman" w:hAnsi="Times New Roman"/>
          <w:sz w:val="28"/>
          <w:szCs w:val="28"/>
        </w:rPr>
        <w:t> </w:t>
      </w:r>
      <w:r w:rsidR="006F4CFA" w:rsidRPr="009301EF">
        <w:rPr>
          <w:rFonts w:ascii="Times New Roman" w:hAnsi="Times New Roman"/>
          <w:sz w:val="28"/>
          <w:szCs w:val="28"/>
        </w:rPr>
        <w:t>+</w:t>
      </w:r>
      <w:r w:rsidR="0064064E" w:rsidRPr="009301EF">
        <w:rPr>
          <w:rFonts w:ascii="Times New Roman" w:hAnsi="Times New Roman"/>
          <w:sz w:val="28"/>
          <w:szCs w:val="28"/>
        </w:rPr>
        <w:t> </w:t>
      </w:r>
      <w:r w:rsidR="006F4CFA" w:rsidRPr="009301EF">
        <w:rPr>
          <w:rFonts w:ascii="Times New Roman" w:hAnsi="Times New Roman"/>
          <w:sz w:val="28"/>
          <w:szCs w:val="28"/>
        </w:rPr>
        <w:t>ЦД2Т, БА</w:t>
      </w:r>
      <w:r w:rsidR="005A37AD" w:rsidRPr="009301EF">
        <w:rPr>
          <w:rFonts w:ascii="Times New Roman" w:hAnsi="Times New Roman"/>
          <w:sz w:val="28"/>
          <w:szCs w:val="28"/>
        </w:rPr>
        <w:t> </w:t>
      </w:r>
      <w:r w:rsidR="006F4CFA" w:rsidRPr="009301EF">
        <w:rPr>
          <w:rFonts w:ascii="Times New Roman" w:hAnsi="Times New Roman"/>
          <w:sz w:val="28"/>
          <w:szCs w:val="28"/>
        </w:rPr>
        <w:t>+</w:t>
      </w:r>
      <w:r w:rsidR="005A37AD" w:rsidRPr="009301EF">
        <w:rPr>
          <w:rFonts w:ascii="Times New Roman" w:hAnsi="Times New Roman"/>
          <w:sz w:val="28"/>
          <w:szCs w:val="28"/>
        </w:rPr>
        <w:t> </w:t>
      </w:r>
      <w:r w:rsidR="006F4CFA" w:rsidRPr="009301EF">
        <w:rPr>
          <w:rFonts w:ascii="Times New Roman" w:hAnsi="Times New Roman"/>
          <w:sz w:val="28"/>
          <w:szCs w:val="28"/>
        </w:rPr>
        <w:t>О</w:t>
      </w:r>
      <w:r w:rsidR="00266C5F" w:rsidRPr="009301EF">
        <w:rPr>
          <w:rFonts w:ascii="Times New Roman" w:hAnsi="Times New Roman"/>
          <w:sz w:val="28"/>
          <w:szCs w:val="28"/>
        </w:rPr>
        <w:t>ж</w:t>
      </w:r>
      <w:r w:rsidR="006F4CFA" w:rsidRPr="009301EF">
        <w:rPr>
          <w:rFonts w:ascii="Times New Roman" w:hAnsi="Times New Roman"/>
          <w:sz w:val="28"/>
          <w:szCs w:val="28"/>
        </w:rPr>
        <w:t xml:space="preserve"> </w:t>
      </w:r>
      <w:r w:rsidR="003F0E30" w:rsidRPr="009301EF">
        <w:rPr>
          <w:rFonts w:ascii="Times New Roman" w:hAnsi="Times New Roman"/>
          <w:sz w:val="28"/>
          <w:szCs w:val="28"/>
        </w:rPr>
        <w:t xml:space="preserve">не виявлено </w:t>
      </w:r>
      <w:r w:rsidR="005A37AD" w:rsidRPr="009301EF">
        <w:rPr>
          <w:rFonts w:ascii="Times New Roman" w:hAnsi="Times New Roman"/>
          <w:sz w:val="28"/>
          <w:szCs w:val="28"/>
        </w:rPr>
        <w:t>вірогідн</w:t>
      </w:r>
      <w:r w:rsidR="003F0E30" w:rsidRPr="009301EF">
        <w:rPr>
          <w:rFonts w:ascii="Times New Roman" w:hAnsi="Times New Roman"/>
          <w:sz w:val="28"/>
          <w:szCs w:val="28"/>
        </w:rPr>
        <w:t>о значущого результату (р</w:t>
      </w:r>
      <w:r w:rsidR="005A37AD" w:rsidRPr="009301EF">
        <w:rPr>
          <w:rFonts w:ascii="Times New Roman" w:hAnsi="Times New Roman"/>
          <w:sz w:val="28"/>
          <w:szCs w:val="28"/>
        </w:rPr>
        <w:t> </w:t>
      </w:r>
      <w:r w:rsidR="003F0E30" w:rsidRPr="009301EF">
        <w:rPr>
          <w:rFonts w:ascii="Times New Roman" w:hAnsi="Times New Roman"/>
          <w:sz w:val="28"/>
          <w:szCs w:val="28"/>
        </w:rPr>
        <w:t>&gt;</w:t>
      </w:r>
      <w:r w:rsidR="005A37AD" w:rsidRPr="009301EF">
        <w:rPr>
          <w:rFonts w:ascii="Times New Roman" w:hAnsi="Times New Roman"/>
          <w:sz w:val="28"/>
          <w:szCs w:val="28"/>
        </w:rPr>
        <w:t> </w:t>
      </w:r>
      <w:r w:rsidR="003F0E30" w:rsidRPr="009301EF">
        <w:rPr>
          <w:rFonts w:ascii="Times New Roman" w:hAnsi="Times New Roman"/>
          <w:sz w:val="28"/>
          <w:szCs w:val="28"/>
        </w:rPr>
        <w:t xml:space="preserve">0,05), але між групою порівняння була виявлена висока </w:t>
      </w:r>
      <w:r w:rsidR="005A37AD" w:rsidRPr="009301EF">
        <w:rPr>
          <w:rFonts w:ascii="Times New Roman" w:hAnsi="Times New Roman"/>
          <w:sz w:val="28"/>
          <w:szCs w:val="28"/>
        </w:rPr>
        <w:t>вірогід</w:t>
      </w:r>
      <w:r w:rsidR="003F0E30" w:rsidRPr="009301EF">
        <w:rPr>
          <w:rFonts w:ascii="Times New Roman" w:hAnsi="Times New Roman"/>
          <w:sz w:val="28"/>
          <w:szCs w:val="28"/>
        </w:rPr>
        <w:t>ність (р</w:t>
      </w:r>
      <w:r w:rsidR="005A37AD" w:rsidRPr="009301EF">
        <w:rPr>
          <w:rFonts w:ascii="Times New Roman" w:hAnsi="Times New Roman"/>
          <w:sz w:val="28"/>
          <w:szCs w:val="28"/>
        </w:rPr>
        <w:t> </w:t>
      </w:r>
      <w:r w:rsidR="003F0E30" w:rsidRPr="009301EF">
        <w:rPr>
          <w:rFonts w:ascii="Times New Roman" w:hAnsi="Times New Roman"/>
          <w:sz w:val="28"/>
          <w:szCs w:val="28"/>
        </w:rPr>
        <w:t>&lt;</w:t>
      </w:r>
      <w:r w:rsidR="005A37AD" w:rsidRPr="009301EF">
        <w:rPr>
          <w:rFonts w:ascii="Times New Roman" w:hAnsi="Times New Roman"/>
          <w:sz w:val="28"/>
          <w:szCs w:val="28"/>
        </w:rPr>
        <w:t> </w:t>
      </w:r>
      <w:r w:rsidR="003F0E30" w:rsidRPr="009301EF">
        <w:rPr>
          <w:rFonts w:ascii="Times New Roman" w:hAnsi="Times New Roman"/>
          <w:sz w:val="28"/>
          <w:szCs w:val="28"/>
        </w:rPr>
        <w:t xml:space="preserve">0,001). Виявлено </w:t>
      </w:r>
      <w:r w:rsidR="003F0E30" w:rsidRPr="009301EF">
        <w:rPr>
          <w:rFonts w:ascii="Times New Roman" w:hAnsi="Times New Roman"/>
          <w:sz w:val="28"/>
          <w:szCs w:val="28"/>
        </w:rPr>
        <w:lastRenderedPageBreak/>
        <w:t>залежність ФШВ</w:t>
      </w:r>
      <w:r w:rsidR="003F0E30" w:rsidRPr="009301EF">
        <w:rPr>
          <w:rFonts w:ascii="Times New Roman" w:hAnsi="Times New Roman"/>
          <w:sz w:val="28"/>
          <w:szCs w:val="28"/>
          <w:vertAlign w:val="subscript"/>
        </w:rPr>
        <w:t>25</w:t>
      </w:r>
      <w:r w:rsidR="003F0E30" w:rsidRPr="009301EF">
        <w:rPr>
          <w:rFonts w:ascii="Times New Roman" w:hAnsi="Times New Roman"/>
          <w:sz w:val="28"/>
          <w:szCs w:val="28"/>
        </w:rPr>
        <w:t>, ФШВ</w:t>
      </w:r>
      <w:r w:rsidR="003F0E30" w:rsidRPr="009301EF">
        <w:rPr>
          <w:rFonts w:ascii="Times New Roman" w:hAnsi="Times New Roman"/>
          <w:sz w:val="28"/>
          <w:szCs w:val="28"/>
          <w:vertAlign w:val="subscript"/>
        </w:rPr>
        <w:t>50</w:t>
      </w:r>
      <w:r w:rsidR="003F0E30" w:rsidRPr="009301EF">
        <w:rPr>
          <w:rFonts w:ascii="Times New Roman" w:hAnsi="Times New Roman"/>
          <w:sz w:val="28"/>
          <w:szCs w:val="28"/>
        </w:rPr>
        <w:t>, ФШВ</w:t>
      </w:r>
      <w:r w:rsidR="003F0E30" w:rsidRPr="009301EF">
        <w:rPr>
          <w:rFonts w:ascii="Times New Roman" w:hAnsi="Times New Roman"/>
          <w:sz w:val="28"/>
          <w:szCs w:val="28"/>
          <w:vertAlign w:val="subscript"/>
        </w:rPr>
        <w:t>75</w:t>
      </w:r>
      <w:r w:rsidR="003F0E30" w:rsidRPr="009301EF">
        <w:rPr>
          <w:rFonts w:ascii="Times New Roman" w:hAnsi="Times New Roman"/>
          <w:sz w:val="28"/>
          <w:szCs w:val="28"/>
        </w:rPr>
        <w:t xml:space="preserve"> </w:t>
      </w:r>
      <w:r w:rsidR="00A15B4A" w:rsidRPr="009301EF">
        <w:rPr>
          <w:rFonts w:ascii="Times New Roman" w:hAnsi="Times New Roman"/>
          <w:sz w:val="28"/>
          <w:szCs w:val="28"/>
        </w:rPr>
        <w:t>у хвори</w:t>
      </w:r>
      <w:r w:rsidR="001B54E9" w:rsidRPr="009301EF">
        <w:rPr>
          <w:rFonts w:ascii="Times New Roman" w:hAnsi="Times New Roman"/>
          <w:sz w:val="28"/>
          <w:szCs w:val="28"/>
        </w:rPr>
        <w:t>х</w:t>
      </w:r>
      <w:r w:rsidR="00A15B4A" w:rsidRPr="009301EF">
        <w:rPr>
          <w:rFonts w:ascii="Times New Roman" w:hAnsi="Times New Roman"/>
          <w:sz w:val="28"/>
          <w:szCs w:val="28"/>
        </w:rPr>
        <w:t xml:space="preserve"> на БА</w:t>
      </w:r>
      <w:r w:rsidR="005A37AD" w:rsidRPr="009301EF">
        <w:rPr>
          <w:rFonts w:ascii="Times New Roman" w:hAnsi="Times New Roman"/>
          <w:sz w:val="28"/>
          <w:szCs w:val="28"/>
        </w:rPr>
        <w:t> </w:t>
      </w:r>
      <w:r w:rsidR="00A15B4A" w:rsidRPr="009301EF">
        <w:rPr>
          <w:rFonts w:ascii="Times New Roman" w:hAnsi="Times New Roman"/>
          <w:sz w:val="28"/>
          <w:szCs w:val="28"/>
        </w:rPr>
        <w:t>+</w:t>
      </w:r>
      <w:r w:rsidR="005A37AD" w:rsidRPr="009301EF">
        <w:rPr>
          <w:rFonts w:ascii="Times New Roman" w:hAnsi="Times New Roman"/>
          <w:sz w:val="28"/>
          <w:szCs w:val="28"/>
        </w:rPr>
        <w:t> </w:t>
      </w:r>
      <w:r w:rsidR="00A15B4A" w:rsidRPr="009301EF">
        <w:rPr>
          <w:rFonts w:ascii="Times New Roman" w:hAnsi="Times New Roman"/>
          <w:sz w:val="28"/>
          <w:szCs w:val="28"/>
        </w:rPr>
        <w:t>ЦД2Т та БА</w:t>
      </w:r>
      <w:r w:rsidR="005A37AD" w:rsidRPr="009301EF">
        <w:rPr>
          <w:rFonts w:ascii="Times New Roman" w:hAnsi="Times New Roman"/>
          <w:sz w:val="28"/>
          <w:szCs w:val="28"/>
        </w:rPr>
        <w:t> </w:t>
      </w:r>
      <w:r w:rsidR="00A15B4A" w:rsidRPr="009301EF">
        <w:rPr>
          <w:rFonts w:ascii="Times New Roman" w:hAnsi="Times New Roman"/>
          <w:sz w:val="28"/>
          <w:szCs w:val="28"/>
        </w:rPr>
        <w:t>+</w:t>
      </w:r>
      <w:r w:rsidR="005A37AD" w:rsidRPr="009301EF">
        <w:rPr>
          <w:rFonts w:ascii="Times New Roman" w:hAnsi="Times New Roman"/>
          <w:sz w:val="28"/>
          <w:szCs w:val="28"/>
        </w:rPr>
        <w:t> </w:t>
      </w:r>
      <w:r w:rsidR="00A15B4A" w:rsidRPr="009301EF">
        <w:rPr>
          <w:rFonts w:ascii="Times New Roman" w:hAnsi="Times New Roman"/>
          <w:sz w:val="28"/>
          <w:szCs w:val="28"/>
        </w:rPr>
        <w:t>О</w:t>
      </w:r>
      <w:r w:rsidR="00266C5F" w:rsidRPr="009301EF">
        <w:rPr>
          <w:rFonts w:ascii="Times New Roman" w:hAnsi="Times New Roman"/>
          <w:sz w:val="28"/>
          <w:szCs w:val="28"/>
        </w:rPr>
        <w:t>ж</w:t>
      </w:r>
      <w:r w:rsidR="00A15B4A" w:rsidRPr="009301EF">
        <w:rPr>
          <w:rFonts w:ascii="Times New Roman" w:hAnsi="Times New Roman"/>
          <w:sz w:val="28"/>
          <w:szCs w:val="28"/>
        </w:rPr>
        <w:t xml:space="preserve"> </w:t>
      </w:r>
      <w:r w:rsidR="00BD53DE" w:rsidRPr="009301EF">
        <w:rPr>
          <w:rFonts w:ascii="Times New Roman" w:hAnsi="Times New Roman"/>
          <w:sz w:val="28"/>
          <w:szCs w:val="28"/>
        </w:rPr>
        <w:t>ві</w:t>
      </w:r>
      <w:r w:rsidR="003F0E30" w:rsidRPr="009301EF">
        <w:rPr>
          <w:rFonts w:ascii="Times New Roman" w:hAnsi="Times New Roman"/>
          <w:sz w:val="28"/>
          <w:szCs w:val="28"/>
        </w:rPr>
        <w:t>д ОТ</w:t>
      </w:r>
      <w:r w:rsidR="00D8032A" w:rsidRPr="009301EF">
        <w:rPr>
          <w:rFonts w:ascii="Times New Roman" w:hAnsi="Times New Roman"/>
          <w:sz w:val="28"/>
          <w:szCs w:val="28"/>
        </w:rPr>
        <w:t xml:space="preserve"> </w:t>
      </w:r>
      <w:r w:rsidR="00BD53DE" w:rsidRPr="009301EF">
        <w:rPr>
          <w:rFonts w:ascii="Times New Roman" w:hAnsi="Times New Roman"/>
          <w:sz w:val="28"/>
          <w:szCs w:val="28"/>
        </w:rPr>
        <w:t>(R</w:t>
      </w:r>
      <w:r w:rsidR="009301EF" w:rsidRPr="009301EF">
        <w:rPr>
          <w:rFonts w:ascii="Times New Roman" w:hAnsi="Times New Roman"/>
          <w:sz w:val="28"/>
          <w:szCs w:val="28"/>
          <w:vertAlign w:val="subscript"/>
        </w:rPr>
        <w:t>1</w:t>
      </w:r>
      <w:r w:rsidR="00BD53DE" w:rsidRPr="009301EF">
        <w:rPr>
          <w:rFonts w:ascii="Times New Roman" w:hAnsi="Times New Roman"/>
          <w:sz w:val="28"/>
          <w:szCs w:val="28"/>
        </w:rPr>
        <w:t> = 0,36</w:t>
      </w:r>
      <w:r w:rsidR="005822B0" w:rsidRPr="009301EF">
        <w:rPr>
          <w:rFonts w:ascii="Times New Roman" w:hAnsi="Times New Roman"/>
          <w:sz w:val="28"/>
          <w:szCs w:val="28"/>
        </w:rPr>
        <w:t xml:space="preserve">; </w:t>
      </w:r>
      <w:r w:rsidR="00BD53DE" w:rsidRPr="009301EF">
        <w:rPr>
          <w:rFonts w:ascii="Times New Roman" w:hAnsi="Times New Roman"/>
          <w:sz w:val="28"/>
          <w:szCs w:val="28"/>
        </w:rPr>
        <w:t>р &lt; 0,05, R</w:t>
      </w:r>
      <w:r w:rsidR="009301EF" w:rsidRPr="009301EF">
        <w:rPr>
          <w:rFonts w:ascii="Times New Roman" w:hAnsi="Times New Roman"/>
          <w:sz w:val="28"/>
          <w:szCs w:val="28"/>
          <w:vertAlign w:val="subscript"/>
        </w:rPr>
        <w:t>2</w:t>
      </w:r>
      <w:r w:rsidR="00BD53DE" w:rsidRPr="009301EF">
        <w:rPr>
          <w:rFonts w:ascii="Times New Roman" w:hAnsi="Times New Roman"/>
          <w:sz w:val="28"/>
          <w:szCs w:val="28"/>
        </w:rPr>
        <w:t> = 0,</w:t>
      </w:r>
      <w:r w:rsidR="00C50B29" w:rsidRPr="009301EF">
        <w:rPr>
          <w:rFonts w:ascii="Times New Roman" w:hAnsi="Times New Roman"/>
          <w:sz w:val="28"/>
          <w:szCs w:val="28"/>
        </w:rPr>
        <w:t>31</w:t>
      </w:r>
      <w:r w:rsidR="005822B0" w:rsidRPr="009301EF">
        <w:rPr>
          <w:rFonts w:ascii="Times New Roman" w:hAnsi="Times New Roman"/>
          <w:sz w:val="28"/>
          <w:szCs w:val="28"/>
        </w:rPr>
        <w:t xml:space="preserve">; </w:t>
      </w:r>
      <w:r w:rsidR="00BD53DE" w:rsidRPr="009301EF">
        <w:rPr>
          <w:rFonts w:ascii="Times New Roman" w:hAnsi="Times New Roman"/>
          <w:sz w:val="28"/>
          <w:szCs w:val="28"/>
        </w:rPr>
        <w:t>р &lt;</w:t>
      </w:r>
      <w:r w:rsidR="005A37AD" w:rsidRPr="009301EF">
        <w:rPr>
          <w:rFonts w:ascii="Times New Roman" w:hAnsi="Times New Roman"/>
          <w:sz w:val="28"/>
          <w:szCs w:val="28"/>
        </w:rPr>
        <w:t> </w:t>
      </w:r>
      <w:r w:rsidR="00C50B29" w:rsidRPr="009301EF">
        <w:rPr>
          <w:rFonts w:ascii="Times New Roman" w:hAnsi="Times New Roman"/>
          <w:sz w:val="28"/>
          <w:szCs w:val="28"/>
        </w:rPr>
        <w:t>0,05</w:t>
      </w:r>
      <w:r w:rsidR="005822B0" w:rsidRPr="009301EF">
        <w:rPr>
          <w:rFonts w:ascii="Times New Roman" w:hAnsi="Times New Roman"/>
          <w:sz w:val="28"/>
          <w:szCs w:val="28"/>
        </w:rPr>
        <w:t>;</w:t>
      </w:r>
      <w:r w:rsidR="00FD26CB" w:rsidRPr="009301EF">
        <w:rPr>
          <w:rFonts w:ascii="Times New Roman" w:hAnsi="Times New Roman"/>
          <w:sz w:val="28"/>
          <w:szCs w:val="28"/>
        </w:rPr>
        <w:t xml:space="preserve"> R</w:t>
      </w:r>
      <w:r w:rsidR="009301EF" w:rsidRPr="009301EF">
        <w:rPr>
          <w:rFonts w:ascii="Times New Roman" w:hAnsi="Times New Roman"/>
          <w:sz w:val="28"/>
          <w:szCs w:val="28"/>
          <w:vertAlign w:val="subscript"/>
        </w:rPr>
        <w:t>3</w:t>
      </w:r>
      <w:r w:rsidR="00FD26CB" w:rsidRPr="009301EF">
        <w:rPr>
          <w:rFonts w:ascii="Times New Roman" w:hAnsi="Times New Roman"/>
          <w:sz w:val="28"/>
          <w:szCs w:val="28"/>
        </w:rPr>
        <w:t xml:space="preserve"> = 0,45</w:t>
      </w:r>
      <w:r w:rsidR="005822B0" w:rsidRPr="009301EF">
        <w:rPr>
          <w:rFonts w:ascii="Times New Roman" w:hAnsi="Times New Roman"/>
          <w:sz w:val="28"/>
          <w:szCs w:val="28"/>
        </w:rPr>
        <w:t xml:space="preserve"> </w:t>
      </w:r>
      <w:r w:rsidR="00FD26CB" w:rsidRPr="009301EF">
        <w:rPr>
          <w:rFonts w:ascii="Times New Roman" w:hAnsi="Times New Roman"/>
          <w:sz w:val="28"/>
          <w:szCs w:val="28"/>
        </w:rPr>
        <w:t xml:space="preserve">р &lt; 0,05; </w:t>
      </w:r>
      <w:r w:rsidR="00BD53DE" w:rsidRPr="009301EF">
        <w:rPr>
          <w:rFonts w:ascii="Times New Roman" w:hAnsi="Times New Roman"/>
          <w:sz w:val="28"/>
          <w:szCs w:val="28"/>
        </w:rPr>
        <w:t>R</w:t>
      </w:r>
      <w:r w:rsidR="009301EF" w:rsidRPr="009301EF">
        <w:rPr>
          <w:rFonts w:ascii="Times New Roman" w:hAnsi="Times New Roman"/>
          <w:sz w:val="28"/>
          <w:szCs w:val="28"/>
          <w:vertAlign w:val="subscript"/>
        </w:rPr>
        <w:t>1</w:t>
      </w:r>
      <w:r w:rsidR="00BD53DE" w:rsidRPr="009301EF">
        <w:rPr>
          <w:rFonts w:ascii="Times New Roman" w:hAnsi="Times New Roman"/>
          <w:sz w:val="28"/>
          <w:szCs w:val="28"/>
        </w:rPr>
        <w:t xml:space="preserve"> </w:t>
      </w:r>
      <w:r w:rsidR="00FD26CB" w:rsidRPr="009301EF">
        <w:rPr>
          <w:rFonts w:ascii="Times New Roman" w:hAnsi="Times New Roman"/>
          <w:sz w:val="28"/>
          <w:szCs w:val="28"/>
        </w:rPr>
        <w:t>&lt;</w:t>
      </w:r>
      <w:r w:rsidR="005A37AD" w:rsidRPr="009301EF">
        <w:rPr>
          <w:rFonts w:ascii="Times New Roman" w:hAnsi="Times New Roman"/>
          <w:sz w:val="28"/>
          <w:szCs w:val="28"/>
        </w:rPr>
        <w:t> </w:t>
      </w:r>
      <w:r w:rsidR="00BD53DE" w:rsidRPr="009301EF">
        <w:rPr>
          <w:rFonts w:ascii="Times New Roman" w:hAnsi="Times New Roman"/>
          <w:sz w:val="28"/>
          <w:szCs w:val="28"/>
        </w:rPr>
        <w:t>0,41</w:t>
      </w:r>
      <w:r w:rsidR="00557386" w:rsidRPr="009301EF">
        <w:rPr>
          <w:rFonts w:ascii="Times New Roman" w:hAnsi="Times New Roman"/>
          <w:sz w:val="28"/>
          <w:szCs w:val="28"/>
        </w:rPr>
        <w:t xml:space="preserve"> р &lt; 0,05</w:t>
      </w:r>
      <w:r w:rsidR="009D087C" w:rsidRPr="009301EF">
        <w:rPr>
          <w:rFonts w:ascii="Times New Roman" w:hAnsi="Times New Roman"/>
          <w:sz w:val="28"/>
          <w:szCs w:val="28"/>
        </w:rPr>
        <w:t>,</w:t>
      </w:r>
      <w:r w:rsidR="00C50B29" w:rsidRPr="009301EF">
        <w:rPr>
          <w:rFonts w:ascii="Times New Roman" w:hAnsi="Times New Roman"/>
          <w:sz w:val="28"/>
          <w:szCs w:val="28"/>
        </w:rPr>
        <w:t xml:space="preserve"> </w:t>
      </w:r>
      <w:r w:rsidR="009D087C" w:rsidRPr="009301EF">
        <w:rPr>
          <w:rFonts w:ascii="Times New Roman" w:hAnsi="Times New Roman"/>
          <w:sz w:val="28"/>
          <w:szCs w:val="28"/>
        </w:rPr>
        <w:t>R</w:t>
      </w:r>
      <w:r w:rsidR="009301EF" w:rsidRPr="009301EF">
        <w:rPr>
          <w:rFonts w:ascii="Times New Roman" w:hAnsi="Times New Roman"/>
          <w:sz w:val="28"/>
          <w:szCs w:val="28"/>
          <w:vertAlign w:val="subscript"/>
        </w:rPr>
        <w:t>2</w:t>
      </w:r>
      <w:r w:rsidR="009D087C" w:rsidRPr="009301EF">
        <w:rPr>
          <w:rFonts w:ascii="Times New Roman" w:hAnsi="Times New Roman"/>
          <w:sz w:val="28"/>
          <w:szCs w:val="28"/>
        </w:rPr>
        <w:t> </w:t>
      </w:r>
      <w:r w:rsidR="00FD26CB" w:rsidRPr="009301EF">
        <w:rPr>
          <w:rFonts w:ascii="Times New Roman" w:hAnsi="Times New Roman"/>
          <w:sz w:val="28"/>
          <w:szCs w:val="28"/>
        </w:rPr>
        <w:t>&lt;</w:t>
      </w:r>
      <w:r w:rsidR="009D087C" w:rsidRPr="009301EF">
        <w:rPr>
          <w:rFonts w:ascii="Times New Roman" w:hAnsi="Times New Roman"/>
          <w:sz w:val="28"/>
          <w:szCs w:val="28"/>
        </w:rPr>
        <w:t> 0,36</w:t>
      </w:r>
      <w:r w:rsidR="005822B0" w:rsidRPr="009301EF">
        <w:rPr>
          <w:rFonts w:ascii="Times New Roman" w:hAnsi="Times New Roman"/>
          <w:sz w:val="28"/>
          <w:szCs w:val="28"/>
        </w:rPr>
        <w:t>; </w:t>
      </w:r>
      <w:r w:rsidR="00BD53DE" w:rsidRPr="009301EF">
        <w:rPr>
          <w:rFonts w:ascii="Times New Roman" w:hAnsi="Times New Roman"/>
          <w:sz w:val="28"/>
          <w:szCs w:val="28"/>
        </w:rPr>
        <w:t>р &lt;</w:t>
      </w:r>
      <w:r w:rsidR="00D8032A" w:rsidRPr="009301EF">
        <w:rPr>
          <w:rFonts w:ascii="Times New Roman" w:hAnsi="Times New Roman"/>
          <w:sz w:val="28"/>
          <w:szCs w:val="28"/>
        </w:rPr>
        <w:t xml:space="preserve"> </w:t>
      </w:r>
      <w:r w:rsidR="00BD53DE" w:rsidRPr="009301EF">
        <w:rPr>
          <w:rFonts w:ascii="Times New Roman" w:hAnsi="Times New Roman"/>
          <w:sz w:val="28"/>
          <w:szCs w:val="28"/>
        </w:rPr>
        <w:t>0,05</w:t>
      </w:r>
      <w:r w:rsidR="00FD26CB" w:rsidRPr="009301EF">
        <w:rPr>
          <w:rFonts w:ascii="Times New Roman" w:hAnsi="Times New Roman"/>
          <w:sz w:val="28"/>
          <w:szCs w:val="28"/>
        </w:rPr>
        <w:t>, R</w:t>
      </w:r>
      <w:r w:rsidR="009301EF" w:rsidRPr="009301EF">
        <w:rPr>
          <w:rFonts w:ascii="Times New Roman" w:hAnsi="Times New Roman"/>
          <w:sz w:val="28"/>
          <w:szCs w:val="28"/>
          <w:vertAlign w:val="subscript"/>
        </w:rPr>
        <w:t>3</w:t>
      </w:r>
      <w:r w:rsidR="00FD26CB" w:rsidRPr="009301EF">
        <w:rPr>
          <w:rFonts w:ascii="Times New Roman" w:hAnsi="Times New Roman"/>
          <w:sz w:val="28"/>
          <w:szCs w:val="28"/>
        </w:rPr>
        <w:t xml:space="preserve"> &lt; 0,44 р &lt; 0,05</w:t>
      </w:r>
      <w:r w:rsidR="00BD53DE" w:rsidRPr="009301EF">
        <w:rPr>
          <w:rFonts w:ascii="Times New Roman" w:hAnsi="Times New Roman"/>
          <w:sz w:val="28"/>
          <w:szCs w:val="28"/>
        </w:rPr>
        <w:t>)</w:t>
      </w:r>
      <w:r w:rsidR="005A37AD" w:rsidRPr="009301EF">
        <w:rPr>
          <w:rFonts w:ascii="Times New Roman" w:hAnsi="Times New Roman"/>
          <w:sz w:val="28"/>
          <w:szCs w:val="28"/>
        </w:rPr>
        <w:t>,</w:t>
      </w:r>
      <w:r w:rsidR="00BD53DE" w:rsidRPr="009301EF">
        <w:rPr>
          <w:rFonts w:ascii="Times New Roman" w:hAnsi="Times New Roman"/>
          <w:sz w:val="28"/>
          <w:szCs w:val="28"/>
        </w:rPr>
        <w:t xml:space="preserve"> відповідно. </w:t>
      </w:r>
      <w:r w:rsidR="00727E6F" w:rsidRPr="009301EF">
        <w:rPr>
          <w:rFonts w:ascii="Times New Roman" w:hAnsi="Times New Roman"/>
          <w:sz w:val="28"/>
          <w:szCs w:val="28"/>
        </w:rPr>
        <w:t xml:space="preserve">Таким чином, </w:t>
      </w:r>
      <w:r w:rsidR="007F2322" w:rsidRPr="009301EF">
        <w:rPr>
          <w:rFonts w:ascii="Times New Roman" w:hAnsi="Times New Roman"/>
          <w:sz w:val="28"/>
          <w:szCs w:val="28"/>
        </w:rPr>
        <w:t xml:space="preserve">абдомінальне ожиріння </w:t>
      </w:r>
      <w:r w:rsidR="003125B6" w:rsidRPr="009301EF">
        <w:rPr>
          <w:rFonts w:ascii="Times New Roman" w:hAnsi="Times New Roman"/>
          <w:sz w:val="28"/>
          <w:szCs w:val="28"/>
        </w:rPr>
        <w:t>несприятливо</w:t>
      </w:r>
      <w:r w:rsidR="007F2322" w:rsidRPr="009301EF">
        <w:rPr>
          <w:rFonts w:ascii="Times New Roman" w:hAnsi="Times New Roman"/>
          <w:sz w:val="28"/>
          <w:szCs w:val="28"/>
        </w:rPr>
        <w:t xml:space="preserve"> впливає</w:t>
      </w:r>
      <w:r w:rsidR="00727E6F" w:rsidRPr="009301EF">
        <w:rPr>
          <w:rFonts w:ascii="Times New Roman" w:hAnsi="Times New Roman"/>
          <w:sz w:val="28"/>
          <w:szCs w:val="28"/>
        </w:rPr>
        <w:t xml:space="preserve"> </w:t>
      </w:r>
      <w:r w:rsidR="007F2322" w:rsidRPr="009301EF">
        <w:rPr>
          <w:rFonts w:ascii="Times New Roman" w:hAnsi="Times New Roman"/>
          <w:sz w:val="28"/>
          <w:szCs w:val="28"/>
        </w:rPr>
        <w:t>на швидкісні показники ФЗД на усіх рівнях бронхіального дерева</w:t>
      </w:r>
      <w:r w:rsidR="0064064E" w:rsidRPr="009301EF">
        <w:rPr>
          <w:rFonts w:ascii="Times New Roman" w:hAnsi="Times New Roman"/>
          <w:sz w:val="28"/>
          <w:szCs w:val="28"/>
        </w:rPr>
        <w:t>.</w:t>
      </w:r>
    </w:p>
    <w:p w:rsidR="0047344A" w:rsidRPr="0022453B" w:rsidRDefault="0047344A" w:rsidP="00CD5061">
      <w:pPr>
        <w:pStyle w:val="atextRef"/>
        <w:spacing w:line="288" w:lineRule="auto"/>
      </w:pPr>
      <w:r w:rsidRPr="009301EF">
        <w:rPr>
          <w:rFonts w:cs="Times New Roman"/>
        </w:rPr>
        <w:t xml:space="preserve">Аналіз ШКФ виявив зниження цього показника </w:t>
      </w:r>
      <w:r w:rsidR="009E336F" w:rsidRPr="009301EF">
        <w:rPr>
          <w:rFonts w:cs="Times New Roman"/>
        </w:rPr>
        <w:t>у</w:t>
      </w:r>
      <w:r w:rsidRPr="009301EF">
        <w:rPr>
          <w:rFonts w:cs="Times New Roman"/>
        </w:rPr>
        <w:t xml:space="preserve"> всі</w:t>
      </w:r>
      <w:r w:rsidR="009E336F" w:rsidRPr="009301EF">
        <w:rPr>
          <w:rFonts w:cs="Times New Roman"/>
        </w:rPr>
        <w:t>х</w:t>
      </w:r>
      <w:r w:rsidRPr="009301EF">
        <w:rPr>
          <w:rFonts w:cs="Times New Roman"/>
        </w:rPr>
        <w:t xml:space="preserve"> група</w:t>
      </w:r>
      <w:r w:rsidR="009E336F" w:rsidRPr="009301EF">
        <w:rPr>
          <w:rFonts w:cs="Times New Roman"/>
        </w:rPr>
        <w:t>х</w:t>
      </w:r>
      <w:r w:rsidRPr="009301EF">
        <w:rPr>
          <w:rFonts w:cs="Times New Roman"/>
        </w:rPr>
        <w:t xml:space="preserve"> хворих </w:t>
      </w:r>
      <w:r w:rsidRPr="0022453B">
        <w:t>відносно групи контролю (р</w:t>
      </w:r>
      <w:r w:rsidR="005A37AD" w:rsidRPr="0022453B">
        <w:t> </w:t>
      </w:r>
      <w:r w:rsidR="00662556" w:rsidRPr="0022453B">
        <w:t>&lt;</w:t>
      </w:r>
      <w:r w:rsidR="005A37AD" w:rsidRPr="0022453B">
        <w:t> </w:t>
      </w:r>
      <w:r w:rsidRPr="0022453B">
        <w:t>0,001). У хворих на БА</w:t>
      </w:r>
      <w:r w:rsidR="005A37AD" w:rsidRPr="0022453B">
        <w:t> </w:t>
      </w:r>
      <w:r w:rsidRPr="0022453B">
        <w:t>+</w:t>
      </w:r>
      <w:r w:rsidR="005A37AD" w:rsidRPr="0022453B">
        <w:t> </w:t>
      </w:r>
      <w:r w:rsidRPr="0022453B">
        <w:t xml:space="preserve">ЦД2Т він склав </w:t>
      </w:r>
      <w:r w:rsidR="001B4D2C" w:rsidRPr="008F0198">
        <w:t>5</w:t>
      </w:r>
      <w:r w:rsidRPr="008F0198">
        <w:t>3,40 [</w:t>
      </w:r>
      <w:r w:rsidR="001B4D2C" w:rsidRPr="008F0198">
        <w:t>4</w:t>
      </w:r>
      <w:r w:rsidRPr="008F0198">
        <w:t>9,73</w:t>
      </w:r>
      <w:r w:rsidR="005822B0" w:rsidRPr="008F0198">
        <w:t xml:space="preserve">; </w:t>
      </w:r>
      <w:r w:rsidR="001B4D2C" w:rsidRPr="008F0198">
        <w:t>6</w:t>
      </w:r>
      <w:r w:rsidRPr="008F0198">
        <w:t>0,79] мл/хв/1,73 м</w:t>
      </w:r>
      <w:r w:rsidRPr="00BE0BD5">
        <w:rPr>
          <w:vertAlign w:val="superscript"/>
        </w:rPr>
        <w:t>2</w:t>
      </w:r>
      <w:r w:rsidRPr="008F0198">
        <w:t>, що у 2,2 раз</w:t>
      </w:r>
      <w:r w:rsidR="00755909">
        <w:t>а</w:t>
      </w:r>
      <w:r w:rsidRPr="008F0198">
        <w:t xml:space="preserve"> нижче ніж у</w:t>
      </w:r>
      <w:r w:rsidR="007160BB" w:rsidRPr="008F0198">
        <w:t xml:space="preserve"> </w:t>
      </w:r>
      <w:r w:rsidRPr="008F0198">
        <w:t xml:space="preserve">хворих </w:t>
      </w:r>
      <w:r w:rsidR="00EE58CC" w:rsidRPr="008F0198">
        <w:t>і</w:t>
      </w:r>
      <w:r w:rsidRPr="008F0198">
        <w:t xml:space="preserve">з контрольної групи </w:t>
      </w:r>
      <w:r w:rsidR="006D0742" w:rsidRPr="008F0198">
        <w:t>та</w:t>
      </w:r>
      <w:r w:rsidRPr="008F0198">
        <w:t xml:space="preserve"> </w:t>
      </w:r>
      <w:r w:rsidR="001768D5">
        <w:t>у</w:t>
      </w:r>
      <w:r w:rsidRPr="008F0198">
        <w:t xml:space="preserve"> 1,2 раз</w:t>
      </w:r>
      <w:r w:rsidR="001768D5">
        <w:t>а</w:t>
      </w:r>
      <w:r w:rsidRPr="008F0198">
        <w:t xml:space="preserve"> </w:t>
      </w:r>
      <w:r w:rsidR="00CD22CE" w:rsidRPr="008F0198">
        <w:t>–</w:t>
      </w:r>
      <w:r w:rsidRPr="008F0198">
        <w:t xml:space="preserve"> групи порівняння </w:t>
      </w:r>
      <w:r w:rsidRPr="0022453B">
        <w:t>(p</w:t>
      </w:r>
      <w:r w:rsidR="005A37AD" w:rsidRPr="0022453B">
        <w:t> </w:t>
      </w:r>
      <w:r w:rsidRPr="0022453B">
        <w:t>&lt;</w:t>
      </w:r>
      <w:r w:rsidR="005A37AD" w:rsidRPr="0022453B">
        <w:t> </w:t>
      </w:r>
      <w:r w:rsidRPr="0022453B">
        <w:t>0,0</w:t>
      </w:r>
      <w:r w:rsidR="00924759">
        <w:t>5</w:t>
      </w:r>
      <w:r w:rsidRPr="0022453B">
        <w:t>). У хворих на БА</w:t>
      </w:r>
      <w:r w:rsidR="005A37AD" w:rsidRPr="0022453B">
        <w:t> </w:t>
      </w:r>
      <w:r w:rsidRPr="0022453B">
        <w:t>+</w:t>
      </w:r>
      <w:r w:rsidR="005A37AD" w:rsidRPr="0022453B">
        <w:t> </w:t>
      </w:r>
      <w:r w:rsidRPr="0022453B">
        <w:t>О</w:t>
      </w:r>
      <w:r w:rsidR="00266C5F" w:rsidRPr="0022453B">
        <w:t>ж</w:t>
      </w:r>
      <w:r w:rsidR="00D8032A" w:rsidRPr="0022453B">
        <w:t xml:space="preserve"> </w:t>
      </w:r>
      <w:r w:rsidR="00B04D6E" w:rsidRPr="0022453B">
        <w:t xml:space="preserve">швидкість клубочкової фільтрації склала </w:t>
      </w:r>
      <w:r w:rsidR="00660415" w:rsidRPr="0022453B">
        <w:t>64</w:t>
      </w:r>
      <w:r w:rsidR="00B04D6E" w:rsidRPr="0022453B">
        <w:t>,</w:t>
      </w:r>
      <w:r w:rsidR="00660415" w:rsidRPr="0022453B">
        <w:t>35 [5</w:t>
      </w:r>
      <w:r w:rsidR="00B04D6E" w:rsidRPr="0022453B">
        <w:t>6,00</w:t>
      </w:r>
      <w:r w:rsidR="005822B0">
        <w:t xml:space="preserve">; </w:t>
      </w:r>
      <w:r w:rsidR="00660415" w:rsidRPr="0022453B">
        <w:t>7</w:t>
      </w:r>
      <w:r w:rsidR="00B04D6E" w:rsidRPr="0022453B">
        <w:t>0,81]</w:t>
      </w:r>
      <w:r w:rsidR="00B04D6E" w:rsidRPr="008F0198">
        <w:t xml:space="preserve"> </w:t>
      </w:r>
      <w:r w:rsidR="00B04D6E" w:rsidRPr="0022453B">
        <w:t>мл/хв/1,73 м</w:t>
      </w:r>
      <w:r w:rsidR="00B04D6E" w:rsidRPr="001768D5">
        <w:rPr>
          <w:vertAlign w:val="superscript"/>
        </w:rPr>
        <w:t>2</w:t>
      </w:r>
      <w:r w:rsidR="00B04D6E" w:rsidRPr="0022453B">
        <w:t>, що у</w:t>
      </w:r>
      <w:r w:rsidR="008602FB">
        <w:t> </w:t>
      </w:r>
      <w:r w:rsidR="00B04D6E" w:rsidRPr="0022453B">
        <w:t>1,9 раз</w:t>
      </w:r>
      <w:r w:rsidR="001768D5">
        <w:t>а</w:t>
      </w:r>
      <w:r w:rsidR="00B04D6E" w:rsidRPr="0022453B">
        <w:t xml:space="preserve"> нижче</w:t>
      </w:r>
      <w:r w:rsidR="000126C8">
        <w:t xml:space="preserve"> (р </w:t>
      </w:r>
      <w:r w:rsidR="000126C8">
        <w:rPr>
          <w:rFonts w:cs="Times New Roman"/>
        </w:rPr>
        <w:t>&lt;</w:t>
      </w:r>
      <w:r w:rsidR="000126C8">
        <w:t>0</w:t>
      </w:r>
      <w:r w:rsidR="00782BD0" w:rsidRPr="0022453B">
        <w:t>,</w:t>
      </w:r>
      <w:r w:rsidR="000126C8">
        <w:t>05),</w:t>
      </w:r>
      <w:r w:rsidR="00B04D6E" w:rsidRPr="0022453B">
        <w:t xml:space="preserve"> ніж у </w:t>
      </w:r>
      <w:r w:rsidR="00591EE6" w:rsidRPr="0022453B">
        <w:t>контрольній групі</w:t>
      </w:r>
      <w:r w:rsidR="009E336F">
        <w:t xml:space="preserve"> але</w:t>
      </w:r>
      <w:r w:rsidR="00591EE6" w:rsidRPr="0022453B">
        <w:t xml:space="preserve"> з групою порівняння не було ви</w:t>
      </w:r>
      <w:r w:rsidR="00D55306" w:rsidRPr="0022453B">
        <w:t>я</w:t>
      </w:r>
      <w:r w:rsidR="00591EE6" w:rsidRPr="0022453B">
        <w:t xml:space="preserve">влено </w:t>
      </w:r>
      <w:r w:rsidR="009E336F">
        <w:t>істотної різниці</w:t>
      </w:r>
      <w:r w:rsidR="000126C8">
        <w:t xml:space="preserve"> (р</w:t>
      </w:r>
      <w:r w:rsidR="000126C8">
        <w:rPr>
          <w:rFonts w:cs="Times New Roman"/>
        </w:rPr>
        <w:t>&gt;</w:t>
      </w:r>
      <w:r w:rsidR="000126C8">
        <w:t>0,05)</w:t>
      </w:r>
      <w:r w:rsidR="00B04D6E" w:rsidRPr="0022453B">
        <w:t>.</w:t>
      </w:r>
      <w:r w:rsidR="005C2163" w:rsidRPr="0022453B">
        <w:t xml:space="preserve"> </w:t>
      </w:r>
      <w:r w:rsidR="00591EE6" w:rsidRPr="0022453B">
        <w:t>Отримані відмінності свідчать про зниження функції нирок у досліджуваних хворих, а</w:t>
      </w:r>
      <w:r w:rsidR="005822B0" w:rsidRPr="008F0198">
        <w:t> </w:t>
      </w:r>
      <w:r w:rsidR="00591EE6" w:rsidRPr="0022453B">
        <w:t>саме їх перфузі</w:t>
      </w:r>
      <w:r w:rsidR="00782BD0" w:rsidRPr="0022453B">
        <w:t>йної</w:t>
      </w:r>
      <w:r w:rsidR="00591EE6" w:rsidRPr="0022453B">
        <w:t xml:space="preserve"> властивості. </w:t>
      </w:r>
      <w:r w:rsidR="00134060" w:rsidRPr="0022453B">
        <w:t xml:space="preserve">При тяжкому, неконтрольованому </w:t>
      </w:r>
      <w:r w:rsidR="00EE58CC" w:rsidRPr="0022453B">
        <w:t>та</w:t>
      </w:r>
      <w:r w:rsidR="00134060" w:rsidRPr="0022453B">
        <w:t xml:space="preserve"> тривалому перебігу захворювання розвивається значне зниження </w:t>
      </w:r>
      <w:r w:rsidR="00BC5992">
        <w:t>ШКФ</w:t>
      </w:r>
      <w:r w:rsidR="00134060" w:rsidRPr="0022453B">
        <w:t xml:space="preserve">, що є результатом </w:t>
      </w:r>
      <w:r w:rsidR="00AF1A1E" w:rsidRPr="0022453B">
        <w:t xml:space="preserve">виснаження </w:t>
      </w:r>
      <w:r w:rsidR="00134060" w:rsidRPr="0022453B">
        <w:t xml:space="preserve">компенсаторних можливостей </w:t>
      </w:r>
      <w:r w:rsidR="00AF1A1E" w:rsidRPr="0022453B">
        <w:t>нирок по підтриманн</w:t>
      </w:r>
      <w:r w:rsidR="00BC5992">
        <w:t>я</w:t>
      </w:r>
      <w:r w:rsidR="00AF1A1E" w:rsidRPr="0022453B">
        <w:t xml:space="preserve"> </w:t>
      </w:r>
      <w:r w:rsidR="00134060" w:rsidRPr="0022453B">
        <w:t>фільтраці</w:t>
      </w:r>
      <w:r w:rsidR="00AF1A1E" w:rsidRPr="0022453B">
        <w:t>йного тиску</w:t>
      </w:r>
      <w:r w:rsidR="00134060" w:rsidRPr="0022453B">
        <w:t xml:space="preserve">. </w:t>
      </w:r>
      <w:r w:rsidR="00AF1A1E" w:rsidRPr="0022453B">
        <w:t>Погіршення</w:t>
      </w:r>
      <w:r w:rsidR="00134060" w:rsidRPr="0022453B">
        <w:t xml:space="preserve"> умов гломеру</w:t>
      </w:r>
      <w:r w:rsidR="0042130C" w:rsidRPr="0022453B">
        <w:t>лярної</w:t>
      </w:r>
      <w:r w:rsidR="00134060" w:rsidRPr="0022453B">
        <w:t xml:space="preserve"> фільтрації в</w:t>
      </w:r>
      <w:r w:rsidR="005822B0" w:rsidRPr="008F0198">
        <w:t> </w:t>
      </w:r>
      <w:r w:rsidR="00AF1A1E" w:rsidRPr="0022453B">
        <w:t>подальшому</w:t>
      </w:r>
      <w:r w:rsidR="00134060" w:rsidRPr="0022453B">
        <w:t xml:space="preserve"> періоді може призвести до значного порушення функції </w:t>
      </w:r>
      <w:r w:rsidR="00AF1A1E" w:rsidRPr="0022453B">
        <w:t>нирок.</w:t>
      </w:r>
      <w:r w:rsidR="00134060" w:rsidRPr="0022453B">
        <w:t xml:space="preserve"> </w:t>
      </w:r>
      <w:r w:rsidR="00BC5992">
        <w:t>Важливо</w:t>
      </w:r>
      <w:r w:rsidR="00937FF2" w:rsidRPr="0022453B">
        <w:t>,</w:t>
      </w:r>
      <w:r w:rsidR="00D8032A" w:rsidRPr="0022453B">
        <w:t xml:space="preserve"> </w:t>
      </w:r>
      <w:r w:rsidR="00BC5992">
        <w:t xml:space="preserve">що </w:t>
      </w:r>
      <w:r w:rsidR="002D245B" w:rsidRPr="0022453B">
        <w:t>нами отримані кореляційні взаємозв</w:t>
      </w:r>
      <w:r w:rsidR="00AF5C51" w:rsidRPr="0022453B">
        <w:t>’</w:t>
      </w:r>
      <w:r w:rsidR="002D245B" w:rsidRPr="0022453B">
        <w:t xml:space="preserve">язки </w:t>
      </w:r>
      <w:r w:rsidR="00006344" w:rsidRPr="0022453B">
        <w:t>рі</w:t>
      </w:r>
      <w:r w:rsidR="00937FF2" w:rsidRPr="0022453B">
        <w:t xml:space="preserve">зної сили </w:t>
      </w:r>
      <w:r w:rsidR="00782BD0" w:rsidRPr="0022453B">
        <w:t>в у</w:t>
      </w:r>
      <w:r w:rsidR="00937FF2" w:rsidRPr="0022453B">
        <w:t>сіх груп</w:t>
      </w:r>
      <w:r w:rsidR="00782BD0" w:rsidRPr="0022453B">
        <w:t>ах</w:t>
      </w:r>
      <w:r w:rsidR="00937FF2" w:rsidRPr="0022453B">
        <w:t xml:space="preserve"> хворих</w:t>
      </w:r>
      <w:r w:rsidR="00006344" w:rsidRPr="0022453B">
        <w:t xml:space="preserve"> між швидкісними показниками </w:t>
      </w:r>
      <w:r w:rsidR="00C70618" w:rsidRPr="0022453B">
        <w:t>Ф</w:t>
      </w:r>
      <w:r w:rsidR="00CA07A1" w:rsidRPr="0022453B">
        <w:t>ЗД</w:t>
      </w:r>
      <w:r w:rsidR="00006344" w:rsidRPr="0022453B">
        <w:t xml:space="preserve"> і ШКФ. У хворих</w:t>
      </w:r>
      <w:r w:rsidR="00D8032A" w:rsidRPr="0022453B">
        <w:t xml:space="preserve"> </w:t>
      </w:r>
      <w:r w:rsidR="00006344" w:rsidRPr="0022453B">
        <w:t>на БА</w:t>
      </w:r>
      <w:r w:rsidR="00782BD0" w:rsidRPr="0022453B">
        <w:t> </w:t>
      </w:r>
      <w:r w:rsidR="00006344" w:rsidRPr="0022453B">
        <w:t>+</w:t>
      </w:r>
      <w:r w:rsidR="00782BD0" w:rsidRPr="0022453B">
        <w:t> </w:t>
      </w:r>
      <w:r w:rsidR="00006344" w:rsidRPr="0022453B">
        <w:t>ЦД2Т, БА</w:t>
      </w:r>
      <w:r w:rsidR="00782BD0" w:rsidRPr="0022453B">
        <w:t> </w:t>
      </w:r>
      <w:r w:rsidR="00006344" w:rsidRPr="0022453B">
        <w:t>+О</w:t>
      </w:r>
      <w:r w:rsidR="00386FE1">
        <w:t>ж</w:t>
      </w:r>
      <w:r w:rsidR="00D8032A" w:rsidRPr="0022453B">
        <w:t xml:space="preserve"> </w:t>
      </w:r>
      <w:r w:rsidR="00006344" w:rsidRPr="0022453B">
        <w:t xml:space="preserve">та </w:t>
      </w:r>
      <w:r w:rsidR="00A15B4A" w:rsidRPr="0022453B">
        <w:t>груп</w:t>
      </w:r>
      <w:r w:rsidR="00782BD0" w:rsidRPr="0022453B">
        <w:t>и</w:t>
      </w:r>
      <w:r w:rsidR="00A15B4A" w:rsidRPr="0022453B">
        <w:t xml:space="preserve"> порівняння</w:t>
      </w:r>
      <w:r w:rsidR="00006344" w:rsidRPr="0022453B">
        <w:t xml:space="preserve"> між ОФВ</w:t>
      </w:r>
      <w:r w:rsidR="00006344" w:rsidRPr="00877251">
        <w:rPr>
          <w:vertAlign w:val="subscript"/>
        </w:rPr>
        <w:t>1</w:t>
      </w:r>
      <w:r w:rsidR="00006344" w:rsidRPr="008F0198">
        <w:t xml:space="preserve"> </w:t>
      </w:r>
      <w:r w:rsidR="00006344" w:rsidRPr="0022453B">
        <w:t xml:space="preserve">та ШКФ: </w:t>
      </w:r>
      <w:r w:rsidR="001A58C5" w:rsidRPr="0022453B">
        <w:t>(R = 0,</w:t>
      </w:r>
      <w:r w:rsidR="00B17D54" w:rsidRPr="0022453B">
        <w:t>41</w:t>
      </w:r>
      <w:r w:rsidR="005822B0">
        <w:t xml:space="preserve">; </w:t>
      </w:r>
      <w:r w:rsidR="001A58C5" w:rsidRPr="0022453B">
        <w:t>р &lt; 0,05, R = 0,3</w:t>
      </w:r>
      <w:r w:rsidR="00B17D54" w:rsidRPr="0022453B">
        <w:t>9</w:t>
      </w:r>
      <w:r w:rsidR="005822B0">
        <w:t xml:space="preserve">; </w:t>
      </w:r>
      <w:r w:rsidR="001A58C5" w:rsidRPr="0022453B">
        <w:t>р &lt;</w:t>
      </w:r>
      <w:r w:rsidR="00D8032A" w:rsidRPr="0022453B">
        <w:t xml:space="preserve"> </w:t>
      </w:r>
      <w:r w:rsidR="001A58C5" w:rsidRPr="0022453B">
        <w:t>0,05, R =0,</w:t>
      </w:r>
      <w:r w:rsidR="00B17D54" w:rsidRPr="0022453B">
        <w:t>36</w:t>
      </w:r>
      <w:r w:rsidR="001A58C5" w:rsidRPr="0022453B">
        <w:t xml:space="preserve"> р &lt;</w:t>
      </w:r>
      <w:r w:rsidR="00D8032A" w:rsidRPr="0022453B">
        <w:t xml:space="preserve"> </w:t>
      </w:r>
      <w:r w:rsidR="001A58C5" w:rsidRPr="0022453B">
        <w:t>0,05)</w:t>
      </w:r>
      <w:r w:rsidR="00782BD0" w:rsidRPr="0022453B">
        <w:t>,</w:t>
      </w:r>
      <w:r w:rsidR="001A58C5" w:rsidRPr="0022453B">
        <w:t xml:space="preserve"> відповідно</w:t>
      </w:r>
      <w:r w:rsidR="00782BD0" w:rsidRPr="0022453B">
        <w:t>,</w:t>
      </w:r>
      <w:r w:rsidR="005C2163" w:rsidRPr="0022453B">
        <w:t xml:space="preserve"> та між ФШВ</w:t>
      </w:r>
      <w:r w:rsidR="005C2163" w:rsidRPr="00525780">
        <w:rPr>
          <w:vertAlign w:val="subscript"/>
        </w:rPr>
        <w:t>75</w:t>
      </w:r>
      <w:r w:rsidR="005C2163" w:rsidRPr="0022453B">
        <w:t>, і ШКФ у хворих на БА</w:t>
      </w:r>
      <w:r w:rsidR="00782BD0" w:rsidRPr="0022453B">
        <w:t> </w:t>
      </w:r>
      <w:r w:rsidR="005C2163" w:rsidRPr="0022453B">
        <w:t>+</w:t>
      </w:r>
      <w:r w:rsidR="00782BD0" w:rsidRPr="0022453B">
        <w:t> </w:t>
      </w:r>
      <w:r w:rsidR="005C2163" w:rsidRPr="0022453B">
        <w:t>ЦД2Т та БА</w:t>
      </w:r>
      <w:r w:rsidR="00782BD0" w:rsidRPr="0022453B">
        <w:t> </w:t>
      </w:r>
      <w:r w:rsidR="005C2163" w:rsidRPr="0022453B">
        <w:t>+</w:t>
      </w:r>
      <w:r w:rsidR="00782BD0" w:rsidRPr="0022453B">
        <w:t> </w:t>
      </w:r>
      <w:r w:rsidR="005C2163" w:rsidRPr="0022453B">
        <w:t>О</w:t>
      </w:r>
      <w:r w:rsidR="00266C5F" w:rsidRPr="0022453B">
        <w:t>ж</w:t>
      </w:r>
      <w:r w:rsidR="005C2163" w:rsidRPr="0022453B">
        <w:t xml:space="preserve"> (R = 0,34</w:t>
      </w:r>
      <w:r w:rsidR="005822B0">
        <w:t xml:space="preserve">; </w:t>
      </w:r>
      <w:r w:rsidR="005C2163" w:rsidRPr="0022453B">
        <w:t>р &lt; 0,05, R = 0,37</w:t>
      </w:r>
      <w:r w:rsidR="005822B0">
        <w:t xml:space="preserve">; </w:t>
      </w:r>
      <w:r w:rsidR="005C2163" w:rsidRPr="0022453B">
        <w:t>р &lt;</w:t>
      </w:r>
      <w:r w:rsidR="00782BD0" w:rsidRPr="0022453B">
        <w:t> </w:t>
      </w:r>
      <w:r w:rsidR="005C2163" w:rsidRPr="0022453B">
        <w:t>0,05).</w:t>
      </w:r>
    </w:p>
    <w:p w:rsidR="00BC5992" w:rsidRPr="0068604C" w:rsidRDefault="002C01ED" w:rsidP="00CD5061">
      <w:pPr>
        <w:pStyle w:val="atextRef"/>
        <w:spacing w:line="288" w:lineRule="auto"/>
      </w:pPr>
      <w:r>
        <w:t>Детально проаналізовано</w:t>
      </w:r>
      <w:r w:rsidR="00BC5992" w:rsidRPr="00BC5992">
        <w:t xml:space="preserve"> рівні екскреції альбуміну (МАУ) </w:t>
      </w:r>
      <w:r>
        <w:t>у</w:t>
      </w:r>
      <w:r w:rsidR="00BC5992" w:rsidRPr="00BC5992">
        <w:t xml:space="preserve"> обстеженого контингенту. Встановлено, що відносно групи контролю, МАУ була істотно вищою в усіх групах і складала у хворих на БА 12,59 </w:t>
      </w:r>
      <w:r w:rsidR="00BC5992" w:rsidRPr="008F0198">
        <w:t xml:space="preserve">[9,00; 28,00] мг/л </w:t>
      </w:r>
      <w:r w:rsidR="00BC5992" w:rsidRPr="00BC5992">
        <w:t>(p &lt; 0,05)</w:t>
      </w:r>
      <w:r w:rsidR="00BC5992" w:rsidRPr="008F0198">
        <w:t xml:space="preserve">, на БА + Ож 15,00 [12,00; 28,00] мг/л </w:t>
      </w:r>
      <w:r w:rsidR="00BC5992" w:rsidRPr="00BC5992">
        <w:t>(p &lt; 0,05)</w:t>
      </w:r>
      <w:r w:rsidR="00BC5992" w:rsidRPr="008F0198">
        <w:t xml:space="preserve"> і на БА + ЦД2Т — </w:t>
      </w:r>
      <w:r w:rsidR="00064964">
        <w:t>110</w:t>
      </w:r>
      <w:r w:rsidR="00BC5992" w:rsidRPr="008F0198">
        <w:t>,00 [</w:t>
      </w:r>
      <w:r w:rsidR="00064964">
        <w:t>8</w:t>
      </w:r>
      <w:r w:rsidR="00BC5992" w:rsidRPr="008F0198">
        <w:t>0,00; 1</w:t>
      </w:r>
      <w:r w:rsidR="00BF57F8">
        <w:t>93</w:t>
      </w:r>
      <w:r w:rsidR="00BC5992" w:rsidRPr="008F0198">
        <w:t xml:space="preserve">,00] мг/л </w:t>
      </w:r>
      <w:r w:rsidR="00BC5992" w:rsidRPr="00BC5992">
        <w:t>(p &lt; 0,001)</w:t>
      </w:r>
      <w:r w:rsidR="00BC5992" w:rsidRPr="008F0198">
        <w:t xml:space="preserve">. </w:t>
      </w:r>
      <w:r w:rsidR="00BC5992" w:rsidRPr="00BC5992">
        <w:t>У 55 пацієнтів з БА + ЦД2Т МАУ коливалась від 110,5 до 201,0 мг/л, у 65 хворих - знаходилася в межах 40,4–99,86 мг/л. Різниця між МАУ у хворих на БА + Ож і БА + ЦД2Т була вірогідною (р &lt; 0,001).</w:t>
      </w:r>
    </w:p>
    <w:p w:rsidR="00177919" w:rsidRPr="0022453B" w:rsidRDefault="00177919" w:rsidP="00CD5061">
      <w:pPr>
        <w:pStyle w:val="atextRef"/>
        <w:spacing w:line="288" w:lineRule="auto"/>
      </w:pPr>
      <w:r w:rsidRPr="0022453B">
        <w:t>Серед обстежених хворих на БА</w:t>
      </w:r>
      <w:r w:rsidR="00782BD0" w:rsidRPr="0022453B">
        <w:t> + </w:t>
      </w:r>
      <w:r w:rsidRPr="0022453B">
        <w:t xml:space="preserve">ЦД2Т </w:t>
      </w:r>
      <w:r w:rsidR="00BC5992">
        <w:t>з</w:t>
      </w:r>
      <w:r w:rsidRPr="0022453B">
        <w:t xml:space="preserve">а результатами проведеного </w:t>
      </w:r>
      <w:r w:rsidR="001B54E9" w:rsidRPr="0022453B">
        <w:t>аналізу</w:t>
      </w:r>
      <w:r w:rsidRPr="0022453B">
        <w:t xml:space="preserve"> пору</w:t>
      </w:r>
      <w:r w:rsidR="008666D9" w:rsidRPr="0022453B">
        <w:t>шень вуглеводного обміну зверта</w:t>
      </w:r>
      <w:r w:rsidR="00383EF6" w:rsidRPr="0022453B">
        <w:t>ли</w:t>
      </w:r>
      <w:r w:rsidRPr="0022453B">
        <w:t xml:space="preserve"> на себе увагу </w:t>
      </w:r>
      <w:r w:rsidR="00D72EDA" w:rsidRPr="0022453B">
        <w:t>вірогід</w:t>
      </w:r>
      <w:r w:rsidRPr="0022453B">
        <w:t>но вищі рівні глюкози крові (р</w:t>
      </w:r>
      <w:r w:rsidR="00782BD0" w:rsidRPr="0022453B">
        <w:t> &lt; </w:t>
      </w:r>
      <w:r w:rsidR="006D0742" w:rsidRPr="0022453B">
        <w:t>0,001)</w:t>
      </w:r>
      <w:r w:rsidRPr="0022453B">
        <w:t xml:space="preserve"> при порівнянні показників хворих на БА</w:t>
      </w:r>
      <w:r w:rsidR="00782BD0" w:rsidRPr="0022453B">
        <w:t> + </w:t>
      </w:r>
      <w:r w:rsidRPr="0022453B">
        <w:t>О</w:t>
      </w:r>
      <w:r w:rsidR="00266C5F" w:rsidRPr="0022453B">
        <w:t>ж</w:t>
      </w:r>
      <w:r w:rsidRPr="0022453B">
        <w:t xml:space="preserve"> і групи порівняння. Як відомо</w:t>
      </w:r>
      <w:r w:rsidR="00BC5992">
        <w:t xml:space="preserve"> ЦД2Т</w:t>
      </w:r>
      <w:r w:rsidRPr="0022453B">
        <w:t xml:space="preserve"> супроводжується розвитком інсулінорезистентності, унаслідок чого у хворих спостерігається гіперглікемія.</w:t>
      </w:r>
    </w:p>
    <w:p w:rsidR="00D54351" w:rsidRPr="0068604C" w:rsidRDefault="00177919" w:rsidP="00CD5061">
      <w:pPr>
        <w:pStyle w:val="atextRef"/>
        <w:spacing w:line="288" w:lineRule="auto"/>
      </w:pPr>
      <w:r w:rsidRPr="00D54351">
        <w:lastRenderedPageBreak/>
        <w:t>Дослідження рівнів інсуліну підтвердило, що дійсно бу</w:t>
      </w:r>
      <w:r w:rsidR="00D72EDA" w:rsidRPr="00D54351">
        <w:t>в</w:t>
      </w:r>
      <w:r w:rsidRPr="00D54351">
        <w:t xml:space="preserve"> </w:t>
      </w:r>
      <w:r w:rsidR="00D72EDA" w:rsidRPr="00D54351">
        <w:t>вірогід</w:t>
      </w:r>
      <w:r w:rsidRPr="00D54351">
        <w:t>но вищим рів</w:t>
      </w:r>
      <w:r w:rsidR="00D72EDA" w:rsidRPr="00D54351">
        <w:t>ень</w:t>
      </w:r>
      <w:r w:rsidRPr="00D54351">
        <w:t xml:space="preserve"> інсуліну </w:t>
      </w:r>
      <w:r w:rsidR="00D72EDA" w:rsidRPr="00D54351">
        <w:t xml:space="preserve">в </w:t>
      </w:r>
      <w:r w:rsidRPr="00D54351">
        <w:t xml:space="preserve">крові </w:t>
      </w:r>
      <w:r w:rsidR="004B34C3" w:rsidRPr="00D54351">
        <w:t>у хворих на БА</w:t>
      </w:r>
      <w:r w:rsidR="00782BD0" w:rsidRPr="00D54351">
        <w:t> + </w:t>
      </w:r>
      <w:r w:rsidR="004B34C3" w:rsidRPr="00D54351">
        <w:t>ЦД2Т (р</w:t>
      </w:r>
      <w:r w:rsidR="00782BD0" w:rsidRPr="00D54351">
        <w:t> &lt; </w:t>
      </w:r>
      <w:r w:rsidR="004B34C3" w:rsidRPr="00D54351">
        <w:t>0,001), БА</w:t>
      </w:r>
      <w:r w:rsidR="00782BD0" w:rsidRPr="00D54351">
        <w:t> + </w:t>
      </w:r>
      <w:r w:rsidR="004B34C3" w:rsidRPr="00D54351">
        <w:t>О</w:t>
      </w:r>
      <w:r w:rsidR="00266C5F" w:rsidRPr="00D54351">
        <w:t>ж</w:t>
      </w:r>
      <w:r w:rsidR="004B34C3" w:rsidRPr="00D54351">
        <w:t xml:space="preserve"> (р</w:t>
      </w:r>
      <w:r w:rsidR="00782BD0" w:rsidRPr="00D54351">
        <w:t> &lt;</w:t>
      </w:r>
      <w:r w:rsidR="004B34C3" w:rsidRPr="00D54351">
        <w:t> 0,01), групи порівняння (р</w:t>
      </w:r>
      <w:r w:rsidR="00782BD0" w:rsidRPr="00D54351">
        <w:t> &lt; </w:t>
      </w:r>
      <w:r w:rsidR="004B34C3" w:rsidRPr="00D54351">
        <w:t>0,05)</w:t>
      </w:r>
      <w:r w:rsidR="00F703D3" w:rsidRPr="00D54351">
        <w:t xml:space="preserve"> при зіставленні показників </w:t>
      </w:r>
      <w:r w:rsidR="00DF0EE9" w:rsidRPr="00D54351">
        <w:t>і</w:t>
      </w:r>
      <w:r w:rsidR="00F703D3" w:rsidRPr="00D54351">
        <w:t>з групою контролю</w:t>
      </w:r>
      <w:r w:rsidR="004B34C3" w:rsidRPr="00D54351">
        <w:t>.</w:t>
      </w:r>
      <w:r w:rsidR="00D8032A" w:rsidRPr="00D54351">
        <w:t xml:space="preserve"> </w:t>
      </w:r>
      <w:r w:rsidR="00727E6F" w:rsidRPr="00D54351">
        <w:t xml:space="preserve">Досліджено окремі показники вуглеводного обміну </w:t>
      </w:r>
      <w:r w:rsidR="00773E9A" w:rsidRPr="00D54351">
        <w:t>залежно</w:t>
      </w:r>
      <w:r w:rsidR="00727E6F" w:rsidRPr="00D54351">
        <w:t xml:space="preserve"> від </w:t>
      </w:r>
      <w:r w:rsidR="00E14296" w:rsidRPr="00D54351">
        <w:t>ОФВ</w:t>
      </w:r>
      <w:r w:rsidR="00E14296" w:rsidRPr="00950ED1">
        <w:rPr>
          <w:vertAlign w:val="subscript"/>
        </w:rPr>
        <w:t>1</w:t>
      </w:r>
      <w:r w:rsidR="00E14296" w:rsidRPr="00D54351">
        <w:t>.</w:t>
      </w:r>
      <w:r w:rsidR="00727E6F" w:rsidRPr="00D54351">
        <w:t xml:space="preserve"> </w:t>
      </w:r>
      <w:r w:rsidR="00B070CA" w:rsidRPr="00D54351">
        <w:t>У обстежених хворих на БА з ЦД2</w:t>
      </w:r>
      <w:r w:rsidR="00D72EDA" w:rsidRPr="00D54351">
        <w:t>Т</w:t>
      </w:r>
      <w:r w:rsidR="00B070CA" w:rsidRPr="00D54351">
        <w:t xml:space="preserve"> </w:t>
      </w:r>
      <w:r w:rsidR="00B732E0" w:rsidRPr="00D54351">
        <w:t>та БА</w:t>
      </w:r>
      <w:r w:rsidR="00782BD0" w:rsidRPr="00D54351">
        <w:t> + </w:t>
      </w:r>
      <w:r w:rsidR="00B732E0" w:rsidRPr="00D54351">
        <w:t>О</w:t>
      </w:r>
      <w:r w:rsidR="00266C5F" w:rsidRPr="00D54351">
        <w:t>ж</w:t>
      </w:r>
      <w:r w:rsidR="00B732E0" w:rsidRPr="00D54351">
        <w:t xml:space="preserve"> </w:t>
      </w:r>
      <w:r w:rsidR="00E14296" w:rsidRPr="00D54351">
        <w:t xml:space="preserve">не </w:t>
      </w:r>
      <w:r w:rsidR="00B070CA" w:rsidRPr="00D54351">
        <w:t>було виявлено вірогідн</w:t>
      </w:r>
      <w:r w:rsidR="00E14296" w:rsidRPr="00D54351">
        <w:t>их</w:t>
      </w:r>
      <w:r w:rsidR="00B070CA" w:rsidRPr="00D54351">
        <w:t xml:space="preserve"> </w:t>
      </w:r>
      <w:r w:rsidR="00E14296" w:rsidRPr="00D54351">
        <w:t>змін</w:t>
      </w:r>
      <w:r w:rsidR="00B070CA" w:rsidRPr="00D54351">
        <w:t xml:space="preserve"> </w:t>
      </w:r>
      <w:r w:rsidR="00B732E0" w:rsidRPr="00D54351">
        <w:t>рівню інсуліну</w:t>
      </w:r>
      <w:r w:rsidR="00B070CA" w:rsidRPr="00D54351">
        <w:t xml:space="preserve"> між підгрупами з порушенням ОФВ</w:t>
      </w:r>
      <w:r w:rsidR="00B070CA" w:rsidRPr="00BF57F8">
        <w:rPr>
          <w:vertAlign w:val="subscript"/>
        </w:rPr>
        <w:t>1</w:t>
      </w:r>
      <w:r w:rsidR="00B070CA" w:rsidRPr="00D54351">
        <w:t>,</w:t>
      </w:r>
      <w:r w:rsidR="00B732E0" w:rsidRPr="00D54351">
        <w:t xml:space="preserve"> відносно групи порівняння,</w:t>
      </w:r>
      <w:r w:rsidR="00B070CA" w:rsidRPr="00D54351">
        <w:t xml:space="preserve"> тобто рівень інсуліну в крові був </w:t>
      </w:r>
      <w:r w:rsidR="002E4048" w:rsidRPr="00D54351">
        <w:t xml:space="preserve">практично однаковий </w:t>
      </w:r>
      <w:r w:rsidR="00B070CA" w:rsidRPr="00D54351">
        <w:t>підвищений незалежно від вираженості обструктивного синдрому</w:t>
      </w:r>
      <w:r w:rsidR="00D72EDA" w:rsidRPr="00D54351">
        <w:t xml:space="preserve"> </w:t>
      </w:r>
      <w:r w:rsidR="00B732E0" w:rsidRPr="00D54351">
        <w:t>(р</w:t>
      </w:r>
      <w:r w:rsidR="00D72EDA" w:rsidRPr="00D54351">
        <w:t> </w:t>
      </w:r>
      <w:r w:rsidR="00B732E0" w:rsidRPr="00D54351">
        <w:t>&gt; 0,05)</w:t>
      </w:r>
      <w:r w:rsidR="00B070CA" w:rsidRPr="00D54351">
        <w:t xml:space="preserve">. Звертає увагу, що індекс </w:t>
      </w:r>
      <w:r w:rsidR="00790F59" w:rsidRPr="00D54351">
        <w:t>Н</w:t>
      </w:r>
      <w:r w:rsidR="00B070CA" w:rsidRPr="00D54351">
        <w:t xml:space="preserve">ОМА- </w:t>
      </w:r>
      <w:r w:rsidR="004B34C3" w:rsidRPr="00D54351">
        <w:t xml:space="preserve">IR </w:t>
      </w:r>
      <w:r w:rsidR="00B070CA" w:rsidRPr="00D54351">
        <w:t>принципово виділя</w:t>
      </w:r>
      <w:r w:rsidR="00BF57F8">
        <w:t>вся</w:t>
      </w:r>
      <w:r w:rsidR="00B070CA" w:rsidRPr="00D54351">
        <w:t xml:space="preserve"> з усіх ознак, тому що його </w:t>
      </w:r>
      <w:r w:rsidR="00D72EDA" w:rsidRPr="00D54351">
        <w:t>значення</w:t>
      </w:r>
      <w:r w:rsidR="00B070CA" w:rsidRPr="00D54351">
        <w:t xml:space="preserve"> </w:t>
      </w:r>
      <w:r w:rsidR="00383EF6" w:rsidRPr="00D54351">
        <w:t xml:space="preserve">при </w:t>
      </w:r>
      <w:r w:rsidR="00BF57F8">
        <w:t xml:space="preserve">БА+ЦД2Т та </w:t>
      </w:r>
      <w:r w:rsidR="00383EF6" w:rsidRPr="00D54351">
        <w:t>ожирінні</w:t>
      </w:r>
      <w:r w:rsidR="00B070CA" w:rsidRPr="00D54351">
        <w:t xml:space="preserve"> у</w:t>
      </w:r>
      <w:r w:rsidR="00804933" w:rsidRPr="00D54351">
        <w:t> </w:t>
      </w:r>
      <w:r w:rsidR="00B070CA" w:rsidRPr="00D54351">
        <w:t>хворих на БА перевищув</w:t>
      </w:r>
      <w:r w:rsidR="00F471BD" w:rsidRPr="00D54351">
        <w:t>а</w:t>
      </w:r>
      <w:r w:rsidR="00386FE1" w:rsidRPr="00D54351">
        <w:t>ло</w:t>
      </w:r>
      <w:r w:rsidR="00B070CA" w:rsidRPr="00D54351">
        <w:t xml:space="preserve"> нормальні показники</w:t>
      </w:r>
      <w:r w:rsidR="00F471BD" w:rsidRPr="00D54351">
        <w:t xml:space="preserve"> (р&lt;0,05). </w:t>
      </w:r>
      <w:r w:rsidR="00781CA4" w:rsidRPr="00D54351">
        <w:t>У хворих на БА</w:t>
      </w:r>
      <w:r w:rsidR="00782BD0" w:rsidRPr="00D54351">
        <w:t> + </w:t>
      </w:r>
      <w:r w:rsidR="00781CA4" w:rsidRPr="00D54351">
        <w:t xml:space="preserve">ЦД2Т при прогресуванні бронхіальної обструкції, були виявлені </w:t>
      </w:r>
      <w:r w:rsidR="00D72EDA" w:rsidRPr="00D54351">
        <w:t>вірогід</w:t>
      </w:r>
      <w:r w:rsidR="00781CA4" w:rsidRPr="00D54351">
        <w:t>ні відмінності індексу HOMA-IR</w:t>
      </w:r>
      <w:r w:rsidR="00F061D6" w:rsidRPr="00D54351">
        <w:t xml:space="preserve"> залежно</w:t>
      </w:r>
      <w:r w:rsidR="00781CA4" w:rsidRPr="00D54351">
        <w:t xml:space="preserve"> від </w:t>
      </w:r>
      <w:r w:rsidR="00A70D40" w:rsidRPr="00D54351">
        <w:t xml:space="preserve">ступеня вираженості </w:t>
      </w:r>
      <w:r w:rsidR="00781CA4" w:rsidRPr="00D54351">
        <w:t>синдрому бронхіальної обструкції</w:t>
      </w:r>
      <w:r w:rsidR="00383EF6" w:rsidRPr="00D54351">
        <w:t xml:space="preserve"> (р&lt;0,01)</w:t>
      </w:r>
      <w:r w:rsidR="00A70D40" w:rsidRPr="00D54351">
        <w:t>, коли по мірі зменшення ОФВ</w:t>
      </w:r>
      <w:r w:rsidR="00A70D40" w:rsidRPr="0054539F">
        <w:rPr>
          <w:vertAlign w:val="subscript"/>
        </w:rPr>
        <w:t>1</w:t>
      </w:r>
      <w:r w:rsidR="00A70D40" w:rsidRPr="00D54351">
        <w:t xml:space="preserve"> </w:t>
      </w:r>
      <w:r w:rsidR="00F061D6" w:rsidRPr="00D54351">
        <w:t>відбувалося</w:t>
      </w:r>
      <w:r w:rsidR="00781CA4" w:rsidRPr="00D54351">
        <w:t xml:space="preserve"> збільшення рівня інсуліну та індексу НОМА-IR. </w:t>
      </w:r>
      <w:r w:rsidR="00D67945" w:rsidRPr="00D54351">
        <w:t>У</w:t>
      </w:r>
      <w:r w:rsidR="00F24BBF" w:rsidRPr="00D54351">
        <w:t xml:space="preserve"> </w:t>
      </w:r>
      <w:r w:rsidR="00D67945" w:rsidRPr="00D54351">
        <w:t>пацієнтів</w:t>
      </w:r>
      <w:r w:rsidR="00FC34CF" w:rsidRPr="00D54351">
        <w:t xml:space="preserve"> </w:t>
      </w:r>
      <w:r w:rsidR="00D67945" w:rsidRPr="00D54351">
        <w:t>з</w:t>
      </w:r>
      <w:r w:rsidR="00FC34CF" w:rsidRPr="00D54351">
        <w:t xml:space="preserve"> </w:t>
      </w:r>
      <w:r w:rsidR="00D67945" w:rsidRPr="00D54351">
        <w:t>ОФВ</w:t>
      </w:r>
      <w:r w:rsidR="00D67945" w:rsidRPr="005B779D">
        <w:rPr>
          <w:vertAlign w:val="subscript"/>
        </w:rPr>
        <w:t>1</w:t>
      </w:r>
      <w:r w:rsidR="00F24BBF" w:rsidRPr="00D54351">
        <w:t> </w:t>
      </w:r>
      <w:r w:rsidR="00782BD0" w:rsidRPr="00D54351">
        <w:t>&lt; </w:t>
      </w:r>
      <w:r w:rsidR="00D67945" w:rsidRPr="00D54351">
        <w:t>50</w:t>
      </w:r>
      <w:r w:rsidR="0022453B" w:rsidRPr="00D54351">
        <w:t>%</w:t>
      </w:r>
      <w:r w:rsidR="00ED4147" w:rsidRPr="00D54351">
        <w:t xml:space="preserve"> </w:t>
      </w:r>
      <w:r w:rsidR="00D67945" w:rsidRPr="00D54351">
        <w:t>показник</w:t>
      </w:r>
      <w:r w:rsidR="00FC34CF" w:rsidRPr="00D54351">
        <w:t xml:space="preserve"> </w:t>
      </w:r>
      <w:r w:rsidR="00D67945" w:rsidRPr="00D54351">
        <w:t>HOMA-IR</w:t>
      </w:r>
      <w:r w:rsidR="00ED4147" w:rsidRPr="00D54351">
        <w:t xml:space="preserve"> </w:t>
      </w:r>
      <w:r w:rsidR="00D67945" w:rsidRPr="00D54351">
        <w:t>був</w:t>
      </w:r>
      <w:r w:rsidR="00ED4147" w:rsidRPr="00D54351">
        <w:t xml:space="preserve"> </w:t>
      </w:r>
      <w:r w:rsidR="00950ED1">
        <w:t>вище</w:t>
      </w:r>
      <w:r w:rsidR="00D72EDA" w:rsidRPr="00D54351">
        <w:t>,</w:t>
      </w:r>
      <w:r w:rsidR="00ED4147" w:rsidRPr="00D54351">
        <w:t xml:space="preserve"> </w:t>
      </w:r>
      <w:r w:rsidR="00D67945" w:rsidRPr="00D54351">
        <w:t>ніж</w:t>
      </w:r>
      <w:r w:rsidR="00ED4147" w:rsidRPr="00D54351">
        <w:t xml:space="preserve"> </w:t>
      </w:r>
      <w:r w:rsidR="00D67945" w:rsidRPr="00D54351">
        <w:t>у</w:t>
      </w:r>
      <w:r w:rsidR="00ED4147" w:rsidRPr="00D54351">
        <w:t xml:space="preserve"> </w:t>
      </w:r>
      <w:r w:rsidR="00D67945" w:rsidRPr="00D54351">
        <w:t>хворих</w:t>
      </w:r>
      <w:r w:rsidR="00ED4147" w:rsidRPr="00D54351">
        <w:t xml:space="preserve"> </w:t>
      </w:r>
      <w:r w:rsidR="00D67945" w:rsidRPr="00D54351">
        <w:t>з</w:t>
      </w:r>
      <w:r w:rsidR="00ED4147" w:rsidRPr="00D54351">
        <w:t xml:space="preserve"> </w:t>
      </w:r>
      <w:r w:rsidR="00D67945" w:rsidRPr="00D54351">
        <w:t>ОФВ</w:t>
      </w:r>
      <w:r w:rsidR="00D67945" w:rsidRPr="0054539F">
        <w:rPr>
          <w:vertAlign w:val="subscript"/>
        </w:rPr>
        <w:t>1</w:t>
      </w:r>
      <w:r w:rsidR="00F24BBF" w:rsidRPr="00D54351">
        <w:t> </w:t>
      </w:r>
      <w:r w:rsidR="00D67945" w:rsidRPr="00D54351">
        <w:t>&gt;</w:t>
      </w:r>
      <w:r w:rsidR="00F24BBF" w:rsidRPr="00D54351">
        <w:t> </w:t>
      </w:r>
      <w:r w:rsidR="00D67945" w:rsidRPr="00D54351">
        <w:t>60</w:t>
      </w:r>
      <w:r w:rsidR="0022453B" w:rsidRPr="00D54351">
        <w:t>%</w:t>
      </w:r>
      <w:r w:rsidR="00D67945" w:rsidRPr="00D54351">
        <w:t xml:space="preserve"> (p</w:t>
      </w:r>
      <w:r w:rsidR="00782BD0" w:rsidRPr="00D54351">
        <w:t> &lt; </w:t>
      </w:r>
      <w:r w:rsidR="00D67945" w:rsidRPr="00D54351">
        <w:t>0,001).</w:t>
      </w:r>
      <w:r w:rsidR="00781CA4" w:rsidRPr="00D54351">
        <w:t xml:space="preserve"> У групі хворих на </w:t>
      </w:r>
      <w:r w:rsidR="00D72EDA" w:rsidRPr="00D54351">
        <w:t>БА</w:t>
      </w:r>
      <w:r w:rsidR="00781CA4" w:rsidRPr="00D54351">
        <w:t xml:space="preserve"> з</w:t>
      </w:r>
      <w:r w:rsidR="005822B0" w:rsidRPr="00D54351">
        <w:t> </w:t>
      </w:r>
      <w:r w:rsidR="00781CA4" w:rsidRPr="00D54351">
        <w:t xml:space="preserve">ожирінням індекс HOMA-IR також </w:t>
      </w:r>
      <w:r w:rsidR="00A06383">
        <w:t>істо</w:t>
      </w:r>
      <w:r w:rsidR="00A70D40" w:rsidRPr="00D54351">
        <w:t xml:space="preserve">тно </w:t>
      </w:r>
      <w:r w:rsidR="00781CA4" w:rsidRPr="00D54351">
        <w:t>перевищував аналогічн</w:t>
      </w:r>
      <w:r w:rsidR="00A70D40" w:rsidRPr="00D54351">
        <w:t>е</w:t>
      </w:r>
      <w:r w:rsidR="00781CA4" w:rsidRPr="00D54351">
        <w:t xml:space="preserve"> значення в контрольній групі</w:t>
      </w:r>
      <w:r w:rsidR="00ED4147" w:rsidRPr="00D54351">
        <w:t xml:space="preserve"> </w:t>
      </w:r>
      <w:r w:rsidR="00781CA4" w:rsidRPr="00D54351">
        <w:t>(р</w:t>
      </w:r>
      <w:r w:rsidR="00F24BBF" w:rsidRPr="00D54351">
        <w:t> </w:t>
      </w:r>
      <w:r w:rsidR="00782BD0" w:rsidRPr="00D54351">
        <w:t>&lt;</w:t>
      </w:r>
      <w:r w:rsidR="00F24BBF" w:rsidRPr="00D54351">
        <w:t> </w:t>
      </w:r>
      <w:r w:rsidR="00ED4147" w:rsidRPr="00D54351">
        <w:t>0,05).</w:t>
      </w:r>
      <w:r w:rsidR="00781CA4" w:rsidRPr="00D54351">
        <w:t xml:space="preserve"> </w:t>
      </w:r>
      <w:r w:rsidR="009D6FFF" w:rsidRPr="00D54351">
        <w:t xml:space="preserve">Порівнюючи показники </w:t>
      </w:r>
      <w:r w:rsidR="007C00B4" w:rsidRPr="00D54351">
        <w:t>вуглеводного метаболізму (</w:t>
      </w:r>
      <w:r w:rsidR="009D6FFF" w:rsidRPr="00D54351">
        <w:t>НОМА-IR, HbA1с</w:t>
      </w:r>
      <w:r w:rsidR="00386FE1" w:rsidRPr="00D54351">
        <w:t>,%, глюкоз</w:t>
      </w:r>
      <w:r w:rsidR="007C00B4" w:rsidRPr="00D54351">
        <w:t>а</w:t>
      </w:r>
      <w:r w:rsidR="009D6FFF" w:rsidRPr="00D54351">
        <w:t xml:space="preserve"> </w:t>
      </w:r>
      <w:r w:rsidR="000251B9" w:rsidRPr="00D54351">
        <w:t>натще</w:t>
      </w:r>
      <w:r w:rsidR="009D6FFF" w:rsidRPr="00D54351">
        <w:t>, інсулін</w:t>
      </w:r>
      <w:r w:rsidR="007C00B4" w:rsidRPr="00D54351">
        <w:t>)</w:t>
      </w:r>
      <w:r w:rsidR="009D6FFF" w:rsidRPr="00D54351">
        <w:t xml:space="preserve"> між підгрупами </w:t>
      </w:r>
      <w:r w:rsidR="007C00B4" w:rsidRPr="00D54351">
        <w:t>із значною та помірною зниженою клубочковою фільтрацією (</w:t>
      </w:r>
      <w:r w:rsidR="009D6FFF" w:rsidRPr="00D54351">
        <w:t>ШКФ</w:t>
      </w:r>
      <w:r w:rsidR="00042265" w:rsidRPr="00D54351">
        <w:t> </w:t>
      </w:r>
      <w:r w:rsidR="009D6FFF" w:rsidRPr="00D54351">
        <w:t>&lt;</w:t>
      </w:r>
      <w:r w:rsidR="00042265" w:rsidRPr="00D54351">
        <w:t> </w:t>
      </w:r>
      <w:r w:rsidR="009D6FFF" w:rsidRPr="00D54351">
        <w:t>60, мл/хв/1,73 м</w:t>
      </w:r>
      <w:r w:rsidR="009D6FFF" w:rsidRPr="001768D5">
        <w:rPr>
          <w:vertAlign w:val="superscript"/>
        </w:rPr>
        <w:t>2</w:t>
      </w:r>
      <w:r w:rsidR="009D6FFF" w:rsidRPr="00D54351">
        <w:t xml:space="preserve"> та 60</w:t>
      </w:r>
      <w:r w:rsidR="00042265" w:rsidRPr="00D54351">
        <w:t> </w:t>
      </w:r>
      <w:r w:rsidR="009D6FFF" w:rsidRPr="00D54351">
        <w:t>≤</w:t>
      </w:r>
      <w:r w:rsidR="00042265" w:rsidRPr="00D54351">
        <w:t> </w:t>
      </w:r>
      <w:r w:rsidR="009D6FFF" w:rsidRPr="00D54351">
        <w:t>ШКФ</w:t>
      </w:r>
      <w:r w:rsidR="00042265" w:rsidRPr="00D54351">
        <w:t> </w:t>
      </w:r>
      <w:r w:rsidR="009D6FFF" w:rsidRPr="00D54351">
        <w:t>&lt;</w:t>
      </w:r>
      <w:r w:rsidR="00042265" w:rsidRPr="00D54351">
        <w:t> </w:t>
      </w:r>
      <w:r w:rsidR="009D6FFF" w:rsidRPr="00D54351">
        <w:t>90, мл/хв/1,73 м</w:t>
      </w:r>
      <w:r w:rsidR="009D6FFF" w:rsidRPr="00525780">
        <w:rPr>
          <w:vertAlign w:val="superscript"/>
        </w:rPr>
        <w:t>2</w:t>
      </w:r>
      <w:r w:rsidR="009D6FFF" w:rsidRPr="00D54351">
        <w:t xml:space="preserve"> </w:t>
      </w:r>
      <w:r w:rsidR="007C00B4" w:rsidRPr="00D54351">
        <w:t xml:space="preserve">) </w:t>
      </w:r>
      <w:r w:rsidR="009D6FFF" w:rsidRPr="00D54351">
        <w:t>отрима</w:t>
      </w:r>
      <w:r w:rsidR="00950ED1">
        <w:t>но</w:t>
      </w:r>
      <w:r w:rsidR="009D6FFF" w:rsidRPr="00D54351">
        <w:t xml:space="preserve"> значущі відмінності по всім показникам (р</w:t>
      </w:r>
      <w:r w:rsidR="00042265" w:rsidRPr="00D54351">
        <w:t> </w:t>
      </w:r>
      <w:r w:rsidR="009D6FFF" w:rsidRPr="00D54351">
        <w:t>&lt;</w:t>
      </w:r>
      <w:r w:rsidR="00042265" w:rsidRPr="00D54351">
        <w:t> </w:t>
      </w:r>
      <w:r w:rsidR="009D6FFF" w:rsidRPr="00D54351">
        <w:t>0,001)</w:t>
      </w:r>
      <w:r w:rsidR="00DF0EE9" w:rsidRPr="00D54351">
        <w:t>,</w:t>
      </w:r>
      <w:r w:rsidR="009D6FFF" w:rsidRPr="00D54351">
        <w:t xml:space="preserve"> крім рівня інсуліну</w:t>
      </w:r>
      <w:r w:rsidR="002F4CEE" w:rsidRPr="00D54351">
        <w:t xml:space="preserve"> (р</w:t>
      </w:r>
      <w:r w:rsidR="002F4CEE" w:rsidRPr="008F0198">
        <w:t>&gt;</w:t>
      </w:r>
      <w:r w:rsidR="002F4CEE" w:rsidRPr="00D54351">
        <w:t>0,05)</w:t>
      </w:r>
      <w:r w:rsidR="009D6FFF" w:rsidRPr="00D54351">
        <w:t xml:space="preserve">. Згідно </w:t>
      </w:r>
      <w:r w:rsidR="00DF0EE9" w:rsidRPr="00D54351">
        <w:t>з</w:t>
      </w:r>
      <w:r w:rsidR="005822B0" w:rsidRPr="00D54351">
        <w:t> </w:t>
      </w:r>
      <w:r w:rsidR="009D6FFF" w:rsidRPr="00D54351">
        <w:t>отриманим</w:t>
      </w:r>
      <w:r w:rsidR="00DF0EE9" w:rsidRPr="00D54351">
        <w:t>и</w:t>
      </w:r>
      <w:r w:rsidR="009D6FFF" w:rsidRPr="00D54351">
        <w:t xml:space="preserve"> даним</w:t>
      </w:r>
      <w:r w:rsidR="00DF0EE9" w:rsidRPr="00D54351">
        <w:t>и</w:t>
      </w:r>
      <w:r w:rsidR="009D6FFF" w:rsidRPr="00D54351">
        <w:t xml:space="preserve"> </w:t>
      </w:r>
      <w:r w:rsidR="00A62DBC" w:rsidRPr="00D54351">
        <w:t>можна</w:t>
      </w:r>
      <w:r w:rsidR="009D6FFF" w:rsidRPr="00D54351">
        <w:t xml:space="preserve"> стверджувати, що у хворих на БА</w:t>
      </w:r>
      <w:r w:rsidR="00042265" w:rsidRPr="00D54351">
        <w:t> </w:t>
      </w:r>
      <w:r w:rsidR="009D6FFF" w:rsidRPr="00D54351">
        <w:t>+</w:t>
      </w:r>
      <w:r w:rsidR="00042265" w:rsidRPr="00D54351">
        <w:t> </w:t>
      </w:r>
      <w:r w:rsidR="009D6FFF" w:rsidRPr="00D54351">
        <w:t xml:space="preserve">ЦД2Т </w:t>
      </w:r>
      <w:r w:rsidR="00DF0EE9" w:rsidRPr="00D54351">
        <w:t>у</w:t>
      </w:r>
      <w:r w:rsidR="005822B0" w:rsidRPr="00D54351">
        <w:t> </w:t>
      </w:r>
      <w:r w:rsidR="009D6FFF" w:rsidRPr="00D54351">
        <w:t>період відсутності контролю прогресує інсулінорезистентність, яка супроводжується зниженням ШКФ.</w:t>
      </w:r>
      <w:r w:rsidR="00F061D6" w:rsidRPr="00D54351">
        <w:t xml:space="preserve"> Отримані дан</w:t>
      </w:r>
      <w:r w:rsidR="00ED4147" w:rsidRPr="00D54351">
        <w:t>і</w:t>
      </w:r>
      <w:r w:rsidR="00781CA4" w:rsidRPr="00D54351">
        <w:t xml:space="preserve"> </w:t>
      </w:r>
      <w:r w:rsidR="00F24BBF" w:rsidRPr="00D54351">
        <w:t>дають змогу</w:t>
      </w:r>
      <w:r w:rsidR="00781CA4" w:rsidRPr="00D54351">
        <w:t xml:space="preserve"> </w:t>
      </w:r>
      <w:r w:rsidR="00F24BBF" w:rsidRPr="00D54351">
        <w:t>с</w:t>
      </w:r>
      <w:r w:rsidR="00ED4147" w:rsidRPr="00D54351">
        <w:t>тверджувати</w:t>
      </w:r>
      <w:r w:rsidR="00781CA4" w:rsidRPr="00D54351">
        <w:t xml:space="preserve"> про наявні</w:t>
      </w:r>
      <w:r w:rsidR="00F061D6" w:rsidRPr="00D54351">
        <w:t>сть резистентності до інсуліну в</w:t>
      </w:r>
      <w:r w:rsidR="00781CA4" w:rsidRPr="00D54351">
        <w:t xml:space="preserve"> </w:t>
      </w:r>
      <w:r w:rsidR="00ED4147" w:rsidRPr="00D54351">
        <w:t>більшості</w:t>
      </w:r>
      <w:r w:rsidR="007C7AA9" w:rsidRPr="00D54351">
        <w:t xml:space="preserve"> </w:t>
      </w:r>
      <w:r w:rsidR="00781CA4" w:rsidRPr="00D54351">
        <w:t>обстежених</w:t>
      </w:r>
      <w:r w:rsidR="00B732E0" w:rsidRPr="00D54351">
        <w:t>.</w:t>
      </w:r>
      <w:r w:rsidR="00B926EA" w:rsidRPr="00D54351">
        <w:t xml:space="preserve"> </w:t>
      </w:r>
      <w:r w:rsidR="00ED4147" w:rsidRPr="00D54351">
        <w:t>Проаналізовано з</w:t>
      </w:r>
      <w:r w:rsidR="00781CA4" w:rsidRPr="00D54351">
        <w:t>начення показників вуглеводного обміну у хворих на БА</w:t>
      </w:r>
      <w:r w:rsidR="00F24BBF" w:rsidRPr="00D54351">
        <w:t> </w:t>
      </w:r>
      <w:r w:rsidR="00781CA4" w:rsidRPr="00D54351">
        <w:t>+</w:t>
      </w:r>
      <w:r w:rsidR="00F24BBF" w:rsidRPr="00D54351">
        <w:t> </w:t>
      </w:r>
      <w:r w:rsidR="00781CA4" w:rsidRPr="00D54351">
        <w:t>О</w:t>
      </w:r>
      <w:r w:rsidR="00266C5F" w:rsidRPr="00D54351">
        <w:t>ж</w:t>
      </w:r>
      <w:r w:rsidR="00781CA4" w:rsidRPr="00D54351">
        <w:t xml:space="preserve"> та БА</w:t>
      </w:r>
      <w:r w:rsidR="00F24BBF" w:rsidRPr="00D54351">
        <w:t> </w:t>
      </w:r>
      <w:r w:rsidR="00781CA4" w:rsidRPr="00D54351">
        <w:t>+</w:t>
      </w:r>
      <w:r w:rsidR="00F24BBF" w:rsidRPr="00D54351">
        <w:t> </w:t>
      </w:r>
      <w:r w:rsidR="00E01774" w:rsidRPr="00D54351">
        <w:t>ЦД2Т</w:t>
      </w:r>
      <w:r w:rsidR="00D8032A" w:rsidRPr="00D54351">
        <w:t xml:space="preserve"> </w:t>
      </w:r>
      <w:r w:rsidR="00E01774" w:rsidRPr="00D54351">
        <w:t>залежно</w:t>
      </w:r>
      <w:r w:rsidR="00781CA4" w:rsidRPr="00D54351">
        <w:t xml:space="preserve"> від маси тіла</w:t>
      </w:r>
      <w:r w:rsidR="00ED4147" w:rsidRPr="00D54351">
        <w:t xml:space="preserve">. </w:t>
      </w:r>
      <w:r w:rsidR="00781CA4" w:rsidRPr="00D54351">
        <w:t xml:space="preserve">Так, рівень інсуліну у хворих </w:t>
      </w:r>
      <w:r w:rsidR="00E01774" w:rsidRPr="00D54351">
        <w:t>і</w:t>
      </w:r>
      <w:r w:rsidR="00781CA4" w:rsidRPr="00D54351">
        <w:t>з надвагою був нижче, ніж у хворих з ожирінням І</w:t>
      </w:r>
      <w:r w:rsidR="008602FB" w:rsidRPr="00D54351">
        <w:t> </w:t>
      </w:r>
      <w:r w:rsidR="00781CA4" w:rsidRPr="00D54351">
        <w:t>ст</w:t>
      </w:r>
      <w:r w:rsidR="00D72EDA" w:rsidRPr="00D54351">
        <w:t>.</w:t>
      </w:r>
      <w:r w:rsidR="00781CA4" w:rsidRPr="00D54351">
        <w:t xml:space="preserve"> на 33,68</w:t>
      </w:r>
      <w:r w:rsidR="0022453B" w:rsidRPr="00D54351">
        <w:t>%</w:t>
      </w:r>
      <w:r w:rsidR="00781CA4" w:rsidRPr="00D54351">
        <w:t xml:space="preserve"> (р</w:t>
      </w:r>
      <w:r w:rsidR="00F24BBF" w:rsidRPr="00D54351">
        <w:t> </w:t>
      </w:r>
      <w:r w:rsidR="00781CA4" w:rsidRPr="00D54351">
        <w:t>&lt;</w:t>
      </w:r>
      <w:r w:rsidR="00F24BBF" w:rsidRPr="00D54351">
        <w:t> </w:t>
      </w:r>
      <w:r w:rsidR="00781CA4" w:rsidRPr="00D54351">
        <w:t xml:space="preserve">0,001). </w:t>
      </w:r>
      <w:r w:rsidR="00D54351" w:rsidRPr="0068604C">
        <w:t xml:space="preserve">Кореляційний аналіз виявив у хворих </w:t>
      </w:r>
      <w:r w:rsidR="00D54351">
        <w:t xml:space="preserve">на </w:t>
      </w:r>
      <w:r w:rsidR="00D54351" w:rsidRPr="0068604C">
        <w:t xml:space="preserve">БА + ЦД2Т </w:t>
      </w:r>
      <w:r w:rsidR="00D54351" w:rsidRPr="00D54351">
        <w:t>істотні кореляції</w:t>
      </w:r>
      <w:r w:rsidR="00D54351" w:rsidRPr="0068604C">
        <w:t xml:space="preserve"> індексу HOMA-IR з ІМТ (R = 0,30; р &lt; 0,05), ІМТ з ОФВ</w:t>
      </w:r>
      <w:r w:rsidR="00D54351" w:rsidRPr="00950ED1">
        <w:rPr>
          <w:vertAlign w:val="subscript"/>
        </w:rPr>
        <w:t>1</w:t>
      </w:r>
      <w:r w:rsidR="00D54351" w:rsidRPr="0068604C">
        <w:t xml:space="preserve"> (R = 0,55; р &lt; 0,05), ХС ЛПВЩ </w:t>
      </w:r>
      <w:r w:rsidR="00D54351">
        <w:t>з</w:t>
      </w:r>
      <w:r w:rsidR="00D54351" w:rsidRPr="0068604C">
        <w:t xml:space="preserve"> </w:t>
      </w:r>
      <w:r w:rsidR="00D54351" w:rsidRPr="00D54351">
        <w:t>рівнем</w:t>
      </w:r>
      <w:r w:rsidR="00D54351" w:rsidRPr="0068604C">
        <w:t xml:space="preserve"> глікемії</w:t>
      </w:r>
      <w:r w:rsidR="00D54351">
        <w:t xml:space="preserve"> </w:t>
      </w:r>
      <w:r w:rsidR="00D54351" w:rsidRPr="00D54351">
        <w:t>натще</w:t>
      </w:r>
      <w:r w:rsidR="00D54351" w:rsidRPr="0068604C">
        <w:t xml:space="preserve"> (R = 0,39; р &lt; 0,05), HOMA-IR </w:t>
      </w:r>
      <w:r w:rsidR="00D54351">
        <w:t>з</w:t>
      </w:r>
      <w:r w:rsidR="00D54351" w:rsidRPr="0068604C">
        <w:t xml:space="preserve"> рівнем інсуліну (R = 0,75; р &lt; 0,05), ШКФ </w:t>
      </w:r>
      <w:r w:rsidR="00D54351">
        <w:t>з</w:t>
      </w:r>
      <w:r w:rsidR="00D54351" w:rsidRPr="0068604C">
        <w:t xml:space="preserve"> ОФВ</w:t>
      </w:r>
      <w:r w:rsidR="00D54351" w:rsidRPr="00950ED1">
        <w:rPr>
          <w:vertAlign w:val="subscript"/>
        </w:rPr>
        <w:t>1</w:t>
      </w:r>
      <w:r w:rsidR="00D54351" w:rsidRPr="00D54351">
        <w:t xml:space="preserve"> </w:t>
      </w:r>
      <w:r w:rsidR="00D54351" w:rsidRPr="0068604C">
        <w:t xml:space="preserve">(R = 0,41; р &lt; 0,05), ШКФ </w:t>
      </w:r>
      <w:r w:rsidR="00D54351">
        <w:t>з</w:t>
      </w:r>
      <w:r w:rsidR="00D54351" w:rsidRPr="0068604C">
        <w:t xml:space="preserve"> ХС ЛПНЩ (R = - 0,75; р &lt; 0,05). </w:t>
      </w:r>
      <w:r w:rsidR="00D54351" w:rsidRPr="00D54351">
        <w:t>У пацієнтів з БА + Ож індекс HOMA-IR позитивно корелював з ІМТ (R = 0,49; р &lt; 0,05), з ОТ/ОС (R = 0,39; р &lt; 0,05) та вмістом інсуліну (R = 0,79; р &lt; 0,05), а ОФВ</w:t>
      </w:r>
      <w:r w:rsidR="00D54351" w:rsidRPr="00827234">
        <w:rPr>
          <w:vertAlign w:val="subscript"/>
        </w:rPr>
        <w:t>1</w:t>
      </w:r>
      <w:r w:rsidR="00D54351" w:rsidRPr="00D54351">
        <w:t xml:space="preserve"> була прямо пропорційна  ШКФ (R = 0,39; р &lt; 0,05). Тобто, в розвитку інсулінорезистентності та гіперінсулінемії у таких хворих певне значення має абдомінальне ожиріння.</w:t>
      </w:r>
    </w:p>
    <w:p w:rsidR="005A2645" w:rsidRPr="009973B5" w:rsidRDefault="005A2645" w:rsidP="00CD5061">
      <w:pPr>
        <w:pStyle w:val="atextRef"/>
        <w:spacing w:line="288" w:lineRule="auto"/>
      </w:pPr>
      <w:r w:rsidRPr="009973B5">
        <w:lastRenderedPageBreak/>
        <w:t>Вивчення параметрів ліпідного метаболізму показало, що порушення ліпідного обміну були значнішими серед пацієнтів з БА + ЦД2Т ніж у хворих на БА з Ож. Зокрема, у них були вірогідно вищими рівні загального холестерину (р&lt; 0,01), ТГ (р &lt; 0,001), ХС ЛПНЩ (р &lt; 0,005). При зіставленні результатів групи порівняння з'ясовано, що хворі на ізольовану БА також мали порушення ліпідного спектра у вигляді підвищення рівнів ХС ЛПНЩ (р &lt; 0,001</w:t>
      </w:r>
      <w:r w:rsidR="00950ED1">
        <w:t>) порівняно з контролем</w:t>
      </w:r>
      <w:r w:rsidRPr="009973B5">
        <w:t>. Отже, за результатами нашого дослідження в усіх групах була виявлена атерогенна дисліпідемія, здебільшого гіпертригліцеридемія, але за умов поєднання БА з ЦД2Т досліджувані показники виявилися найвищими, що стосувалось як гіпертригліцеридемії, так і ХС ЛПНЩ.</w:t>
      </w:r>
      <w:r w:rsidR="00827234">
        <w:t xml:space="preserve"> </w:t>
      </w:r>
      <w:r w:rsidRPr="009973B5">
        <w:t>При аналізі показників ліпідного обміну у хворих на БА + ЦД2Т залежно від ступеня вираженості синдрому бронхіальної обструкції відзначено істотні відмінності вмісту ЗХС, ТГ та ХС ЛПНЩ між підгрупами з ОФВ</w:t>
      </w:r>
      <w:r w:rsidRPr="00950ED1">
        <w:rPr>
          <w:vertAlign w:val="subscript"/>
        </w:rPr>
        <w:t>1</w:t>
      </w:r>
      <w:r w:rsidR="00827234">
        <w:rPr>
          <w:rFonts w:cs="Times New Roman"/>
        </w:rPr>
        <w:t>&lt;</w:t>
      </w:r>
      <w:r w:rsidRPr="009973B5">
        <w:t>50 % та 50 % ≤ ОФВ</w:t>
      </w:r>
      <w:r w:rsidRPr="001768D5">
        <w:rPr>
          <w:vertAlign w:val="subscript"/>
        </w:rPr>
        <w:t>1</w:t>
      </w:r>
      <w:r w:rsidRPr="009973B5">
        <w:t> ≤ 60 % ( р &lt; 0,05). Зокрема, в осіб з ОФВ</w:t>
      </w:r>
      <w:r w:rsidRPr="00950ED1">
        <w:rPr>
          <w:vertAlign w:val="subscript"/>
        </w:rPr>
        <w:t>1</w:t>
      </w:r>
      <w:r w:rsidRPr="009973B5">
        <w:t> &lt; 50 % показники були найвищими, що може свідчити, що гіпоксія сприяє п</w:t>
      </w:r>
      <w:r w:rsidR="00A06383">
        <w:rPr>
          <w:lang w:val="ru-RU"/>
        </w:rPr>
        <w:t>р</w:t>
      </w:r>
      <w:r w:rsidRPr="009973B5">
        <w:t>огресуванню атерогенних змін у хворих на БА з ЦД2Т. Також у підгрупі з ОФВ</w:t>
      </w:r>
      <w:r w:rsidRPr="00950ED1">
        <w:rPr>
          <w:vertAlign w:val="subscript"/>
        </w:rPr>
        <w:t>1</w:t>
      </w:r>
      <w:r w:rsidRPr="009973B5">
        <w:t> &lt; 50 % ЗХС склав 4,35 [4,10;4,40] ммоль/л, ТГ 0,93 [0,80; 1,02] ммоль/л, ХС ЛПВЩ 1,47 [1,43;1,63] ммоль/л, ХС ЛПНЩ 2,57 [2,28; 2,64] ммоль/л.</w:t>
      </w:r>
    </w:p>
    <w:p w:rsidR="005A2645" w:rsidRPr="009973B5" w:rsidRDefault="005A2645" w:rsidP="00CD5061">
      <w:pPr>
        <w:pStyle w:val="atextRef"/>
        <w:spacing w:line="288" w:lineRule="auto"/>
      </w:pPr>
      <w:r w:rsidRPr="009973B5">
        <w:t>Аналогічна закономірність виявлена у хворих на БА з Ож, в яких за умов ОФВ</w:t>
      </w:r>
      <w:r w:rsidRPr="00BB1337">
        <w:t>1 </w:t>
      </w:r>
      <w:r w:rsidRPr="009973B5">
        <w:t>&lt; 50 % показники ліпідного спектра також були максимальні:  ЗХС склав 4,67 [4,47;4,87] ммоль/л, ТГ 1,25 [1,14;1,45] ммоль/л, ХС ЛПВЩ 1,10 [1,07;1,14] ммоль/л, ХС ЛПНЩ 4,34 [4,05;4,51] ммоль/л, що свідчить про атерогенні зміни.</w:t>
      </w:r>
    </w:p>
    <w:p w:rsidR="005A2645" w:rsidRPr="0068604C" w:rsidRDefault="005A2645" w:rsidP="00CD5061">
      <w:pPr>
        <w:pStyle w:val="atextRef"/>
        <w:spacing w:line="288" w:lineRule="auto"/>
      </w:pPr>
      <w:r w:rsidRPr="009973B5">
        <w:t>За проведеним кореляційним аналізом, рівні глюкози та ХС ЛПНЩ у пацієнтів з БА + ЦД2Т позитивно корелювали (R = 0,51; р &lt; 0,05).</w:t>
      </w:r>
      <w:r w:rsidR="007C0AAD">
        <w:t xml:space="preserve"> </w:t>
      </w:r>
      <w:r w:rsidRPr="009973B5">
        <w:t xml:space="preserve">Важливо, що по мірі зменшення ШКФ наростали порушення ліпідного обміну. Кореляційний аналіз показав, що </w:t>
      </w:r>
      <w:r w:rsidR="00950ED1">
        <w:t>у</w:t>
      </w:r>
      <w:r w:rsidRPr="009973B5">
        <w:t xml:space="preserve"> пацієнтів з БА + ЦД2Т, БА + Ож, БА існувала </w:t>
      </w:r>
      <w:r w:rsidR="00F321EB">
        <w:t>зворотня</w:t>
      </w:r>
      <w:r w:rsidRPr="009973B5">
        <w:t xml:space="preserve"> лінійна залежність між ШКФ і рівнями ЗХС (R</w:t>
      </w:r>
      <w:r w:rsidRPr="00BB1337">
        <w:rPr>
          <w:vertAlign w:val="subscript"/>
        </w:rPr>
        <w:t>1</w:t>
      </w:r>
      <w:r w:rsidRPr="009973B5">
        <w:t xml:space="preserve"> = -0,78</w:t>
      </w:r>
      <w:r w:rsidR="00BB1337" w:rsidRPr="00BB1337">
        <w:t xml:space="preserve"> </w:t>
      </w:r>
      <w:r w:rsidR="00BB1337" w:rsidRPr="009973B5">
        <w:t>р &lt;0,05</w:t>
      </w:r>
      <w:r w:rsidRPr="009973B5">
        <w:t>; R</w:t>
      </w:r>
      <w:r w:rsidRPr="00BB1337">
        <w:rPr>
          <w:vertAlign w:val="subscript"/>
        </w:rPr>
        <w:t>2</w:t>
      </w:r>
      <w:r w:rsidRPr="009973B5">
        <w:t xml:space="preserve"> = -0,43</w:t>
      </w:r>
      <w:r w:rsidR="00BB1337" w:rsidRPr="00BB1337">
        <w:t xml:space="preserve"> </w:t>
      </w:r>
      <w:r w:rsidR="00BB1337" w:rsidRPr="009973B5">
        <w:t>р &lt;0,05</w:t>
      </w:r>
      <w:r w:rsidRPr="009973B5">
        <w:t>; R</w:t>
      </w:r>
      <w:r w:rsidRPr="00BB1337">
        <w:rPr>
          <w:vertAlign w:val="subscript"/>
        </w:rPr>
        <w:t xml:space="preserve">3 </w:t>
      </w:r>
      <w:r w:rsidRPr="009973B5">
        <w:t>= -0,32</w:t>
      </w:r>
      <w:r w:rsidR="00BB1337">
        <w:t>,</w:t>
      </w:r>
      <w:r w:rsidRPr="009973B5">
        <w:t xml:space="preserve"> р &lt; 0,05) і ХС-ЛПНЩ (R</w:t>
      </w:r>
      <w:r w:rsidRPr="00BB1337">
        <w:rPr>
          <w:vertAlign w:val="subscript"/>
        </w:rPr>
        <w:t>1</w:t>
      </w:r>
      <w:r w:rsidRPr="009973B5">
        <w:t xml:space="preserve"> = -0,51</w:t>
      </w:r>
      <w:r w:rsidR="00BB1337" w:rsidRPr="00BB1337">
        <w:t xml:space="preserve"> </w:t>
      </w:r>
      <w:r w:rsidR="00BB1337" w:rsidRPr="009973B5">
        <w:t>р &lt;0,05</w:t>
      </w:r>
      <w:r w:rsidRPr="009973B5">
        <w:t>; R</w:t>
      </w:r>
      <w:r w:rsidRPr="00BB1337">
        <w:rPr>
          <w:vertAlign w:val="subscript"/>
        </w:rPr>
        <w:t>2</w:t>
      </w:r>
      <w:r w:rsidRPr="009973B5">
        <w:t xml:space="preserve"> = -0,48</w:t>
      </w:r>
      <w:r w:rsidR="00BB1337" w:rsidRPr="00BB1337">
        <w:t xml:space="preserve"> </w:t>
      </w:r>
      <w:r w:rsidR="00BB1337" w:rsidRPr="009973B5">
        <w:t>р &lt;0,05</w:t>
      </w:r>
      <w:r w:rsidRPr="009973B5">
        <w:t>; R</w:t>
      </w:r>
      <w:r w:rsidRPr="00BB1337">
        <w:rPr>
          <w:vertAlign w:val="subscript"/>
        </w:rPr>
        <w:t>3</w:t>
      </w:r>
      <w:r w:rsidRPr="009973B5">
        <w:t xml:space="preserve"> = -0,39; р &lt;0,05 відповідно). У пацієнтів з БА + Ож і БА виявлені достовірні прямі зв'язки між рівнем ШКФ і ХС-ЛПВЩ (R</w:t>
      </w:r>
      <w:r w:rsidRPr="00525780">
        <w:rPr>
          <w:vertAlign w:val="subscript"/>
        </w:rPr>
        <w:t>1</w:t>
      </w:r>
      <w:r w:rsidRPr="009973B5">
        <w:t xml:space="preserve"> = 0,32; R</w:t>
      </w:r>
      <w:r w:rsidRPr="00BB1337">
        <w:t>2</w:t>
      </w:r>
      <w:r w:rsidRPr="009973B5">
        <w:t xml:space="preserve"> = 0,35; обидва р &lt;0,05).</w:t>
      </w:r>
      <w:r>
        <w:t xml:space="preserve"> </w:t>
      </w:r>
    </w:p>
    <w:p w:rsidR="00400332" w:rsidRPr="00BB1337" w:rsidRDefault="00400332" w:rsidP="00CD5061">
      <w:pPr>
        <w:pStyle w:val="atextRef"/>
        <w:spacing w:line="288" w:lineRule="auto"/>
      </w:pPr>
      <w:r w:rsidRPr="00C60C6F">
        <w:t>Проведено дослідження ендотеліальної функції, оскільки уразливість клітинного ендотелію визначається їх унікальним положенням між циркуляцією крові та тканинами, а дисфункція ендотелію призводить до порушень судинного тонусу та тромбоутворення. Нами були виявлен</w:t>
      </w:r>
      <w:r w:rsidR="005F127F">
        <w:t>а</w:t>
      </w:r>
      <w:r w:rsidRPr="00C60C6F">
        <w:t xml:space="preserve"> </w:t>
      </w:r>
      <w:r w:rsidR="009D73AF">
        <w:t xml:space="preserve"> </w:t>
      </w:r>
      <w:r w:rsidR="00C033BA">
        <w:t>д</w:t>
      </w:r>
      <w:r w:rsidR="00C033BA" w:rsidRPr="00C033BA">
        <w:t>и</w:t>
      </w:r>
      <w:r w:rsidR="005F127F">
        <w:t>сфункція</w:t>
      </w:r>
      <w:r w:rsidRPr="00C60C6F">
        <w:t xml:space="preserve"> ендотелію, про </w:t>
      </w:r>
      <w:r w:rsidR="009D73AF">
        <w:t xml:space="preserve"> </w:t>
      </w:r>
      <w:r w:rsidRPr="00C60C6F">
        <w:t xml:space="preserve">що свідчили </w:t>
      </w:r>
      <w:r w:rsidR="009D73AF">
        <w:t xml:space="preserve"> </w:t>
      </w:r>
      <w:r w:rsidRPr="00C60C6F">
        <w:t xml:space="preserve">зміни </w:t>
      </w:r>
      <w:r w:rsidR="009D73AF">
        <w:t xml:space="preserve"> </w:t>
      </w:r>
      <w:r w:rsidRPr="00C60C6F">
        <w:t xml:space="preserve">рівнів </w:t>
      </w:r>
      <w:r w:rsidR="009D73AF">
        <w:t xml:space="preserve"> </w:t>
      </w:r>
      <w:r w:rsidRPr="00C60C6F">
        <w:t xml:space="preserve">медіаторів, що </w:t>
      </w:r>
      <w:r w:rsidR="009D73AF">
        <w:t xml:space="preserve"> </w:t>
      </w:r>
      <w:r w:rsidRPr="00C60C6F">
        <w:t>синтезуються в ендотелії</w:t>
      </w:r>
      <w:r w:rsidR="009D73AF">
        <w:t xml:space="preserve"> </w:t>
      </w:r>
      <w:r w:rsidRPr="00C60C6F">
        <w:t xml:space="preserve"> (ендотелін-1, S-нітрозотіоли та фактор Віллебранда). </w:t>
      </w:r>
      <w:r w:rsidRPr="00C60C6F">
        <w:lastRenderedPageBreak/>
        <w:t>Зіставлення рівнів ЕТ-1 показало, що у хворих із коморбідністю рівень ЕТ-1 значуще перевищував аналогічне значення як у хворих на БА + Ож (р &lt; 0,001), так і у хворих на БА + ЦД2Т (р &lt; 0,001). Вміст фактора Віллебранда (ФВ) у групі БА + Ож перевищував контроль у 1,8 раз</w:t>
      </w:r>
      <w:r w:rsidR="001768D5">
        <w:t>а</w:t>
      </w:r>
      <w:r w:rsidRPr="00C60C6F">
        <w:t xml:space="preserve"> (р &lt; 0,001). У хво</w:t>
      </w:r>
      <w:r w:rsidR="00BA5B79">
        <w:t>рих на БА + ЦД2Т рівень ФВ у 2</w:t>
      </w:r>
      <w:r w:rsidRPr="00C60C6F">
        <w:t xml:space="preserve"> рази був вищим за контроль (р &lt; 0,001) та у 1,5 раз</w:t>
      </w:r>
      <w:r w:rsidR="0089008F">
        <w:t>а</w:t>
      </w:r>
      <w:r w:rsidRPr="00C60C6F">
        <w:t xml:space="preserve"> за значення групи БА  (р &lt; 0,01).</w:t>
      </w:r>
      <w:r w:rsidR="00C60C6F" w:rsidRPr="00C60C6F">
        <w:t xml:space="preserve"> </w:t>
      </w:r>
      <w:r w:rsidR="009B0A81">
        <w:t>При дослідженні</w:t>
      </w:r>
      <w:r w:rsidR="00903F47">
        <w:t xml:space="preserve"> вміст</w:t>
      </w:r>
      <w:r w:rsidR="009B0A81">
        <w:t>у</w:t>
      </w:r>
      <w:r w:rsidR="00903F47">
        <w:t xml:space="preserve"> метаболітів</w:t>
      </w:r>
      <w:r w:rsidRPr="00BB1337">
        <w:t xml:space="preserve"> оксиду азоту — S-нітрозотіол</w:t>
      </w:r>
      <w:r w:rsidR="00903F47">
        <w:t>ів</w:t>
      </w:r>
      <w:r w:rsidRPr="00BB1337">
        <w:t xml:space="preserve"> — у всіх хворих із коморбідністю </w:t>
      </w:r>
      <w:r w:rsidR="009D73AF">
        <w:t>отримано</w:t>
      </w:r>
      <w:r w:rsidR="009B0A81">
        <w:t xml:space="preserve"> зниженн</w:t>
      </w:r>
      <w:r w:rsidR="009D73AF">
        <w:t>я</w:t>
      </w:r>
      <w:r w:rsidR="009B0A81">
        <w:t xml:space="preserve"> показник</w:t>
      </w:r>
      <w:r w:rsidR="009D73AF">
        <w:t>ів</w:t>
      </w:r>
      <w:r w:rsidRPr="00BB1337">
        <w:t xml:space="preserve">. Так, при БА + ЦД2Т </w:t>
      </w:r>
      <w:r w:rsidR="00C57079">
        <w:rPr>
          <w:lang w:val="en-US"/>
        </w:rPr>
        <w:t>S</w:t>
      </w:r>
      <w:r w:rsidR="00C57079" w:rsidRPr="00C57079">
        <w:t>-</w:t>
      </w:r>
      <w:r w:rsidR="00C57079">
        <w:rPr>
          <w:lang w:val="en-US"/>
        </w:rPr>
        <w:t>HT</w:t>
      </w:r>
      <w:r w:rsidRPr="00BB1337">
        <w:t xml:space="preserve"> скла</w:t>
      </w:r>
      <w:r w:rsidR="00903F47">
        <w:t>ли</w:t>
      </w:r>
      <w:r w:rsidRPr="00BB1337">
        <w:t xml:space="preserve"> 0,21 [0,19;0,24] мкмоль/л, БА + Ож — 0,45 [0,39;0,59] мкмоль/л, що було вірогідно нижче порівняно з контролем (0,58 [0,54;0,</w:t>
      </w:r>
      <w:r w:rsidR="00903F47">
        <w:t>61] мкмоль/л, обидва р &lt; 0,001),</w:t>
      </w:r>
      <w:r w:rsidRPr="00BB1337">
        <w:t xml:space="preserve"> при БА </w:t>
      </w:r>
      <w:r w:rsidR="00903F47">
        <w:t>показник</w:t>
      </w:r>
      <w:r w:rsidR="009D73AF">
        <w:t>и</w:t>
      </w:r>
      <w:r w:rsidR="00903F47">
        <w:t xml:space="preserve"> </w:t>
      </w:r>
      <w:r w:rsidR="00903F47" w:rsidRPr="00BB1337">
        <w:t>S-</w:t>
      </w:r>
      <w:r w:rsidR="00C57079">
        <w:rPr>
          <w:lang w:val="en-US"/>
        </w:rPr>
        <w:t>HT</w:t>
      </w:r>
      <w:r w:rsidRPr="00BB1337">
        <w:t xml:space="preserve"> </w:t>
      </w:r>
      <w:r w:rsidR="00C837D8">
        <w:t>були вище та склали</w:t>
      </w:r>
      <w:r w:rsidRPr="00BB1337">
        <w:t xml:space="preserve"> 0,74 [0,54;0,81] мкмоль/л, </w:t>
      </w:r>
      <w:r w:rsidR="00C837D8">
        <w:t xml:space="preserve">(р &lt; 0,05). </w:t>
      </w:r>
      <w:r w:rsidRPr="00BB1337">
        <w:t>Вважаємо, що зниження рівня S-</w:t>
      </w:r>
      <w:r w:rsidR="009B0A81">
        <w:t>нітрозотіолів</w:t>
      </w:r>
      <w:r w:rsidRPr="00BB1337">
        <w:t xml:space="preserve"> </w:t>
      </w:r>
      <w:r w:rsidR="005F127F">
        <w:t>і підвищення ЕТ-1 за умов комор</w:t>
      </w:r>
      <w:r w:rsidRPr="00BB1337">
        <w:t xml:space="preserve">бідності вказує на дисбаланс показників, які впливають на тонус судин. Внаслідок впливу гіпоксії та підвищеного вмісту біологічно активних речовин створюються сприятливі умови для розвитку та прогресування ендотеліальної дисфункції. Встановлено, що ендотеліальна дисфункції погіршувались по мірі збільшення бронхіальної обструкції. Так, значення ЕТ-1 </w:t>
      </w:r>
      <w:r w:rsidRPr="0070568A">
        <w:t>за умов</w:t>
      </w:r>
      <w:r w:rsidRPr="00BB1337">
        <w:t xml:space="preserve"> ОФВ</w:t>
      </w:r>
      <w:r w:rsidRPr="009B0A81">
        <w:rPr>
          <w:vertAlign w:val="subscript"/>
        </w:rPr>
        <w:t>1</w:t>
      </w:r>
      <w:r w:rsidRPr="00BB1337">
        <w:t xml:space="preserve"> &lt; 50 % склало у хворих на БА + ЦД2Т 10,32 [9,40;11,00] фмоль/л, на БА + Ож - 6,93 [6,23;7,09] фмоль/л, (істотно порівняно з БА, обидва р &lt; 0,05). </w:t>
      </w:r>
    </w:p>
    <w:p w:rsidR="00BA5B79" w:rsidRDefault="00400332" w:rsidP="00BA5B79">
      <w:pPr>
        <w:pStyle w:val="atextRef"/>
        <w:spacing w:line="288" w:lineRule="auto"/>
      </w:pPr>
      <w:r w:rsidRPr="00BB1337">
        <w:t xml:space="preserve">Дослідження рівня ФВ </w:t>
      </w:r>
      <w:r w:rsidRPr="0070568A">
        <w:t>залежно</w:t>
      </w:r>
      <w:r w:rsidRPr="00BB1337">
        <w:t xml:space="preserve"> від ступеня зниження ОФВ</w:t>
      </w:r>
      <w:r w:rsidRPr="00D95FFA">
        <w:rPr>
          <w:vertAlign w:val="subscript"/>
        </w:rPr>
        <w:t>1</w:t>
      </w:r>
      <w:r w:rsidRPr="00BB1337">
        <w:t xml:space="preserve"> показало аналогічні тенденції до вмісту ЕТ-1. Найгірший показник ФВ був притаманний підгрупі з ОФВ</w:t>
      </w:r>
      <w:r w:rsidRPr="00D95FFA">
        <w:rPr>
          <w:vertAlign w:val="subscript"/>
        </w:rPr>
        <w:t>1</w:t>
      </w:r>
      <w:r w:rsidRPr="00BB1337">
        <w:t> &lt; 50 %, як у хворих на БА + ЦД2Т і БА + Ож, і був у 1,6 і 1,3 р</w:t>
      </w:r>
      <w:r w:rsidR="001768D5">
        <w:t>а</w:t>
      </w:r>
      <w:r w:rsidRPr="00BB1337">
        <w:t>з</w:t>
      </w:r>
      <w:r w:rsidR="001768D5">
        <w:t>а</w:t>
      </w:r>
      <w:r w:rsidRPr="00BB1337">
        <w:t xml:space="preserve"> більшим ніж у контролі (обидва р &lt; 0,001). Прогресування синдрому бронхіальної обструкції також характериз</w:t>
      </w:r>
      <w:r w:rsidR="009B0A81">
        <w:t>увалося зниженням S-нітрозотіолів</w:t>
      </w:r>
      <w:r w:rsidRPr="00BB1337">
        <w:t xml:space="preserve"> у хворих на БА + ЦД2Т і БА + Ож за умов ОФВ</w:t>
      </w:r>
      <w:r w:rsidRPr="00FA51B3">
        <w:rPr>
          <w:vertAlign w:val="subscript"/>
        </w:rPr>
        <w:t>1</w:t>
      </w:r>
      <w:r w:rsidRPr="00BB1337">
        <w:t> &lt; 50 %, що було у 1,8 і 1,7 раз</w:t>
      </w:r>
      <w:r w:rsidR="001768D5">
        <w:t>а</w:t>
      </w:r>
      <w:r w:rsidRPr="00BB1337">
        <w:t xml:space="preserve"> менше порівняно з групою контролю (р &lt;0,05). Важливо, що серед хворих у підгрупі порівняння (БА) не було виявлено осіб із ОФВ</w:t>
      </w:r>
      <w:r w:rsidRPr="00B67415">
        <w:rPr>
          <w:vertAlign w:val="subscript"/>
        </w:rPr>
        <w:t>1</w:t>
      </w:r>
      <w:r w:rsidRPr="00BB1337">
        <w:t> &lt; 50 %, що свідчить на користь відсутності участі S-нітрозотіолів у значних пошкодженнях ендотелію, які призводять до прогресування бронхіальної обструк</w:t>
      </w:r>
      <w:r w:rsidR="00BA5B79">
        <w:t xml:space="preserve">ції у хворих без коморбідності. </w:t>
      </w:r>
    </w:p>
    <w:p w:rsidR="00B60C3C" w:rsidRPr="00C60C6F" w:rsidRDefault="00400332" w:rsidP="00BA5B79">
      <w:pPr>
        <w:pStyle w:val="atextRef"/>
        <w:spacing w:line="288" w:lineRule="auto"/>
      </w:pPr>
      <w:r w:rsidRPr="0070568A">
        <w:rPr>
          <w:lang w:eastAsia="ru-RU"/>
        </w:rPr>
        <w:t>Проведено аналіз показників ендотеліальної функції залежно від швидкості клубочкової фільтрації. Отримані дані свідчать про те, що пок</w:t>
      </w:r>
      <w:r w:rsidR="007A33D7">
        <w:rPr>
          <w:lang w:eastAsia="ru-RU"/>
        </w:rPr>
        <w:t>азники ЕТ-1, ФВ і S-нітрозотіолів</w:t>
      </w:r>
      <w:r w:rsidRPr="0070568A">
        <w:rPr>
          <w:lang w:eastAsia="ru-RU"/>
        </w:rPr>
        <w:t xml:space="preserve"> асоціюються з</w:t>
      </w:r>
      <w:r w:rsidR="007A33D7">
        <w:rPr>
          <w:lang w:eastAsia="ru-RU"/>
        </w:rPr>
        <w:t>і</w:t>
      </w:r>
      <w:r w:rsidRPr="0070568A">
        <w:rPr>
          <w:lang w:eastAsia="ru-RU"/>
        </w:rPr>
        <w:t xml:space="preserve"> ШКФ. Проведено зіставлення рівнів досліджуваних показників ендотеліальної дисфункції у групах БА, БА + ЦД2Т, та БА + Ож з різним рівнем ШКФ. Необхідно зазначити, що у хворих на ізольовану БА рівень ЕТ-1 у підгрупі 60 ≤ ШКФ &lt; 90 мл/хв/1,73м</w:t>
      </w:r>
      <w:r w:rsidRPr="00715161">
        <w:rPr>
          <w:vertAlign w:val="superscript"/>
          <w:lang w:eastAsia="ru-RU"/>
        </w:rPr>
        <w:t>2</w:t>
      </w:r>
      <w:r w:rsidRPr="00C60C6F">
        <w:rPr>
          <w:lang w:eastAsia="ru-RU"/>
        </w:rPr>
        <w:t xml:space="preserve"> </w:t>
      </w:r>
      <w:r w:rsidRPr="0070568A">
        <w:rPr>
          <w:lang w:eastAsia="ru-RU"/>
        </w:rPr>
        <w:t xml:space="preserve">не відрізнявся від контрольної підгрупи і підгрупи з ШКФ &lt; 60 </w:t>
      </w:r>
      <w:r w:rsidRPr="0070568A">
        <w:rPr>
          <w:lang w:eastAsia="ru-RU"/>
        </w:rPr>
        <w:lastRenderedPageBreak/>
        <w:t>мл/хв/1,73м</w:t>
      </w:r>
      <w:r w:rsidRPr="00715161">
        <w:rPr>
          <w:vertAlign w:val="superscript"/>
          <w:lang w:eastAsia="ru-RU"/>
        </w:rPr>
        <w:t>2</w:t>
      </w:r>
      <w:r w:rsidR="00DA4298">
        <w:rPr>
          <w:lang w:eastAsia="ru-RU"/>
        </w:rPr>
        <w:t>(р&gt;0,05)</w:t>
      </w:r>
      <w:r w:rsidRPr="0070568A">
        <w:rPr>
          <w:lang w:eastAsia="ru-RU"/>
        </w:rPr>
        <w:t>. У підгрупі БА + ЦД2Т найвищий показник ЕТ-1 був у підгрупі з ШКФ &lt; 60 мл/хв/1,73м</w:t>
      </w:r>
      <w:r w:rsidRPr="00F03794">
        <w:rPr>
          <w:vertAlign w:val="superscript"/>
          <w:lang w:eastAsia="ru-RU"/>
        </w:rPr>
        <w:t>2</w:t>
      </w:r>
      <w:r w:rsidRPr="0070568A">
        <w:rPr>
          <w:lang w:eastAsia="ru-RU"/>
        </w:rPr>
        <w:t xml:space="preserve"> і складав 9,69 [8,83;10,12] </w:t>
      </w:r>
      <w:r w:rsidR="009D295D">
        <w:rPr>
          <w:lang w:eastAsia="ru-RU"/>
        </w:rPr>
        <w:t>ф</w:t>
      </w:r>
      <w:r w:rsidRPr="0070568A">
        <w:rPr>
          <w:lang w:eastAsia="ru-RU"/>
        </w:rPr>
        <w:t>моль/мл (р &lt; 0,001</w:t>
      </w:r>
      <w:r w:rsidR="007A33D7">
        <w:rPr>
          <w:lang w:eastAsia="ru-RU"/>
        </w:rPr>
        <w:t>) порівняно з контролем</w:t>
      </w:r>
      <w:r w:rsidRPr="0070568A">
        <w:rPr>
          <w:lang w:eastAsia="ru-RU"/>
        </w:rPr>
        <w:t>. Між підгрупами з ШКФ&lt;60 мл/хв/1,73м</w:t>
      </w:r>
      <w:r w:rsidRPr="009D295D">
        <w:rPr>
          <w:vertAlign w:val="superscript"/>
          <w:lang w:eastAsia="ru-RU"/>
        </w:rPr>
        <w:t>2</w:t>
      </w:r>
      <w:r w:rsidRPr="00C60C6F">
        <w:rPr>
          <w:lang w:eastAsia="ru-RU"/>
        </w:rPr>
        <w:t xml:space="preserve"> </w:t>
      </w:r>
      <w:r w:rsidRPr="0070568A">
        <w:rPr>
          <w:lang w:eastAsia="ru-RU"/>
        </w:rPr>
        <w:t>і 60 ≤ ШКФ &lt; 90 мл/хв/1,73м</w:t>
      </w:r>
      <w:r w:rsidRPr="009D295D">
        <w:rPr>
          <w:vertAlign w:val="superscript"/>
          <w:lang w:eastAsia="ru-RU"/>
        </w:rPr>
        <w:t>2</w:t>
      </w:r>
      <w:r w:rsidRPr="0070568A">
        <w:rPr>
          <w:lang w:eastAsia="ru-RU"/>
        </w:rPr>
        <w:t xml:space="preserve"> було діагностовано </w:t>
      </w:r>
      <w:r w:rsidR="00DA4298">
        <w:rPr>
          <w:lang w:eastAsia="ru-RU"/>
        </w:rPr>
        <w:t>значущі відмінності (р&lt;0,05)</w:t>
      </w:r>
      <w:r w:rsidRPr="0070568A">
        <w:rPr>
          <w:lang w:eastAsia="ru-RU"/>
        </w:rPr>
        <w:t>.</w:t>
      </w:r>
      <w:r w:rsidR="009D295D">
        <w:rPr>
          <w:lang w:eastAsia="ru-RU"/>
        </w:rPr>
        <w:t xml:space="preserve"> </w:t>
      </w:r>
      <w:r w:rsidR="00453576" w:rsidRPr="00C60C6F">
        <w:rPr>
          <w:lang w:eastAsia="ru-RU"/>
        </w:rPr>
        <w:t>Отже, проведеним дослідженням виявлено</w:t>
      </w:r>
      <w:r w:rsidR="005C6841" w:rsidRPr="00C60C6F">
        <w:rPr>
          <w:lang w:eastAsia="ru-RU"/>
        </w:rPr>
        <w:t>, що зниження ШКФ і ОФВ</w:t>
      </w:r>
      <w:r w:rsidR="005C6841" w:rsidRPr="00F369F3">
        <w:rPr>
          <w:vertAlign w:val="subscript"/>
          <w:lang w:eastAsia="ru-RU"/>
        </w:rPr>
        <w:t>1</w:t>
      </w:r>
      <w:r w:rsidR="00895083" w:rsidRPr="00C60C6F">
        <w:rPr>
          <w:lang w:eastAsia="ru-RU"/>
        </w:rPr>
        <w:t xml:space="preserve"> </w:t>
      </w:r>
      <w:r w:rsidR="009E7473" w:rsidRPr="00C60C6F">
        <w:rPr>
          <w:lang w:eastAsia="ru-RU"/>
        </w:rPr>
        <w:t>супроводжувал</w:t>
      </w:r>
      <w:r w:rsidR="00453576" w:rsidRPr="00C60C6F">
        <w:rPr>
          <w:lang w:eastAsia="ru-RU"/>
        </w:rPr>
        <w:t>и</w:t>
      </w:r>
      <w:r w:rsidR="009E7473" w:rsidRPr="00C60C6F">
        <w:rPr>
          <w:lang w:eastAsia="ru-RU"/>
        </w:rPr>
        <w:t>с</w:t>
      </w:r>
      <w:r w:rsidR="007753B5" w:rsidRPr="00C60C6F">
        <w:rPr>
          <w:lang w:eastAsia="ru-RU"/>
        </w:rPr>
        <w:t>я</w:t>
      </w:r>
      <w:r w:rsidR="005C6841" w:rsidRPr="00C60C6F">
        <w:rPr>
          <w:lang w:eastAsia="ru-RU"/>
        </w:rPr>
        <w:t xml:space="preserve"> збільшен</w:t>
      </w:r>
      <w:r w:rsidR="00895083" w:rsidRPr="00C60C6F">
        <w:rPr>
          <w:lang w:eastAsia="ru-RU"/>
        </w:rPr>
        <w:t>н</w:t>
      </w:r>
      <w:r w:rsidR="009E7473" w:rsidRPr="00C60C6F">
        <w:rPr>
          <w:lang w:eastAsia="ru-RU"/>
        </w:rPr>
        <w:t>ям</w:t>
      </w:r>
      <w:r w:rsidR="005C6841" w:rsidRPr="00C60C6F">
        <w:rPr>
          <w:lang w:eastAsia="ru-RU"/>
        </w:rPr>
        <w:t xml:space="preserve"> ЕТ-1 і ФВ</w:t>
      </w:r>
      <w:r w:rsidR="00453576" w:rsidRPr="00C60C6F">
        <w:rPr>
          <w:lang w:eastAsia="ru-RU"/>
        </w:rPr>
        <w:t>, що може показувати залежність ШКФ від стану ендотелію не тільки у пацієнтів із коморбідними станами (ЦД2Т і Ож), але при ізольованій БА.</w:t>
      </w:r>
      <w:r w:rsidR="005C6841" w:rsidRPr="00C60C6F">
        <w:rPr>
          <w:lang w:eastAsia="ru-RU"/>
        </w:rPr>
        <w:t xml:space="preserve"> Проведено оцінку кореляційних зв</w:t>
      </w:r>
      <w:r w:rsidR="00AF5C51" w:rsidRPr="00C60C6F">
        <w:rPr>
          <w:lang w:eastAsia="ru-RU"/>
        </w:rPr>
        <w:t>’</w:t>
      </w:r>
      <w:r w:rsidR="005C6841" w:rsidRPr="00C60C6F">
        <w:rPr>
          <w:lang w:eastAsia="ru-RU"/>
        </w:rPr>
        <w:t>язків</w:t>
      </w:r>
      <w:r w:rsidR="008877F3" w:rsidRPr="00C60C6F">
        <w:rPr>
          <w:lang w:eastAsia="ru-RU"/>
        </w:rPr>
        <w:t xml:space="preserve"> </w:t>
      </w:r>
      <w:r w:rsidR="00604D67" w:rsidRPr="00C60C6F">
        <w:rPr>
          <w:lang w:eastAsia="ru-RU"/>
        </w:rPr>
        <w:t>і</w:t>
      </w:r>
      <w:r w:rsidR="005C6841" w:rsidRPr="00C60C6F">
        <w:rPr>
          <w:lang w:eastAsia="ru-RU"/>
        </w:rPr>
        <w:t>з показниками ЕТ-1, ФВ, S-нітрозотіолів з ШКФ: у</w:t>
      </w:r>
      <w:r w:rsidR="005822B0" w:rsidRPr="00C60C6F">
        <w:rPr>
          <w:lang w:eastAsia="ru-RU"/>
        </w:rPr>
        <w:t> </w:t>
      </w:r>
      <w:r w:rsidR="005C6841" w:rsidRPr="00C60C6F">
        <w:rPr>
          <w:lang w:eastAsia="ru-RU"/>
        </w:rPr>
        <w:t xml:space="preserve">хворих на БА він склав </w:t>
      </w:r>
      <w:r w:rsidR="003B1AE1" w:rsidRPr="00C60C6F">
        <w:rPr>
          <w:lang w:eastAsia="ru-RU"/>
        </w:rPr>
        <w:t>(</w:t>
      </w:r>
      <w:r w:rsidR="005C6841" w:rsidRPr="00C60C6F">
        <w:rPr>
          <w:lang w:eastAsia="ru-RU"/>
        </w:rPr>
        <w:t>R</w:t>
      </w:r>
      <w:r w:rsidR="00907F62" w:rsidRPr="00C60C6F">
        <w:rPr>
          <w:lang w:eastAsia="ru-RU"/>
        </w:rPr>
        <w:t> = </w:t>
      </w:r>
      <w:r w:rsidR="00AD469E" w:rsidRPr="00C60C6F">
        <w:rPr>
          <w:lang w:eastAsia="ru-RU"/>
        </w:rPr>
        <w:t>-</w:t>
      </w:r>
      <w:r w:rsidR="005C6841" w:rsidRPr="00C60C6F">
        <w:rPr>
          <w:lang w:eastAsia="ru-RU"/>
        </w:rPr>
        <w:t>0,</w:t>
      </w:r>
      <w:r w:rsidR="00AD469E" w:rsidRPr="00C60C6F">
        <w:rPr>
          <w:lang w:eastAsia="ru-RU"/>
        </w:rPr>
        <w:t>35</w:t>
      </w:r>
      <w:r w:rsidR="005C6841" w:rsidRPr="00C60C6F">
        <w:rPr>
          <w:lang w:eastAsia="ru-RU"/>
        </w:rPr>
        <w:t>, р</w:t>
      </w:r>
      <w:r w:rsidR="00907F62" w:rsidRPr="00C60C6F">
        <w:rPr>
          <w:lang w:eastAsia="ru-RU"/>
        </w:rPr>
        <w:t> </w:t>
      </w:r>
      <w:r w:rsidR="005C6841" w:rsidRPr="00C60C6F">
        <w:rPr>
          <w:lang w:eastAsia="ru-RU"/>
        </w:rPr>
        <w:t>&lt;</w:t>
      </w:r>
      <w:r w:rsidR="00907F62" w:rsidRPr="00C60C6F">
        <w:rPr>
          <w:lang w:eastAsia="ru-RU"/>
        </w:rPr>
        <w:t> </w:t>
      </w:r>
      <w:r w:rsidR="005C6841" w:rsidRPr="00C60C6F">
        <w:rPr>
          <w:lang w:eastAsia="ru-RU"/>
        </w:rPr>
        <w:t>0,05</w:t>
      </w:r>
      <w:r w:rsidR="005822B0" w:rsidRPr="00C60C6F">
        <w:rPr>
          <w:lang w:eastAsia="ru-RU"/>
        </w:rPr>
        <w:t xml:space="preserve">; </w:t>
      </w:r>
      <w:r w:rsidR="005C6841" w:rsidRPr="00C60C6F">
        <w:rPr>
          <w:lang w:eastAsia="ru-RU"/>
        </w:rPr>
        <w:t>R</w:t>
      </w:r>
      <w:r w:rsidR="00907F62" w:rsidRPr="00C60C6F">
        <w:rPr>
          <w:lang w:eastAsia="ru-RU"/>
        </w:rPr>
        <w:t> = </w:t>
      </w:r>
      <w:r w:rsidR="00AD469E" w:rsidRPr="00C60C6F">
        <w:rPr>
          <w:lang w:eastAsia="ru-RU"/>
        </w:rPr>
        <w:t>-</w:t>
      </w:r>
      <w:r w:rsidR="005C6841" w:rsidRPr="00C60C6F">
        <w:rPr>
          <w:lang w:eastAsia="ru-RU"/>
        </w:rPr>
        <w:t>0,3</w:t>
      </w:r>
      <w:r w:rsidR="00AD469E" w:rsidRPr="00C60C6F">
        <w:rPr>
          <w:lang w:eastAsia="ru-RU"/>
        </w:rPr>
        <w:t>2</w:t>
      </w:r>
      <w:r w:rsidR="005C6841" w:rsidRPr="00C60C6F">
        <w:rPr>
          <w:lang w:eastAsia="ru-RU"/>
        </w:rPr>
        <w:t>, р</w:t>
      </w:r>
      <w:r w:rsidR="00907F62" w:rsidRPr="00C60C6F">
        <w:rPr>
          <w:lang w:eastAsia="ru-RU"/>
        </w:rPr>
        <w:t> </w:t>
      </w:r>
      <w:r w:rsidR="005C6841" w:rsidRPr="00C60C6F">
        <w:rPr>
          <w:lang w:eastAsia="ru-RU"/>
        </w:rPr>
        <w:t>&lt;</w:t>
      </w:r>
      <w:r w:rsidR="00907F62" w:rsidRPr="00C60C6F">
        <w:rPr>
          <w:lang w:eastAsia="ru-RU"/>
        </w:rPr>
        <w:t> </w:t>
      </w:r>
      <w:r w:rsidR="005C6841" w:rsidRPr="00C60C6F">
        <w:rPr>
          <w:lang w:eastAsia="ru-RU"/>
        </w:rPr>
        <w:t>0,05</w:t>
      </w:r>
      <w:r w:rsidR="005822B0" w:rsidRPr="00C60C6F">
        <w:rPr>
          <w:lang w:eastAsia="ru-RU"/>
        </w:rPr>
        <w:t xml:space="preserve">; </w:t>
      </w:r>
      <w:r w:rsidR="005C6841" w:rsidRPr="00C60C6F">
        <w:rPr>
          <w:lang w:eastAsia="ru-RU"/>
        </w:rPr>
        <w:t>R</w:t>
      </w:r>
      <w:r w:rsidR="00907F62" w:rsidRPr="00C60C6F">
        <w:rPr>
          <w:lang w:eastAsia="ru-RU"/>
        </w:rPr>
        <w:t> = </w:t>
      </w:r>
      <w:r w:rsidR="005C6841" w:rsidRPr="00C60C6F">
        <w:rPr>
          <w:lang w:eastAsia="ru-RU"/>
        </w:rPr>
        <w:t>0,</w:t>
      </w:r>
      <w:r w:rsidR="00AD469E" w:rsidRPr="00C60C6F">
        <w:rPr>
          <w:lang w:eastAsia="ru-RU"/>
        </w:rPr>
        <w:t>37</w:t>
      </w:r>
      <w:r w:rsidR="005C6841" w:rsidRPr="00C60C6F">
        <w:rPr>
          <w:lang w:eastAsia="ru-RU"/>
        </w:rPr>
        <w:t>, р</w:t>
      </w:r>
      <w:r w:rsidR="00907F62" w:rsidRPr="00C60C6F">
        <w:rPr>
          <w:lang w:eastAsia="ru-RU"/>
        </w:rPr>
        <w:t> </w:t>
      </w:r>
      <w:r w:rsidR="005C6841" w:rsidRPr="00C60C6F">
        <w:rPr>
          <w:lang w:eastAsia="ru-RU"/>
        </w:rPr>
        <w:t>&lt;</w:t>
      </w:r>
      <w:r w:rsidR="00907F62" w:rsidRPr="00C60C6F">
        <w:rPr>
          <w:lang w:eastAsia="ru-RU"/>
        </w:rPr>
        <w:t> </w:t>
      </w:r>
      <w:r w:rsidR="005C6841" w:rsidRPr="00C60C6F">
        <w:rPr>
          <w:lang w:eastAsia="ru-RU"/>
        </w:rPr>
        <w:t>0,05</w:t>
      </w:r>
      <w:r w:rsidR="00907F62" w:rsidRPr="00C60C6F">
        <w:rPr>
          <w:lang w:eastAsia="ru-RU"/>
        </w:rPr>
        <w:t>,</w:t>
      </w:r>
      <w:r w:rsidR="005C6841" w:rsidRPr="00C60C6F">
        <w:rPr>
          <w:lang w:eastAsia="ru-RU"/>
        </w:rPr>
        <w:t xml:space="preserve"> відповідно</w:t>
      </w:r>
      <w:r w:rsidR="003B1AE1" w:rsidRPr="00C60C6F">
        <w:rPr>
          <w:lang w:eastAsia="ru-RU"/>
        </w:rPr>
        <w:t>)</w:t>
      </w:r>
      <w:r w:rsidR="005C6841" w:rsidRPr="00C60C6F">
        <w:rPr>
          <w:lang w:eastAsia="ru-RU"/>
        </w:rPr>
        <w:t xml:space="preserve">. </w:t>
      </w:r>
      <w:r w:rsidR="00B60C3C" w:rsidRPr="00C60C6F">
        <w:rPr>
          <w:lang w:eastAsia="ru-RU"/>
        </w:rPr>
        <w:t>У</w:t>
      </w:r>
      <w:r w:rsidR="008602FB" w:rsidRPr="00C60C6F">
        <w:rPr>
          <w:lang w:eastAsia="ru-RU"/>
        </w:rPr>
        <w:t> </w:t>
      </w:r>
      <w:r w:rsidR="00B60C3C" w:rsidRPr="00C60C6F">
        <w:rPr>
          <w:lang w:eastAsia="ru-RU"/>
        </w:rPr>
        <w:t xml:space="preserve">хворих </w:t>
      </w:r>
      <w:r w:rsidR="00E6500F" w:rsidRPr="00C60C6F">
        <w:rPr>
          <w:lang w:eastAsia="ru-RU"/>
        </w:rPr>
        <w:t>у підгрупі</w:t>
      </w:r>
      <w:r w:rsidR="008877F3" w:rsidRPr="00C60C6F">
        <w:rPr>
          <w:lang w:eastAsia="ru-RU"/>
        </w:rPr>
        <w:t xml:space="preserve"> ОФВ</w:t>
      </w:r>
      <w:r w:rsidR="008877F3" w:rsidRPr="00DC0EC4">
        <w:rPr>
          <w:vertAlign w:val="subscript"/>
          <w:lang w:eastAsia="ru-RU"/>
        </w:rPr>
        <w:t>1</w:t>
      </w:r>
      <w:r w:rsidR="00907F62" w:rsidRPr="00C60C6F">
        <w:rPr>
          <w:lang w:eastAsia="ru-RU"/>
        </w:rPr>
        <w:t> </w:t>
      </w:r>
      <w:r w:rsidR="008877F3" w:rsidRPr="00C60C6F">
        <w:rPr>
          <w:lang w:eastAsia="ru-RU"/>
        </w:rPr>
        <w:t>&gt;</w:t>
      </w:r>
      <w:r w:rsidR="00907F62" w:rsidRPr="00C60C6F">
        <w:rPr>
          <w:lang w:eastAsia="ru-RU"/>
        </w:rPr>
        <w:t> </w:t>
      </w:r>
      <w:r w:rsidR="008877F3" w:rsidRPr="00C60C6F">
        <w:rPr>
          <w:lang w:eastAsia="ru-RU"/>
        </w:rPr>
        <w:t>60</w:t>
      </w:r>
      <w:r w:rsidR="0022453B" w:rsidRPr="00C60C6F">
        <w:rPr>
          <w:lang w:eastAsia="ru-RU"/>
        </w:rPr>
        <w:t>%</w:t>
      </w:r>
      <w:r w:rsidR="00B60C3C" w:rsidRPr="00C60C6F">
        <w:rPr>
          <w:lang w:eastAsia="ru-RU"/>
        </w:rPr>
        <w:t xml:space="preserve"> і</w:t>
      </w:r>
      <w:r w:rsidR="006B367B" w:rsidRPr="00C60C6F">
        <w:rPr>
          <w:lang w:eastAsia="ru-RU"/>
        </w:rPr>
        <w:t xml:space="preserve"> </w:t>
      </w:r>
      <w:r w:rsidR="00D65B50" w:rsidRPr="00C60C6F">
        <w:rPr>
          <w:lang w:eastAsia="ru-RU"/>
        </w:rPr>
        <w:t>під</w:t>
      </w:r>
      <w:r w:rsidR="006B367B" w:rsidRPr="00C60C6F">
        <w:rPr>
          <w:lang w:eastAsia="ru-RU"/>
        </w:rPr>
        <w:t>груп</w:t>
      </w:r>
      <w:r w:rsidR="00B60C3C" w:rsidRPr="00C60C6F">
        <w:rPr>
          <w:lang w:eastAsia="ru-RU"/>
        </w:rPr>
        <w:t>і</w:t>
      </w:r>
      <w:r w:rsidR="006B367B" w:rsidRPr="00C60C6F">
        <w:rPr>
          <w:lang w:eastAsia="ru-RU"/>
        </w:rPr>
        <w:t xml:space="preserve"> 50</w:t>
      </w:r>
      <w:r w:rsidR="0022453B" w:rsidRPr="00C60C6F">
        <w:rPr>
          <w:lang w:eastAsia="ru-RU"/>
        </w:rPr>
        <w:t>%</w:t>
      </w:r>
      <w:r w:rsidR="006B367B" w:rsidRPr="00C60C6F">
        <w:rPr>
          <w:lang w:eastAsia="ru-RU"/>
        </w:rPr>
        <w:t> ≤ ОФВ</w:t>
      </w:r>
      <w:r w:rsidR="006B367B" w:rsidRPr="00DC0EC4">
        <w:rPr>
          <w:vertAlign w:val="subscript"/>
          <w:lang w:eastAsia="ru-RU"/>
        </w:rPr>
        <w:t>1</w:t>
      </w:r>
      <w:r w:rsidR="00E6500F" w:rsidRPr="00C60C6F">
        <w:rPr>
          <w:lang w:eastAsia="ru-RU"/>
        </w:rPr>
        <w:t xml:space="preserve"> </w:t>
      </w:r>
      <w:r w:rsidR="00B60C3C" w:rsidRPr="00C60C6F">
        <w:rPr>
          <w:lang w:eastAsia="ru-RU"/>
        </w:rPr>
        <w:t>виявлені кореляційні</w:t>
      </w:r>
      <w:r w:rsidR="0022453B" w:rsidRPr="00C60C6F">
        <w:rPr>
          <w:lang w:eastAsia="ru-RU"/>
        </w:rPr>
        <w:t xml:space="preserve"> </w:t>
      </w:r>
      <w:r w:rsidR="00B60C3C" w:rsidRPr="00C60C6F">
        <w:rPr>
          <w:lang w:eastAsia="ru-RU"/>
        </w:rPr>
        <w:t>зв</w:t>
      </w:r>
      <w:r w:rsidR="00AF5C51" w:rsidRPr="00C60C6F">
        <w:rPr>
          <w:lang w:eastAsia="ru-RU"/>
        </w:rPr>
        <w:t>’</w:t>
      </w:r>
      <w:r w:rsidR="00B60C3C" w:rsidRPr="00C60C6F">
        <w:rPr>
          <w:lang w:eastAsia="ru-RU"/>
        </w:rPr>
        <w:t>язки</w:t>
      </w:r>
      <w:r w:rsidR="0022453B" w:rsidRPr="00C60C6F">
        <w:rPr>
          <w:lang w:eastAsia="ru-RU"/>
        </w:rPr>
        <w:t xml:space="preserve"> </w:t>
      </w:r>
      <w:r w:rsidR="008877F3" w:rsidRPr="00C60C6F">
        <w:rPr>
          <w:lang w:eastAsia="ru-RU"/>
        </w:rPr>
        <w:t>між ОФВ</w:t>
      </w:r>
      <w:r w:rsidR="008877F3" w:rsidRPr="00DC0EC4">
        <w:rPr>
          <w:vertAlign w:val="subscript"/>
          <w:lang w:eastAsia="ru-RU"/>
        </w:rPr>
        <w:t>1</w:t>
      </w:r>
      <w:r w:rsidR="00907F62" w:rsidRPr="00C60C6F">
        <w:rPr>
          <w:lang w:eastAsia="ru-RU"/>
        </w:rPr>
        <w:t> </w:t>
      </w:r>
      <w:r w:rsidR="008877F3" w:rsidRPr="00C60C6F">
        <w:rPr>
          <w:lang w:eastAsia="ru-RU"/>
        </w:rPr>
        <w:t>&lt;</w:t>
      </w:r>
      <w:r w:rsidR="00907F62" w:rsidRPr="00C60C6F">
        <w:rPr>
          <w:lang w:eastAsia="ru-RU"/>
        </w:rPr>
        <w:t> </w:t>
      </w:r>
      <w:r w:rsidR="008877F3" w:rsidRPr="00C60C6F">
        <w:rPr>
          <w:lang w:eastAsia="ru-RU"/>
        </w:rPr>
        <w:t>50</w:t>
      </w:r>
      <w:r w:rsidR="0022453B" w:rsidRPr="00C60C6F">
        <w:rPr>
          <w:lang w:eastAsia="ru-RU"/>
        </w:rPr>
        <w:t>%</w:t>
      </w:r>
      <w:r w:rsidR="005977E0" w:rsidRPr="00C60C6F">
        <w:rPr>
          <w:lang w:eastAsia="ru-RU"/>
        </w:rPr>
        <w:t xml:space="preserve"> та ЕТ-1 (</w:t>
      </w:r>
      <w:r w:rsidR="008877F3" w:rsidRPr="00C60C6F">
        <w:rPr>
          <w:lang w:eastAsia="ru-RU"/>
        </w:rPr>
        <w:t>R</w:t>
      </w:r>
      <w:r w:rsidR="00D8032A" w:rsidRPr="00C60C6F">
        <w:rPr>
          <w:lang w:eastAsia="ru-RU"/>
        </w:rPr>
        <w:t xml:space="preserve"> </w:t>
      </w:r>
      <w:r w:rsidR="00907F62" w:rsidRPr="00C60C6F">
        <w:rPr>
          <w:lang w:eastAsia="ru-RU"/>
        </w:rPr>
        <w:t>= </w:t>
      </w:r>
      <w:r w:rsidR="00D65B50" w:rsidRPr="00C60C6F">
        <w:rPr>
          <w:lang w:eastAsia="ru-RU"/>
        </w:rPr>
        <w:t>-</w:t>
      </w:r>
      <w:r w:rsidR="008877F3" w:rsidRPr="00C60C6F">
        <w:rPr>
          <w:lang w:eastAsia="ru-RU"/>
        </w:rPr>
        <w:t>0,71</w:t>
      </w:r>
      <w:r w:rsidR="00B60C3C" w:rsidRPr="00C60C6F">
        <w:rPr>
          <w:lang w:eastAsia="ru-RU"/>
        </w:rPr>
        <w:t xml:space="preserve"> р &lt; 0,05</w:t>
      </w:r>
      <w:r w:rsidR="005822B0" w:rsidRPr="00C60C6F">
        <w:rPr>
          <w:lang w:eastAsia="ru-RU"/>
        </w:rPr>
        <w:t>;</w:t>
      </w:r>
      <w:r w:rsidR="00E6368E" w:rsidRPr="00E6368E">
        <w:rPr>
          <w:lang w:eastAsia="ru-RU"/>
        </w:rPr>
        <w:t xml:space="preserve"> </w:t>
      </w:r>
      <w:r w:rsidR="00E6368E" w:rsidRPr="00C60C6F">
        <w:rPr>
          <w:lang w:eastAsia="ru-RU"/>
        </w:rPr>
        <w:t>ОФВ</w:t>
      </w:r>
      <w:r w:rsidR="00E6368E" w:rsidRPr="00DC0EC4">
        <w:rPr>
          <w:vertAlign w:val="subscript"/>
          <w:lang w:eastAsia="ru-RU"/>
        </w:rPr>
        <w:t>1</w:t>
      </w:r>
      <w:r w:rsidR="00060B33" w:rsidRPr="00C60C6F">
        <w:rPr>
          <w:lang w:eastAsia="ru-RU"/>
        </w:rPr>
        <w:t>&lt; 50%</w:t>
      </w:r>
      <w:r w:rsidR="00E6368E" w:rsidRPr="00C60C6F">
        <w:rPr>
          <w:lang w:eastAsia="ru-RU"/>
        </w:rPr>
        <w:t> </w:t>
      </w:r>
      <w:r w:rsidR="00E6368E">
        <w:rPr>
          <w:lang w:eastAsia="ru-RU"/>
        </w:rPr>
        <w:t>і</w:t>
      </w:r>
      <w:r w:rsidR="005822B0" w:rsidRPr="00C60C6F">
        <w:rPr>
          <w:lang w:eastAsia="ru-RU"/>
        </w:rPr>
        <w:t xml:space="preserve"> </w:t>
      </w:r>
      <w:r w:rsidR="008877F3" w:rsidRPr="00C60C6F">
        <w:rPr>
          <w:lang w:eastAsia="ru-RU"/>
        </w:rPr>
        <w:t>ФВ</w:t>
      </w:r>
      <w:r w:rsidR="00684997" w:rsidRPr="00C60C6F">
        <w:rPr>
          <w:lang w:eastAsia="ru-RU"/>
        </w:rPr>
        <w:t> </w:t>
      </w:r>
      <w:r w:rsidR="008877F3" w:rsidRPr="00C60C6F">
        <w:rPr>
          <w:lang w:eastAsia="ru-RU"/>
        </w:rPr>
        <w:t>–</w:t>
      </w:r>
      <w:r w:rsidR="00684997" w:rsidRPr="00C60C6F">
        <w:rPr>
          <w:lang w:eastAsia="ru-RU"/>
        </w:rPr>
        <w:t> </w:t>
      </w:r>
      <w:r w:rsidR="008877F3" w:rsidRPr="00C60C6F">
        <w:rPr>
          <w:lang w:eastAsia="ru-RU"/>
        </w:rPr>
        <w:t>R</w:t>
      </w:r>
      <w:r w:rsidR="00D8032A" w:rsidRPr="00C60C6F">
        <w:rPr>
          <w:lang w:eastAsia="ru-RU"/>
        </w:rPr>
        <w:t xml:space="preserve"> </w:t>
      </w:r>
      <w:r w:rsidR="00907F62" w:rsidRPr="00C60C6F">
        <w:rPr>
          <w:lang w:eastAsia="ru-RU"/>
        </w:rPr>
        <w:t>= </w:t>
      </w:r>
      <w:r w:rsidR="00D65B50" w:rsidRPr="00C60C6F">
        <w:rPr>
          <w:lang w:eastAsia="ru-RU"/>
        </w:rPr>
        <w:t>-</w:t>
      </w:r>
      <w:r w:rsidR="008877F3" w:rsidRPr="00C60C6F">
        <w:rPr>
          <w:lang w:eastAsia="ru-RU"/>
        </w:rPr>
        <w:t>0,32, р</w:t>
      </w:r>
      <w:r w:rsidR="00907F62" w:rsidRPr="00C60C6F">
        <w:rPr>
          <w:lang w:eastAsia="ru-RU"/>
        </w:rPr>
        <w:t> </w:t>
      </w:r>
      <w:r w:rsidR="008877F3" w:rsidRPr="00C60C6F">
        <w:rPr>
          <w:lang w:eastAsia="ru-RU"/>
        </w:rPr>
        <w:t>&lt;</w:t>
      </w:r>
      <w:r w:rsidR="00907F62" w:rsidRPr="00C60C6F">
        <w:rPr>
          <w:lang w:eastAsia="ru-RU"/>
        </w:rPr>
        <w:t> </w:t>
      </w:r>
      <w:r w:rsidR="008877F3" w:rsidRPr="00C60C6F">
        <w:rPr>
          <w:lang w:eastAsia="ru-RU"/>
        </w:rPr>
        <w:t>0,05</w:t>
      </w:r>
      <w:r w:rsidR="005822B0" w:rsidRPr="00C60C6F">
        <w:rPr>
          <w:lang w:eastAsia="ru-RU"/>
        </w:rPr>
        <w:t xml:space="preserve">; </w:t>
      </w:r>
      <w:r w:rsidR="00A44F0C" w:rsidRPr="00C60C6F">
        <w:rPr>
          <w:lang w:eastAsia="ru-RU"/>
        </w:rPr>
        <w:t>ОФВ</w:t>
      </w:r>
      <w:r w:rsidR="00A44F0C" w:rsidRPr="00DC0EC4">
        <w:rPr>
          <w:vertAlign w:val="subscript"/>
          <w:lang w:eastAsia="ru-RU"/>
        </w:rPr>
        <w:t>1</w:t>
      </w:r>
      <w:r w:rsidR="00060B33" w:rsidRPr="00C60C6F">
        <w:rPr>
          <w:lang w:eastAsia="ru-RU"/>
        </w:rPr>
        <w:t>&lt; 50%</w:t>
      </w:r>
      <w:r w:rsidR="00060B33">
        <w:rPr>
          <w:lang w:eastAsia="ru-RU"/>
        </w:rPr>
        <w:t xml:space="preserve"> і </w:t>
      </w:r>
      <w:r w:rsidR="008877F3" w:rsidRPr="00C60C6F">
        <w:rPr>
          <w:lang w:eastAsia="ru-RU"/>
        </w:rPr>
        <w:t>S-нітрозоті</w:t>
      </w:r>
      <w:r w:rsidR="000251B9" w:rsidRPr="00C60C6F">
        <w:rPr>
          <w:lang w:eastAsia="ru-RU"/>
        </w:rPr>
        <w:t>о</w:t>
      </w:r>
      <w:r w:rsidR="008877F3" w:rsidRPr="00C60C6F">
        <w:rPr>
          <w:lang w:eastAsia="ru-RU"/>
        </w:rPr>
        <w:t>ли</w:t>
      </w:r>
      <w:r w:rsidR="00684997" w:rsidRPr="00C60C6F">
        <w:rPr>
          <w:lang w:eastAsia="ru-RU"/>
        </w:rPr>
        <w:t> </w:t>
      </w:r>
      <w:r w:rsidR="008877F3" w:rsidRPr="00C60C6F">
        <w:rPr>
          <w:lang w:eastAsia="ru-RU"/>
        </w:rPr>
        <w:t>–</w:t>
      </w:r>
      <w:r w:rsidR="00684997" w:rsidRPr="00C60C6F">
        <w:rPr>
          <w:lang w:eastAsia="ru-RU"/>
        </w:rPr>
        <w:t> </w:t>
      </w:r>
      <w:r w:rsidR="008877F3" w:rsidRPr="00C60C6F">
        <w:rPr>
          <w:lang w:eastAsia="ru-RU"/>
        </w:rPr>
        <w:t>R</w:t>
      </w:r>
      <w:r w:rsidR="00D8032A" w:rsidRPr="00C60C6F">
        <w:rPr>
          <w:lang w:eastAsia="ru-RU"/>
        </w:rPr>
        <w:t xml:space="preserve"> </w:t>
      </w:r>
      <w:r w:rsidR="00907F62" w:rsidRPr="00C60C6F">
        <w:rPr>
          <w:lang w:eastAsia="ru-RU"/>
        </w:rPr>
        <w:t>= </w:t>
      </w:r>
      <w:r w:rsidR="008877F3" w:rsidRPr="00C60C6F">
        <w:rPr>
          <w:lang w:eastAsia="ru-RU"/>
        </w:rPr>
        <w:t>0,41, р</w:t>
      </w:r>
      <w:r w:rsidR="00D8032A" w:rsidRPr="00C60C6F">
        <w:rPr>
          <w:lang w:eastAsia="ru-RU"/>
        </w:rPr>
        <w:t xml:space="preserve"> </w:t>
      </w:r>
      <w:r w:rsidR="00D65B50" w:rsidRPr="00C60C6F">
        <w:rPr>
          <w:lang w:eastAsia="ru-RU"/>
        </w:rPr>
        <w:t>&lt;</w:t>
      </w:r>
      <w:r w:rsidR="00907F62" w:rsidRPr="00C60C6F">
        <w:rPr>
          <w:lang w:eastAsia="ru-RU"/>
        </w:rPr>
        <w:t> </w:t>
      </w:r>
      <w:r w:rsidR="008877F3" w:rsidRPr="00C60C6F">
        <w:rPr>
          <w:lang w:eastAsia="ru-RU"/>
        </w:rPr>
        <w:t>0,0</w:t>
      </w:r>
      <w:r w:rsidR="00D65B50" w:rsidRPr="00C60C6F">
        <w:rPr>
          <w:lang w:eastAsia="ru-RU"/>
        </w:rPr>
        <w:t>5</w:t>
      </w:r>
      <w:r w:rsidR="00B60C3C" w:rsidRPr="00C60C6F">
        <w:rPr>
          <w:lang w:eastAsia="ru-RU"/>
        </w:rPr>
        <w:t>, що свідчить про виснаженість ендотеліальної функції. У пацієнтів з БА + Ож і БА+ЦД2Т установлено залежність між ЕТ-1та ІМТ (R</w:t>
      </w:r>
      <w:r w:rsidR="00B60C3C" w:rsidRPr="00D5125A">
        <w:rPr>
          <w:vertAlign w:val="subscript"/>
          <w:lang w:eastAsia="ru-RU"/>
        </w:rPr>
        <w:t>1</w:t>
      </w:r>
      <w:r w:rsidR="00B60C3C" w:rsidRPr="00C60C6F">
        <w:rPr>
          <w:lang w:eastAsia="ru-RU"/>
        </w:rPr>
        <w:t> = 0,57, р &lt; 0,05</w:t>
      </w:r>
      <w:r w:rsidR="005822B0" w:rsidRPr="00C60C6F">
        <w:rPr>
          <w:lang w:eastAsia="ru-RU"/>
        </w:rPr>
        <w:t xml:space="preserve">; </w:t>
      </w:r>
      <w:r w:rsidR="00B60C3C" w:rsidRPr="00C60C6F">
        <w:rPr>
          <w:lang w:eastAsia="ru-RU"/>
        </w:rPr>
        <w:t>R</w:t>
      </w:r>
      <w:r w:rsidR="00B60C3C" w:rsidRPr="00D5125A">
        <w:rPr>
          <w:vertAlign w:val="subscript"/>
          <w:lang w:eastAsia="ru-RU"/>
        </w:rPr>
        <w:t>2</w:t>
      </w:r>
      <w:r w:rsidR="00B60C3C" w:rsidRPr="00C60C6F">
        <w:rPr>
          <w:lang w:eastAsia="ru-RU"/>
        </w:rPr>
        <w:t> = 0,49, р &lt; 0,05) ЕТ-1 та тривалістю захворювання (R</w:t>
      </w:r>
      <w:r w:rsidR="00B60C3C" w:rsidRPr="00D5125A">
        <w:rPr>
          <w:vertAlign w:val="subscript"/>
          <w:lang w:eastAsia="ru-RU"/>
        </w:rPr>
        <w:t>1</w:t>
      </w:r>
      <w:r w:rsidR="00B60C3C" w:rsidRPr="00C60C6F">
        <w:rPr>
          <w:lang w:eastAsia="ru-RU"/>
        </w:rPr>
        <w:t> = 0,33, р &lt; 0,05</w:t>
      </w:r>
      <w:r w:rsidR="005822B0" w:rsidRPr="00C60C6F">
        <w:rPr>
          <w:lang w:eastAsia="ru-RU"/>
        </w:rPr>
        <w:t xml:space="preserve">; </w:t>
      </w:r>
      <w:r w:rsidR="00B60C3C" w:rsidRPr="00C60C6F">
        <w:rPr>
          <w:lang w:eastAsia="ru-RU"/>
        </w:rPr>
        <w:t>R</w:t>
      </w:r>
      <w:r w:rsidR="00B60C3C" w:rsidRPr="00D5125A">
        <w:rPr>
          <w:vertAlign w:val="subscript"/>
          <w:lang w:eastAsia="ru-RU"/>
        </w:rPr>
        <w:t>2</w:t>
      </w:r>
      <w:r w:rsidR="00B60C3C" w:rsidRPr="00C60C6F">
        <w:rPr>
          <w:lang w:eastAsia="ru-RU"/>
        </w:rPr>
        <w:t> = 0,49, р &lt; 0,05). Отримані кореляційні зв</w:t>
      </w:r>
      <w:r w:rsidR="00AF5C51" w:rsidRPr="00C60C6F">
        <w:rPr>
          <w:lang w:eastAsia="ru-RU"/>
        </w:rPr>
        <w:t>’</w:t>
      </w:r>
      <w:r w:rsidR="00B60C3C" w:rsidRPr="00C60C6F">
        <w:rPr>
          <w:lang w:eastAsia="ru-RU"/>
        </w:rPr>
        <w:t>язки між ЕТ-1 та тривалістю захворювання, абдомінальним о</w:t>
      </w:r>
      <w:r w:rsidR="00525952" w:rsidRPr="00C60C6F">
        <w:rPr>
          <w:lang w:eastAsia="ru-RU"/>
        </w:rPr>
        <w:t xml:space="preserve">жирінням, показниками ФЗД, ШКФ </w:t>
      </w:r>
      <w:r w:rsidR="00B60C3C" w:rsidRPr="00C60C6F">
        <w:rPr>
          <w:lang w:eastAsia="ru-RU"/>
        </w:rPr>
        <w:t>БА + ЦД2Т: з роками хвороби (R = 0,77, p &lt; 0,05)</w:t>
      </w:r>
      <w:r w:rsidR="005822B0" w:rsidRPr="00C60C6F">
        <w:rPr>
          <w:lang w:eastAsia="ru-RU"/>
        </w:rPr>
        <w:t xml:space="preserve">; </w:t>
      </w:r>
      <w:r w:rsidR="00B60C3C" w:rsidRPr="00C60C6F">
        <w:rPr>
          <w:lang w:eastAsia="ru-RU"/>
        </w:rPr>
        <w:t>з ОТ (R = 0,78, p &lt;0,05)</w:t>
      </w:r>
      <w:r w:rsidR="005822B0" w:rsidRPr="00C60C6F">
        <w:rPr>
          <w:lang w:eastAsia="ru-RU"/>
        </w:rPr>
        <w:t xml:space="preserve">; </w:t>
      </w:r>
      <w:r w:rsidR="00B60C3C" w:rsidRPr="00C60C6F">
        <w:rPr>
          <w:lang w:eastAsia="ru-RU"/>
        </w:rPr>
        <w:t>з ОФВ</w:t>
      </w:r>
      <w:r w:rsidR="00B60C3C" w:rsidRPr="007A33D7">
        <w:rPr>
          <w:vertAlign w:val="subscript"/>
          <w:lang w:eastAsia="ru-RU"/>
        </w:rPr>
        <w:t>1</w:t>
      </w:r>
      <w:r w:rsidR="00B60C3C" w:rsidRPr="00C60C6F">
        <w:rPr>
          <w:lang w:eastAsia="ru-RU"/>
        </w:rPr>
        <w:t xml:space="preserve"> (R = -0,65, р = 0,05), з ШКФ (R = -0,71, p &lt;0,05)</w:t>
      </w:r>
      <w:r w:rsidR="005822B0" w:rsidRPr="00C60C6F">
        <w:rPr>
          <w:lang w:eastAsia="ru-RU"/>
        </w:rPr>
        <w:t xml:space="preserve">; </w:t>
      </w:r>
      <w:r w:rsidR="00B60C3C" w:rsidRPr="00C60C6F">
        <w:rPr>
          <w:lang w:eastAsia="ru-RU"/>
        </w:rPr>
        <w:t>БА + Ож: з роками хвороби (R = 0,31, p &lt; 0,05)</w:t>
      </w:r>
      <w:r w:rsidR="005822B0" w:rsidRPr="00C60C6F">
        <w:rPr>
          <w:lang w:eastAsia="ru-RU"/>
        </w:rPr>
        <w:t xml:space="preserve">; </w:t>
      </w:r>
      <w:r w:rsidR="00B60C3C" w:rsidRPr="00C60C6F">
        <w:rPr>
          <w:lang w:eastAsia="ru-RU"/>
        </w:rPr>
        <w:t>з ОТ (R = 0,37, р &lt; 0,05)</w:t>
      </w:r>
      <w:r w:rsidR="005822B0" w:rsidRPr="00C60C6F">
        <w:rPr>
          <w:lang w:eastAsia="ru-RU"/>
        </w:rPr>
        <w:t xml:space="preserve">; </w:t>
      </w:r>
      <w:r w:rsidR="00B60C3C" w:rsidRPr="00C60C6F">
        <w:rPr>
          <w:lang w:eastAsia="ru-RU"/>
        </w:rPr>
        <w:t>з ОФВ</w:t>
      </w:r>
      <w:r w:rsidR="00B60C3C" w:rsidRPr="007A33D7">
        <w:rPr>
          <w:vertAlign w:val="subscript"/>
          <w:lang w:eastAsia="ru-RU"/>
        </w:rPr>
        <w:t>1</w:t>
      </w:r>
      <w:r w:rsidR="00B60C3C" w:rsidRPr="00C60C6F">
        <w:rPr>
          <w:lang w:eastAsia="ru-RU"/>
        </w:rPr>
        <w:t xml:space="preserve"> (R = -0,56, р &lt;0,05)</w:t>
      </w:r>
      <w:r w:rsidR="005822B0" w:rsidRPr="00C60C6F">
        <w:rPr>
          <w:lang w:eastAsia="ru-RU"/>
        </w:rPr>
        <w:t xml:space="preserve">; </w:t>
      </w:r>
      <w:r w:rsidR="00B60C3C" w:rsidRPr="00C60C6F">
        <w:rPr>
          <w:lang w:eastAsia="ru-RU"/>
        </w:rPr>
        <w:t>з</w:t>
      </w:r>
      <w:r w:rsidR="005822B0" w:rsidRPr="00C60C6F">
        <w:rPr>
          <w:lang w:eastAsia="ru-RU"/>
        </w:rPr>
        <w:t> </w:t>
      </w:r>
      <w:r w:rsidR="00525952" w:rsidRPr="00C60C6F">
        <w:rPr>
          <w:lang w:eastAsia="ru-RU"/>
        </w:rPr>
        <w:t>ШКФ (R = -0,69, р &lt; 0,05</w:t>
      </w:r>
      <w:r w:rsidR="00B60C3C" w:rsidRPr="00C60C6F">
        <w:rPr>
          <w:lang w:eastAsia="ru-RU"/>
        </w:rPr>
        <w:t>).</w:t>
      </w:r>
    </w:p>
    <w:p w:rsidR="00400332" w:rsidRPr="0068604C" w:rsidRDefault="00400332" w:rsidP="00CD5061">
      <w:pPr>
        <w:spacing w:after="0" w:line="288" w:lineRule="auto"/>
        <w:ind w:firstLine="709"/>
        <w:jc w:val="both"/>
        <w:rPr>
          <w:rFonts w:ascii="Times New Roman" w:hAnsi="Times New Roman"/>
          <w:sz w:val="28"/>
          <w:szCs w:val="28"/>
        </w:rPr>
      </w:pPr>
      <w:r w:rsidRPr="0070568A">
        <w:rPr>
          <w:rFonts w:ascii="Times New Roman" w:hAnsi="Times New Roman"/>
          <w:sz w:val="28"/>
          <w:szCs w:val="28"/>
        </w:rPr>
        <w:t xml:space="preserve">За нашими даними, ендотеліальна функція при БА з наявністю ЦД2Т та/або Ож відзначається порушенням співвідношення між ендотеліальними релаксувальними та констрикторними чинниками, здебільшого </w:t>
      </w:r>
      <w:r w:rsidRPr="0070568A">
        <w:rPr>
          <w:rFonts w:ascii="Times New Roman" w:hAnsi="Times New Roman"/>
          <w:sz w:val="28"/>
          <w:szCs w:val="28"/>
          <w:lang w:eastAsia="ru-RU"/>
        </w:rPr>
        <w:t>внаслідок</w:t>
      </w:r>
      <w:r w:rsidRPr="0070568A">
        <w:rPr>
          <w:rFonts w:ascii="Times New Roman" w:hAnsi="Times New Roman"/>
          <w:sz w:val="28"/>
          <w:szCs w:val="28"/>
        </w:rPr>
        <w:t xml:space="preserve"> посилення дії останніх, що може бути пов'язано з підвищенням маси тіла, порушенням функції нирок і розвитком гіпоксії. Порівняно з пацієнтами без супутньої патології найбільші зміни відзначені за умов коморбідності з ЦД2Т серед показників активності системи згортання й ендотеліального фактора релаксації. Таким чином, дисфункція судинного ендотелію може виступати спільним патогенетичним механізмом розвитку ЦД2Т та Ож при БА.</w:t>
      </w:r>
    </w:p>
    <w:p w:rsidR="0070568A" w:rsidRPr="0068604C" w:rsidRDefault="00725464" w:rsidP="007646BD">
      <w:pPr>
        <w:pStyle w:val="atextRef"/>
      </w:pPr>
      <w:r>
        <w:t>Дослідження</w:t>
      </w:r>
      <w:r w:rsidR="00400332" w:rsidRPr="0070568A">
        <w:t xml:space="preserve"> фракталкіну (ФКУ) </w:t>
      </w:r>
      <w:r>
        <w:t>показали</w:t>
      </w:r>
      <w:r w:rsidR="00400332" w:rsidRPr="0070568A">
        <w:t xml:space="preserve"> значущі відмінності. Було виділено 6 міжгрупових порівнянь: 1) БА з БА + ЦД2Т; 2) БА з БА + Ож; 3) БА з контролем (К); 4) БА + ЦД2Т з БА+Ож; 5) БА + ЦД2Т з К; 6) БА + Ож з К</w:t>
      </w:r>
      <w:r w:rsidR="00400332" w:rsidRPr="0068604C">
        <w:t xml:space="preserve">. </w:t>
      </w:r>
      <w:r w:rsidR="00400332" w:rsidRPr="0070568A">
        <w:t>Були виявлені значущі відмінності значень ФКУ між усіма групами крім БА + К. Значення ФКУ у пацієнтів з ізольованою БА склало 47,00 [45,00;73,20] пг/мл, БА + Ож 81,79 - [77,79;85,47] пг/мл, БА + ЦД2Т — 99,25 [97,99;100,06] пг/мл, проти групи ко</w:t>
      </w:r>
      <w:r w:rsidR="0070568A" w:rsidRPr="0070568A">
        <w:t xml:space="preserve"> </w:t>
      </w:r>
      <w:r w:rsidR="0070568A" w:rsidRPr="0068604C">
        <w:t>контролю 45,11 [42,83;45,75] пг/мл (табл. 1).</w:t>
      </w:r>
      <w:r w:rsidR="0070568A">
        <w:t xml:space="preserve"> </w:t>
      </w:r>
    </w:p>
    <w:p w:rsidR="00400332" w:rsidRPr="00A06383" w:rsidRDefault="00400332" w:rsidP="00386014">
      <w:pPr>
        <w:pStyle w:val="aTablName"/>
        <w:jc w:val="right"/>
        <w:rPr>
          <w:b w:val="0"/>
        </w:rPr>
      </w:pPr>
      <w:r w:rsidRPr="00A06383">
        <w:rPr>
          <w:b w:val="0"/>
        </w:rPr>
        <w:lastRenderedPageBreak/>
        <w:t>Таблиця 1</w:t>
      </w:r>
    </w:p>
    <w:p w:rsidR="00436158" w:rsidRPr="0022453B" w:rsidRDefault="00436158" w:rsidP="00386014">
      <w:pPr>
        <w:pStyle w:val="aTablName"/>
      </w:pPr>
      <w:r w:rsidRPr="0022453B">
        <w:t xml:space="preserve">Рівні фракталкіну плазми </w:t>
      </w:r>
      <w:r w:rsidR="00773E9A" w:rsidRPr="0022453B">
        <w:t>залежно</w:t>
      </w:r>
      <w:r w:rsidR="007602A0" w:rsidRPr="0022453B">
        <w:t xml:space="preserve"> від коморбідних станів</w:t>
      </w:r>
    </w:p>
    <w:p w:rsidR="00436158" w:rsidRPr="0022453B" w:rsidRDefault="00436158" w:rsidP="00A06383">
      <w:pPr>
        <w:pStyle w:val="aTablName"/>
        <w:spacing w:after="120"/>
      </w:pPr>
      <w:r w:rsidRPr="0022453B">
        <w:t xml:space="preserve">та </w:t>
      </w:r>
      <w:r w:rsidR="007753B5" w:rsidRPr="0022453B">
        <w:t>порівняно</w:t>
      </w:r>
      <w:r w:rsidRPr="0022453B">
        <w:t xml:space="preserve"> Ме [</w:t>
      </w:r>
      <w:r w:rsidRPr="0022453B">
        <w:rPr>
          <w:lang w:val="en-US"/>
        </w:rPr>
        <w:t>Q</w:t>
      </w:r>
      <w:r w:rsidRPr="0022453B">
        <w:rPr>
          <w:vertAlign w:val="subscript"/>
        </w:rPr>
        <w:t>1</w:t>
      </w:r>
      <w:r w:rsidR="005822B0">
        <w:t>; </w:t>
      </w:r>
      <w:r w:rsidRPr="0022453B">
        <w:rPr>
          <w:lang w:val="en-US"/>
        </w:rPr>
        <w:t>Q</w:t>
      </w:r>
      <w:r w:rsidRPr="0022453B">
        <w:rPr>
          <w:vertAlign w:val="subscript"/>
        </w:rPr>
        <w:t>3</w:t>
      </w:r>
      <w:r w:rsidRPr="0022453B">
        <w:t>], пг/мл</w:t>
      </w:r>
    </w:p>
    <w:tbl>
      <w:tblPr>
        <w:tblW w:w="9739" w:type="dxa"/>
        <w:jc w:val="center"/>
        <w:tblLayout w:type="fixed"/>
        <w:tblLook w:val="0000" w:firstRow="0" w:lastRow="0" w:firstColumn="0" w:lastColumn="0" w:noHBand="0" w:noVBand="0"/>
      </w:tblPr>
      <w:tblGrid>
        <w:gridCol w:w="925"/>
        <w:gridCol w:w="1560"/>
        <w:gridCol w:w="708"/>
        <w:gridCol w:w="1207"/>
        <w:gridCol w:w="1275"/>
        <w:gridCol w:w="1276"/>
        <w:gridCol w:w="1747"/>
        <w:gridCol w:w="1041"/>
      </w:tblGrid>
      <w:tr w:rsidR="00436158" w:rsidRPr="0022453B" w:rsidTr="00C033BA">
        <w:trPr>
          <w:trHeight w:val="330"/>
          <w:jc w:val="center"/>
        </w:trPr>
        <w:tc>
          <w:tcPr>
            <w:tcW w:w="925" w:type="dxa"/>
            <w:vMerge w:val="restart"/>
            <w:tcBorders>
              <w:top w:val="single" w:sz="2" w:space="0" w:color="000000"/>
              <w:left w:val="single" w:sz="2" w:space="0" w:color="000000"/>
              <w:bottom w:val="single" w:sz="2" w:space="0" w:color="000000"/>
              <w:right w:val="single" w:sz="2" w:space="0" w:color="000000"/>
            </w:tcBorders>
            <w:vAlign w:val="center"/>
          </w:tcPr>
          <w:p w:rsidR="00436158" w:rsidRPr="00D36EA2" w:rsidRDefault="00436158" w:rsidP="00C033BA">
            <w:pPr>
              <w:autoSpaceDE w:val="0"/>
              <w:autoSpaceDN w:val="0"/>
              <w:adjustRightInd w:val="0"/>
              <w:spacing w:after="0" w:line="240" w:lineRule="auto"/>
              <w:ind w:left="-57" w:right="-85"/>
              <w:jc w:val="center"/>
              <w:rPr>
                <w:rFonts w:ascii="Times New Roman" w:hAnsi="Times New Roman"/>
                <w:sz w:val="26"/>
                <w:szCs w:val="28"/>
                <w:lang w:val="en-US"/>
              </w:rPr>
            </w:pPr>
            <w:r w:rsidRPr="00D36EA2">
              <w:rPr>
                <w:rFonts w:ascii="Times New Roman" w:hAnsi="Times New Roman"/>
                <w:sz w:val="26"/>
                <w:szCs w:val="28"/>
              </w:rPr>
              <w:t>Порів</w:t>
            </w:r>
            <w:r w:rsidR="0002377D" w:rsidRPr="00D36EA2">
              <w:rPr>
                <w:rFonts w:ascii="Times New Roman" w:hAnsi="Times New Roman"/>
                <w:sz w:val="26"/>
                <w:szCs w:val="28"/>
              </w:rPr>
              <w:t>-</w:t>
            </w:r>
            <w:r w:rsidRPr="00D36EA2">
              <w:rPr>
                <w:rFonts w:ascii="Times New Roman" w:hAnsi="Times New Roman"/>
                <w:sz w:val="26"/>
                <w:szCs w:val="28"/>
              </w:rPr>
              <w:t>няння</w:t>
            </w:r>
          </w:p>
        </w:tc>
        <w:tc>
          <w:tcPr>
            <w:tcW w:w="1560" w:type="dxa"/>
            <w:vMerge w:val="restart"/>
            <w:tcBorders>
              <w:top w:val="single" w:sz="2" w:space="0" w:color="000000"/>
              <w:left w:val="single" w:sz="2" w:space="0" w:color="000000"/>
              <w:bottom w:val="single" w:sz="2" w:space="0" w:color="000000"/>
              <w:right w:val="single" w:sz="2" w:space="0" w:color="000000"/>
            </w:tcBorders>
            <w:vAlign w:val="center"/>
          </w:tcPr>
          <w:p w:rsidR="00436158" w:rsidRPr="00D36EA2" w:rsidRDefault="00436158" w:rsidP="00C033BA">
            <w:pPr>
              <w:autoSpaceDE w:val="0"/>
              <w:autoSpaceDN w:val="0"/>
              <w:adjustRightInd w:val="0"/>
              <w:spacing w:after="0" w:line="240" w:lineRule="auto"/>
              <w:ind w:left="-57" w:right="-85"/>
              <w:jc w:val="center"/>
              <w:rPr>
                <w:rFonts w:ascii="Times New Roman" w:hAnsi="Times New Roman"/>
                <w:sz w:val="26"/>
                <w:szCs w:val="28"/>
                <w:lang w:val="en-US"/>
              </w:rPr>
            </w:pPr>
            <w:r w:rsidRPr="00D36EA2">
              <w:rPr>
                <w:rFonts w:ascii="Times New Roman" w:hAnsi="Times New Roman"/>
                <w:sz w:val="26"/>
                <w:szCs w:val="28"/>
              </w:rPr>
              <w:t>Група</w:t>
            </w:r>
          </w:p>
        </w:tc>
        <w:tc>
          <w:tcPr>
            <w:tcW w:w="708" w:type="dxa"/>
            <w:vMerge w:val="restart"/>
            <w:tcBorders>
              <w:top w:val="single" w:sz="2" w:space="0" w:color="000000"/>
              <w:left w:val="single" w:sz="2" w:space="0" w:color="000000"/>
              <w:bottom w:val="single" w:sz="2" w:space="0" w:color="000000"/>
              <w:right w:val="single" w:sz="2" w:space="0" w:color="000000"/>
            </w:tcBorders>
            <w:vAlign w:val="center"/>
          </w:tcPr>
          <w:p w:rsidR="00436158" w:rsidRPr="00D36EA2" w:rsidRDefault="00436158" w:rsidP="00C033BA">
            <w:pPr>
              <w:autoSpaceDE w:val="0"/>
              <w:autoSpaceDN w:val="0"/>
              <w:adjustRightInd w:val="0"/>
              <w:spacing w:after="0" w:line="240" w:lineRule="auto"/>
              <w:ind w:left="-57" w:right="-85"/>
              <w:jc w:val="center"/>
              <w:rPr>
                <w:rFonts w:ascii="Times New Roman" w:hAnsi="Times New Roman"/>
                <w:sz w:val="26"/>
                <w:szCs w:val="28"/>
                <w:lang w:val="en-US"/>
              </w:rPr>
            </w:pPr>
            <w:r w:rsidRPr="00D36EA2">
              <w:rPr>
                <w:rFonts w:ascii="Times New Roman" w:hAnsi="Times New Roman"/>
                <w:sz w:val="26"/>
                <w:szCs w:val="28"/>
                <w:lang w:val="en-US"/>
              </w:rPr>
              <w:t>n</w:t>
            </w:r>
          </w:p>
        </w:tc>
        <w:tc>
          <w:tcPr>
            <w:tcW w:w="1207" w:type="dxa"/>
            <w:vMerge w:val="restart"/>
            <w:tcBorders>
              <w:top w:val="single" w:sz="2" w:space="0" w:color="000000"/>
              <w:left w:val="single" w:sz="2" w:space="0" w:color="000000"/>
              <w:bottom w:val="single" w:sz="2" w:space="0" w:color="000000"/>
              <w:right w:val="single" w:sz="2" w:space="0" w:color="000000"/>
            </w:tcBorders>
            <w:vAlign w:val="center"/>
          </w:tcPr>
          <w:p w:rsidR="00436158" w:rsidRPr="00D36EA2" w:rsidRDefault="00436158" w:rsidP="00C033BA">
            <w:pPr>
              <w:autoSpaceDE w:val="0"/>
              <w:autoSpaceDN w:val="0"/>
              <w:adjustRightInd w:val="0"/>
              <w:spacing w:after="0" w:line="240" w:lineRule="auto"/>
              <w:ind w:left="-57" w:right="-85"/>
              <w:jc w:val="center"/>
              <w:rPr>
                <w:rFonts w:ascii="Times New Roman" w:hAnsi="Times New Roman"/>
                <w:sz w:val="26"/>
                <w:szCs w:val="28"/>
                <w:lang w:val="en-US"/>
              </w:rPr>
            </w:pPr>
            <w:r w:rsidRPr="00D36EA2">
              <w:rPr>
                <w:rFonts w:ascii="Times New Roman" w:hAnsi="Times New Roman"/>
                <w:sz w:val="26"/>
                <w:szCs w:val="28"/>
              </w:rPr>
              <w:t>Медіана</w:t>
            </w:r>
          </w:p>
        </w:tc>
        <w:tc>
          <w:tcPr>
            <w:tcW w:w="2551" w:type="dxa"/>
            <w:gridSpan w:val="2"/>
            <w:tcBorders>
              <w:top w:val="single" w:sz="2" w:space="0" w:color="000000"/>
              <w:left w:val="nil"/>
              <w:bottom w:val="single" w:sz="2" w:space="0" w:color="000000"/>
              <w:right w:val="single" w:sz="2" w:space="0" w:color="000000"/>
            </w:tcBorders>
            <w:vAlign w:val="center"/>
          </w:tcPr>
          <w:p w:rsidR="00436158" w:rsidRPr="00D36EA2" w:rsidRDefault="00436158" w:rsidP="00C033BA">
            <w:pPr>
              <w:autoSpaceDE w:val="0"/>
              <w:autoSpaceDN w:val="0"/>
              <w:adjustRightInd w:val="0"/>
              <w:spacing w:after="0" w:line="240" w:lineRule="auto"/>
              <w:ind w:left="-57" w:right="-85"/>
              <w:jc w:val="center"/>
              <w:rPr>
                <w:rFonts w:ascii="Times New Roman" w:hAnsi="Times New Roman"/>
                <w:sz w:val="26"/>
                <w:szCs w:val="28"/>
              </w:rPr>
            </w:pPr>
            <w:r w:rsidRPr="00D36EA2">
              <w:rPr>
                <w:rFonts w:ascii="Times New Roman" w:hAnsi="Times New Roman"/>
                <w:sz w:val="26"/>
                <w:szCs w:val="28"/>
                <w:lang w:val="ru-RU"/>
              </w:rPr>
              <w:t>Квартил</w:t>
            </w:r>
            <w:r w:rsidRPr="00D36EA2">
              <w:rPr>
                <w:rFonts w:ascii="Times New Roman" w:hAnsi="Times New Roman"/>
                <w:sz w:val="26"/>
                <w:szCs w:val="28"/>
              </w:rPr>
              <w:t>і</w:t>
            </w:r>
          </w:p>
        </w:tc>
        <w:tc>
          <w:tcPr>
            <w:tcW w:w="1747" w:type="dxa"/>
            <w:vMerge w:val="restart"/>
            <w:tcBorders>
              <w:top w:val="single" w:sz="2" w:space="0" w:color="000000"/>
              <w:left w:val="single" w:sz="2" w:space="0" w:color="000000"/>
              <w:bottom w:val="single" w:sz="2" w:space="0" w:color="000000"/>
              <w:right w:val="single" w:sz="2" w:space="0" w:color="000000"/>
            </w:tcBorders>
            <w:vAlign w:val="center"/>
          </w:tcPr>
          <w:p w:rsidR="00436158" w:rsidRPr="00D36EA2" w:rsidRDefault="0060010E" w:rsidP="00C033BA">
            <w:pPr>
              <w:autoSpaceDE w:val="0"/>
              <w:autoSpaceDN w:val="0"/>
              <w:adjustRightInd w:val="0"/>
              <w:spacing w:after="0" w:line="240" w:lineRule="auto"/>
              <w:ind w:left="-57" w:right="-85"/>
              <w:jc w:val="center"/>
              <w:rPr>
                <w:rFonts w:ascii="Times New Roman" w:hAnsi="Times New Roman"/>
                <w:sz w:val="26"/>
                <w:szCs w:val="28"/>
                <w:lang w:val="en-US"/>
              </w:rPr>
            </w:pPr>
            <w:r w:rsidRPr="00D36EA2">
              <w:rPr>
                <w:rFonts w:ascii="Times New Roman" w:hAnsi="Times New Roman"/>
                <w:sz w:val="26"/>
                <w:szCs w:val="24"/>
              </w:rPr>
              <w:t>Критерій</w:t>
            </w:r>
            <w:r w:rsidR="00436158" w:rsidRPr="00D36EA2">
              <w:rPr>
                <w:rFonts w:ascii="Times New Roman" w:hAnsi="Times New Roman"/>
                <w:sz w:val="26"/>
                <w:szCs w:val="28"/>
              </w:rPr>
              <w:t xml:space="preserve"> U Манна-Уітні</w:t>
            </w:r>
          </w:p>
        </w:tc>
        <w:tc>
          <w:tcPr>
            <w:tcW w:w="1041" w:type="dxa"/>
            <w:vMerge w:val="restart"/>
            <w:tcBorders>
              <w:top w:val="single" w:sz="2" w:space="0" w:color="000000"/>
              <w:left w:val="single" w:sz="2" w:space="0" w:color="000000"/>
              <w:bottom w:val="single" w:sz="2" w:space="0" w:color="000000"/>
              <w:right w:val="single" w:sz="2" w:space="0" w:color="000000"/>
            </w:tcBorders>
            <w:vAlign w:val="center"/>
          </w:tcPr>
          <w:p w:rsidR="00436158" w:rsidRPr="00D36EA2" w:rsidRDefault="00436158" w:rsidP="00C033BA">
            <w:pPr>
              <w:autoSpaceDE w:val="0"/>
              <w:autoSpaceDN w:val="0"/>
              <w:adjustRightInd w:val="0"/>
              <w:spacing w:after="0" w:line="240" w:lineRule="auto"/>
              <w:ind w:left="-57" w:right="-85"/>
              <w:jc w:val="center"/>
              <w:rPr>
                <w:rFonts w:ascii="Times New Roman" w:hAnsi="Times New Roman"/>
                <w:sz w:val="26"/>
                <w:szCs w:val="28"/>
                <w:lang w:val="en-US"/>
              </w:rPr>
            </w:pPr>
            <w:r w:rsidRPr="00D36EA2">
              <w:rPr>
                <w:rFonts w:ascii="Times New Roman" w:hAnsi="Times New Roman"/>
                <w:sz w:val="26"/>
                <w:szCs w:val="28"/>
                <w:lang w:val="en-US"/>
              </w:rPr>
              <w:t>p</w:t>
            </w:r>
          </w:p>
        </w:tc>
      </w:tr>
      <w:tr w:rsidR="00436158" w:rsidRPr="0022453B" w:rsidTr="00C033BA">
        <w:trPr>
          <w:trHeight w:val="354"/>
          <w:jc w:val="center"/>
        </w:trPr>
        <w:tc>
          <w:tcPr>
            <w:tcW w:w="92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156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70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120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1275" w:type="dxa"/>
            <w:tcBorders>
              <w:top w:val="nil"/>
              <w:left w:val="nil"/>
              <w:bottom w:val="single" w:sz="2" w:space="0" w:color="000000"/>
              <w:right w:val="single" w:sz="2" w:space="0" w:color="000000"/>
            </w:tcBorders>
          </w:tcPr>
          <w:p w:rsidR="00436158" w:rsidRPr="003B6D8A" w:rsidRDefault="00436158" w:rsidP="00386014">
            <w:pPr>
              <w:autoSpaceDE w:val="0"/>
              <w:autoSpaceDN w:val="0"/>
              <w:adjustRightInd w:val="0"/>
              <w:spacing w:after="0" w:line="240" w:lineRule="auto"/>
              <w:jc w:val="center"/>
              <w:rPr>
                <w:rFonts w:ascii="Times New Roman" w:hAnsi="Times New Roman"/>
                <w:sz w:val="28"/>
                <w:szCs w:val="28"/>
                <w:lang w:val="en-US"/>
              </w:rPr>
            </w:pPr>
            <w:r w:rsidRPr="003B6D8A">
              <w:rPr>
                <w:rFonts w:ascii="Times New Roman" w:hAnsi="Times New Roman"/>
                <w:sz w:val="28"/>
                <w:szCs w:val="28"/>
                <w:lang w:val="en-US"/>
              </w:rPr>
              <w:t>Q</w:t>
            </w:r>
            <w:r w:rsidRPr="003B6D8A">
              <w:rPr>
                <w:rFonts w:ascii="Times New Roman" w:hAnsi="Times New Roman"/>
                <w:sz w:val="28"/>
                <w:szCs w:val="28"/>
                <w:vertAlign w:val="subscript"/>
                <w:lang w:val="en-US"/>
              </w:rPr>
              <w:t>1</w:t>
            </w:r>
          </w:p>
        </w:tc>
        <w:tc>
          <w:tcPr>
            <w:tcW w:w="1276" w:type="dxa"/>
            <w:tcBorders>
              <w:top w:val="nil"/>
              <w:left w:val="nil"/>
              <w:bottom w:val="single" w:sz="2" w:space="0" w:color="000000"/>
              <w:right w:val="single" w:sz="2" w:space="0" w:color="000000"/>
            </w:tcBorders>
          </w:tcPr>
          <w:p w:rsidR="00436158" w:rsidRPr="003B6D8A" w:rsidRDefault="00436158" w:rsidP="00386014">
            <w:pPr>
              <w:autoSpaceDE w:val="0"/>
              <w:autoSpaceDN w:val="0"/>
              <w:adjustRightInd w:val="0"/>
              <w:spacing w:after="0" w:line="240" w:lineRule="auto"/>
              <w:jc w:val="center"/>
              <w:rPr>
                <w:rFonts w:ascii="Times New Roman" w:hAnsi="Times New Roman"/>
                <w:sz w:val="28"/>
                <w:szCs w:val="28"/>
                <w:lang w:val="en-US"/>
              </w:rPr>
            </w:pPr>
            <w:r w:rsidRPr="003B6D8A">
              <w:rPr>
                <w:rFonts w:ascii="Times New Roman" w:hAnsi="Times New Roman"/>
                <w:sz w:val="28"/>
                <w:szCs w:val="28"/>
                <w:lang w:val="en-US"/>
              </w:rPr>
              <w:t>Q</w:t>
            </w:r>
            <w:r w:rsidRPr="003B6D8A">
              <w:rPr>
                <w:rFonts w:ascii="Times New Roman" w:hAnsi="Times New Roman"/>
                <w:sz w:val="28"/>
                <w:szCs w:val="28"/>
                <w:vertAlign w:val="subscript"/>
                <w:lang w:val="en-US"/>
              </w:rPr>
              <w:t>3</w:t>
            </w:r>
          </w:p>
        </w:tc>
        <w:tc>
          <w:tcPr>
            <w:tcW w:w="17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104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r>
      <w:tr w:rsidR="00436158" w:rsidRPr="0022453B" w:rsidTr="00C033BA">
        <w:trPr>
          <w:trHeight w:val="375"/>
          <w:jc w:val="center"/>
        </w:trPr>
        <w:tc>
          <w:tcPr>
            <w:tcW w:w="925"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1</w:t>
            </w: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rPr>
                <w:lang w:val="en-US"/>
              </w:rPr>
            </w:pPr>
            <w:r w:rsidRPr="0022453B">
              <w:t>БА</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19</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47</w:t>
            </w:r>
            <w:r w:rsidRPr="0022453B">
              <w:rPr>
                <w:lang w:val="en-US"/>
              </w:rPr>
              <w:t>,00</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45,00</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73,20</w:t>
            </w:r>
          </w:p>
        </w:tc>
        <w:tc>
          <w:tcPr>
            <w:tcW w:w="1747"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0</w:t>
            </w:r>
            <w:r w:rsidRPr="0022453B">
              <w:t>,000</w:t>
            </w:r>
          </w:p>
        </w:tc>
        <w:tc>
          <w:tcPr>
            <w:tcW w:w="1041"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C033BA">
            <w:pPr>
              <w:pStyle w:val="aTableText"/>
              <w:ind w:left="-108" w:right="-59"/>
              <w:rPr>
                <w:lang w:val="en-US"/>
              </w:rPr>
            </w:pPr>
            <w:r w:rsidRPr="0022453B">
              <w:rPr>
                <w:lang w:val="en-US"/>
              </w:rPr>
              <w:t>&lt;</w:t>
            </w:r>
            <w:r w:rsidR="00127FB4" w:rsidRPr="0022453B">
              <w:t> </w:t>
            </w:r>
            <w:r w:rsidRPr="0022453B">
              <w:rPr>
                <w:lang w:val="en-US"/>
              </w:rPr>
              <w:t>0</w:t>
            </w:r>
            <w:r w:rsidRPr="0022453B">
              <w:t>,00</w:t>
            </w:r>
            <w:r w:rsidRPr="0022453B">
              <w:rPr>
                <w:lang w:val="en-US"/>
              </w:rPr>
              <w:t>1</w:t>
            </w:r>
          </w:p>
        </w:tc>
      </w:tr>
      <w:tr w:rsidR="00436158" w:rsidRPr="0022453B" w:rsidTr="00C033BA">
        <w:trPr>
          <w:trHeight w:val="300"/>
          <w:jc w:val="center"/>
        </w:trPr>
        <w:tc>
          <w:tcPr>
            <w:tcW w:w="925"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rPr>
                <w:lang w:val="en-US"/>
              </w:rPr>
            </w:pPr>
            <w:r w:rsidRPr="0022453B">
              <w:t>БА</w:t>
            </w:r>
            <w:r w:rsidR="00127FB4" w:rsidRPr="0022453B">
              <w:t> </w:t>
            </w:r>
            <w:r w:rsidRPr="0022453B">
              <w:t>+ЦД2Т</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38</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99,25</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97,99</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100,06</w:t>
            </w:r>
          </w:p>
        </w:tc>
        <w:tc>
          <w:tcPr>
            <w:tcW w:w="1747"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041"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C033BA">
            <w:pPr>
              <w:pStyle w:val="aTableText"/>
              <w:ind w:left="-108" w:right="-59"/>
              <w:rPr>
                <w:lang w:val="en-US"/>
              </w:rPr>
            </w:pPr>
          </w:p>
        </w:tc>
      </w:tr>
      <w:tr w:rsidR="00436158" w:rsidRPr="0022453B" w:rsidTr="00C033BA">
        <w:trPr>
          <w:trHeight w:val="73"/>
          <w:jc w:val="center"/>
        </w:trPr>
        <w:tc>
          <w:tcPr>
            <w:tcW w:w="925"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2</w:t>
            </w: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pPr>
            <w:r w:rsidRPr="0022453B">
              <w:t>БА</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19</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47,00</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45,00</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73,20</w:t>
            </w:r>
          </w:p>
        </w:tc>
        <w:tc>
          <w:tcPr>
            <w:tcW w:w="1747"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t>61,000</w:t>
            </w:r>
          </w:p>
        </w:tc>
        <w:tc>
          <w:tcPr>
            <w:tcW w:w="1041"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C033BA">
            <w:pPr>
              <w:pStyle w:val="aTableText"/>
              <w:ind w:left="-108" w:right="-59"/>
              <w:rPr>
                <w:lang w:val="en-US"/>
              </w:rPr>
            </w:pPr>
            <w:r w:rsidRPr="0022453B">
              <w:rPr>
                <w:lang w:val="en-US"/>
              </w:rPr>
              <w:t>&lt;</w:t>
            </w:r>
            <w:r w:rsidR="00127FB4" w:rsidRPr="0022453B">
              <w:t> </w:t>
            </w:r>
            <w:r w:rsidRPr="0022453B">
              <w:rPr>
                <w:lang w:val="en-US"/>
              </w:rPr>
              <w:t>0</w:t>
            </w:r>
            <w:r w:rsidRPr="0022453B">
              <w:t>,00</w:t>
            </w:r>
            <w:r w:rsidRPr="0022453B">
              <w:rPr>
                <w:lang w:val="en-US"/>
              </w:rPr>
              <w:t>1</w:t>
            </w:r>
          </w:p>
        </w:tc>
      </w:tr>
      <w:tr w:rsidR="00436158" w:rsidRPr="0022453B" w:rsidTr="00C033BA">
        <w:trPr>
          <w:trHeight w:val="330"/>
          <w:jc w:val="center"/>
        </w:trPr>
        <w:tc>
          <w:tcPr>
            <w:tcW w:w="925"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rPr>
                <w:lang w:val="en-US"/>
              </w:rPr>
            </w:pPr>
            <w:r w:rsidRPr="0022453B">
              <w:t>БА</w:t>
            </w:r>
            <w:r w:rsidR="00127FB4" w:rsidRPr="0022453B">
              <w:t> </w:t>
            </w:r>
            <w:r w:rsidRPr="0022453B">
              <w:t>+</w:t>
            </w:r>
            <w:r w:rsidR="00127FB4" w:rsidRPr="0022453B">
              <w:t> </w:t>
            </w:r>
            <w:r w:rsidRPr="0022453B">
              <w:t>О</w:t>
            </w:r>
            <w:r w:rsidR="00266C5F" w:rsidRPr="0022453B">
              <w:t>ж</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24</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81,79</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77,79</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85,47</w:t>
            </w:r>
          </w:p>
        </w:tc>
        <w:tc>
          <w:tcPr>
            <w:tcW w:w="1747"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041"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C033BA">
            <w:pPr>
              <w:pStyle w:val="aTableText"/>
              <w:ind w:left="-108" w:right="-59"/>
              <w:rPr>
                <w:lang w:val="en-US"/>
              </w:rPr>
            </w:pPr>
          </w:p>
        </w:tc>
      </w:tr>
      <w:tr w:rsidR="00436158" w:rsidRPr="0022453B" w:rsidTr="00C033BA">
        <w:trPr>
          <w:trHeight w:val="315"/>
          <w:jc w:val="center"/>
        </w:trPr>
        <w:tc>
          <w:tcPr>
            <w:tcW w:w="925"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3</w:t>
            </w:r>
          </w:p>
        </w:tc>
        <w:tc>
          <w:tcPr>
            <w:tcW w:w="1560"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БА</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19</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47</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45</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73,2</w:t>
            </w:r>
          </w:p>
        </w:tc>
        <w:tc>
          <w:tcPr>
            <w:tcW w:w="1747"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t>39,000</w:t>
            </w:r>
          </w:p>
        </w:tc>
        <w:tc>
          <w:tcPr>
            <w:tcW w:w="1041"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C033BA">
            <w:pPr>
              <w:pStyle w:val="aTableText"/>
              <w:ind w:left="-108" w:right="-59"/>
              <w:rPr>
                <w:lang w:val="en-US"/>
              </w:rPr>
            </w:pPr>
            <w:r w:rsidRPr="0022453B">
              <w:rPr>
                <w:lang w:val="en-US"/>
              </w:rPr>
              <w:t>&lt;</w:t>
            </w:r>
            <w:r w:rsidR="00127FB4" w:rsidRPr="0022453B">
              <w:t> </w:t>
            </w:r>
            <w:r w:rsidRPr="0022453B">
              <w:rPr>
                <w:lang w:val="en-US"/>
              </w:rPr>
              <w:t>0</w:t>
            </w:r>
            <w:r w:rsidRPr="0022453B">
              <w:t>,0</w:t>
            </w:r>
            <w:r w:rsidRPr="0022453B">
              <w:rPr>
                <w:lang w:val="en-US"/>
              </w:rPr>
              <w:t>1</w:t>
            </w:r>
          </w:p>
        </w:tc>
      </w:tr>
      <w:tr w:rsidR="00436158" w:rsidRPr="0022453B" w:rsidTr="00C033BA">
        <w:trPr>
          <w:trHeight w:val="350"/>
          <w:jc w:val="center"/>
        </w:trPr>
        <w:tc>
          <w:tcPr>
            <w:tcW w:w="925"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560"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К</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9</w:t>
            </w:r>
          </w:p>
        </w:tc>
        <w:tc>
          <w:tcPr>
            <w:tcW w:w="1207"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45,11</w:t>
            </w:r>
          </w:p>
        </w:tc>
        <w:tc>
          <w:tcPr>
            <w:tcW w:w="1275"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42,83</w:t>
            </w:r>
          </w:p>
        </w:tc>
        <w:tc>
          <w:tcPr>
            <w:tcW w:w="1276"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45,755</w:t>
            </w:r>
          </w:p>
        </w:tc>
        <w:tc>
          <w:tcPr>
            <w:tcW w:w="1747"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041"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C033BA">
            <w:pPr>
              <w:pStyle w:val="aTableText"/>
              <w:ind w:left="-108" w:right="-59"/>
              <w:rPr>
                <w:lang w:val="en-US"/>
              </w:rPr>
            </w:pPr>
          </w:p>
        </w:tc>
      </w:tr>
      <w:tr w:rsidR="00436158" w:rsidRPr="0022453B" w:rsidTr="00C033BA">
        <w:trPr>
          <w:trHeight w:val="375"/>
          <w:jc w:val="center"/>
        </w:trPr>
        <w:tc>
          <w:tcPr>
            <w:tcW w:w="925"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4</w:t>
            </w: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pPr>
            <w:r w:rsidRPr="0022453B">
              <w:t>БА</w:t>
            </w:r>
            <w:r w:rsidR="00127FB4" w:rsidRPr="0022453B">
              <w:t> </w:t>
            </w:r>
            <w:r w:rsidRPr="0022453B">
              <w:t>+ЦД2Т</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38</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99,25</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97,99</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100,06</w:t>
            </w:r>
          </w:p>
        </w:tc>
        <w:tc>
          <w:tcPr>
            <w:tcW w:w="1747"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t>3,000</w:t>
            </w:r>
          </w:p>
        </w:tc>
        <w:tc>
          <w:tcPr>
            <w:tcW w:w="1041"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C033BA">
            <w:pPr>
              <w:pStyle w:val="aTableText"/>
              <w:ind w:left="-108" w:right="-59"/>
              <w:rPr>
                <w:lang w:val="en-US"/>
              </w:rPr>
            </w:pPr>
            <w:r w:rsidRPr="0022453B">
              <w:rPr>
                <w:lang w:val="en-US"/>
              </w:rPr>
              <w:t>&lt;</w:t>
            </w:r>
            <w:r w:rsidR="00127FB4" w:rsidRPr="0022453B">
              <w:t> </w:t>
            </w:r>
            <w:r w:rsidRPr="0022453B">
              <w:rPr>
                <w:lang w:val="en-US"/>
              </w:rPr>
              <w:t>0</w:t>
            </w:r>
            <w:r w:rsidRPr="0022453B">
              <w:t>,00</w:t>
            </w:r>
            <w:r w:rsidRPr="0022453B">
              <w:rPr>
                <w:lang w:val="en-US"/>
              </w:rPr>
              <w:t>1</w:t>
            </w:r>
          </w:p>
        </w:tc>
      </w:tr>
      <w:tr w:rsidR="00436158" w:rsidRPr="0022453B" w:rsidTr="00C033BA">
        <w:trPr>
          <w:trHeight w:val="300"/>
          <w:jc w:val="center"/>
        </w:trPr>
        <w:tc>
          <w:tcPr>
            <w:tcW w:w="925"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pPr>
            <w:r w:rsidRPr="0022453B">
              <w:t>БА</w:t>
            </w:r>
            <w:r w:rsidR="00127FB4" w:rsidRPr="0022453B">
              <w:t> </w:t>
            </w:r>
            <w:r w:rsidRPr="0022453B">
              <w:t>+</w:t>
            </w:r>
            <w:r w:rsidR="00127FB4" w:rsidRPr="0022453B">
              <w:t> </w:t>
            </w:r>
            <w:r w:rsidRPr="0022453B">
              <w:t>О</w:t>
            </w:r>
            <w:r w:rsidR="00266C5F" w:rsidRPr="0022453B">
              <w:t>ж</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24</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81,79</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77,79</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85,47</w:t>
            </w:r>
          </w:p>
        </w:tc>
        <w:tc>
          <w:tcPr>
            <w:tcW w:w="1747"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041"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C033BA">
            <w:pPr>
              <w:pStyle w:val="aTableText"/>
              <w:ind w:left="-108" w:right="-59"/>
              <w:rPr>
                <w:lang w:val="en-US"/>
              </w:rPr>
            </w:pPr>
          </w:p>
        </w:tc>
      </w:tr>
      <w:tr w:rsidR="00436158" w:rsidRPr="0022453B" w:rsidTr="00C033BA">
        <w:trPr>
          <w:trHeight w:val="285"/>
          <w:jc w:val="center"/>
        </w:trPr>
        <w:tc>
          <w:tcPr>
            <w:tcW w:w="925"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5</w:t>
            </w: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pPr>
            <w:r w:rsidRPr="0022453B">
              <w:t>БА</w:t>
            </w:r>
            <w:r w:rsidR="00127FB4" w:rsidRPr="0022453B">
              <w:t> </w:t>
            </w:r>
            <w:r w:rsidRPr="0022453B">
              <w:t>+ЦД2Т</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38</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99,25</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97,99</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100,06</w:t>
            </w:r>
          </w:p>
        </w:tc>
        <w:tc>
          <w:tcPr>
            <w:tcW w:w="1747"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0</w:t>
            </w:r>
            <w:r w:rsidRPr="0022453B">
              <w:t>,000</w:t>
            </w:r>
          </w:p>
        </w:tc>
        <w:tc>
          <w:tcPr>
            <w:tcW w:w="1041"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C033BA">
            <w:pPr>
              <w:pStyle w:val="aTableText"/>
              <w:ind w:left="-108" w:right="-59"/>
              <w:rPr>
                <w:lang w:val="en-US"/>
              </w:rPr>
            </w:pPr>
            <w:r w:rsidRPr="0022453B">
              <w:rPr>
                <w:lang w:val="en-US"/>
              </w:rPr>
              <w:t>&lt;</w:t>
            </w:r>
            <w:r w:rsidR="00127FB4" w:rsidRPr="0022453B">
              <w:t> </w:t>
            </w:r>
            <w:r w:rsidRPr="0022453B">
              <w:rPr>
                <w:lang w:val="en-US"/>
              </w:rPr>
              <w:t>0</w:t>
            </w:r>
            <w:r w:rsidRPr="0022453B">
              <w:t>,00</w:t>
            </w:r>
            <w:r w:rsidRPr="0022453B">
              <w:rPr>
                <w:lang w:val="en-US"/>
              </w:rPr>
              <w:t>1</w:t>
            </w:r>
          </w:p>
        </w:tc>
      </w:tr>
      <w:tr w:rsidR="00436158" w:rsidRPr="0022453B" w:rsidTr="00C033BA">
        <w:trPr>
          <w:trHeight w:val="370"/>
          <w:jc w:val="center"/>
        </w:trPr>
        <w:tc>
          <w:tcPr>
            <w:tcW w:w="925"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560"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К</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9</w:t>
            </w:r>
          </w:p>
        </w:tc>
        <w:tc>
          <w:tcPr>
            <w:tcW w:w="1207"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45,11</w:t>
            </w:r>
          </w:p>
        </w:tc>
        <w:tc>
          <w:tcPr>
            <w:tcW w:w="1275"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42,83</w:t>
            </w:r>
          </w:p>
        </w:tc>
        <w:tc>
          <w:tcPr>
            <w:tcW w:w="1276"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45,755</w:t>
            </w:r>
          </w:p>
        </w:tc>
        <w:tc>
          <w:tcPr>
            <w:tcW w:w="1747"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pStyle w:val="aTableText"/>
              <w:rPr>
                <w:lang w:val="en-US"/>
              </w:rPr>
            </w:pPr>
          </w:p>
        </w:tc>
        <w:tc>
          <w:tcPr>
            <w:tcW w:w="1041"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C033BA">
            <w:pPr>
              <w:pStyle w:val="aTableText"/>
              <w:ind w:left="-108" w:right="-59"/>
              <w:rPr>
                <w:lang w:val="en-US"/>
              </w:rPr>
            </w:pPr>
          </w:p>
        </w:tc>
      </w:tr>
      <w:tr w:rsidR="00436158" w:rsidRPr="0022453B" w:rsidTr="00C033BA">
        <w:trPr>
          <w:trHeight w:val="315"/>
          <w:jc w:val="center"/>
        </w:trPr>
        <w:tc>
          <w:tcPr>
            <w:tcW w:w="925"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rPr>
                <w:lang w:val="en-US"/>
              </w:rPr>
              <w:t>6</w:t>
            </w:r>
          </w:p>
        </w:tc>
        <w:tc>
          <w:tcPr>
            <w:tcW w:w="1560" w:type="dxa"/>
            <w:tcBorders>
              <w:top w:val="nil"/>
              <w:left w:val="nil"/>
              <w:bottom w:val="single" w:sz="2" w:space="0" w:color="000000"/>
              <w:right w:val="single" w:sz="2" w:space="0" w:color="000000"/>
            </w:tcBorders>
            <w:vAlign w:val="bottom"/>
          </w:tcPr>
          <w:p w:rsidR="00436158" w:rsidRPr="0022453B" w:rsidRDefault="00436158" w:rsidP="00386014">
            <w:pPr>
              <w:pStyle w:val="aTableText"/>
            </w:pPr>
            <w:r w:rsidRPr="0022453B">
              <w:t>БА</w:t>
            </w:r>
            <w:r w:rsidR="00127FB4" w:rsidRPr="0022453B">
              <w:t> </w:t>
            </w:r>
            <w:r w:rsidRPr="0022453B">
              <w:t>+</w:t>
            </w:r>
            <w:r w:rsidR="00127FB4" w:rsidRPr="0022453B">
              <w:t> </w:t>
            </w:r>
            <w:r w:rsidRPr="0022453B">
              <w:t>О</w:t>
            </w:r>
            <w:r w:rsidR="00266C5F" w:rsidRPr="0022453B">
              <w:t>ж</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pStyle w:val="aTableText"/>
            </w:pPr>
            <w:r w:rsidRPr="0022453B">
              <w:t>24</w:t>
            </w:r>
          </w:p>
        </w:tc>
        <w:tc>
          <w:tcPr>
            <w:tcW w:w="1207"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81,79</w:t>
            </w:r>
          </w:p>
        </w:tc>
        <w:tc>
          <w:tcPr>
            <w:tcW w:w="1275"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77,79</w:t>
            </w:r>
          </w:p>
        </w:tc>
        <w:tc>
          <w:tcPr>
            <w:tcW w:w="1276" w:type="dxa"/>
            <w:tcBorders>
              <w:top w:val="nil"/>
              <w:left w:val="nil"/>
              <w:bottom w:val="single" w:sz="2" w:space="0" w:color="000000"/>
              <w:right w:val="single" w:sz="2" w:space="0" w:color="000000"/>
            </w:tcBorders>
          </w:tcPr>
          <w:p w:rsidR="00436158" w:rsidRPr="0022453B" w:rsidRDefault="00436158" w:rsidP="00386014">
            <w:pPr>
              <w:pStyle w:val="aTableText"/>
            </w:pPr>
            <w:r w:rsidRPr="0022453B">
              <w:t>85,47</w:t>
            </w:r>
          </w:p>
        </w:tc>
        <w:tc>
          <w:tcPr>
            <w:tcW w:w="1747"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386014">
            <w:pPr>
              <w:pStyle w:val="aTableText"/>
              <w:rPr>
                <w:lang w:val="en-US"/>
              </w:rPr>
            </w:pPr>
            <w:r w:rsidRPr="0022453B">
              <w:t>7,000</w:t>
            </w:r>
          </w:p>
        </w:tc>
        <w:tc>
          <w:tcPr>
            <w:tcW w:w="1041" w:type="dxa"/>
            <w:vMerge w:val="restart"/>
            <w:tcBorders>
              <w:top w:val="nil"/>
              <w:left w:val="single" w:sz="2" w:space="0" w:color="000000"/>
              <w:bottom w:val="single" w:sz="2" w:space="0" w:color="000000"/>
              <w:right w:val="single" w:sz="2" w:space="0" w:color="000000"/>
            </w:tcBorders>
            <w:vAlign w:val="center"/>
          </w:tcPr>
          <w:p w:rsidR="00436158" w:rsidRPr="0022453B" w:rsidRDefault="00436158" w:rsidP="00C033BA">
            <w:pPr>
              <w:pStyle w:val="aTableText"/>
              <w:ind w:left="-108" w:right="-59"/>
              <w:rPr>
                <w:lang w:val="en-US"/>
              </w:rPr>
            </w:pPr>
            <w:r w:rsidRPr="0022453B">
              <w:rPr>
                <w:lang w:val="en-US"/>
              </w:rPr>
              <w:t>&lt;</w:t>
            </w:r>
            <w:r w:rsidR="00127FB4" w:rsidRPr="0022453B">
              <w:t> </w:t>
            </w:r>
            <w:r w:rsidRPr="0022453B">
              <w:rPr>
                <w:lang w:val="en-US"/>
              </w:rPr>
              <w:t>0</w:t>
            </w:r>
            <w:r w:rsidRPr="0022453B">
              <w:t>,00</w:t>
            </w:r>
            <w:r w:rsidRPr="0022453B">
              <w:rPr>
                <w:lang w:val="en-US"/>
              </w:rPr>
              <w:t>1</w:t>
            </w:r>
          </w:p>
        </w:tc>
      </w:tr>
      <w:tr w:rsidR="00436158" w:rsidRPr="0022453B" w:rsidTr="00C033BA">
        <w:trPr>
          <w:trHeight w:val="380"/>
          <w:jc w:val="center"/>
        </w:trPr>
        <w:tc>
          <w:tcPr>
            <w:tcW w:w="925"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1560" w:type="dxa"/>
            <w:tcBorders>
              <w:top w:val="nil"/>
              <w:left w:val="nil"/>
              <w:bottom w:val="single" w:sz="2" w:space="0" w:color="000000"/>
              <w:right w:val="single" w:sz="2" w:space="0" w:color="000000"/>
            </w:tcBorders>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rPr>
            </w:pPr>
            <w:r w:rsidRPr="0022453B">
              <w:rPr>
                <w:rFonts w:ascii="Times New Roman" w:hAnsi="Times New Roman"/>
                <w:sz w:val="28"/>
                <w:szCs w:val="28"/>
              </w:rPr>
              <w:t>К</w:t>
            </w:r>
          </w:p>
        </w:tc>
        <w:tc>
          <w:tcPr>
            <w:tcW w:w="708" w:type="dxa"/>
            <w:tcBorders>
              <w:top w:val="nil"/>
              <w:left w:val="nil"/>
              <w:bottom w:val="single" w:sz="2" w:space="0" w:color="000000"/>
              <w:right w:val="single" w:sz="2" w:space="0" w:color="000000"/>
            </w:tcBorders>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rPr>
            </w:pPr>
            <w:r w:rsidRPr="0022453B">
              <w:rPr>
                <w:rFonts w:ascii="Times New Roman" w:hAnsi="Times New Roman"/>
                <w:sz w:val="28"/>
                <w:szCs w:val="28"/>
              </w:rPr>
              <w:t>9</w:t>
            </w:r>
          </w:p>
        </w:tc>
        <w:tc>
          <w:tcPr>
            <w:tcW w:w="1207" w:type="dxa"/>
            <w:tcBorders>
              <w:top w:val="nil"/>
              <w:left w:val="nil"/>
              <w:bottom w:val="single" w:sz="2" w:space="0" w:color="000000"/>
              <w:right w:val="single" w:sz="2" w:space="0" w:color="000000"/>
            </w:tcBorders>
            <w:vAlign w:val="center"/>
          </w:tcPr>
          <w:p w:rsidR="00436158" w:rsidRPr="0022453B" w:rsidRDefault="00436158" w:rsidP="00386014">
            <w:pPr>
              <w:spacing w:after="0" w:line="240" w:lineRule="auto"/>
              <w:jc w:val="center"/>
              <w:rPr>
                <w:rFonts w:ascii="Times New Roman" w:hAnsi="Times New Roman"/>
                <w:sz w:val="28"/>
                <w:szCs w:val="28"/>
              </w:rPr>
            </w:pPr>
            <w:r w:rsidRPr="0022453B">
              <w:rPr>
                <w:rFonts w:ascii="Times New Roman" w:hAnsi="Times New Roman"/>
                <w:sz w:val="28"/>
                <w:szCs w:val="28"/>
              </w:rPr>
              <w:t>45,11</w:t>
            </w:r>
          </w:p>
        </w:tc>
        <w:tc>
          <w:tcPr>
            <w:tcW w:w="1275" w:type="dxa"/>
            <w:tcBorders>
              <w:top w:val="nil"/>
              <w:left w:val="nil"/>
              <w:bottom w:val="single" w:sz="2" w:space="0" w:color="000000"/>
              <w:right w:val="single" w:sz="2" w:space="0" w:color="000000"/>
            </w:tcBorders>
            <w:vAlign w:val="center"/>
          </w:tcPr>
          <w:p w:rsidR="00436158" w:rsidRPr="0022453B" w:rsidRDefault="00436158" w:rsidP="00386014">
            <w:pPr>
              <w:spacing w:after="0" w:line="240" w:lineRule="auto"/>
              <w:jc w:val="center"/>
              <w:rPr>
                <w:rFonts w:ascii="Times New Roman" w:hAnsi="Times New Roman"/>
                <w:sz w:val="28"/>
                <w:szCs w:val="28"/>
              </w:rPr>
            </w:pPr>
            <w:r w:rsidRPr="0022453B">
              <w:rPr>
                <w:rFonts w:ascii="Times New Roman" w:hAnsi="Times New Roman"/>
                <w:sz w:val="28"/>
                <w:szCs w:val="28"/>
              </w:rPr>
              <w:t>42,83</w:t>
            </w:r>
          </w:p>
        </w:tc>
        <w:tc>
          <w:tcPr>
            <w:tcW w:w="1276" w:type="dxa"/>
            <w:tcBorders>
              <w:top w:val="nil"/>
              <w:left w:val="nil"/>
              <w:bottom w:val="single" w:sz="2" w:space="0" w:color="000000"/>
              <w:right w:val="single" w:sz="2" w:space="0" w:color="000000"/>
            </w:tcBorders>
            <w:vAlign w:val="center"/>
          </w:tcPr>
          <w:p w:rsidR="00436158" w:rsidRPr="0022453B" w:rsidRDefault="00436158" w:rsidP="00386014">
            <w:pPr>
              <w:spacing w:after="0" w:line="240" w:lineRule="auto"/>
              <w:jc w:val="center"/>
              <w:rPr>
                <w:rFonts w:ascii="Times New Roman" w:hAnsi="Times New Roman"/>
                <w:sz w:val="28"/>
                <w:szCs w:val="28"/>
              </w:rPr>
            </w:pPr>
            <w:r w:rsidRPr="0022453B">
              <w:rPr>
                <w:rFonts w:ascii="Times New Roman" w:hAnsi="Times New Roman"/>
                <w:sz w:val="28"/>
                <w:szCs w:val="28"/>
              </w:rPr>
              <w:t>45,755</w:t>
            </w:r>
          </w:p>
        </w:tc>
        <w:tc>
          <w:tcPr>
            <w:tcW w:w="1747"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c>
          <w:tcPr>
            <w:tcW w:w="1041" w:type="dxa"/>
            <w:vMerge/>
            <w:tcBorders>
              <w:top w:val="nil"/>
              <w:left w:val="single" w:sz="2" w:space="0" w:color="000000"/>
              <w:bottom w:val="single" w:sz="2" w:space="0" w:color="000000"/>
              <w:right w:val="single" w:sz="2" w:space="0" w:color="000000"/>
            </w:tcBorders>
            <w:shd w:val="clear" w:color="000000" w:fill="FFFFFF"/>
            <w:vAlign w:val="center"/>
          </w:tcPr>
          <w:p w:rsidR="00436158" w:rsidRPr="0022453B" w:rsidRDefault="00436158" w:rsidP="00386014">
            <w:pPr>
              <w:autoSpaceDE w:val="0"/>
              <w:autoSpaceDN w:val="0"/>
              <w:adjustRightInd w:val="0"/>
              <w:spacing w:after="0" w:line="240" w:lineRule="auto"/>
              <w:jc w:val="center"/>
              <w:rPr>
                <w:rFonts w:ascii="Times New Roman" w:hAnsi="Times New Roman"/>
                <w:sz w:val="28"/>
                <w:szCs w:val="28"/>
                <w:lang w:val="en-US"/>
              </w:rPr>
            </w:pPr>
          </w:p>
        </w:tc>
      </w:tr>
    </w:tbl>
    <w:p w:rsidR="00190E1A" w:rsidRPr="0022453B" w:rsidRDefault="00190E1A" w:rsidP="00386014">
      <w:pPr>
        <w:pStyle w:val="atextRef"/>
        <w:spacing w:line="240" w:lineRule="auto"/>
      </w:pPr>
    </w:p>
    <w:p w:rsidR="000D04DD" w:rsidRPr="0068604C" w:rsidRDefault="000D04DD" w:rsidP="00CD5061">
      <w:pPr>
        <w:spacing w:after="0" w:line="288" w:lineRule="auto"/>
        <w:ind w:firstLine="709"/>
        <w:jc w:val="both"/>
        <w:rPr>
          <w:rFonts w:ascii="Times New Roman" w:hAnsi="Times New Roman"/>
          <w:sz w:val="28"/>
          <w:szCs w:val="28"/>
        </w:rPr>
      </w:pPr>
      <w:r w:rsidRPr="000D04DD">
        <w:rPr>
          <w:rFonts w:ascii="Times New Roman" w:hAnsi="Times New Roman"/>
          <w:sz w:val="28"/>
          <w:szCs w:val="28"/>
        </w:rPr>
        <w:t xml:space="preserve">При розподілі хворих залежно від вираженості синдрому бронхіальної обструкції виявлено, що високий рівень ФКУ був притаманний підгрупі з </w:t>
      </w:r>
      <w:r w:rsidRPr="000D04DD">
        <w:rPr>
          <w:rFonts w:ascii="Times New Roman" w:hAnsi="Times New Roman"/>
          <w:sz w:val="28"/>
          <w:szCs w:val="28"/>
          <w:lang w:eastAsia="ru-RU"/>
        </w:rPr>
        <w:t>ОФВ</w:t>
      </w:r>
      <w:r w:rsidRPr="000D04DD">
        <w:rPr>
          <w:rFonts w:ascii="Times New Roman" w:hAnsi="Times New Roman"/>
          <w:sz w:val="28"/>
          <w:szCs w:val="28"/>
          <w:vertAlign w:val="subscript"/>
          <w:lang w:eastAsia="ru-RU"/>
        </w:rPr>
        <w:t>1 </w:t>
      </w:r>
      <w:r w:rsidRPr="000D04DD">
        <w:rPr>
          <w:rFonts w:ascii="Times New Roman" w:hAnsi="Times New Roman"/>
          <w:sz w:val="28"/>
          <w:szCs w:val="28"/>
          <w:lang w:eastAsia="ru-RU"/>
        </w:rPr>
        <w:t>&lt; 50 % (р </w:t>
      </w:r>
      <w:r w:rsidRPr="000D04DD">
        <w:rPr>
          <w:rFonts w:ascii="Times New Roman" w:hAnsi="Times New Roman"/>
          <w:sz w:val="28"/>
          <w:szCs w:val="28"/>
        </w:rPr>
        <w:t xml:space="preserve">&lt; 0,05), істотно відносно підгрупи з </w:t>
      </w:r>
      <w:r w:rsidRPr="000D04DD">
        <w:rPr>
          <w:rFonts w:ascii="Times New Roman" w:hAnsi="Times New Roman"/>
          <w:sz w:val="28"/>
          <w:szCs w:val="28"/>
          <w:lang w:eastAsia="ru-RU"/>
        </w:rPr>
        <w:t>ОФВ</w:t>
      </w:r>
      <w:r w:rsidRPr="000D04DD">
        <w:rPr>
          <w:rFonts w:ascii="Times New Roman" w:hAnsi="Times New Roman"/>
          <w:sz w:val="28"/>
          <w:szCs w:val="28"/>
          <w:vertAlign w:val="subscript"/>
          <w:lang w:eastAsia="ru-RU"/>
        </w:rPr>
        <w:t>1 </w:t>
      </w:r>
      <w:r w:rsidRPr="000D04DD">
        <w:rPr>
          <w:rFonts w:ascii="Times New Roman" w:hAnsi="Times New Roman"/>
          <w:sz w:val="28"/>
          <w:szCs w:val="28"/>
          <w:lang w:eastAsia="ru-RU"/>
        </w:rPr>
        <w:t>&gt; 60%. Найбільший рівень ФКУ визначено у хворих на БА + ЦД2Т і БА + Ож за умов ОФВ</w:t>
      </w:r>
      <w:r w:rsidRPr="000D04DD">
        <w:rPr>
          <w:rFonts w:ascii="Times New Roman" w:hAnsi="Times New Roman"/>
          <w:sz w:val="28"/>
          <w:szCs w:val="28"/>
          <w:vertAlign w:val="subscript"/>
          <w:lang w:eastAsia="ru-RU"/>
        </w:rPr>
        <w:t>1 </w:t>
      </w:r>
      <w:r w:rsidRPr="000D04DD">
        <w:rPr>
          <w:rFonts w:ascii="Times New Roman" w:hAnsi="Times New Roman"/>
          <w:sz w:val="28"/>
          <w:szCs w:val="28"/>
          <w:lang w:eastAsia="ru-RU"/>
        </w:rPr>
        <w:t>&lt; 50 % (</w:t>
      </w:r>
      <w:r w:rsidRPr="000D04DD">
        <w:rPr>
          <w:rFonts w:ascii="Times New Roman" w:hAnsi="Times New Roman"/>
          <w:sz w:val="28"/>
          <w:szCs w:val="28"/>
        </w:rPr>
        <w:t>100,06 [97,85;100,16] і 82,46 [77,54;87,47] пг/мл), що у 2,2 і 1,8 раз</w:t>
      </w:r>
      <w:r w:rsidR="0089008F">
        <w:rPr>
          <w:rFonts w:ascii="Times New Roman" w:hAnsi="Times New Roman"/>
          <w:sz w:val="28"/>
          <w:szCs w:val="28"/>
        </w:rPr>
        <w:t>а</w:t>
      </w:r>
      <w:r w:rsidRPr="000D04DD">
        <w:rPr>
          <w:rFonts w:ascii="Times New Roman" w:hAnsi="Times New Roman"/>
          <w:sz w:val="28"/>
          <w:szCs w:val="28"/>
        </w:rPr>
        <w:t xml:space="preserve"> вище, ніж при БА (</w:t>
      </w:r>
      <w:r w:rsidRPr="000D04DD">
        <w:rPr>
          <w:rFonts w:ascii="Times New Roman" w:hAnsi="Times New Roman"/>
          <w:sz w:val="28"/>
          <w:szCs w:val="28"/>
          <w:lang w:eastAsia="ru-RU"/>
        </w:rPr>
        <w:t xml:space="preserve">обидва </w:t>
      </w:r>
      <w:r w:rsidRPr="000D04DD">
        <w:rPr>
          <w:rFonts w:ascii="Times New Roman" w:hAnsi="Times New Roman"/>
          <w:sz w:val="28"/>
          <w:szCs w:val="28"/>
        </w:rPr>
        <w:t>р &lt; 0,001).</w:t>
      </w:r>
      <w:r w:rsidR="00084D16">
        <w:rPr>
          <w:rFonts w:ascii="Times New Roman" w:hAnsi="Times New Roman"/>
          <w:sz w:val="28"/>
          <w:szCs w:val="28"/>
        </w:rPr>
        <w:t xml:space="preserve"> </w:t>
      </w:r>
      <w:r w:rsidRPr="000D04DD">
        <w:rPr>
          <w:rFonts w:ascii="Times New Roman" w:hAnsi="Times New Roman"/>
          <w:sz w:val="28"/>
          <w:szCs w:val="28"/>
        </w:rPr>
        <w:t>Аналіз рівнів ФКУ залежно від ШКФ виявив максимально високий рівень ФКУ у хворих на БА + ЦД2Т за умов ШКФ &lt; 60 мл/хв/1,73м</w:t>
      </w:r>
      <w:r w:rsidRPr="000D04DD">
        <w:rPr>
          <w:rFonts w:ascii="Times New Roman" w:hAnsi="Times New Roman"/>
          <w:sz w:val="28"/>
          <w:szCs w:val="28"/>
          <w:vertAlign w:val="superscript"/>
        </w:rPr>
        <w:t>2</w:t>
      </w:r>
      <w:r w:rsidRPr="000D04DD">
        <w:rPr>
          <w:rFonts w:ascii="Times New Roman" w:hAnsi="Times New Roman"/>
          <w:sz w:val="28"/>
          <w:szCs w:val="28"/>
        </w:rPr>
        <w:t xml:space="preserve"> порівняно з контролем (</w:t>
      </w:r>
      <w:r w:rsidRPr="000D04DD">
        <w:rPr>
          <w:rFonts w:ascii="Times New Roman" w:hAnsi="Times New Roman"/>
          <w:sz w:val="28"/>
          <w:szCs w:val="28"/>
          <w:lang w:eastAsia="ru-RU"/>
        </w:rPr>
        <w:t>105,25 [95,75;114,12]</w:t>
      </w:r>
      <w:r w:rsidRPr="000D04DD">
        <w:rPr>
          <w:rFonts w:ascii="Times New Roman" w:hAnsi="Times New Roman"/>
          <w:sz w:val="28"/>
          <w:szCs w:val="28"/>
        </w:rPr>
        <w:t xml:space="preserve"> пг/мл, р </w:t>
      </w:r>
      <w:r w:rsidRPr="000D04DD">
        <w:rPr>
          <w:rFonts w:ascii="Times New Roman" w:hAnsi="Times New Roman"/>
          <w:sz w:val="28"/>
          <w:szCs w:val="28"/>
          <w:lang w:eastAsia="ru-RU"/>
        </w:rPr>
        <w:t>&lt; 0,05).</w:t>
      </w:r>
      <w:r w:rsidRPr="000D04DD">
        <w:rPr>
          <w:rFonts w:ascii="Times New Roman" w:hAnsi="Times New Roman"/>
          <w:sz w:val="28"/>
          <w:szCs w:val="28"/>
        </w:rPr>
        <w:t xml:space="preserve"> Вміст ФКУ у хворих на БА + Ож при ШКФ &lt; 60 мл/хв/1,73м</w:t>
      </w:r>
      <w:r w:rsidRPr="000D04DD">
        <w:rPr>
          <w:rFonts w:ascii="Times New Roman" w:hAnsi="Times New Roman"/>
          <w:sz w:val="28"/>
          <w:szCs w:val="28"/>
          <w:vertAlign w:val="superscript"/>
        </w:rPr>
        <w:t>2</w:t>
      </w:r>
      <w:r w:rsidRPr="000D04DD">
        <w:rPr>
          <w:rFonts w:ascii="Times New Roman" w:hAnsi="Times New Roman"/>
          <w:sz w:val="28"/>
          <w:szCs w:val="28"/>
        </w:rPr>
        <w:t>, був у 1,3 раз</w:t>
      </w:r>
      <w:r w:rsidR="001768D5">
        <w:rPr>
          <w:rFonts w:ascii="Times New Roman" w:hAnsi="Times New Roman"/>
          <w:sz w:val="28"/>
          <w:szCs w:val="28"/>
        </w:rPr>
        <w:t>а</w:t>
      </w:r>
      <w:r w:rsidRPr="000D04DD">
        <w:rPr>
          <w:rFonts w:ascii="Times New Roman" w:hAnsi="Times New Roman"/>
          <w:sz w:val="28"/>
          <w:szCs w:val="28"/>
        </w:rPr>
        <w:t xml:space="preserve"> нижчим, ніж у хворих на БА + ЦД2Т (р </w:t>
      </w:r>
      <w:r w:rsidRPr="000D04DD">
        <w:rPr>
          <w:rFonts w:ascii="Times New Roman" w:hAnsi="Times New Roman"/>
          <w:sz w:val="28"/>
          <w:szCs w:val="28"/>
          <w:lang w:eastAsia="ru-RU"/>
        </w:rPr>
        <w:t>&lt; 0,05).</w:t>
      </w:r>
      <w:r w:rsidRPr="000D04DD">
        <w:rPr>
          <w:rFonts w:ascii="Times New Roman" w:hAnsi="Times New Roman"/>
          <w:sz w:val="28"/>
          <w:szCs w:val="28"/>
        </w:rPr>
        <w:t xml:space="preserve"> Підвищення рівня ФКУ було притаманним і хворим з БА та </w:t>
      </w:r>
      <w:r w:rsidRPr="000D04DD">
        <w:rPr>
          <w:rFonts w:ascii="Times New Roman" w:hAnsi="Times New Roman"/>
          <w:sz w:val="28"/>
          <w:szCs w:val="28"/>
          <w:lang w:eastAsia="ru-RU"/>
        </w:rPr>
        <w:t>ШКФ &lt; 60 мл/хв/1,73м</w:t>
      </w:r>
      <w:r w:rsidRPr="000D04DD">
        <w:rPr>
          <w:rFonts w:ascii="Times New Roman" w:hAnsi="Times New Roman"/>
          <w:sz w:val="28"/>
          <w:szCs w:val="28"/>
          <w:vertAlign w:val="superscript"/>
          <w:lang w:eastAsia="ru-RU"/>
        </w:rPr>
        <w:t>2</w:t>
      </w:r>
      <w:r w:rsidRPr="000D04DD">
        <w:rPr>
          <w:rFonts w:ascii="Times New Roman" w:hAnsi="Times New Roman"/>
          <w:sz w:val="28"/>
          <w:szCs w:val="28"/>
          <w:lang w:eastAsia="ru-RU"/>
        </w:rPr>
        <w:t>, що перевищувало у 1,5 раз</w:t>
      </w:r>
      <w:r w:rsidR="001768D5">
        <w:rPr>
          <w:rFonts w:ascii="Times New Roman" w:hAnsi="Times New Roman"/>
          <w:sz w:val="28"/>
          <w:szCs w:val="28"/>
          <w:lang w:eastAsia="ru-RU"/>
        </w:rPr>
        <w:t>а</w:t>
      </w:r>
      <w:r w:rsidRPr="000D04DD">
        <w:rPr>
          <w:rFonts w:ascii="Times New Roman" w:hAnsi="Times New Roman"/>
          <w:sz w:val="28"/>
          <w:szCs w:val="28"/>
          <w:lang w:eastAsia="ru-RU"/>
        </w:rPr>
        <w:t xml:space="preserve"> дані групи контролю </w:t>
      </w:r>
      <w:r w:rsidRPr="000D04DD">
        <w:rPr>
          <w:rFonts w:ascii="Times New Roman" w:hAnsi="Times New Roman"/>
          <w:sz w:val="28"/>
          <w:szCs w:val="28"/>
        </w:rPr>
        <w:t>(р </w:t>
      </w:r>
      <w:r w:rsidRPr="000D04DD">
        <w:rPr>
          <w:rFonts w:ascii="Times New Roman" w:hAnsi="Times New Roman"/>
          <w:sz w:val="28"/>
          <w:szCs w:val="28"/>
          <w:lang w:eastAsia="ru-RU"/>
        </w:rPr>
        <w:t>&lt; 0,05).</w:t>
      </w:r>
      <w:r w:rsidR="00084D16">
        <w:rPr>
          <w:rFonts w:ascii="Times New Roman" w:hAnsi="Times New Roman"/>
          <w:sz w:val="28"/>
          <w:szCs w:val="28"/>
          <w:lang w:eastAsia="ru-RU"/>
        </w:rPr>
        <w:t xml:space="preserve"> </w:t>
      </w:r>
      <w:r w:rsidRPr="000D04DD">
        <w:rPr>
          <w:rFonts w:ascii="Times New Roman" w:hAnsi="Times New Roman"/>
          <w:sz w:val="28"/>
          <w:szCs w:val="28"/>
        </w:rPr>
        <w:t xml:space="preserve">Були виявлені </w:t>
      </w:r>
      <w:r w:rsidR="00E54B2F">
        <w:rPr>
          <w:rFonts w:ascii="Times New Roman" w:hAnsi="Times New Roman"/>
          <w:sz w:val="28"/>
          <w:szCs w:val="28"/>
        </w:rPr>
        <w:t>зворот</w:t>
      </w:r>
      <w:r w:rsidRPr="000D04DD">
        <w:rPr>
          <w:rFonts w:ascii="Times New Roman" w:hAnsi="Times New Roman"/>
          <w:sz w:val="28"/>
          <w:szCs w:val="28"/>
        </w:rPr>
        <w:t xml:space="preserve">ні зв'язки помірної сили між рівнями </w:t>
      </w:r>
      <w:r w:rsidR="00CE3A61">
        <w:rPr>
          <w:rFonts w:ascii="Times New Roman" w:hAnsi="Times New Roman"/>
          <w:sz w:val="28"/>
          <w:szCs w:val="28"/>
        </w:rPr>
        <w:t>ФКУ</w:t>
      </w:r>
      <w:r w:rsidRPr="000D04DD">
        <w:rPr>
          <w:rFonts w:ascii="Times New Roman" w:hAnsi="Times New Roman"/>
          <w:sz w:val="28"/>
          <w:szCs w:val="28"/>
        </w:rPr>
        <w:t xml:space="preserve"> й показниками ФЗД у хворих на БА + ЦД2Т (з ОФВ</w:t>
      </w:r>
      <w:r w:rsidRPr="000D04DD">
        <w:rPr>
          <w:rFonts w:ascii="Times New Roman" w:hAnsi="Times New Roman"/>
          <w:sz w:val="28"/>
          <w:szCs w:val="28"/>
          <w:vertAlign w:val="subscript"/>
        </w:rPr>
        <w:t xml:space="preserve">1 </w:t>
      </w:r>
      <w:r w:rsidRPr="000D04DD">
        <w:rPr>
          <w:rFonts w:ascii="Times New Roman" w:hAnsi="Times New Roman"/>
          <w:sz w:val="28"/>
          <w:szCs w:val="28"/>
          <w:lang w:val="en-US"/>
        </w:rPr>
        <w:t>R</w:t>
      </w:r>
      <w:r w:rsidRPr="000D04DD">
        <w:rPr>
          <w:rFonts w:ascii="Times New Roman" w:hAnsi="Times New Roman"/>
          <w:sz w:val="28"/>
          <w:szCs w:val="28"/>
        </w:rPr>
        <w:t> = – 0,45, р &lt; 0,05, з ФШВ</w:t>
      </w:r>
      <w:r w:rsidRPr="000D04DD">
        <w:rPr>
          <w:rFonts w:ascii="Times New Roman" w:hAnsi="Times New Roman"/>
          <w:sz w:val="28"/>
          <w:szCs w:val="28"/>
          <w:vertAlign w:val="subscript"/>
        </w:rPr>
        <w:t>25</w:t>
      </w:r>
      <w:r w:rsidRPr="000D04DD">
        <w:rPr>
          <w:rFonts w:ascii="Times New Roman" w:hAnsi="Times New Roman"/>
          <w:sz w:val="28"/>
          <w:szCs w:val="28"/>
        </w:rPr>
        <w:t xml:space="preserve"> </w:t>
      </w:r>
      <w:r w:rsidRPr="000D04DD">
        <w:rPr>
          <w:rFonts w:ascii="Times New Roman" w:hAnsi="Times New Roman"/>
          <w:sz w:val="28"/>
          <w:szCs w:val="28"/>
          <w:lang w:val="en-US"/>
        </w:rPr>
        <w:t>R</w:t>
      </w:r>
      <w:r w:rsidRPr="000D04DD">
        <w:rPr>
          <w:rFonts w:ascii="Times New Roman" w:hAnsi="Times New Roman"/>
          <w:sz w:val="28"/>
          <w:szCs w:val="28"/>
        </w:rPr>
        <w:t> = – 0,5, р &lt;0,05; з ФШВ</w:t>
      </w:r>
      <w:r w:rsidRPr="000D04DD">
        <w:rPr>
          <w:rFonts w:ascii="Times New Roman" w:hAnsi="Times New Roman"/>
          <w:sz w:val="28"/>
          <w:szCs w:val="28"/>
          <w:vertAlign w:val="subscript"/>
        </w:rPr>
        <w:t>50</w:t>
      </w:r>
      <w:r w:rsidRPr="000D04DD">
        <w:rPr>
          <w:rFonts w:ascii="Times New Roman" w:hAnsi="Times New Roman"/>
          <w:sz w:val="28"/>
          <w:szCs w:val="28"/>
        </w:rPr>
        <w:t xml:space="preserve"> </w:t>
      </w:r>
      <w:r w:rsidRPr="000D04DD">
        <w:rPr>
          <w:rFonts w:ascii="Times New Roman" w:hAnsi="Times New Roman"/>
          <w:sz w:val="28"/>
          <w:szCs w:val="28"/>
          <w:lang w:val="en-US"/>
        </w:rPr>
        <w:t>R</w:t>
      </w:r>
      <w:r w:rsidRPr="000D04DD">
        <w:rPr>
          <w:rFonts w:ascii="Times New Roman" w:hAnsi="Times New Roman"/>
          <w:sz w:val="28"/>
          <w:szCs w:val="28"/>
        </w:rPr>
        <w:t> = – 0,44, р &lt; 0,05); на БА + Ож (з ОФВ</w:t>
      </w:r>
      <w:r w:rsidRPr="000D04DD">
        <w:rPr>
          <w:rFonts w:ascii="Times New Roman" w:hAnsi="Times New Roman"/>
          <w:sz w:val="28"/>
          <w:szCs w:val="28"/>
          <w:vertAlign w:val="subscript"/>
        </w:rPr>
        <w:t xml:space="preserve">1 </w:t>
      </w:r>
      <w:r w:rsidRPr="000D04DD">
        <w:rPr>
          <w:rFonts w:ascii="Times New Roman" w:hAnsi="Times New Roman"/>
          <w:sz w:val="28"/>
          <w:szCs w:val="28"/>
          <w:lang w:val="en-US"/>
        </w:rPr>
        <w:t>R</w:t>
      </w:r>
      <w:r w:rsidRPr="000D04DD">
        <w:rPr>
          <w:rFonts w:ascii="Times New Roman" w:hAnsi="Times New Roman"/>
          <w:sz w:val="28"/>
          <w:szCs w:val="28"/>
        </w:rPr>
        <w:t> = – 0,49, р &lt;0,05, з ФШВ</w:t>
      </w:r>
      <w:r w:rsidRPr="000D04DD">
        <w:rPr>
          <w:rFonts w:ascii="Times New Roman" w:hAnsi="Times New Roman"/>
          <w:sz w:val="28"/>
          <w:szCs w:val="28"/>
          <w:vertAlign w:val="subscript"/>
        </w:rPr>
        <w:t>25</w:t>
      </w:r>
      <w:r w:rsidRPr="000D04DD">
        <w:rPr>
          <w:rFonts w:ascii="Times New Roman" w:hAnsi="Times New Roman"/>
          <w:sz w:val="28"/>
          <w:szCs w:val="28"/>
        </w:rPr>
        <w:t xml:space="preserve"> </w:t>
      </w:r>
      <w:r w:rsidRPr="000D04DD">
        <w:rPr>
          <w:rFonts w:ascii="Times New Roman" w:hAnsi="Times New Roman"/>
          <w:sz w:val="28"/>
          <w:szCs w:val="28"/>
          <w:lang w:val="en-US"/>
        </w:rPr>
        <w:t>R</w:t>
      </w:r>
      <w:r w:rsidRPr="000D04DD">
        <w:rPr>
          <w:rFonts w:ascii="Times New Roman" w:hAnsi="Times New Roman"/>
          <w:sz w:val="28"/>
          <w:szCs w:val="28"/>
        </w:rPr>
        <w:t xml:space="preserve"> = –0,54, р &lt; 0,05 і з ФШВ</w:t>
      </w:r>
      <w:r w:rsidRPr="000D04DD">
        <w:rPr>
          <w:rFonts w:ascii="Times New Roman" w:hAnsi="Times New Roman"/>
          <w:sz w:val="28"/>
          <w:szCs w:val="28"/>
          <w:vertAlign w:val="subscript"/>
        </w:rPr>
        <w:t>50</w:t>
      </w:r>
      <w:r w:rsidRPr="000D04DD">
        <w:rPr>
          <w:rFonts w:ascii="Times New Roman" w:hAnsi="Times New Roman"/>
          <w:sz w:val="28"/>
          <w:szCs w:val="28"/>
        </w:rPr>
        <w:t> </w:t>
      </w:r>
      <w:r w:rsidRPr="000D04DD">
        <w:rPr>
          <w:rFonts w:ascii="Times New Roman" w:hAnsi="Times New Roman"/>
          <w:sz w:val="28"/>
          <w:szCs w:val="28"/>
          <w:lang w:val="en-US"/>
        </w:rPr>
        <w:t>R</w:t>
      </w:r>
      <w:r w:rsidRPr="000D04DD">
        <w:rPr>
          <w:rFonts w:ascii="Times New Roman" w:hAnsi="Times New Roman"/>
          <w:sz w:val="28"/>
          <w:szCs w:val="28"/>
        </w:rPr>
        <w:t xml:space="preserve"> = –0,49, р = 0,05); у хворих на БА (з ОФВ</w:t>
      </w:r>
      <w:r w:rsidRPr="000D04DD">
        <w:rPr>
          <w:rFonts w:ascii="Times New Roman" w:hAnsi="Times New Roman"/>
          <w:sz w:val="28"/>
          <w:szCs w:val="28"/>
          <w:vertAlign w:val="subscript"/>
        </w:rPr>
        <w:t xml:space="preserve">1 </w:t>
      </w:r>
      <w:r w:rsidRPr="000D04DD">
        <w:rPr>
          <w:rFonts w:ascii="Times New Roman" w:hAnsi="Times New Roman"/>
          <w:sz w:val="28"/>
          <w:szCs w:val="28"/>
          <w:lang w:val="en-US"/>
        </w:rPr>
        <w:t>R</w:t>
      </w:r>
      <w:r w:rsidRPr="000D04DD">
        <w:rPr>
          <w:rFonts w:ascii="Times New Roman" w:hAnsi="Times New Roman"/>
          <w:sz w:val="28"/>
          <w:szCs w:val="28"/>
        </w:rPr>
        <w:t> = –0,42, р &lt; 0,05, з ФШВ</w:t>
      </w:r>
      <w:r w:rsidRPr="000D04DD">
        <w:rPr>
          <w:rFonts w:ascii="Times New Roman" w:hAnsi="Times New Roman"/>
          <w:sz w:val="28"/>
          <w:szCs w:val="28"/>
          <w:vertAlign w:val="subscript"/>
        </w:rPr>
        <w:t>25</w:t>
      </w:r>
      <w:r w:rsidRPr="000D04DD">
        <w:rPr>
          <w:rFonts w:ascii="Times New Roman" w:hAnsi="Times New Roman"/>
          <w:sz w:val="28"/>
          <w:szCs w:val="28"/>
        </w:rPr>
        <w:t xml:space="preserve"> </w:t>
      </w:r>
      <w:r w:rsidRPr="000D04DD">
        <w:rPr>
          <w:rFonts w:ascii="Times New Roman" w:hAnsi="Times New Roman"/>
          <w:sz w:val="28"/>
          <w:szCs w:val="28"/>
          <w:lang w:val="en-US"/>
        </w:rPr>
        <w:t>R</w:t>
      </w:r>
      <w:r w:rsidRPr="000D04DD">
        <w:rPr>
          <w:rFonts w:ascii="Times New Roman" w:hAnsi="Times New Roman"/>
          <w:sz w:val="28"/>
          <w:szCs w:val="28"/>
        </w:rPr>
        <w:t> = – 0,41, р &lt;0,05 і з ФШВ</w:t>
      </w:r>
      <w:r w:rsidRPr="000D04DD">
        <w:rPr>
          <w:rFonts w:ascii="Times New Roman" w:hAnsi="Times New Roman"/>
          <w:sz w:val="28"/>
          <w:szCs w:val="28"/>
          <w:vertAlign w:val="subscript"/>
        </w:rPr>
        <w:t>50</w:t>
      </w:r>
      <w:r w:rsidRPr="000D04DD">
        <w:rPr>
          <w:rFonts w:ascii="Times New Roman" w:hAnsi="Times New Roman"/>
          <w:sz w:val="28"/>
          <w:szCs w:val="28"/>
        </w:rPr>
        <w:t> </w:t>
      </w:r>
      <w:r w:rsidRPr="000D04DD">
        <w:rPr>
          <w:rFonts w:ascii="Times New Roman" w:hAnsi="Times New Roman"/>
          <w:sz w:val="28"/>
          <w:szCs w:val="28"/>
          <w:lang w:val="en-US"/>
        </w:rPr>
        <w:t>R</w:t>
      </w:r>
      <w:r w:rsidRPr="000D04DD">
        <w:rPr>
          <w:rFonts w:ascii="Times New Roman" w:hAnsi="Times New Roman"/>
          <w:sz w:val="28"/>
          <w:szCs w:val="28"/>
        </w:rPr>
        <w:t> = – 0,40,</w:t>
      </w:r>
      <w:r w:rsidRPr="0068604C">
        <w:rPr>
          <w:rFonts w:ascii="Times New Roman" w:hAnsi="Times New Roman"/>
          <w:sz w:val="28"/>
          <w:szCs w:val="28"/>
        </w:rPr>
        <w:t xml:space="preserve"> </w:t>
      </w:r>
      <w:r w:rsidRPr="00F50101">
        <w:rPr>
          <w:rFonts w:ascii="Times New Roman" w:hAnsi="Times New Roman"/>
          <w:sz w:val="28"/>
          <w:szCs w:val="28"/>
        </w:rPr>
        <w:t>р &lt; 0,05); а також між ФКУ та ШКФ при БА + ЦД2Т (</w:t>
      </w:r>
      <w:r w:rsidRPr="00F50101">
        <w:rPr>
          <w:rFonts w:ascii="Times New Roman" w:hAnsi="Times New Roman"/>
          <w:sz w:val="28"/>
          <w:szCs w:val="28"/>
          <w:lang w:val="en-US"/>
        </w:rPr>
        <w:t>R</w:t>
      </w:r>
      <w:r w:rsidRPr="00F50101">
        <w:rPr>
          <w:rFonts w:ascii="Times New Roman" w:hAnsi="Times New Roman"/>
          <w:sz w:val="28"/>
          <w:szCs w:val="28"/>
        </w:rPr>
        <w:t> = – 0,57, р &lt; 0,05), при БА + Ож (</w:t>
      </w:r>
      <w:r w:rsidRPr="00F50101">
        <w:rPr>
          <w:rFonts w:ascii="Times New Roman" w:hAnsi="Times New Roman"/>
          <w:sz w:val="28"/>
          <w:szCs w:val="28"/>
          <w:lang w:val="en-US"/>
        </w:rPr>
        <w:t>R</w:t>
      </w:r>
      <w:r w:rsidRPr="00F50101">
        <w:rPr>
          <w:rFonts w:ascii="Times New Roman" w:hAnsi="Times New Roman"/>
          <w:sz w:val="28"/>
          <w:szCs w:val="28"/>
        </w:rPr>
        <w:t> = – 0,42, р &lt; 0,05) та при БА (</w:t>
      </w:r>
      <w:r w:rsidRPr="00F50101">
        <w:rPr>
          <w:rFonts w:ascii="Times New Roman" w:hAnsi="Times New Roman"/>
          <w:sz w:val="28"/>
          <w:szCs w:val="28"/>
          <w:lang w:val="en-US"/>
        </w:rPr>
        <w:t>R</w:t>
      </w:r>
      <w:r w:rsidRPr="00F50101">
        <w:rPr>
          <w:rFonts w:ascii="Times New Roman" w:hAnsi="Times New Roman"/>
          <w:sz w:val="28"/>
          <w:szCs w:val="28"/>
        </w:rPr>
        <w:t xml:space="preserve"> = –0,38, р &lt; 0,05), що може свідчити про прогресування обструктивних вентиляційних порушень і зменшення </w:t>
      </w:r>
      <w:r w:rsidR="00F50101">
        <w:rPr>
          <w:rFonts w:ascii="Times New Roman" w:hAnsi="Times New Roman"/>
          <w:sz w:val="28"/>
          <w:szCs w:val="28"/>
        </w:rPr>
        <w:t>ШКФ</w:t>
      </w:r>
      <w:r w:rsidRPr="00F50101">
        <w:rPr>
          <w:rFonts w:ascii="Times New Roman" w:hAnsi="Times New Roman"/>
          <w:sz w:val="28"/>
          <w:szCs w:val="28"/>
        </w:rPr>
        <w:t xml:space="preserve"> по мірі збільшення рівня плазмового </w:t>
      </w:r>
      <w:r w:rsidR="00F50101">
        <w:rPr>
          <w:rFonts w:ascii="Times New Roman" w:hAnsi="Times New Roman"/>
          <w:sz w:val="28"/>
          <w:szCs w:val="28"/>
        </w:rPr>
        <w:t>ФКУ</w:t>
      </w:r>
      <w:r w:rsidRPr="00F50101">
        <w:rPr>
          <w:rFonts w:ascii="Times New Roman" w:hAnsi="Times New Roman"/>
          <w:sz w:val="28"/>
          <w:szCs w:val="28"/>
        </w:rPr>
        <w:t>.</w:t>
      </w:r>
      <w:r w:rsidR="00084D16">
        <w:rPr>
          <w:rFonts w:ascii="Times New Roman" w:hAnsi="Times New Roman"/>
          <w:sz w:val="28"/>
          <w:szCs w:val="28"/>
        </w:rPr>
        <w:t xml:space="preserve"> </w:t>
      </w:r>
      <w:r w:rsidRPr="00F50101">
        <w:rPr>
          <w:rFonts w:ascii="Times New Roman" w:hAnsi="Times New Roman"/>
          <w:sz w:val="28"/>
          <w:szCs w:val="28"/>
        </w:rPr>
        <w:t xml:space="preserve">Нами також проаналізовано вплив тривалості захворювання, </w:t>
      </w:r>
      <w:r w:rsidRPr="00F50101">
        <w:rPr>
          <w:rFonts w:ascii="Times New Roman" w:hAnsi="Times New Roman"/>
          <w:sz w:val="28"/>
          <w:szCs w:val="28"/>
        </w:rPr>
        <w:lastRenderedPageBreak/>
        <w:t>частоти нападів ядухи й інсулінорезистентності на рівень ФКУ. Виявлені залежності між рівнем плазмового фракталкіну та частотою нападів ядухи у хворих на БА (</w:t>
      </w:r>
      <w:r w:rsidRPr="00F50101">
        <w:rPr>
          <w:rFonts w:ascii="Times New Roman" w:hAnsi="Times New Roman"/>
          <w:sz w:val="28"/>
          <w:szCs w:val="28"/>
          <w:lang w:val="en-US"/>
        </w:rPr>
        <w:t>R</w:t>
      </w:r>
      <w:r w:rsidRPr="00F50101">
        <w:rPr>
          <w:rFonts w:ascii="Times New Roman" w:hAnsi="Times New Roman"/>
          <w:sz w:val="28"/>
          <w:szCs w:val="28"/>
        </w:rPr>
        <w:t> = 0,49, р &lt; 0,05), на БА + ЦД2Т (</w:t>
      </w:r>
      <w:r w:rsidRPr="00F50101">
        <w:rPr>
          <w:rFonts w:ascii="Times New Roman" w:hAnsi="Times New Roman"/>
          <w:sz w:val="28"/>
          <w:szCs w:val="28"/>
          <w:lang w:val="en-US"/>
        </w:rPr>
        <w:t>R</w:t>
      </w:r>
      <w:r w:rsidRPr="00F50101">
        <w:rPr>
          <w:rFonts w:ascii="Times New Roman" w:hAnsi="Times New Roman"/>
          <w:sz w:val="28"/>
          <w:szCs w:val="28"/>
        </w:rPr>
        <w:t> = 0,56, р &lt; 0,05), на БА + Ож (</w:t>
      </w:r>
      <w:r w:rsidRPr="00F50101">
        <w:rPr>
          <w:rFonts w:ascii="Times New Roman" w:hAnsi="Times New Roman"/>
          <w:sz w:val="28"/>
          <w:szCs w:val="28"/>
          <w:lang w:val="en-US"/>
        </w:rPr>
        <w:t>R</w:t>
      </w:r>
      <w:r w:rsidRPr="00F50101">
        <w:rPr>
          <w:rFonts w:ascii="Times New Roman" w:hAnsi="Times New Roman"/>
          <w:sz w:val="28"/>
          <w:szCs w:val="28"/>
        </w:rPr>
        <w:t xml:space="preserve"> = 0,52, р &lt; 0,05), між рівнем ФКУ та ступенем тяжкості БА (при БА </w:t>
      </w:r>
      <w:r w:rsidRPr="00F50101">
        <w:rPr>
          <w:rFonts w:ascii="Times New Roman" w:hAnsi="Times New Roman"/>
          <w:sz w:val="28"/>
          <w:szCs w:val="28"/>
          <w:lang w:val="en-US"/>
        </w:rPr>
        <w:t>R</w:t>
      </w:r>
      <w:r w:rsidRPr="00F50101">
        <w:rPr>
          <w:rFonts w:ascii="Times New Roman" w:hAnsi="Times New Roman"/>
          <w:sz w:val="28"/>
          <w:szCs w:val="28"/>
        </w:rPr>
        <w:t xml:space="preserve"> = 0,38, р &lt; 0,05, при БА + ЦД2Т </w:t>
      </w:r>
      <w:r w:rsidRPr="00F50101">
        <w:rPr>
          <w:rFonts w:ascii="Times New Roman" w:hAnsi="Times New Roman"/>
          <w:sz w:val="28"/>
          <w:szCs w:val="28"/>
          <w:lang w:val="en-US"/>
        </w:rPr>
        <w:t>R</w:t>
      </w:r>
      <w:r w:rsidRPr="00F50101">
        <w:rPr>
          <w:rFonts w:ascii="Times New Roman" w:hAnsi="Times New Roman"/>
          <w:sz w:val="28"/>
          <w:szCs w:val="28"/>
        </w:rPr>
        <w:t> = 0,32, р &lt; 0,05); між рівнем ФКУ та інсулінорезистентністю у хворих на БА + ЦД2Т (</w:t>
      </w:r>
      <w:r w:rsidRPr="00F50101">
        <w:rPr>
          <w:rFonts w:ascii="Times New Roman" w:hAnsi="Times New Roman"/>
          <w:sz w:val="28"/>
          <w:szCs w:val="28"/>
          <w:lang w:val="en-US"/>
        </w:rPr>
        <w:t>R</w:t>
      </w:r>
      <w:r w:rsidRPr="00F50101">
        <w:rPr>
          <w:rFonts w:ascii="Times New Roman" w:eastAsia="ArialMT" w:hAnsi="Times New Roman"/>
          <w:sz w:val="28"/>
          <w:szCs w:val="28"/>
        </w:rPr>
        <w:t xml:space="preserve"> = 0,76; </w:t>
      </w:r>
      <w:r w:rsidRPr="00F50101">
        <w:rPr>
          <w:rFonts w:ascii="Times New Roman" w:eastAsia="ArialMT" w:hAnsi="Times New Roman"/>
          <w:sz w:val="28"/>
          <w:szCs w:val="28"/>
          <w:lang w:val="en-US"/>
        </w:rPr>
        <w:t>p</w:t>
      </w:r>
      <w:r w:rsidRPr="00F50101">
        <w:rPr>
          <w:rFonts w:ascii="Times New Roman" w:eastAsia="ArialMT" w:hAnsi="Times New Roman"/>
          <w:sz w:val="28"/>
          <w:szCs w:val="28"/>
        </w:rPr>
        <w:t> &lt; 0,001), на</w:t>
      </w:r>
      <w:r w:rsidRPr="00F50101">
        <w:rPr>
          <w:rFonts w:ascii="Times New Roman" w:hAnsi="Times New Roman"/>
          <w:sz w:val="28"/>
          <w:szCs w:val="28"/>
        </w:rPr>
        <w:t xml:space="preserve"> БА + Ож  (</w:t>
      </w:r>
      <w:r w:rsidRPr="00F50101">
        <w:rPr>
          <w:rFonts w:ascii="Times New Roman" w:hAnsi="Times New Roman"/>
          <w:sz w:val="28"/>
          <w:szCs w:val="28"/>
          <w:lang w:val="en-US"/>
        </w:rPr>
        <w:t>R</w:t>
      </w:r>
      <w:r w:rsidRPr="00F50101">
        <w:rPr>
          <w:rFonts w:ascii="Times New Roman" w:eastAsia="ArialMT" w:hAnsi="Times New Roman"/>
          <w:sz w:val="28"/>
          <w:szCs w:val="28"/>
        </w:rPr>
        <w:t xml:space="preserve"> = 0,69; </w:t>
      </w:r>
      <w:r w:rsidRPr="00F50101">
        <w:rPr>
          <w:rFonts w:ascii="Times New Roman" w:eastAsia="ArialMT" w:hAnsi="Times New Roman"/>
          <w:sz w:val="28"/>
          <w:szCs w:val="28"/>
          <w:lang w:val="en-US"/>
        </w:rPr>
        <w:t>p</w:t>
      </w:r>
      <w:r w:rsidRPr="00F50101">
        <w:rPr>
          <w:rFonts w:ascii="Times New Roman" w:eastAsia="ArialMT" w:hAnsi="Times New Roman"/>
          <w:sz w:val="28"/>
          <w:szCs w:val="28"/>
        </w:rPr>
        <w:t xml:space="preserve"> &lt; 0,05). </w:t>
      </w:r>
      <w:r w:rsidRPr="00F50101">
        <w:rPr>
          <w:rFonts w:ascii="Times New Roman" w:hAnsi="Times New Roman"/>
          <w:sz w:val="28"/>
          <w:szCs w:val="28"/>
        </w:rPr>
        <w:t xml:space="preserve">Отримані дані свідчать про зв'язки рівня плазмового ФКУ зі тривалістю астми, тяжкістю її загострення, інсулінорезистентністю, а також показниками ФЗД і </w:t>
      </w:r>
      <w:r w:rsidR="003E516F">
        <w:rPr>
          <w:rFonts w:ascii="Times New Roman" w:hAnsi="Times New Roman"/>
          <w:sz w:val="28"/>
          <w:szCs w:val="28"/>
        </w:rPr>
        <w:t>ШКФ</w:t>
      </w:r>
      <w:r w:rsidRPr="00F50101">
        <w:rPr>
          <w:rFonts w:ascii="Times New Roman" w:hAnsi="Times New Roman"/>
          <w:sz w:val="28"/>
          <w:szCs w:val="28"/>
        </w:rPr>
        <w:t xml:space="preserve"> у хворих на БА з коморбідністю.</w:t>
      </w:r>
    </w:p>
    <w:p w:rsidR="00BF1101" w:rsidRPr="00BF1101" w:rsidRDefault="003E516F" w:rsidP="00CD5061">
      <w:pPr>
        <w:spacing w:after="0" w:line="288" w:lineRule="auto"/>
        <w:ind w:firstLine="709"/>
        <w:jc w:val="both"/>
        <w:rPr>
          <w:rFonts w:ascii="Times New Roman" w:hAnsi="Times New Roman"/>
          <w:sz w:val="28"/>
          <w:szCs w:val="28"/>
          <w:lang w:eastAsia="ru-RU"/>
        </w:rPr>
      </w:pPr>
      <w:r w:rsidRPr="00BF1101">
        <w:rPr>
          <w:rFonts w:ascii="Times New Roman" w:hAnsi="Times New Roman"/>
          <w:sz w:val="28"/>
          <w:szCs w:val="28"/>
        </w:rPr>
        <w:t xml:space="preserve">Проведено визначення параметрів системи фіброз-антифіброз. У процесі оцінки рівня МСР-1 у загальній когорті хворих відзначено вірогідне збільшення рівня хемокіну МСР-1 порівняно з контролем (52,64 [49,09;53,33] пг/мл, р &lt; 0,001). Відзначено значно більші значення рівня МСР-1 у хворих із коморбідністю: БА + ЦД2Т </w:t>
      </w:r>
      <w:r w:rsidRPr="00BF1101">
        <w:rPr>
          <w:rFonts w:ascii="Times New Roman" w:hAnsi="Times New Roman"/>
          <w:sz w:val="28"/>
          <w:szCs w:val="28"/>
          <w:lang w:eastAsia="ru-RU"/>
        </w:rPr>
        <w:t>789,50</w:t>
      </w:r>
      <w:r w:rsidRPr="00BF1101">
        <w:rPr>
          <w:rFonts w:ascii="Times New Roman" w:hAnsi="Times New Roman"/>
          <w:sz w:val="28"/>
          <w:szCs w:val="28"/>
        </w:rPr>
        <w:t xml:space="preserve"> [</w:t>
      </w:r>
      <w:r w:rsidRPr="00BF1101">
        <w:rPr>
          <w:rFonts w:ascii="Times New Roman" w:hAnsi="Times New Roman"/>
          <w:sz w:val="28"/>
          <w:szCs w:val="28"/>
          <w:lang w:eastAsia="ru-RU"/>
        </w:rPr>
        <w:t>768,50;860,00</w:t>
      </w:r>
      <w:r w:rsidRPr="00BF1101">
        <w:rPr>
          <w:rFonts w:ascii="Times New Roman" w:hAnsi="Times New Roman"/>
          <w:sz w:val="28"/>
          <w:szCs w:val="28"/>
        </w:rPr>
        <w:t xml:space="preserve">] пг/мл; БА + Ож </w:t>
      </w:r>
      <w:r w:rsidRPr="00BF1101">
        <w:rPr>
          <w:rFonts w:ascii="Times New Roman" w:hAnsi="Times New Roman"/>
          <w:sz w:val="28"/>
          <w:szCs w:val="28"/>
          <w:lang w:eastAsia="ru-RU"/>
        </w:rPr>
        <w:t>132,00</w:t>
      </w:r>
      <w:r w:rsidRPr="00BF1101">
        <w:rPr>
          <w:rFonts w:ascii="Times New Roman" w:hAnsi="Times New Roman"/>
          <w:sz w:val="28"/>
          <w:szCs w:val="28"/>
        </w:rPr>
        <w:t xml:space="preserve"> [</w:t>
      </w:r>
      <w:r w:rsidRPr="00BF1101">
        <w:rPr>
          <w:rFonts w:ascii="Times New Roman" w:hAnsi="Times New Roman"/>
          <w:sz w:val="28"/>
          <w:szCs w:val="28"/>
          <w:lang w:eastAsia="ru-RU"/>
        </w:rPr>
        <w:t>117,00;151,66</w:t>
      </w:r>
      <w:r w:rsidRPr="00BF1101">
        <w:rPr>
          <w:rFonts w:ascii="Times New Roman" w:hAnsi="Times New Roman"/>
          <w:sz w:val="28"/>
          <w:szCs w:val="28"/>
        </w:rPr>
        <w:t xml:space="preserve">] пг/мл (р &lt; 0,001), БА </w:t>
      </w:r>
      <w:r w:rsidRPr="00BF1101">
        <w:rPr>
          <w:rFonts w:ascii="Times New Roman" w:hAnsi="Times New Roman"/>
          <w:sz w:val="28"/>
          <w:szCs w:val="28"/>
          <w:lang w:eastAsia="ru-RU"/>
        </w:rPr>
        <w:t>66,51</w:t>
      </w:r>
      <w:r w:rsidRPr="00BF1101">
        <w:rPr>
          <w:rFonts w:ascii="Times New Roman" w:hAnsi="Times New Roman"/>
          <w:sz w:val="28"/>
          <w:szCs w:val="28"/>
        </w:rPr>
        <w:t xml:space="preserve"> [</w:t>
      </w:r>
      <w:r w:rsidRPr="00BF1101">
        <w:rPr>
          <w:rFonts w:ascii="Times New Roman" w:hAnsi="Times New Roman"/>
          <w:sz w:val="28"/>
          <w:szCs w:val="28"/>
          <w:lang w:eastAsia="ru-RU"/>
        </w:rPr>
        <w:t>61,00;133,71</w:t>
      </w:r>
      <w:r w:rsidRPr="00BF1101">
        <w:rPr>
          <w:rFonts w:ascii="Times New Roman" w:hAnsi="Times New Roman"/>
          <w:sz w:val="28"/>
          <w:szCs w:val="28"/>
        </w:rPr>
        <w:t>] пг/мл (р &lt; 0,001 проти контролю 52,64 [49,09;53,33] пг/мл</w:t>
      </w:r>
      <w:r w:rsidR="00BF1101">
        <w:rPr>
          <w:rFonts w:ascii="Times New Roman" w:hAnsi="Times New Roman"/>
          <w:sz w:val="28"/>
          <w:szCs w:val="28"/>
        </w:rPr>
        <w:t>)</w:t>
      </w:r>
      <w:r w:rsidRPr="00BF1101">
        <w:rPr>
          <w:rFonts w:ascii="Times New Roman" w:hAnsi="Times New Roman"/>
          <w:sz w:val="28"/>
          <w:szCs w:val="28"/>
        </w:rPr>
        <w:t>. Показники МСР-1 перевищували значення</w:t>
      </w:r>
      <w:r w:rsidRPr="0068604C">
        <w:rPr>
          <w:rFonts w:ascii="Times New Roman" w:hAnsi="Times New Roman"/>
          <w:sz w:val="28"/>
          <w:szCs w:val="28"/>
        </w:rPr>
        <w:t xml:space="preserve"> контрольної групи </w:t>
      </w:r>
      <w:r w:rsidRPr="0068604C">
        <w:rPr>
          <w:rFonts w:ascii="Times New Roman" w:hAnsi="Times New Roman"/>
          <w:sz w:val="28"/>
          <w:szCs w:val="28"/>
          <w:lang w:eastAsia="ru-RU"/>
        </w:rPr>
        <w:t>в 15; 2; 1,3 раз</w:t>
      </w:r>
      <w:r w:rsidR="0089008F">
        <w:rPr>
          <w:rFonts w:ascii="Times New Roman" w:hAnsi="Times New Roman"/>
          <w:sz w:val="28"/>
          <w:szCs w:val="28"/>
          <w:lang w:eastAsia="ru-RU"/>
        </w:rPr>
        <w:t>а</w:t>
      </w:r>
      <w:r w:rsidRPr="0068604C">
        <w:rPr>
          <w:rFonts w:ascii="Times New Roman" w:hAnsi="Times New Roman"/>
          <w:sz w:val="28"/>
          <w:szCs w:val="28"/>
        </w:rPr>
        <w:t xml:space="preserve"> </w:t>
      </w:r>
      <w:r>
        <w:rPr>
          <w:rFonts w:ascii="Times New Roman" w:hAnsi="Times New Roman"/>
          <w:sz w:val="28"/>
          <w:szCs w:val="28"/>
        </w:rPr>
        <w:t xml:space="preserve">(при </w:t>
      </w:r>
      <w:r w:rsidRPr="0068604C">
        <w:rPr>
          <w:rFonts w:ascii="Times New Roman" w:hAnsi="Times New Roman"/>
          <w:sz w:val="28"/>
          <w:szCs w:val="28"/>
        </w:rPr>
        <w:t xml:space="preserve">БА + ЦД2Т, БА + Ож та БА </w:t>
      </w:r>
      <w:r w:rsidRPr="0068604C">
        <w:rPr>
          <w:rFonts w:ascii="Times New Roman" w:hAnsi="Times New Roman"/>
          <w:sz w:val="28"/>
          <w:szCs w:val="28"/>
          <w:lang w:eastAsia="ru-RU"/>
        </w:rPr>
        <w:t>відповідно</w:t>
      </w:r>
      <w:r>
        <w:rPr>
          <w:rFonts w:ascii="Times New Roman" w:hAnsi="Times New Roman"/>
          <w:sz w:val="28"/>
          <w:szCs w:val="28"/>
          <w:lang w:eastAsia="ru-RU"/>
        </w:rPr>
        <w:t>)</w:t>
      </w:r>
      <w:r w:rsidRPr="0068604C">
        <w:rPr>
          <w:rFonts w:ascii="Times New Roman" w:hAnsi="Times New Roman"/>
          <w:sz w:val="28"/>
          <w:szCs w:val="28"/>
          <w:lang w:eastAsia="ru-RU"/>
        </w:rPr>
        <w:t>.</w:t>
      </w:r>
      <w:r w:rsidR="00BF1101" w:rsidRPr="00BF1101">
        <w:rPr>
          <w:rFonts w:ascii="Times New Roman" w:hAnsi="Times New Roman"/>
          <w:sz w:val="28"/>
          <w:szCs w:val="28"/>
          <w:lang w:eastAsia="ru-RU"/>
        </w:rPr>
        <w:t xml:space="preserve"> </w:t>
      </w:r>
      <w:r w:rsidRPr="00BF1101">
        <w:rPr>
          <w:rFonts w:ascii="Times New Roman" w:hAnsi="Times New Roman"/>
          <w:sz w:val="28"/>
          <w:szCs w:val="28"/>
          <w:lang w:eastAsia="ru-RU"/>
        </w:rPr>
        <w:t xml:space="preserve">При дослідженні вмісту МСР-1 у хворих на БА + ЦД2Т </w:t>
      </w:r>
      <w:r w:rsidRPr="00BF1101">
        <w:rPr>
          <w:rFonts w:ascii="Times New Roman" w:hAnsi="Times New Roman"/>
          <w:sz w:val="28"/>
          <w:szCs w:val="28"/>
        </w:rPr>
        <w:t>залежно</w:t>
      </w:r>
      <w:r w:rsidRPr="00BF1101">
        <w:rPr>
          <w:rFonts w:ascii="Times New Roman" w:hAnsi="Times New Roman"/>
          <w:sz w:val="28"/>
          <w:szCs w:val="28"/>
          <w:lang w:eastAsia="ru-RU"/>
        </w:rPr>
        <w:t xml:space="preserve"> від вираженості синдрому бронхіальної обструкції було встановлено, що рівень хемокіну за умов ОФВ</w:t>
      </w:r>
      <w:r w:rsidRPr="00BF1101">
        <w:rPr>
          <w:rFonts w:ascii="Times New Roman" w:hAnsi="Times New Roman"/>
          <w:sz w:val="28"/>
          <w:szCs w:val="28"/>
          <w:vertAlign w:val="subscript"/>
          <w:lang w:eastAsia="ru-RU"/>
        </w:rPr>
        <w:t>1 </w:t>
      </w:r>
      <w:r w:rsidRPr="00BF1101">
        <w:rPr>
          <w:rFonts w:ascii="Times New Roman" w:hAnsi="Times New Roman"/>
          <w:sz w:val="28"/>
          <w:szCs w:val="28"/>
          <w:lang w:eastAsia="ru-RU"/>
        </w:rPr>
        <w:t>&lt; 50 % перевищував рівень у підгрупі ОФВ</w:t>
      </w:r>
      <w:r w:rsidRPr="00BF1101">
        <w:rPr>
          <w:rFonts w:ascii="Times New Roman" w:hAnsi="Times New Roman"/>
          <w:sz w:val="28"/>
          <w:szCs w:val="28"/>
          <w:vertAlign w:val="subscript"/>
          <w:lang w:eastAsia="ru-RU"/>
        </w:rPr>
        <w:t>1 </w:t>
      </w:r>
      <w:r w:rsidRPr="00BF1101">
        <w:rPr>
          <w:rFonts w:ascii="Times New Roman" w:hAnsi="Times New Roman"/>
          <w:sz w:val="28"/>
          <w:szCs w:val="28"/>
          <w:lang w:eastAsia="ru-RU"/>
        </w:rPr>
        <w:t>&gt; 60 % у 1,5 раз</w:t>
      </w:r>
      <w:r w:rsidR="00774F3B">
        <w:rPr>
          <w:rFonts w:ascii="Times New Roman" w:hAnsi="Times New Roman"/>
          <w:sz w:val="28"/>
          <w:szCs w:val="28"/>
          <w:lang w:eastAsia="ru-RU"/>
        </w:rPr>
        <w:t>а</w:t>
      </w:r>
      <w:r w:rsidRPr="00BF1101">
        <w:rPr>
          <w:rFonts w:ascii="Times New Roman" w:hAnsi="Times New Roman"/>
          <w:sz w:val="28"/>
          <w:szCs w:val="28"/>
          <w:lang w:eastAsia="ru-RU"/>
        </w:rPr>
        <w:t xml:space="preserve"> </w:t>
      </w:r>
      <w:r w:rsidRPr="00BF1101">
        <w:rPr>
          <w:rFonts w:ascii="Times New Roman" w:hAnsi="Times New Roman"/>
          <w:sz w:val="28"/>
          <w:szCs w:val="28"/>
        </w:rPr>
        <w:t>(р </w:t>
      </w:r>
      <w:r w:rsidRPr="00BF1101">
        <w:rPr>
          <w:rFonts w:ascii="Times New Roman" w:hAnsi="Times New Roman"/>
          <w:sz w:val="28"/>
          <w:szCs w:val="28"/>
          <w:lang w:eastAsia="ru-RU"/>
        </w:rPr>
        <w:t>&lt; 0,05) і у підгрупі 50 % ≤ ОФВ</w:t>
      </w:r>
      <w:r w:rsidRPr="00BF1101">
        <w:rPr>
          <w:rFonts w:ascii="Times New Roman" w:hAnsi="Times New Roman"/>
          <w:sz w:val="28"/>
          <w:szCs w:val="28"/>
          <w:vertAlign w:val="subscript"/>
          <w:lang w:eastAsia="ru-RU"/>
        </w:rPr>
        <w:t>1 </w:t>
      </w:r>
      <w:r w:rsidRPr="00BF1101">
        <w:rPr>
          <w:rFonts w:ascii="Times New Roman" w:hAnsi="Times New Roman"/>
          <w:sz w:val="28"/>
          <w:szCs w:val="28"/>
          <w:lang w:eastAsia="ru-RU"/>
        </w:rPr>
        <w:t>≤ 60 % в 1,2 раз</w:t>
      </w:r>
      <w:r w:rsidR="00774F3B">
        <w:rPr>
          <w:rFonts w:ascii="Times New Roman" w:hAnsi="Times New Roman"/>
          <w:sz w:val="28"/>
          <w:szCs w:val="28"/>
          <w:lang w:eastAsia="ru-RU"/>
        </w:rPr>
        <w:t>а</w:t>
      </w:r>
      <w:r w:rsidRPr="00BF1101">
        <w:rPr>
          <w:rFonts w:ascii="Times New Roman" w:hAnsi="Times New Roman"/>
          <w:sz w:val="28"/>
          <w:szCs w:val="28"/>
          <w:lang w:eastAsia="ru-RU"/>
        </w:rPr>
        <w:t xml:space="preserve"> </w:t>
      </w:r>
      <w:r w:rsidRPr="00BF1101">
        <w:rPr>
          <w:rFonts w:ascii="Times New Roman" w:hAnsi="Times New Roman"/>
          <w:sz w:val="28"/>
          <w:szCs w:val="28"/>
        </w:rPr>
        <w:t>(р </w:t>
      </w:r>
      <w:r w:rsidRPr="00BF1101">
        <w:rPr>
          <w:rFonts w:ascii="Times New Roman" w:hAnsi="Times New Roman"/>
          <w:sz w:val="28"/>
          <w:szCs w:val="28"/>
          <w:lang w:eastAsia="ru-RU"/>
        </w:rPr>
        <w:t xml:space="preserve">&lt; 0,05). У пацієнтів з БА + Ож ця тенденція зберігалася, але була менш виражена, </w:t>
      </w:r>
      <w:r w:rsidRPr="00BF1101">
        <w:rPr>
          <w:rFonts w:ascii="Times New Roman" w:hAnsi="Times New Roman"/>
          <w:sz w:val="28"/>
          <w:szCs w:val="28"/>
        </w:rPr>
        <w:t>істотність різниці</w:t>
      </w:r>
      <w:r w:rsidRPr="00BF1101">
        <w:rPr>
          <w:rFonts w:ascii="Times New Roman" w:hAnsi="Times New Roman"/>
          <w:sz w:val="28"/>
          <w:szCs w:val="28"/>
          <w:lang w:eastAsia="ru-RU"/>
        </w:rPr>
        <w:t xml:space="preserve"> залишилась між підгрупами  ОФВ</w:t>
      </w:r>
      <w:r w:rsidRPr="00BF1101">
        <w:rPr>
          <w:rFonts w:ascii="Times New Roman" w:hAnsi="Times New Roman"/>
          <w:sz w:val="28"/>
          <w:szCs w:val="28"/>
          <w:vertAlign w:val="subscript"/>
          <w:lang w:eastAsia="ru-RU"/>
        </w:rPr>
        <w:t>1</w:t>
      </w:r>
      <w:r w:rsidRPr="00BF1101">
        <w:rPr>
          <w:rFonts w:ascii="Times New Roman" w:hAnsi="Times New Roman"/>
          <w:sz w:val="28"/>
          <w:szCs w:val="28"/>
          <w:lang w:eastAsia="ru-RU"/>
        </w:rPr>
        <w:t>≤</w:t>
      </w:r>
      <w:r w:rsidRPr="00BF1101">
        <w:rPr>
          <w:rFonts w:ascii="Times New Roman" w:hAnsi="Times New Roman"/>
          <w:sz w:val="28"/>
          <w:szCs w:val="28"/>
          <w:vertAlign w:val="subscript"/>
          <w:lang w:eastAsia="ru-RU"/>
        </w:rPr>
        <w:t xml:space="preserve"> </w:t>
      </w:r>
      <w:r w:rsidRPr="00BF1101">
        <w:rPr>
          <w:rFonts w:ascii="Times New Roman" w:hAnsi="Times New Roman"/>
          <w:sz w:val="28"/>
          <w:szCs w:val="28"/>
          <w:lang w:eastAsia="ru-RU"/>
        </w:rPr>
        <w:t>50 % і ОФВ</w:t>
      </w:r>
      <w:r w:rsidRPr="00BF1101">
        <w:rPr>
          <w:rFonts w:ascii="Times New Roman" w:hAnsi="Times New Roman"/>
          <w:sz w:val="28"/>
          <w:szCs w:val="28"/>
          <w:vertAlign w:val="subscript"/>
          <w:lang w:eastAsia="ru-RU"/>
        </w:rPr>
        <w:t>1 </w:t>
      </w:r>
      <w:r w:rsidRPr="00BF1101">
        <w:rPr>
          <w:rFonts w:ascii="Times New Roman" w:hAnsi="Times New Roman"/>
          <w:sz w:val="28"/>
          <w:szCs w:val="28"/>
          <w:lang w:eastAsia="ru-RU"/>
        </w:rPr>
        <w:t xml:space="preserve">&gt; 60 % </w:t>
      </w:r>
      <w:r w:rsidRPr="00BF1101">
        <w:rPr>
          <w:rFonts w:ascii="Times New Roman" w:hAnsi="Times New Roman"/>
          <w:sz w:val="28"/>
          <w:szCs w:val="28"/>
        </w:rPr>
        <w:t>(р </w:t>
      </w:r>
      <w:r w:rsidRPr="00BF1101">
        <w:rPr>
          <w:rFonts w:ascii="Times New Roman" w:hAnsi="Times New Roman"/>
          <w:sz w:val="28"/>
          <w:szCs w:val="28"/>
          <w:lang w:eastAsia="ru-RU"/>
        </w:rPr>
        <w:t>&lt; 0,05). Серед хворих на БА не було осіб з ОФВ</w:t>
      </w:r>
      <w:r w:rsidRPr="00BF1101">
        <w:rPr>
          <w:rFonts w:ascii="Times New Roman" w:hAnsi="Times New Roman"/>
          <w:sz w:val="28"/>
          <w:szCs w:val="28"/>
          <w:vertAlign w:val="subscript"/>
          <w:lang w:eastAsia="ru-RU"/>
        </w:rPr>
        <w:t>1 </w:t>
      </w:r>
      <w:r w:rsidRPr="00BF1101">
        <w:rPr>
          <w:rFonts w:ascii="Times New Roman" w:hAnsi="Times New Roman"/>
          <w:sz w:val="28"/>
          <w:szCs w:val="28"/>
          <w:lang w:eastAsia="ru-RU"/>
        </w:rPr>
        <w:t>&lt; 50 %.</w:t>
      </w:r>
      <w:r w:rsidR="00BF1101">
        <w:rPr>
          <w:rFonts w:ascii="Times New Roman" w:hAnsi="Times New Roman"/>
          <w:sz w:val="28"/>
          <w:szCs w:val="28"/>
          <w:lang w:eastAsia="ru-RU"/>
        </w:rPr>
        <w:t xml:space="preserve"> </w:t>
      </w:r>
      <w:r w:rsidR="00BF1101" w:rsidRPr="00BF1101">
        <w:rPr>
          <w:rFonts w:ascii="Times New Roman" w:hAnsi="Times New Roman"/>
          <w:sz w:val="28"/>
          <w:szCs w:val="28"/>
          <w:lang w:eastAsia="ru-RU"/>
        </w:rPr>
        <w:t xml:space="preserve">Результати вмісту МСР-1 </w:t>
      </w:r>
      <w:r w:rsidR="00BF1101" w:rsidRPr="00BF1101">
        <w:rPr>
          <w:rFonts w:ascii="Times New Roman" w:hAnsi="Times New Roman"/>
          <w:sz w:val="28"/>
          <w:szCs w:val="28"/>
        </w:rPr>
        <w:t>залежно</w:t>
      </w:r>
      <w:r w:rsidR="00BF1101" w:rsidRPr="00BF1101">
        <w:rPr>
          <w:rFonts w:ascii="Times New Roman" w:hAnsi="Times New Roman"/>
          <w:sz w:val="28"/>
          <w:szCs w:val="28"/>
          <w:lang w:eastAsia="ru-RU"/>
        </w:rPr>
        <w:t xml:space="preserve"> від ШКФ показали, що максимальний вміст визначено за умов ШКФ &lt; 60 мл/хв/1,73м</w:t>
      </w:r>
      <w:r w:rsidR="00BF1101" w:rsidRPr="00BF1101">
        <w:rPr>
          <w:rFonts w:ascii="Times New Roman" w:hAnsi="Times New Roman"/>
          <w:sz w:val="28"/>
          <w:szCs w:val="28"/>
          <w:vertAlign w:val="superscript"/>
          <w:lang w:eastAsia="ru-RU"/>
        </w:rPr>
        <w:t>2</w:t>
      </w:r>
      <w:r w:rsidR="00BF1101" w:rsidRPr="00BF1101">
        <w:rPr>
          <w:rFonts w:ascii="Times New Roman" w:hAnsi="Times New Roman"/>
          <w:sz w:val="28"/>
          <w:szCs w:val="28"/>
          <w:lang w:eastAsia="ru-RU"/>
        </w:rPr>
        <w:t xml:space="preserve"> у всіх групах,  істотно відносно контролю </w:t>
      </w:r>
      <w:r w:rsidR="00BF1101" w:rsidRPr="00BF1101">
        <w:rPr>
          <w:rFonts w:ascii="Times New Roman" w:hAnsi="Times New Roman"/>
          <w:sz w:val="28"/>
          <w:szCs w:val="28"/>
        </w:rPr>
        <w:t>(р </w:t>
      </w:r>
      <w:r w:rsidR="00BF1101" w:rsidRPr="00BF1101">
        <w:rPr>
          <w:rFonts w:ascii="Times New Roman" w:hAnsi="Times New Roman"/>
          <w:sz w:val="28"/>
          <w:szCs w:val="28"/>
          <w:lang w:eastAsia="ru-RU"/>
        </w:rPr>
        <w:t>&lt; 0,05). У хворих на БА + ЦД2Т та БА + Ож різниця між підгрупами 60 ≤ ШКФ &lt; 90 мл/хв/1,73м</w:t>
      </w:r>
      <w:r w:rsidR="00BF1101" w:rsidRPr="00BF1101">
        <w:rPr>
          <w:rFonts w:ascii="Times New Roman" w:hAnsi="Times New Roman"/>
          <w:sz w:val="28"/>
          <w:szCs w:val="28"/>
          <w:vertAlign w:val="superscript"/>
          <w:lang w:eastAsia="ru-RU"/>
        </w:rPr>
        <w:t xml:space="preserve">2 </w:t>
      </w:r>
      <w:r w:rsidR="00BF1101" w:rsidRPr="00BF1101">
        <w:rPr>
          <w:rFonts w:ascii="Times New Roman" w:hAnsi="Times New Roman"/>
          <w:sz w:val="28"/>
          <w:szCs w:val="28"/>
          <w:lang w:eastAsia="ru-RU"/>
        </w:rPr>
        <w:t>і ШКФ ≥ 90 мл/хв/1,73м</w:t>
      </w:r>
      <w:r w:rsidR="00BF1101" w:rsidRPr="00BF1101">
        <w:rPr>
          <w:rFonts w:ascii="Times New Roman" w:hAnsi="Times New Roman"/>
          <w:sz w:val="28"/>
          <w:szCs w:val="28"/>
          <w:vertAlign w:val="superscript"/>
          <w:lang w:eastAsia="ru-RU"/>
        </w:rPr>
        <w:t xml:space="preserve">2 </w:t>
      </w:r>
      <w:r w:rsidR="00BF1101" w:rsidRPr="00BF1101">
        <w:rPr>
          <w:rFonts w:ascii="Times New Roman" w:hAnsi="Times New Roman"/>
          <w:sz w:val="28"/>
          <w:szCs w:val="28"/>
          <w:lang w:eastAsia="ru-RU"/>
        </w:rPr>
        <w:t>була вірогідна</w:t>
      </w:r>
      <w:r w:rsidR="00BF1101" w:rsidRPr="00BF1101">
        <w:rPr>
          <w:rFonts w:ascii="Times New Roman" w:hAnsi="Times New Roman"/>
          <w:sz w:val="28"/>
          <w:szCs w:val="28"/>
          <w:vertAlign w:val="superscript"/>
          <w:lang w:eastAsia="ru-RU"/>
        </w:rPr>
        <w:t xml:space="preserve"> </w:t>
      </w:r>
      <w:r w:rsidR="00BF1101" w:rsidRPr="00BF1101">
        <w:rPr>
          <w:rFonts w:ascii="Times New Roman" w:hAnsi="Times New Roman"/>
          <w:sz w:val="28"/>
          <w:szCs w:val="28"/>
        </w:rPr>
        <w:t>(р </w:t>
      </w:r>
      <w:r w:rsidR="00BF1101" w:rsidRPr="00BF1101">
        <w:rPr>
          <w:rFonts w:ascii="Times New Roman" w:hAnsi="Times New Roman"/>
          <w:sz w:val="28"/>
          <w:szCs w:val="28"/>
          <w:lang w:eastAsia="ru-RU"/>
        </w:rPr>
        <w:t>&lt; 0,05) на відміну від хворих на ізольовану БА (</w:t>
      </w:r>
      <w:r w:rsidR="00BF1101" w:rsidRPr="00BF1101">
        <w:rPr>
          <w:rFonts w:ascii="Times New Roman" w:hAnsi="Times New Roman"/>
          <w:sz w:val="28"/>
          <w:szCs w:val="28"/>
        </w:rPr>
        <w:t>р &gt; 0,05)</w:t>
      </w:r>
      <w:r w:rsidR="00BF1101" w:rsidRPr="00BF1101">
        <w:rPr>
          <w:rFonts w:ascii="Times New Roman" w:hAnsi="Times New Roman"/>
          <w:sz w:val="28"/>
          <w:szCs w:val="28"/>
          <w:lang w:eastAsia="ru-RU"/>
        </w:rPr>
        <w:t>.</w:t>
      </w:r>
    </w:p>
    <w:p w:rsidR="005A2561" w:rsidRPr="00E02E91" w:rsidRDefault="00E02E91" w:rsidP="00CD5061">
      <w:pPr>
        <w:spacing w:after="0" w:line="288" w:lineRule="auto"/>
        <w:ind w:firstLine="709"/>
        <w:jc w:val="both"/>
        <w:rPr>
          <w:rFonts w:ascii="Times New Roman" w:hAnsi="Times New Roman"/>
          <w:sz w:val="28"/>
          <w:szCs w:val="28"/>
          <w:lang w:eastAsia="ru-RU"/>
        </w:rPr>
      </w:pPr>
      <w:r w:rsidRPr="00E02E91">
        <w:rPr>
          <w:rFonts w:ascii="Times New Roman" w:hAnsi="Times New Roman"/>
          <w:sz w:val="28"/>
          <w:szCs w:val="28"/>
          <w:lang w:eastAsia="ru-RU"/>
        </w:rPr>
        <w:t>Рівень ММР-9</w:t>
      </w:r>
      <w:r w:rsidRPr="00E02E91">
        <w:rPr>
          <w:rFonts w:ascii="Times New Roman" w:hAnsi="Times New Roman"/>
          <w:sz w:val="28"/>
          <w:szCs w:val="28"/>
        </w:rPr>
        <w:t xml:space="preserve"> у пацієнтів з БА + ЦД2Т склав 250,55 [221,14</w:t>
      </w:r>
      <w:r w:rsidRPr="00E02E91">
        <w:rPr>
          <w:rFonts w:ascii="Times New Roman" w:hAnsi="Times New Roman"/>
          <w:sz w:val="28"/>
          <w:szCs w:val="28"/>
          <w:lang w:eastAsia="ru-RU"/>
        </w:rPr>
        <w:t>;</w:t>
      </w:r>
      <w:r w:rsidRPr="00E02E91">
        <w:rPr>
          <w:rFonts w:ascii="Times New Roman" w:hAnsi="Times New Roman"/>
          <w:sz w:val="28"/>
          <w:szCs w:val="28"/>
        </w:rPr>
        <w:t>286,14] пг/мл, істотно більше, ніж у контролі (36,24 [33,84</w:t>
      </w:r>
      <w:r w:rsidRPr="00E02E91">
        <w:rPr>
          <w:rFonts w:ascii="Times New Roman" w:hAnsi="Times New Roman"/>
          <w:sz w:val="28"/>
          <w:szCs w:val="28"/>
          <w:lang w:eastAsia="ru-RU"/>
        </w:rPr>
        <w:t>;</w:t>
      </w:r>
      <w:r w:rsidRPr="00E02E91">
        <w:rPr>
          <w:rFonts w:ascii="Times New Roman" w:hAnsi="Times New Roman"/>
          <w:sz w:val="28"/>
          <w:szCs w:val="28"/>
        </w:rPr>
        <w:t>37,03] пг/мл,  р &lt; 0,001), ніж при БА + Ож (70,69 [66,32</w:t>
      </w:r>
      <w:r w:rsidRPr="00E02E91">
        <w:rPr>
          <w:rFonts w:ascii="Times New Roman" w:hAnsi="Times New Roman"/>
          <w:sz w:val="28"/>
          <w:szCs w:val="28"/>
          <w:lang w:eastAsia="ru-RU"/>
        </w:rPr>
        <w:t>;</w:t>
      </w:r>
      <w:r w:rsidRPr="00E02E91">
        <w:rPr>
          <w:rFonts w:ascii="Times New Roman" w:hAnsi="Times New Roman"/>
          <w:sz w:val="28"/>
          <w:szCs w:val="28"/>
        </w:rPr>
        <w:t>77,90] пг/мл, р &lt; 0,001) та при БА (42,3[38,00</w:t>
      </w:r>
      <w:r w:rsidRPr="00E02E91">
        <w:rPr>
          <w:rFonts w:ascii="Times New Roman" w:hAnsi="Times New Roman"/>
          <w:sz w:val="28"/>
          <w:szCs w:val="28"/>
          <w:lang w:eastAsia="ru-RU"/>
        </w:rPr>
        <w:t xml:space="preserve">; </w:t>
      </w:r>
      <w:r w:rsidRPr="00E02E91">
        <w:rPr>
          <w:rFonts w:ascii="Times New Roman" w:hAnsi="Times New Roman"/>
          <w:sz w:val="28"/>
          <w:szCs w:val="28"/>
        </w:rPr>
        <w:t xml:space="preserve">72,05] пг/мл, р &lt; 0,001). </w:t>
      </w:r>
      <w:r w:rsidR="005A2561" w:rsidRPr="00E02E91">
        <w:rPr>
          <w:rFonts w:ascii="Times New Roman" w:hAnsi="Times New Roman"/>
          <w:sz w:val="28"/>
          <w:szCs w:val="28"/>
        </w:rPr>
        <w:t xml:space="preserve">При дослідженні вмісту ММР-9 залежно від ступеня важкості бронхообструктивного синдрому у хворих на БА + ЦД2Т було визначено максимальний його вміст за умов </w:t>
      </w:r>
      <w:r w:rsidR="005A2561" w:rsidRPr="00E02E91">
        <w:rPr>
          <w:rFonts w:ascii="Times New Roman" w:hAnsi="Times New Roman"/>
          <w:sz w:val="28"/>
          <w:szCs w:val="28"/>
          <w:lang w:eastAsia="ru-RU"/>
        </w:rPr>
        <w:t>ОФВ</w:t>
      </w:r>
      <w:r w:rsidR="005A2561" w:rsidRPr="00E02E91">
        <w:rPr>
          <w:rFonts w:ascii="Times New Roman" w:hAnsi="Times New Roman"/>
          <w:sz w:val="28"/>
          <w:szCs w:val="28"/>
          <w:vertAlign w:val="subscript"/>
          <w:lang w:eastAsia="ru-RU"/>
        </w:rPr>
        <w:t>1</w:t>
      </w:r>
      <w:r w:rsidR="005A2561" w:rsidRPr="00E02E91">
        <w:rPr>
          <w:rFonts w:ascii="Times New Roman" w:hAnsi="Times New Roman"/>
          <w:sz w:val="28"/>
          <w:szCs w:val="28"/>
          <w:vertAlign w:val="subscript"/>
          <w:lang w:val="ru-RU" w:eastAsia="ru-RU"/>
        </w:rPr>
        <w:t> </w:t>
      </w:r>
      <w:r w:rsidR="005A2561" w:rsidRPr="00E02E91">
        <w:rPr>
          <w:rFonts w:ascii="Times New Roman" w:hAnsi="Times New Roman"/>
          <w:sz w:val="28"/>
          <w:szCs w:val="28"/>
          <w:lang w:eastAsia="ru-RU"/>
        </w:rPr>
        <w:t>&gt;</w:t>
      </w:r>
      <w:r w:rsidR="005A2561" w:rsidRPr="00E02E91">
        <w:rPr>
          <w:rFonts w:ascii="Times New Roman" w:hAnsi="Times New Roman"/>
          <w:sz w:val="28"/>
          <w:szCs w:val="28"/>
          <w:lang w:val="ru-RU" w:eastAsia="ru-RU"/>
        </w:rPr>
        <w:t> </w:t>
      </w:r>
      <w:r w:rsidR="005A2561" w:rsidRPr="00E02E91">
        <w:rPr>
          <w:rFonts w:ascii="Times New Roman" w:hAnsi="Times New Roman"/>
          <w:sz w:val="28"/>
          <w:szCs w:val="28"/>
          <w:lang w:eastAsia="ru-RU"/>
        </w:rPr>
        <w:t>60</w:t>
      </w:r>
      <w:r w:rsidR="0022453B" w:rsidRPr="00E02E91">
        <w:rPr>
          <w:rFonts w:ascii="Times New Roman" w:hAnsi="Times New Roman"/>
          <w:sz w:val="28"/>
          <w:szCs w:val="28"/>
          <w:lang w:eastAsia="ru-RU"/>
        </w:rPr>
        <w:t>%</w:t>
      </w:r>
      <w:r w:rsidR="005A2561" w:rsidRPr="00E02E91">
        <w:rPr>
          <w:rFonts w:ascii="Times New Roman" w:hAnsi="Times New Roman"/>
          <w:sz w:val="28"/>
          <w:szCs w:val="28"/>
          <w:lang w:eastAsia="ru-RU"/>
        </w:rPr>
        <w:t xml:space="preserve"> </w:t>
      </w:r>
      <w:r w:rsidR="005A2561" w:rsidRPr="00E02E91">
        <w:rPr>
          <w:rFonts w:ascii="Times New Roman" w:hAnsi="Times New Roman"/>
          <w:sz w:val="28"/>
          <w:szCs w:val="28"/>
        </w:rPr>
        <w:t>(р </w:t>
      </w:r>
      <w:r w:rsidR="005A2561" w:rsidRPr="00E02E91">
        <w:rPr>
          <w:rFonts w:ascii="Times New Roman" w:hAnsi="Times New Roman"/>
          <w:sz w:val="28"/>
          <w:szCs w:val="28"/>
          <w:lang w:eastAsia="ru-RU"/>
        </w:rPr>
        <w:t>&lt; 0,001), що перевищувало показник контрольної групи у 23,23 раз</w:t>
      </w:r>
      <w:r w:rsidR="0089008F">
        <w:rPr>
          <w:rFonts w:ascii="Times New Roman" w:hAnsi="Times New Roman"/>
          <w:sz w:val="28"/>
          <w:szCs w:val="28"/>
          <w:lang w:eastAsia="ru-RU"/>
        </w:rPr>
        <w:t>а</w:t>
      </w:r>
      <w:r w:rsidR="005A2561" w:rsidRPr="00E02E91">
        <w:rPr>
          <w:rFonts w:ascii="Times New Roman" w:hAnsi="Times New Roman"/>
          <w:sz w:val="28"/>
          <w:szCs w:val="28"/>
          <w:lang w:eastAsia="ru-RU"/>
        </w:rPr>
        <w:t xml:space="preserve"> і вміст підгрупи з ОФВ</w:t>
      </w:r>
      <w:r w:rsidR="005A2561" w:rsidRPr="00E02E91">
        <w:rPr>
          <w:rFonts w:ascii="Times New Roman" w:hAnsi="Times New Roman"/>
          <w:sz w:val="28"/>
          <w:szCs w:val="28"/>
          <w:vertAlign w:val="subscript"/>
          <w:lang w:eastAsia="ru-RU"/>
        </w:rPr>
        <w:t>1</w:t>
      </w:r>
      <w:r w:rsidR="005A2561" w:rsidRPr="00E02E91">
        <w:rPr>
          <w:rFonts w:ascii="Times New Roman" w:hAnsi="Times New Roman"/>
          <w:sz w:val="28"/>
          <w:szCs w:val="28"/>
          <w:vertAlign w:val="subscript"/>
          <w:lang w:val="ru-RU" w:eastAsia="ru-RU"/>
        </w:rPr>
        <w:t> </w:t>
      </w:r>
      <w:r w:rsidR="005A2561" w:rsidRPr="00E02E91">
        <w:rPr>
          <w:rFonts w:ascii="Times New Roman" w:hAnsi="Times New Roman"/>
          <w:sz w:val="28"/>
          <w:szCs w:val="28"/>
          <w:lang w:eastAsia="ru-RU"/>
        </w:rPr>
        <w:t>&lt;</w:t>
      </w:r>
      <w:r w:rsidR="005A2561" w:rsidRPr="00E02E91">
        <w:rPr>
          <w:rFonts w:ascii="Times New Roman" w:hAnsi="Times New Roman"/>
          <w:sz w:val="28"/>
          <w:szCs w:val="28"/>
          <w:lang w:val="ru-RU" w:eastAsia="ru-RU"/>
        </w:rPr>
        <w:t> </w:t>
      </w:r>
      <w:r w:rsidR="005A2561" w:rsidRPr="00E02E91">
        <w:rPr>
          <w:rFonts w:ascii="Times New Roman" w:hAnsi="Times New Roman"/>
          <w:sz w:val="28"/>
          <w:szCs w:val="28"/>
          <w:lang w:eastAsia="ru-RU"/>
        </w:rPr>
        <w:t>50</w:t>
      </w:r>
      <w:r w:rsidR="0022453B" w:rsidRPr="00E02E91">
        <w:rPr>
          <w:rFonts w:ascii="Times New Roman" w:hAnsi="Times New Roman"/>
          <w:sz w:val="28"/>
          <w:szCs w:val="28"/>
          <w:lang w:eastAsia="ru-RU"/>
        </w:rPr>
        <w:t>%</w:t>
      </w:r>
      <w:r w:rsidR="005A2561" w:rsidRPr="00E02E91">
        <w:rPr>
          <w:rFonts w:ascii="Times New Roman" w:hAnsi="Times New Roman"/>
          <w:sz w:val="28"/>
          <w:szCs w:val="28"/>
          <w:lang w:eastAsia="ru-RU"/>
        </w:rPr>
        <w:t xml:space="preserve"> </w:t>
      </w:r>
      <w:r w:rsidR="005A2561" w:rsidRPr="00E02E91">
        <w:rPr>
          <w:rFonts w:ascii="Times New Roman" w:hAnsi="Times New Roman"/>
          <w:sz w:val="28"/>
          <w:szCs w:val="28"/>
        </w:rPr>
        <w:lastRenderedPageBreak/>
        <w:t>(р </w:t>
      </w:r>
      <w:r w:rsidR="005A2561" w:rsidRPr="00E02E91">
        <w:rPr>
          <w:rFonts w:ascii="Times New Roman" w:hAnsi="Times New Roman"/>
          <w:sz w:val="28"/>
          <w:szCs w:val="28"/>
          <w:lang w:eastAsia="ru-RU"/>
        </w:rPr>
        <w:t>&lt; 0,001)</w:t>
      </w:r>
      <w:r w:rsidR="00340797" w:rsidRPr="00E02E91">
        <w:rPr>
          <w:rFonts w:ascii="Times New Roman" w:hAnsi="Times New Roman"/>
          <w:sz w:val="28"/>
          <w:szCs w:val="28"/>
          <w:lang w:eastAsia="ru-RU"/>
        </w:rPr>
        <w:t>.</w:t>
      </w:r>
      <w:r w:rsidR="005A2561" w:rsidRPr="00E02E91">
        <w:rPr>
          <w:rFonts w:ascii="Times New Roman" w:hAnsi="Times New Roman"/>
          <w:sz w:val="28"/>
          <w:szCs w:val="28"/>
          <w:lang w:eastAsia="ru-RU"/>
        </w:rPr>
        <w:t xml:space="preserve"> У хворих на БА + Ож </w:t>
      </w:r>
      <w:r w:rsidR="005A2561" w:rsidRPr="00E02E91">
        <w:rPr>
          <w:rFonts w:ascii="Times New Roman" w:hAnsi="Times New Roman"/>
          <w:sz w:val="28"/>
          <w:szCs w:val="28"/>
        </w:rPr>
        <w:t>вірогід</w:t>
      </w:r>
      <w:r w:rsidR="005A2561" w:rsidRPr="00E02E91">
        <w:rPr>
          <w:rFonts w:ascii="Times New Roman" w:hAnsi="Times New Roman"/>
          <w:sz w:val="28"/>
          <w:szCs w:val="28"/>
          <w:lang w:eastAsia="ru-RU"/>
        </w:rPr>
        <w:t>на різниця була відзначена тільки між підгрупами ОФВ</w:t>
      </w:r>
      <w:r w:rsidR="005A2561" w:rsidRPr="00E02E91">
        <w:rPr>
          <w:rFonts w:ascii="Times New Roman" w:hAnsi="Times New Roman"/>
          <w:sz w:val="28"/>
          <w:szCs w:val="28"/>
          <w:vertAlign w:val="subscript"/>
          <w:lang w:eastAsia="ru-RU"/>
        </w:rPr>
        <w:t>1</w:t>
      </w:r>
      <w:r w:rsidR="005A2561" w:rsidRPr="00E02E91">
        <w:rPr>
          <w:rFonts w:ascii="Times New Roman" w:hAnsi="Times New Roman"/>
          <w:sz w:val="28"/>
          <w:szCs w:val="28"/>
          <w:vertAlign w:val="subscript"/>
          <w:lang w:val="ru-RU" w:eastAsia="ru-RU"/>
        </w:rPr>
        <w:t> </w:t>
      </w:r>
      <w:r w:rsidR="005A2561" w:rsidRPr="00E02E91">
        <w:rPr>
          <w:rFonts w:ascii="Times New Roman" w:hAnsi="Times New Roman"/>
          <w:sz w:val="28"/>
          <w:szCs w:val="28"/>
          <w:lang w:eastAsia="ru-RU"/>
        </w:rPr>
        <w:t>&lt;</w:t>
      </w:r>
      <w:r w:rsidR="005A2561" w:rsidRPr="00E02E91">
        <w:rPr>
          <w:rFonts w:ascii="Times New Roman" w:hAnsi="Times New Roman"/>
          <w:sz w:val="28"/>
          <w:szCs w:val="28"/>
          <w:lang w:val="ru-RU" w:eastAsia="ru-RU"/>
        </w:rPr>
        <w:t> </w:t>
      </w:r>
      <w:r w:rsidR="005A2561" w:rsidRPr="00E02E91">
        <w:rPr>
          <w:rFonts w:ascii="Times New Roman" w:hAnsi="Times New Roman"/>
          <w:sz w:val="28"/>
          <w:szCs w:val="28"/>
          <w:lang w:eastAsia="ru-RU"/>
        </w:rPr>
        <w:t>50</w:t>
      </w:r>
      <w:r w:rsidR="0022453B" w:rsidRPr="00E02E91">
        <w:rPr>
          <w:rFonts w:ascii="Times New Roman" w:hAnsi="Times New Roman"/>
          <w:sz w:val="28"/>
          <w:szCs w:val="28"/>
          <w:lang w:eastAsia="ru-RU"/>
        </w:rPr>
        <w:t>%</w:t>
      </w:r>
      <w:r w:rsidR="005A2561" w:rsidRPr="00E02E91">
        <w:rPr>
          <w:rFonts w:ascii="Times New Roman" w:hAnsi="Times New Roman"/>
          <w:sz w:val="28"/>
          <w:szCs w:val="28"/>
          <w:lang w:eastAsia="ru-RU"/>
        </w:rPr>
        <w:t xml:space="preserve"> і 50</w:t>
      </w:r>
      <w:r w:rsidR="0022453B" w:rsidRPr="00E02E91">
        <w:rPr>
          <w:rFonts w:ascii="Times New Roman" w:hAnsi="Times New Roman"/>
          <w:sz w:val="28"/>
          <w:szCs w:val="28"/>
          <w:lang w:eastAsia="ru-RU"/>
        </w:rPr>
        <w:t>%</w:t>
      </w:r>
      <w:r w:rsidR="005A2561" w:rsidRPr="00E02E91">
        <w:rPr>
          <w:rFonts w:ascii="Times New Roman" w:hAnsi="Times New Roman"/>
          <w:sz w:val="28"/>
          <w:szCs w:val="28"/>
          <w:lang w:val="ru-RU" w:eastAsia="ru-RU"/>
        </w:rPr>
        <w:t> </w:t>
      </w:r>
      <w:r w:rsidR="005A2561" w:rsidRPr="00E02E91">
        <w:rPr>
          <w:rFonts w:ascii="Times New Roman" w:hAnsi="Times New Roman"/>
          <w:sz w:val="28"/>
          <w:szCs w:val="28"/>
          <w:lang w:eastAsia="ru-RU"/>
        </w:rPr>
        <w:t>≤</w:t>
      </w:r>
      <w:r w:rsidR="005A2561" w:rsidRPr="00E02E91">
        <w:rPr>
          <w:rFonts w:ascii="Times New Roman" w:hAnsi="Times New Roman"/>
          <w:sz w:val="28"/>
          <w:szCs w:val="28"/>
          <w:lang w:val="ru-RU" w:eastAsia="ru-RU"/>
        </w:rPr>
        <w:t> </w:t>
      </w:r>
      <w:r w:rsidR="005A2561" w:rsidRPr="00E02E91">
        <w:rPr>
          <w:rFonts w:ascii="Times New Roman" w:hAnsi="Times New Roman"/>
          <w:sz w:val="28"/>
          <w:szCs w:val="28"/>
          <w:lang w:eastAsia="ru-RU"/>
        </w:rPr>
        <w:t>ОФВ</w:t>
      </w:r>
      <w:r w:rsidR="005A2561" w:rsidRPr="00E02E91">
        <w:rPr>
          <w:rFonts w:ascii="Times New Roman" w:hAnsi="Times New Roman"/>
          <w:sz w:val="28"/>
          <w:szCs w:val="28"/>
          <w:vertAlign w:val="subscript"/>
          <w:lang w:eastAsia="ru-RU"/>
        </w:rPr>
        <w:t>1</w:t>
      </w:r>
      <w:r w:rsidR="005A2561" w:rsidRPr="00E02E91">
        <w:rPr>
          <w:rFonts w:ascii="Times New Roman" w:hAnsi="Times New Roman"/>
          <w:sz w:val="28"/>
          <w:szCs w:val="28"/>
          <w:vertAlign w:val="subscript"/>
          <w:lang w:val="ru-RU" w:eastAsia="ru-RU"/>
        </w:rPr>
        <w:t> </w:t>
      </w:r>
      <w:r w:rsidR="005A2561" w:rsidRPr="00E02E91">
        <w:rPr>
          <w:rFonts w:ascii="Times New Roman" w:hAnsi="Times New Roman"/>
          <w:sz w:val="28"/>
          <w:szCs w:val="28"/>
          <w:lang w:eastAsia="ru-RU"/>
        </w:rPr>
        <w:t>≤</w:t>
      </w:r>
      <w:r w:rsidR="005A2561" w:rsidRPr="00E02E91">
        <w:rPr>
          <w:rFonts w:ascii="Times New Roman" w:hAnsi="Times New Roman"/>
          <w:sz w:val="28"/>
          <w:szCs w:val="28"/>
          <w:lang w:val="ru-RU" w:eastAsia="ru-RU"/>
        </w:rPr>
        <w:t> </w:t>
      </w:r>
      <w:r w:rsidR="005A2561" w:rsidRPr="00E02E91">
        <w:rPr>
          <w:rFonts w:ascii="Times New Roman" w:hAnsi="Times New Roman"/>
          <w:sz w:val="28"/>
          <w:szCs w:val="28"/>
          <w:lang w:eastAsia="ru-RU"/>
        </w:rPr>
        <w:t>60</w:t>
      </w:r>
      <w:r w:rsidR="0022453B" w:rsidRPr="00E02E91">
        <w:rPr>
          <w:rFonts w:ascii="Times New Roman" w:hAnsi="Times New Roman"/>
          <w:sz w:val="28"/>
          <w:szCs w:val="28"/>
          <w:lang w:eastAsia="ru-RU"/>
        </w:rPr>
        <w:t>%</w:t>
      </w:r>
      <w:r w:rsidR="005A2561" w:rsidRPr="00E02E91">
        <w:rPr>
          <w:rFonts w:ascii="Times New Roman" w:hAnsi="Times New Roman"/>
          <w:sz w:val="28"/>
          <w:szCs w:val="28"/>
          <w:lang w:eastAsia="ru-RU"/>
        </w:rPr>
        <w:t xml:space="preserve"> </w:t>
      </w:r>
      <w:r w:rsidR="005A2561" w:rsidRPr="00E02E91">
        <w:rPr>
          <w:rFonts w:ascii="Times New Roman" w:hAnsi="Times New Roman"/>
          <w:sz w:val="28"/>
          <w:szCs w:val="28"/>
        </w:rPr>
        <w:t>(р </w:t>
      </w:r>
      <w:r w:rsidR="005A2561" w:rsidRPr="00E02E91">
        <w:rPr>
          <w:rFonts w:ascii="Times New Roman" w:hAnsi="Times New Roman"/>
          <w:sz w:val="28"/>
          <w:szCs w:val="28"/>
          <w:lang w:eastAsia="ru-RU"/>
        </w:rPr>
        <w:t xml:space="preserve">&lt; 0,05). </w:t>
      </w:r>
    </w:p>
    <w:p w:rsidR="008B3B79" w:rsidRPr="0022453B" w:rsidRDefault="009027D9" w:rsidP="00CD5061">
      <w:pPr>
        <w:pStyle w:val="atextRef"/>
        <w:spacing w:line="288" w:lineRule="auto"/>
      </w:pPr>
      <w:r w:rsidRPr="0022453B">
        <w:t xml:space="preserve">Результати дослідження рівня ММР-9 залежно від ступеня зменшення ШКФ показали, що </w:t>
      </w:r>
      <w:r w:rsidRPr="0022453B">
        <w:rPr>
          <w:lang w:eastAsia="ru-RU"/>
        </w:rPr>
        <w:t>максимальний вміст було визначено за умов ШКФ &lt; 60 мл/хв/1,73м</w:t>
      </w:r>
      <w:r w:rsidRPr="0022453B">
        <w:rPr>
          <w:vertAlign w:val="superscript"/>
          <w:lang w:eastAsia="ru-RU"/>
        </w:rPr>
        <w:t>2</w:t>
      </w:r>
      <w:r w:rsidRPr="0022453B">
        <w:rPr>
          <w:lang w:eastAsia="ru-RU"/>
        </w:rPr>
        <w:t xml:space="preserve"> у всіх групах, істотно відносно групи контролю </w:t>
      </w:r>
      <w:r w:rsidRPr="0022453B">
        <w:t>(р </w:t>
      </w:r>
      <w:r w:rsidRPr="0022453B">
        <w:rPr>
          <w:lang w:eastAsia="ru-RU"/>
        </w:rPr>
        <w:t>&lt; 0,05). У хворих на БА + ЦД2Т та БА + Ож різниц</w:t>
      </w:r>
      <w:r w:rsidR="001768D5">
        <w:rPr>
          <w:lang w:eastAsia="ru-RU"/>
        </w:rPr>
        <w:t>я</w:t>
      </w:r>
      <w:r w:rsidRPr="0022453B">
        <w:rPr>
          <w:lang w:eastAsia="ru-RU"/>
        </w:rPr>
        <w:t xml:space="preserve"> вміст</w:t>
      </w:r>
      <w:r w:rsidR="001768D5">
        <w:rPr>
          <w:lang w:eastAsia="ru-RU"/>
        </w:rPr>
        <w:t>у</w:t>
      </w:r>
      <w:r w:rsidRPr="0022453B">
        <w:rPr>
          <w:lang w:eastAsia="ru-RU"/>
        </w:rPr>
        <w:t xml:space="preserve"> ММР-9 між підгрупами 60 ≤ ШКФ &lt; 90 мл/хв/1,73м</w:t>
      </w:r>
      <w:r w:rsidRPr="0022453B">
        <w:rPr>
          <w:vertAlign w:val="superscript"/>
          <w:lang w:eastAsia="ru-RU"/>
        </w:rPr>
        <w:t xml:space="preserve">2 </w:t>
      </w:r>
      <w:r w:rsidRPr="0022453B">
        <w:rPr>
          <w:lang w:eastAsia="ru-RU"/>
        </w:rPr>
        <w:t>і ШКФ ≥ 90 мл/хв/1,73м</w:t>
      </w:r>
      <w:r w:rsidRPr="0022453B">
        <w:rPr>
          <w:vertAlign w:val="superscript"/>
          <w:lang w:eastAsia="ru-RU"/>
        </w:rPr>
        <w:t xml:space="preserve">2 </w:t>
      </w:r>
      <w:r w:rsidRPr="0022453B">
        <w:rPr>
          <w:lang w:eastAsia="ru-RU"/>
        </w:rPr>
        <w:t>були вірогідні</w:t>
      </w:r>
      <w:r w:rsidRPr="0022453B">
        <w:rPr>
          <w:vertAlign w:val="superscript"/>
          <w:lang w:eastAsia="ru-RU"/>
        </w:rPr>
        <w:t xml:space="preserve"> </w:t>
      </w:r>
      <w:r w:rsidRPr="0022453B">
        <w:t>(р </w:t>
      </w:r>
      <w:r w:rsidRPr="0022453B">
        <w:rPr>
          <w:lang w:eastAsia="ru-RU"/>
        </w:rPr>
        <w:t>&lt; 0,05) на відміну від хворих на ізольовану БА.</w:t>
      </w:r>
      <w:r w:rsidR="00084D16">
        <w:rPr>
          <w:lang w:eastAsia="ru-RU"/>
        </w:rPr>
        <w:t xml:space="preserve"> </w:t>
      </w:r>
      <w:r w:rsidRPr="0022453B">
        <w:t xml:space="preserve">Проведено оцінку співвідношення фіброз–антифіброз. У групі БА + ЦД2Т відношення МСР-1/ММР-9 склало 3,11, БА + Ож </w:t>
      </w:r>
      <w:r w:rsidR="00CD22CE" w:rsidRPr="0022453B">
        <w:t>–</w:t>
      </w:r>
      <w:r w:rsidRPr="0022453B">
        <w:t xml:space="preserve"> 1,82, БА </w:t>
      </w:r>
      <w:r w:rsidR="00CD22CE" w:rsidRPr="0022453B">
        <w:t>–</w:t>
      </w:r>
      <w:r w:rsidRPr="0022453B">
        <w:t xml:space="preserve"> 1,50. Тобто, що в пацієнтів з БА в поєднанні з ожирінням надмірна концентрація МСР-1 як маркеру фіброзу при прогресуванні пошкодження судин легень і нирок стримується пропорційним зростанням індикатора фібролізу ММР-9. У хворих на БА + ЦД2Т спостерігається недостатнє зростання рівня маркера фібролізу ММР-9 паралельно з високою концентрацію фібротичного показника МСР-1, що, на наш погляд, </w:t>
      </w:r>
      <w:r w:rsidR="005B40E6">
        <w:t xml:space="preserve">не </w:t>
      </w:r>
      <w:r w:rsidRPr="0022453B">
        <w:t>супроводжується подоланням надмірної фібротичної агресії</w:t>
      </w:r>
      <w:r w:rsidR="00340797" w:rsidRPr="0022453B">
        <w:t>.</w:t>
      </w:r>
      <w:r w:rsidR="0022453B">
        <w:t xml:space="preserve"> </w:t>
      </w:r>
      <w:r w:rsidRPr="0022453B">
        <w:t>Аналіз стану співвідношення фіброз–антифіброз залежно від функції нирок у групах БА, БА + ЦД2Т, БА + Ож показав, що 15</w:t>
      </w:r>
      <w:r w:rsidR="0022453B">
        <w:t>%</w:t>
      </w:r>
      <w:r w:rsidRPr="0022453B">
        <w:t>, 51,85</w:t>
      </w:r>
      <w:r w:rsidR="0022453B">
        <w:t>%</w:t>
      </w:r>
      <w:r w:rsidRPr="0022453B">
        <w:t>, 48,83</w:t>
      </w:r>
      <w:r w:rsidR="0022453B">
        <w:t>%</w:t>
      </w:r>
      <w:r w:rsidRPr="0022453B">
        <w:t xml:space="preserve"> хворих із високим співвідношенням МСР-1/ММР-9 мали ШКФ &lt; 60 мл/хв/1,73м</w:t>
      </w:r>
      <w:r w:rsidRPr="0022453B">
        <w:rPr>
          <w:vertAlign w:val="superscript"/>
        </w:rPr>
        <w:t>2</w:t>
      </w:r>
      <w:r w:rsidRPr="0022453B">
        <w:t>.</w:t>
      </w:r>
      <w:r w:rsidR="005C0990">
        <w:t xml:space="preserve"> </w:t>
      </w:r>
      <w:r w:rsidRPr="0022453B">
        <w:t>Виявлена схожа тенденція при дослідженні співвідношення МСР-1/ММР-9 залежно від ступеня зниження ОФВ</w:t>
      </w:r>
      <w:r w:rsidRPr="0022453B">
        <w:rPr>
          <w:vertAlign w:val="subscript"/>
        </w:rPr>
        <w:t>1</w:t>
      </w:r>
      <w:r w:rsidRPr="0022453B">
        <w:t xml:space="preserve"> у хворих на БА + ЦД2Т, де кількість пацієнтів з важкою бронхіальною обструкцією ОФВ</w:t>
      </w:r>
      <w:r w:rsidRPr="0022453B">
        <w:rPr>
          <w:vertAlign w:val="subscript"/>
        </w:rPr>
        <w:t>1</w:t>
      </w:r>
      <w:r w:rsidRPr="0022453B">
        <w:t> </w:t>
      </w:r>
      <w:r w:rsidRPr="0022453B">
        <w:rPr>
          <w:lang w:eastAsia="ru-RU"/>
        </w:rPr>
        <w:t>&lt; 50</w:t>
      </w:r>
      <w:r w:rsidR="0022453B">
        <w:rPr>
          <w:lang w:eastAsia="ru-RU"/>
        </w:rPr>
        <w:t>%</w:t>
      </w:r>
      <w:r w:rsidRPr="0022453B">
        <w:rPr>
          <w:lang w:eastAsia="ru-RU"/>
        </w:rPr>
        <w:t xml:space="preserve"> склала 34,92</w:t>
      </w:r>
      <w:r w:rsidR="0022453B">
        <w:rPr>
          <w:lang w:eastAsia="ru-RU"/>
        </w:rPr>
        <w:t>%</w:t>
      </w:r>
      <w:r w:rsidRPr="0022453B">
        <w:rPr>
          <w:lang w:eastAsia="ru-RU"/>
        </w:rPr>
        <w:t xml:space="preserve">, тоді як у групі БА + Ож </w:t>
      </w:r>
      <w:r w:rsidR="00CD22CE" w:rsidRPr="0022453B">
        <w:rPr>
          <w:lang w:eastAsia="ru-RU"/>
        </w:rPr>
        <w:t>–</w:t>
      </w:r>
      <w:r w:rsidRPr="0022453B">
        <w:rPr>
          <w:lang w:eastAsia="ru-RU"/>
        </w:rPr>
        <w:t xml:space="preserve"> 29,16</w:t>
      </w:r>
      <w:r w:rsidR="0022453B">
        <w:rPr>
          <w:lang w:eastAsia="ru-RU"/>
        </w:rPr>
        <w:t>%</w:t>
      </w:r>
      <w:r w:rsidR="00E30ABA" w:rsidRPr="0022453B">
        <w:rPr>
          <w:lang w:eastAsia="ru-RU"/>
        </w:rPr>
        <w:t xml:space="preserve">, </w:t>
      </w:r>
      <w:r w:rsidRPr="0022453B">
        <w:rPr>
          <w:lang w:eastAsia="ru-RU"/>
        </w:rPr>
        <w:t>що</w:t>
      </w:r>
      <w:r w:rsidR="00CD6D1C">
        <w:rPr>
          <w:lang w:eastAsia="ru-RU"/>
        </w:rPr>
        <w:t xml:space="preserve"> може</w:t>
      </w:r>
      <w:r w:rsidRPr="0022453B">
        <w:rPr>
          <w:lang w:eastAsia="ru-RU"/>
        </w:rPr>
        <w:t xml:space="preserve"> вказу</w:t>
      </w:r>
      <w:r w:rsidR="00CD6D1C">
        <w:rPr>
          <w:lang w:eastAsia="ru-RU"/>
        </w:rPr>
        <w:t>вати</w:t>
      </w:r>
      <w:r w:rsidRPr="0022453B">
        <w:rPr>
          <w:lang w:eastAsia="ru-RU"/>
        </w:rPr>
        <w:t xml:space="preserve"> на розвиток ремоделювальних фібропластичних змін у легенях та тубулоінтерстиціального фіброзу в нирках. Підтвердженням цього є кореляційні зв</w:t>
      </w:r>
      <w:r w:rsidR="00AF5C51" w:rsidRPr="0022453B">
        <w:rPr>
          <w:lang w:eastAsia="ru-RU"/>
        </w:rPr>
        <w:t>’</w:t>
      </w:r>
      <w:r w:rsidRPr="0022453B">
        <w:rPr>
          <w:lang w:eastAsia="ru-RU"/>
        </w:rPr>
        <w:t>язки у хворих на БА + ЦД2Т та БА + Ож між ММР-9 та ОФВ</w:t>
      </w:r>
      <w:r w:rsidRPr="0022453B">
        <w:rPr>
          <w:vertAlign w:val="subscript"/>
          <w:lang w:eastAsia="ru-RU"/>
        </w:rPr>
        <w:t>1</w:t>
      </w:r>
      <w:r w:rsidRPr="0022453B">
        <w:rPr>
          <w:lang w:eastAsia="ru-RU"/>
        </w:rPr>
        <w:t xml:space="preserve"> (</w:t>
      </w:r>
      <w:r w:rsidRPr="0022453B">
        <w:rPr>
          <w:lang w:val="en-US"/>
        </w:rPr>
        <w:t>R</w:t>
      </w:r>
      <w:r w:rsidRPr="0022453B">
        <w:rPr>
          <w:vertAlign w:val="subscript"/>
        </w:rPr>
        <w:t>1</w:t>
      </w:r>
      <w:r w:rsidRPr="0022453B">
        <w:t xml:space="preserve"> = – 0,47, р &lt; 0,05</w:t>
      </w:r>
      <w:r w:rsidR="005822B0">
        <w:t xml:space="preserve">; </w:t>
      </w:r>
      <w:r w:rsidRPr="0022453B">
        <w:rPr>
          <w:lang w:val="en-US"/>
        </w:rPr>
        <w:t>R</w:t>
      </w:r>
      <w:r w:rsidRPr="0022453B">
        <w:rPr>
          <w:vertAlign w:val="subscript"/>
        </w:rPr>
        <w:t>2</w:t>
      </w:r>
      <w:r w:rsidRPr="0022453B">
        <w:t xml:space="preserve"> = – 0,45, р &lt; 0,05), між</w:t>
      </w:r>
      <w:r w:rsidRPr="0022453B">
        <w:rPr>
          <w:lang w:eastAsia="ru-RU"/>
        </w:rPr>
        <w:t xml:space="preserve"> МСР-1 та</w:t>
      </w:r>
      <w:r w:rsidRPr="0022453B">
        <w:t xml:space="preserve"> </w:t>
      </w:r>
      <w:r w:rsidRPr="0022453B">
        <w:rPr>
          <w:lang w:eastAsia="ru-RU"/>
        </w:rPr>
        <w:t>ОФВ</w:t>
      </w:r>
      <w:r w:rsidRPr="0022453B">
        <w:rPr>
          <w:vertAlign w:val="subscript"/>
          <w:lang w:eastAsia="ru-RU"/>
        </w:rPr>
        <w:t>1</w:t>
      </w:r>
      <w:r w:rsidRPr="0022453B">
        <w:rPr>
          <w:lang w:eastAsia="ru-RU"/>
        </w:rPr>
        <w:t xml:space="preserve"> (</w:t>
      </w:r>
      <w:r w:rsidRPr="0022453B">
        <w:rPr>
          <w:lang w:val="en-US"/>
        </w:rPr>
        <w:t>R</w:t>
      </w:r>
      <w:r w:rsidRPr="0022453B">
        <w:rPr>
          <w:vertAlign w:val="subscript"/>
        </w:rPr>
        <w:t>1</w:t>
      </w:r>
      <w:r w:rsidRPr="0022453B">
        <w:t xml:space="preserve"> = </w:t>
      </w:r>
      <w:r w:rsidRPr="0022453B">
        <w:rPr>
          <w:lang w:eastAsia="ru-RU"/>
        </w:rPr>
        <w:t xml:space="preserve">– </w:t>
      </w:r>
      <w:r w:rsidRPr="0022453B">
        <w:t>0,52, р &lt; 0,05</w:t>
      </w:r>
      <w:r w:rsidR="005822B0">
        <w:t xml:space="preserve">; </w:t>
      </w:r>
      <w:r w:rsidRPr="0022453B">
        <w:rPr>
          <w:lang w:val="en-US"/>
        </w:rPr>
        <w:t>R</w:t>
      </w:r>
      <w:r w:rsidRPr="0022453B">
        <w:rPr>
          <w:vertAlign w:val="subscript"/>
        </w:rPr>
        <w:t>2</w:t>
      </w:r>
      <w:r w:rsidRPr="0022453B">
        <w:t xml:space="preserve"> = – 0,49, р &lt; 0,05), ММР-9 та ШКФ (</w:t>
      </w:r>
      <w:r w:rsidRPr="0022453B">
        <w:rPr>
          <w:lang w:val="en-US"/>
        </w:rPr>
        <w:t>R</w:t>
      </w:r>
      <w:r w:rsidRPr="0022453B">
        <w:rPr>
          <w:vertAlign w:val="subscript"/>
        </w:rPr>
        <w:t>1</w:t>
      </w:r>
      <w:r w:rsidRPr="0022453B">
        <w:t xml:space="preserve"> = 0,44, р &lt; 0,05)</w:t>
      </w:r>
      <w:r w:rsidR="005822B0">
        <w:t xml:space="preserve">; </w:t>
      </w:r>
      <w:r w:rsidR="00E30ABA" w:rsidRPr="0022453B">
        <w:t>(</w:t>
      </w:r>
      <w:r w:rsidRPr="0022453B">
        <w:rPr>
          <w:lang w:val="en-US"/>
        </w:rPr>
        <w:t>R</w:t>
      </w:r>
      <w:r w:rsidRPr="0022453B">
        <w:rPr>
          <w:vertAlign w:val="subscript"/>
        </w:rPr>
        <w:t>2</w:t>
      </w:r>
      <w:r w:rsidRPr="0022453B">
        <w:t xml:space="preserve"> =0,41, </w:t>
      </w:r>
      <w:r w:rsidR="00E30ABA" w:rsidRPr="0022453B">
        <w:t>р &lt; 0,05</w:t>
      </w:r>
      <w:r w:rsidRPr="0022453B">
        <w:t>)</w:t>
      </w:r>
      <w:r w:rsidR="00E30ABA" w:rsidRPr="0022453B">
        <w:t>.</w:t>
      </w:r>
      <w:r w:rsidRPr="0022453B">
        <w:t xml:space="preserve"> </w:t>
      </w:r>
    </w:p>
    <w:p w:rsidR="009027D9" w:rsidRPr="0022453B" w:rsidRDefault="009027D9" w:rsidP="00CD5061">
      <w:pPr>
        <w:pStyle w:val="atextRef"/>
        <w:spacing w:line="288" w:lineRule="auto"/>
      </w:pPr>
      <w:r w:rsidRPr="0022453B">
        <w:t>У хворих, що досліджувалися, спостерігалася висока гетерогенність порушень імунної реактивності майже в усіх ланках імунної системи. Зокрема, у</w:t>
      </w:r>
      <w:r w:rsidR="00804933">
        <w:t> </w:t>
      </w:r>
      <w:r w:rsidRPr="0022453B">
        <w:t>пацієнтів незалежно від коморбідності виявлялось збільшення концентрації ІЛ-8 та ІЛ-12 відносно групи з БА. Рівні ІЛ-8 і ІЛ-12 у хворих на БА + ЦД2Т перевищували значення групи порівняння у 15,0 і 13,0 разів (</w:t>
      </w:r>
      <w:r w:rsidRPr="0022453B">
        <w:rPr>
          <w:lang w:eastAsia="ru-RU"/>
        </w:rPr>
        <w:t>р </w:t>
      </w:r>
      <w:r w:rsidRPr="0022453B">
        <w:t>&lt; 0,001), а у</w:t>
      </w:r>
      <w:r w:rsidRPr="0022453B">
        <w:rPr>
          <w:lang w:eastAsia="ru-RU"/>
        </w:rPr>
        <w:t xml:space="preserve"> хворих на БА + Ож – у </w:t>
      </w:r>
      <w:r w:rsidRPr="0022453B">
        <w:t>1,9 і 2,8 раз</w:t>
      </w:r>
      <w:r w:rsidR="00284572">
        <w:t>а</w:t>
      </w:r>
      <w:r w:rsidRPr="0022453B">
        <w:t xml:space="preserve"> </w:t>
      </w:r>
      <w:r w:rsidRPr="0022453B">
        <w:rPr>
          <w:lang w:eastAsia="ru-RU"/>
        </w:rPr>
        <w:t>(р </w:t>
      </w:r>
      <w:r w:rsidRPr="0022453B">
        <w:t>&lt; 0,001)</w:t>
      </w:r>
      <w:r w:rsidRPr="0022453B">
        <w:rPr>
          <w:lang w:eastAsia="ru-RU"/>
        </w:rPr>
        <w:t>.</w:t>
      </w:r>
      <w:r w:rsidR="002B483E">
        <w:rPr>
          <w:lang w:eastAsia="ru-RU"/>
        </w:rPr>
        <w:t xml:space="preserve"> </w:t>
      </w:r>
      <w:r w:rsidRPr="0022453B">
        <w:t>У хворих усіх груп відзначено підвищення IgG відносно рівня контрольної групи (р &lt; 0,05</w:t>
      </w:r>
      <w:r w:rsidR="008B3B79" w:rsidRPr="0022453B">
        <w:rPr>
          <w:lang w:val="ru-RU"/>
        </w:rPr>
        <w:t>).</w:t>
      </w:r>
      <w:r w:rsidRPr="0022453B">
        <w:t xml:space="preserve"> У пацієнтів з БА + ЦД2Т спостерігався істотно вищий рівень IgG, ніж при БА (р &lt; 0,001),</w:t>
      </w:r>
      <w:r w:rsidR="00E3501F">
        <w:t xml:space="preserve"> </w:t>
      </w:r>
      <w:r w:rsidRPr="0022453B">
        <w:t xml:space="preserve">тоді як порівняння значень групи з БА + Ож і БА не показало вірогідної різниці </w:t>
      </w:r>
      <w:r w:rsidRPr="0022453B">
        <w:lastRenderedPageBreak/>
        <w:t>(р &gt;0,05).</w:t>
      </w:r>
      <w:r w:rsidR="002B483E">
        <w:t xml:space="preserve"> </w:t>
      </w:r>
      <w:r w:rsidRPr="0022453B">
        <w:t>При аналізі рівня ЦІК відзначено його підвищення у пацієнтів груп БА + ЦД2Т і БА + Ож (р &lt; 0,001), тоді як у групі БА цей показник відносно контрольної групи залишався без істотних змін (р &gt;0,05)</w:t>
      </w:r>
      <w:r w:rsidR="00870215">
        <w:t>. Отримані дані</w:t>
      </w:r>
      <w:r w:rsidRPr="0022453B">
        <w:t xml:space="preserve"> мож</w:t>
      </w:r>
      <w:r w:rsidR="00870215">
        <w:t>уть</w:t>
      </w:r>
      <w:r w:rsidRPr="0022453B">
        <w:t xml:space="preserve"> свідчити про неефективність елімінації ЦІК клітинами макрофагально-моноцитарної системи у</w:t>
      </w:r>
      <w:r w:rsidR="00804933">
        <w:t> </w:t>
      </w:r>
      <w:r w:rsidRPr="0022453B">
        <w:t>хворих на БА + ЦД2Т, БА + Ож.</w:t>
      </w:r>
      <w:r w:rsidR="002B483E">
        <w:t xml:space="preserve"> </w:t>
      </w:r>
      <w:r w:rsidRPr="0022453B">
        <w:t>У всіх групах відзначено підвищення рівня лімфоцитотоксичних антитіл: у</w:t>
      </w:r>
      <w:r w:rsidR="00804933">
        <w:t> </w:t>
      </w:r>
      <w:r w:rsidRPr="0022453B">
        <w:t>хворих на БА + ЦД2Т у 2 рази відносно групи з БА і у 7 разів порівняно з</w:t>
      </w:r>
      <w:r w:rsidR="00804933">
        <w:t> </w:t>
      </w:r>
      <w:r w:rsidRPr="0022453B">
        <w:t>контролем</w:t>
      </w:r>
      <w:r w:rsidR="005822B0">
        <w:t xml:space="preserve">; </w:t>
      </w:r>
      <w:r w:rsidRPr="0022453B">
        <w:t xml:space="preserve">у хворих на БА + Ож </w:t>
      </w:r>
      <w:r w:rsidR="00CD22CE" w:rsidRPr="0022453B">
        <w:t>–</w:t>
      </w:r>
      <w:r w:rsidRPr="0022453B">
        <w:t xml:space="preserve"> у 1,4 раз</w:t>
      </w:r>
      <w:r w:rsidR="001768D5">
        <w:t>а</w:t>
      </w:r>
      <w:r w:rsidRPr="0022453B">
        <w:t xml:space="preserve"> з БА і у 5 разів відносно групи контролю, що може вказувати на активність імунозапальних процесів за умов коморбідності.</w:t>
      </w:r>
      <w:r w:rsidR="005C0990">
        <w:t xml:space="preserve"> </w:t>
      </w:r>
      <w:r w:rsidRPr="0022453B">
        <w:t>Збільшення кількості IgE у пацієнтів з БА + Ож і БА + ЦД2Т відносно групи порівняння може вказувати на розвиток сенсибілізації у 32,94</w:t>
      </w:r>
      <w:r w:rsidR="0022453B">
        <w:t>%</w:t>
      </w:r>
      <w:r w:rsidRPr="0022453B">
        <w:t xml:space="preserve"> і 28,57</w:t>
      </w:r>
      <w:r w:rsidR="0022453B">
        <w:t>%</w:t>
      </w:r>
      <w:r w:rsidRPr="0022453B">
        <w:t xml:space="preserve"> пацієнтів цих груп відповідно. Підвищення загального ІgЕ не завжди вказує на схильність до виникнення алергічних реакцій та може свідчити про розвиток патології імунних процесів.</w:t>
      </w:r>
      <w:r w:rsidR="005C0990">
        <w:t xml:space="preserve"> </w:t>
      </w:r>
      <w:r w:rsidRPr="0022453B">
        <w:t>Дослідження НСТ-тесту</w:t>
      </w:r>
      <w:r w:rsidRPr="0022453B">
        <w:rPr>
          <w:lang w:val="ru-RU"/>
        </w:rPr>
        <w:t xml:space="preserve"> (спонтанного)</w:t>
      </w:r>
      <w:r w:rsidRPr="0022453B">
        <w:t xml:space="preserve"> виявило вірогідне підвищення показника в усіх групах відносно контролю (р &lt; 0,001). У хворих на БА + Ож і</w:t>
      </w:r>
      <w:r w:rsidR="00804933">
        <w:t> </w:t>
      </w:r>
      <w:r w:rsidRPr="0022453B">
        <w:t>БА + ЦД2Т зниження вмісту Т-лімфоцитів пов</w:t>
      </w:r>
      <w:r w:rsidR="00AF5C51" w:rsidRPr="0022453B">
        <w:t>’</w:t>
      </w:r>
      <w:r w:rsidRPr="0022453B">
        <w:t>язано зі зниженням як Т-хелперів, так Т-супресорів (р &lt; 0,05), що супроводжувалося нижчим значенням ІРІ (р </w:t>
      </w:r>
      <w:r w:rsidRPr="0022453B">
        <w:rPr>
          <w:lang w:eastAsia="ru-RU"/>
        </w:rPr>
        <w:t xml:space="preserve">&lt; 0,05) у цих групах </w:t>
      </w:r>
      <w:r w:rsidRPr="0022453B">
        <w:t xml:space="preserve">відносно контролю (р &lt; 0,001) і групи порівняння (р &lt;0,05). Аналіз загальної кількості лімфоцитів виявив зниження числа лімфоцитів при БА + ЦД2Т і БА + Ож порівняно з контролем </w:t>
      </w:r>
      <w:r w:rsidRPr="0022453B">
        <w:rPr>
          <w:lang w:eastAsia="ru-RU"/>
        </w:rPr>
        <w:t>(р </w:t>
      </w:r>
      <w:r w:rsidRPr="0022453B">
        <w:t>&lt; 0,001), що супроводжувалось підвищенням абсолютної кількості В-лімфоцитів (р &lt;0,05) відносно групи БА, що свідчить на користь вторинного імунодефіциту при коморбідній патології, наслідком чого можуть бути посилення процесів атерогенезу, гострі та хронічні запальні захворювання, алергія. Підтвердженням цьому можуть бути отримані кореляційні зв</w:t>
      </w:r>
      <w:r w:rsidR="00AF5C51" w:rsidRPr="0022453B">
        <w:t>’</w:t>
      </w:r>
      <w:r w:rsidRPr="0022453B">
        <w:t>язки у групах БА + ЦД2Т і БА + Ож між показником НСТ-тесту (спонтанного) та рівнем МАУ (R</w:t>
      </w:r>
      <w:r w:rsidRPr="0022453B">
        <w:rPr>
          <w:vertAlign w:val="subscript"/>
        </w:rPr>
        <w:t>1</w:t>
      </w:r>
      <w:r w:rsidRPr="0022453B">
        <w:t>= 0,37</w:t>
      </w:r>
      <w:r w:rsidR="005822B0">
        <w:t xml:space="preserve">; </w:t>
      </w:r>
      <w:r w:rsidRPr="0022453B">
        <w:t>р &lt; 0,05 і</w:t>
      </w:r>
      <w:r w:rsidR="00804933">
        <w:t> </w:t>
      </w:r>
      <w:r w:rsidRPr="0022453B">
        <w:t>R</w:t>
      </w:r>
      <w:r w:rsidRPr="0022453B">
        <w:rPr>
          <w:vertAlign w:val="subscript"/>
        </w:rPr>
        <w:t>2</w:t>
      </w:r>
      <w:r w:rsidRPr="0022453B">
        <w:t> = 0,45, р &lt; 0,05), між НСТ-спонтанним і ШКФ (R</w:t>
      </w:r>
      <w:r w:rsidRPr="0022453B">
        <w:rPr>
          <w:vertAlign w:val="subscript"/>
        </w:rPr>
        <w:t>1</w:t>
      </w:r>
      <w:r w:rsidRPr="0022453B">
        <w:t> = 0,32</w:t>
      </w:r>
      <w:r w:rsidR="005822B0">
        <w:t xml:space="preserve">; </w:t>
      </w:r>
      <w:r w:rsidRPr="0022453B">
        <w:t>р &lt; 0,05 і R</w:t>
      </w:r>
      <w:r w:rsidRPr="0022453B">
        <w:rPr>
          <w:vertAlign w:val="subscript"/>
        </w:rPr>
        <w:t>2</w:t>
      </w:r>
      <w:r w:rsidRPr="0022453B">
        <w:t> = 0,21</w:t>
      </w:r>
      <w:r w:rsidR="005822B0">
        <w:t xml:space="preserve">; </w:t>
      </w:r>
      <w:r w:rsidRPr="0022453B">
        <w:t>р &lt; 0,05), між НСТ-спонтанним та ОФВ</w:t>
      </w:r>
      <w:r w:rsidRPr="0022453B">
        <w:rPr>
          <w:vertAlign w:val="subscript"/>
        </w:rPr>
        <w:t xml:space="preserve">1 </w:t>
      </w:r>
      <w:r w:rsidRPr="0022453B">
        <w:t>(R</w:t>
      </w:r>
      <w:r w:rsidRPr="0022453B">
        <w:rPr>
          <w:vertAlign w:val="subscript"/>
        </w:rPr>
        <w:t>1</w:t>
      </w:r>
      <w:r w:rsidRPr="0022453B">
        <w:t> = 0,44</w:t>
      </w:r>
      <w:r w:rsidR="005822B0">
        <w:t xml:space="preserve">; </w:t>
      </w:r>
      <w:r w:rsidRPr="0022453B">
        <w:t>р &lt; 0,001 і R</w:t>
      </w:r>
      <w:r w:rsidRPr="0022453B">
        <w:rPr>
          <w:vertAlign w:val="subscript"/>
        </w:rPr>
        <w:t>2</w:t>
      </w:r>
      <w:r w:rsidRPr="0022453B">
        <w:t> = 0,32</w:t>
      </w:r>
      <w:r w:rsidR="005822B0">
        <w:t xml:space="preserve">; </w:t>
      </w:r>
      <w:r w:rsidRPr="0022453B">
        <w:t>р &lt; 0,05), між В-лімфоцитами та ХС-ЛПНЩ (R</w:t>
      </w:r>
      <w:r w:rsidRPr="0022453B">
        <w:rPr>
          <w:vertAlign w:val="subscript"/>
        </w:rPr>
        <w:t>1</w:t>
      </w:r>
      <w:r w:rsidRPr="0022453B">
        <w:t> = -0,33</w:t>
      </w:r>
      <w:r w:rsidR="005822B0">
        <w:t xml:space="preserve">; </w:t>
      </w:r>
      <w:r w:rsidRPr="0022453B">
        <w:t>р &lt; 0,05 і R</w:t>
      </w:r>
      <w:r w:rsidRPr="0022453B">
        <w:rPr>
          <w:vertAlign w:val="subscript"/>
        </w:rPr>
        <w:t>2</w:t>
      </w:r>
      <w:r w:rsidRPr="0022453B">
        <w:t> =- 0,34</w:t>
      </w:r>
      <w:r w:rsidR="005822B0">
        <w:t xml:space="preserve">; </w:t>
      </w:r>
      <w:r w:rsidRPr="0022453B">
        <w:t>р &lt; 0,05), між В-лімфоцитами і ТГ (R</w:t>
      </w:r>
      <w:r w:rsidRPr="0022453B">
        <w:rPr>
          <w:vertAlign w:val="subscript"/>
        </w:rPr>
        <w:t>1</w:t>
      </w:r>
      <w:r w:rsidRPr="0022453B">
        <w:t> = -0,36</w:t>
      </w:r>
      <w:r w:rsidR="005822B0">
        <w:t xml:space="preserve">; </w:t>
      </w:r>
      <w:r w:rsidRPr="0022453B">
        <w:t>р &lt; 0,05 і R</w:t>
      </w:r>
      <w:r w:rsidRPr="0022453B">
        <w:rPr>
          <w:vertAlign w:val="subscript"/>
        </w:rPr>
        <w:t>2</w:t>
      </w:r>
      <w:r w:rsidRPr="0022453B">
        <w:t> = - 0,34</w:t>
      </w:r>
      <w:r w:rsidR="005822B0">
        <w:t xml:space="preserve">; </w:t>
      </w:r>
      <w:r w:rsidRPr="0022453B">
        <w:t>р &lt; 0,05).</w:t>
      </w:r>
      <w:r w:rsidR="001E12FE">
        <w:t xml:space="preserve"> </w:t>
      </w:r>
      <w:r w:rsidRPr="0022453B">
        <w:rPr>
          <w:lang w:eastAsia="ru-RU"/>
        </w:rPr>
        <w:t xml:space="preserve">Проведено аналіз рівнів </w:t>
      </w:r>
      <w:r w:rsidRPr="0022453B">
        <w:t xml:space="preserve">цитокінів ІЛ-8 та ІЛ-12 залежно від ступеня важкості бронхіальної обструкції та ШКФ. Встановлено, що найвищі показники ІЛ-8 та ІЛ-12 були за умов порушення </w:t>
      </w:r>
      <w:r w:rsidRPr="0022453B">
        <w:rPr>
          <w:lang w:eastAsia="ru-RU"/>
        </w:rPr>
        <w:t>ОФВ</w:t>
      </w:r>
      <w:r w:rsidRPr="0022453B">
        <w:rPr>
          <w:vertAlign w:val="subscript"/>
          <w:lang w:eastAsia="ru-RU"/>
        </w:rPr>
        <w:t>1 </w:t>
      </w:r>
      <w:r w:rsidRPr="0022453B">
        <w:rPr>
          <w:lang w:eastAsia="ru-RU"/>
        </w:rPr>
        <w:t>&lt; 50</w:t>
      </w:r>
      <w:r w:rsidR="0022453B">
        <w:rPr>
          <w:lang w:eastAsia="ru-RU"/>
        </w:rPr>
        <w:t>%</w:t>
      </w:r>
      <w:r w:rsidRPr="0022453B">
        <w:rPr>
          <w:lang w:eastAsia="ru-RU"/>
        </w:rPr>
        <w:t xml:space="preserve"> у хворих на БА + ЦД2Т і</w:t>
      </w:r>
      <w:r w:rsidR="00804933">
        <w:rPr>
          <w:lang w:eastAsia="ru-RU"/>
        </w:rPr>
        <w:t> </w:t>
      </w:r>
      <w:r w:rsidRPr="0022453B">
        <w:rPr>
          <w:lang w:eastAsia="ru-RU"/>
        </w:rPr>
        <w:t>БА + Ож відносно групи БА</w:t>
      </w:r>
      <w:r w:rsidRPr="0022453B">
        <w:t xml:space="preserve"> (р &lt; 0,001)</w:t>
      </w:r>
      <w:r w:rsidRPr="0022453B">
        <w:rPr>
          <w:lang w:eastAsia="ru-RU"/>
        </w:rPr>
        <w:t xml:space="preserve">. </w:t>
      </w:r>
      <w:r w:rsidRPr="0022453B">
        <w:t>Отримана кореляційна залежність ОФВ</w:t>
      </w:r>
      <w:r w:rsidRPr="00525952">
        <w:rPr>
          <w:vertAlign w:val="subscript"/>
        </w:rPr>
        <w:t>1</w:t>
      </w:r>
      <w:r w:rsidRPr="0022453B">
        <w:t xml:space="preserve"> та рівнів ІЛ-8 і ІЛ-12 у хворих на БА + ЦД2Т і БА + Ож (R</w:t>
      </w:r>
      <w:r w:rsidRPr="0022453B">
        <w:rPr>
          <w:vertAlign w:val="subscript"/>
        </w:rPr>
        <w:t>1</w:t>
      </w:r>
      <w:r w:rsidRPr="0022453B">
        <w:t> = -0,42</w:t>
      </w:r>
      <w:r w:rsidR="005822B0">
        <w:t>;</w:t>
      </w:r>
      <w:r w:rsidR="001E12FE">
        <w:t xml:space="preserve"> </w:t>
      </w:r>
      <w:r w:rsidR="005822B0">
        <w:t xml:space="preserve"> </w:t>
      </w:r>
      <w:r w:rsidRPr="0022453B">
        <w:t>р &lt; 0,05</w:t>
      </w:r>
      <w:r w:rsidR="005822B0">
        <w:t xml:space="preserve">; </w:t>
      </w:r>
      <w:r w:rsidRPr="0022453B">
        <w:t>R</w:t>
      </w:r>
      <w:r w:rsidRPr="0022453B">
        <w:rPr>
          <w:vertAlign w:val="subscript"/>
        </w:rPr>
        <w:t>2</w:t>
      </w:r>
      <w:r w:rsidRPr="0022453B">
        <w:t> = -0,36</w:t>
      </w:r>
      <w:r w:rsidR="005822B0">
        <w:t xml:space="preserve">; </w:t>
      </w:r>
      <w:r w:rsidRPr="0022453B">
        <w:t>р &lt; 0,05</w:t>
      </w:r>
      <w:r w:rsidR="005822B0">
        <w:t xml:space="preserve">; </w:t>
      </w:r>
      <w:r w:rsidRPr="0022453B">
        <w:t>R</w:t>
      </w:r>
      <w:r w:rsidRPr="0022453B">
        <w:rPr>
          <w:vertAlign w:val="subscript"/>
        </w:rPr>
        <w:t>3</w:t>
      </w:r>
      <w:r w:rsidRPr="0022453B">
        <w:t> = -0,39</w:t>
      </w:r>
      <w:r w:rsidR="005822B0">
        <w:t xml:space="preserve">; </w:t>
      </w:r>
      <w:r w:rsidRPr="0022453B">
        <w:t>р &lt; 0,05 і R</w:t>
      </w:r>
      <w:r w:rsidRPr="0022453B">
        <w:rPr>
          <w:vertAlign w:val="subscript"/>
        </w:rPr>
        <w:t>4</w:t>
      </w:r>
      <w:r w:rsidRPr="0022453B">
        <w:t> = -0,52 р &lt; 0,05 відповідно)</w:t>
      </w:r>
      <w:r w:rsidR="00804933">
        <w:t>.</w:t>
      </w:r>
      <w:r w:rsidR="00E6003F">
        <w:t xml:space="preserve"> А</w:t>
      </w:r>
      <w:r w:rsidRPr="0022453B">
        <w:t xml:space="preserve">наліз результатів дослідження </w:t>
      </w:r>
      <w:r w:rsidR="002B5DEF" w:rsidRPr="0022453B">
        <w:t xml:space="preserve">цитокінів </w:t>
      </w:r>
      <w:r w:rsidRPr="0022453B">
        <w:t xml:space="preserve">ІЛ-8 і ІЛ-12 </w:t>
      </w:r>
      <w:r w:rsidRPr="0022453B">
        <w:lastRenderedPageBreak/>
        <w:t xml:space="preserve">залежно від контролю БА і пошкодження нирок показав, що ці </w:t>
      </w:r>
      <w:r w:rsidR="00E6003F">
        <w:t>інтерлейкіни</w:t>
      </w:r>
      <w:r w:rsidRPr="0022453B">
        <w:t xml:space="preserve"> можуть використовуватися для діагностики</w:t>
      </w:r>
      <w:r w:rsidR="0022453B">
        <w:t xml:space="preserve"> </w:t>
      </w:r>
      <w:r w:rsidR="008B3B79" w:rsidRPr="0022453B">
        <w:t xml:space="preserve">коморбідності. </w:t>
      </w:r>
      <w:r w:rsidRPr="0022453B">
        <w:t>Водночас</w:t>
      </w:r>
      <w:r w:rsidR="0022453B">
        <w:t xml:space="preserve"> </w:t>
      </w:r>
      <w:r w:rsidRPr="0022453B">
        <w:t>було виявлено наростання рі</w:t>
      </w:r>
      <w:r w:rsidR="008B3B79" w:rsidRPr="0022453B">
        <w:t>внів</w:t>
      </w:r>
      <w:r w:rsidRPr="0022453B">
        <w:t xml:space="preserve"> ІЛ-8</w:t>
      </w:r>
      <w:r w:rsidR="008B3B79" w:rsidRPr="0022453B">
        <w:t xml:space="preserve"> та ІЛ-12</w:t>
      </w:r>
      <w:r w:rsidRPr="0022453B">
        <w:t xml:space="preserve"> при коморбідних станах</w:t>
      </w:r>
      <w:r w:rsidR="00E6003F">
        <w:t xml:space="preserve"> (р </w:t>
      </w:r>
      <w:r w:rsidR="00E6003F" w:rsidRPr="0022453B">
        <w:t>&lt; 0,05</w:t>
      </w:r>
      <w:r w:rsidR="00E6003F">
        <w:t>)</w:t>
      </w:r>
      <w:r w:rsidRPr="0022453B">
        <w:t>. У хворих на БА + ЦД2Т і</w:t>
      </w:r>
      <w:r w:rsidR="00804933">
        <w:t> </w:t>
      </w:r>
      <w:r w:rsidRPr="0022453B">
        <w:t>БА + Ож були знайдені істотні кореляції між рівнем ІЛ-8 і ступенем контролю БА (</w:t>
      </w:r>
      <w:r w:rsidRPr="0022453B">
        <w:rPr>
          <w:lang w:val="en-US"/>
        </w:rPr>
        <w:t>R</w:t>
      </w:r>
      <w:r w:rsidRPr="0022453B">
        <w:rPr>
          <w:vertAlign w:val="subscript"/>
        </w:rPr>
        <w:t>1</w:t>
      </w:r>
      <w:r w:rsidRPr="0022453B">
        <w:t xml:space="preserve"> = 0,69, р &lt; 0,05 та </w:t>
      </w:r>
      <w:r w:rsidRPr="0022453B">
        <w:rPr>
          <w:lang w:val="en-US"/>
        </w:rPr>
        <w:t>R</w:t>
      </w:r>
      <w:r w:rsidRPr="0022453B">
        <w:rPr>
          <w:vertAlign w:val="subscript"/>
        </w:rPr>
        <w:t>2</w:t>
      </w:r>
      <w:r w:rsidRPr="0022453B">
        <w:t> = 0,56, р &lt; 0,05), між ІЛ-8 і ШКФ (</w:t>
      </w:r>
      <w:r w:rsidRPr="0022453B">
        <w:rPr>
          <w:lang w:val="en-US"/>
        </w:rPr>
        <w:t>R</w:t>
      </w:r>
      <w:r w:rsidRPr="0022453B">
        <w:rPr>
          <w:vertAlign w:val="subscript"/>
        </w:rPr>
        <w:t>1</w:t>
      </w:r>
      <w:r w:rsidRPr="0022453B">
        <w:t> = 0,71, р &lt; 0,05 і</w:t>
      </w:r>
      <w:r w:rsidR="00804933">
        <w:t> </w:t>
      </w:r>
      <w:r w:rsidRPr="0022453B">
        <w:rPr>
          <w:lang w:val="en-US"/>
        </w:rPr>
        <w:t>R</w:t>
      </w:r>
      <w:r w:rsidRPr="0022453B">
        <w:rPr>
          <w:vertAlign w:val="subscript"/>
        </w:rPr>
        <w:t>2</w:t>
      </w:r>
      <w:r w:rsidRPr="0022453B">
        <w:t> = 0,53, р &lt; 0,05), а також між рівнями ІЛ-12 і ступенем контролю (</w:t>
      </w:r>
      <w:r w:rsidRPr="0022453B">
        <w:rPr>
          <w:lang w:val="pt-BR"/>
        </w:rPr>
        <w:t>R</w:t>
      </w:r>
      <w:r w:rsidRPr="0022453B">
        <w:rPr>
          <w:vertAlign w:val="subscript"/>
        </w:rPr>
        <w:t xml:space="preserve">1 </w:t>
      </w:r>
      <w:r w:rsidRPr="0022453B">
        <w:t xml:space="preserve">= 0,69, р &lt; 0,05 і </w:t>
      </w:r>
      <w:r w:rsidRPr="0022453B">
        <w:rPr>
          <w:lang w:val="pt-BR"/>
        </w:rPr>
        <w:t>R</w:t>
      </w:r>
      <w:r w:rsidRPr="0022453B">
        <w:rPr>
          <w:vertAlign w:val="subscript"/>
        </w:rPr>
        <w:t>2</w:t>
      </w:r>
      <w:r w:rsidRPr="0022453B">
        <w:t> = 0,56 р = 0,05),</w:t>
      </w:r>
      <w:r w:rsidR="0022453B">
        <w:t xml:space="preserve"> </w:t>
      </w:r>
      <w:r w:rsidRPr="0022453B">
        <w:t>ІЛ-12 і ШКФ (</w:t>
      </w:r>
      <w:r w:rsidRPr="0022453B">
        <w:rPr>
          <w:lang w:val="pt-BR"/>
        </w:rPr>
        <w:t>R</w:t>
      </w:r>
      <w:r w:rsidRPr="0022453B">
        <w:rPr>
          <w:vertAlign w:val="subscript"/>
        </w:rPr>
        <w:t>1</w:t>
      </w:r>
      <w:r w:rsidRPr="0022453B">
        <w:t xml:space="preserve"> = 0,71, р = 0,05, </w:t>
      </w:r>
      <w:r w:rsidRPr="0022453B">
        <w:rPr>
          <w:lang w:val="pt-BR"/>
        </w:rPr>
        <w:t>R</w:t>
      </w:r>
      <w:r w:rsidRPr="0022453B">
        <w:rPr>
          <w:vertAlign w:val="subscript"/>
        </w:rPr>
        <w:t>2</w:t>
      </w:r>
      <w:r w:rsidRPr="0022453B">
        <w:t> = 0,53, р = 0,05).</w:t>
      </w:r>
    </w:p>
    <w:p w:rsidR="005D7B13" w:rsidRDefault="009027D9" w:rsidP="00CD5061">
      <w:pPr>
        <w:pStyle w:val="atextRef"/>
        <w:spacing w:line="288" w:lineRule="auto"/>
      </w:pPr>
      <w:r w:rsidRPr="0022453B">
        <w:t>Для профілактики ризику переходу середньої тяжкості БА у поєднанні з</w:t>
      </w:r>
      <w:r w:rsidR="00804933">
        <w:t> </w:t>
      </w:r>
      <w:r w:rsidRPr="0022453B">
        <w:t>ЦД2Т та ожирінням у тяжку ми запропонували математичні моделі, на які отримані 2 патенти на винахід. Були розраховані коефіцієнти ризику прогресування БА за регресійним рівнянням для хворих на БА у поєднанні з</w:t>
      </w:r>
      <w:r w:rsidR="00804933">
        <w:t> </w:t>
      </w:r>
      <w:r w:rsidRPr="0022453B">
        <w:t xml:space="preserve">ожирінням (К </w:t>
      </w:r>
      <w:r w:rsidRPr="0022453B">
        <w:rPr>
          <w:vertAlign w:val="subscript"/>
        </w:rPr>
        <w:t>ризику 1</w:t>
      </w:r>
      <w:r w:rsidRPr="0022453B">
        <w:t xml:space="preserve">) і для хворих на БА у поєднанні з ЦД2Т (К </w:t>
      </w:r>
      <w:r w:rsidRPr="0022453B">
        <w:rPr>
          <w:vertAlign w:val="subscript"/>
        </w:rPr>
        <w:t>ризику 2</w:t>
      </w:r>
      <w:r w:rsidRPr="0022453B">
        <w:t>):</w:t>
      </w:r>
    </w:p>
    <w:p w:rsidR="00442398" w:rsidRPr="0022453B" w:rsidRDefault="00B134A8" w:rsidP="00CD5061">
      <w:pPr>
        <w:pStyle w:val="a6"/>
        <w:ind w:left="0" w:firstLine="709"/>
        <w:rPr>
          <w:b/>
          <w:lang w:val="uk-UA" w:eastAsia="x-none"/>
        </w:rPr>
      </w:pPr>
      <w:r w:rsidRPr="0022453B">
        <w:rPr>
          <w:kern w:val="1"/>
          <w:lang w:val="uk-UA"/>
        </w:rPr>
        <w:object w:dxaOrig="7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6.25pt" o:ole="">
            <v:imagedata r:id="rId10" o:title=""/>
          </v:shape>
          <o:OLEObject Type="Embed" ProgID="Equation.3" ShapeID="_x0000_i1025" DrawAspect="Content" ObjectID="_1635860357" r:id="rId11"/>
        </w:object>
      </w:r>
      <w:r w:rsidR="00E226D1" w:rsidRPr="0022453B">
        <w:rPr>
          <w:kern w:val="1"/>
          <w:lang w:val="uk-UA"/>
        </w:rPr>
        <w:t>1</w:t>
      </w:r>
      <w:r w:rsidR="009A442D" w:rsidRPr="0022453B">
        <w:rPr>
          <w:noProof/>
          <w:kern w:val="1"/>
          <w:lang w:val="ru-RU"/>
        </w:rPr>
        <w:drawing>
          <wp:inline distT="0" distB="0" distL="0" distR="0">
            <wp:extent cx="4981575" cy="638175"/>
            <wp:effectExtent l="0" t="0" r="0" b="0"/>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638175"/>
                    </a:xfrm>
                    <a:prstGeom prst="rect">
                      <a:avLst/>
                    </a:prstGeom>
                    <a:noFill/>
                    <a:ln>
                      <a:noFill/>
                    </a:ln>
                  </pic:spPr>
                </pic:pic>
              </a:graphicData>
            </a:graphic>
          </wp:inline>
        </w:drawing>
      </w:r>
      <w:r w:rsidR="003C1B8C" w:rsidRPr="0022453B">
        <w:rPr>
          <w:noProof/>
          <w:kern w:val="1"/>
          <w:lang w:val="uk-UA"/>
        </w:rPr>
        <w:t>,</w:t>
      </w:r>
    </w:p>
    <w:p w:rsidR="004E4160" w:rsidRPr="0022453B" w:rsidRDefault="004E4160" w:rsidP="00CD5061">
      <w:pPr>
        <w:pStyle w:val="atextRef"/>
        <w:spacing w:line="240" w:lineRule="auto"/>
        <w:rPr>
          <w:kern w:val="1"/>
          <w:lang w:eastAsia="ru-RU"/>
        </w:rPr>
      </w:pPr>
      <w:r w:rsidRPr="0022453B">
        <w:rPr>
          <w:kern w:val="1"/>
          <w:lang w:eastAsia="ru-RU"/>
        </w:rPr>
        <w:t xml:space="preserve">де </w:t>
      </w:r>
      <w:r w:rsidR="00E6003F">
        <w:rPr>
          <w:kern w:val="1"/>
          <w:lang w:eastAsia="ru-RU"/>
        </w:rPr>
        <w:t xml:space="preserve">К </w:t>
      </w:r>
      <w:r w:rsidR="00E6003F" w:rsidRPr="00E6003F">
        <w:rPr>
          <w:kern w:val="1"/>
          <w:vertAlign w:val="subscript"/>
          <w:lang w:eastAsia="ru-RU"/>
        </w:rPr>
        <w:t>ризику</w:t>
      </w:r>
      <w:r w:rsidR="00B42820" w:rsidRPr="00E6003F">
        <w:rPr>
          <w:kern w:val="1"/>
          <w:vertAlign w:val="subscript"/>
          <w:lang w:eastAsia="ru-RU"/>
        </w:rPr>
        <w:t>1</w:t>
      </w:r>
      <w:r w:rsidR="004A5C2F" w:rsidRPr="0022453B">
        <w:rPr>
          <w:lang w:eastAsia="ru-RU"/>
        </w:rPr>
        <w:t xml:space="preserve"> </w:t>
      </w:r>
      <w:r w:rsidR="00CD22CE" w:rsidRPr="0022453B">
        <w:rPr>
          <w:lang w:eastAsia="ru-RU"/>
        </w:rPr>
        <w:t>–</w:t>
      </w:r>
      <w:r w:rsidRPr="0022453B">
        <w:rPr>
          <w:lang w:eastAsia="ru-RU"/>
        </w:rPr>
        <w:t xml:space="preserve"> </w:t>
      </w:r>
      <w:r w:rsidRPr="0022453B">
        <w:t xml:space="preserve">коефіцієнт ризику прогресування </w:t>
      </w:r>
      <w:r w:rsidR="004A5C2F" w:rsidRPr="0022453B">
        <w:t>БА</w:t>
      </w:r>
      <w:r w:rsidRPr="0022453B">
        <w:t xml:space="preserve"> у пацієнтів з </w:t>
      </w:r>
      <w:r w:rsidR="004A5C2F" w:rsidRPr="0022453B">
        <w:t>БА</w:t>
      </w:r>
      <w:r w:rsidRPr="0022453B">
        <w:t xml:space="preserve"> і</w:t>
      </w:r>
      <w:r w:rsidR="00804933">
        <w:t> </w:t>
      </w:r>
      <w:r w:rsidRPr="0022453B">
        <w:t>ожиріння</w:t>
      </w:r>
      <w:r w:rsidR="004A5C2F" w:rsidRPr="0022453B">
        <w:t>м</w:t>
      </w:r>
      <w:r w:rsidR="005822B0">
        <w:rPr>
          <w:kern w:val="1"/>
          <w:lang w:eastAsia="ru-RU"/>
        </w:rPr>
        <w:t>; </w:t>
      </w:r>
    </w:p>
    <w:p w:rsidR="00E226D1" w:rsidRPr="0022453B" w:rsidRDefault="00F20A8F" w:rsidP="00CD5061">
      <w:pPr>
        <w:pStyle w:val="atextRef"/>
        <w:spacing w:line="240" w:lineRule="auto"/>
      </w:pPr>
      <w:r w:rsidRPr="0022453B">
        <w:t>Х</w:t>
      </w:r>
      <w:r w:rsidR="00442398" w:rsidRPr="0022453B">
        <w:rPr>
          <w:vertAlign w:val="subscript"/>
        </w:rPr>
        <w:t>1</w:t>
      </w:r>
      <w:r w:rsidR="00442398" w:rsidRPr="0022453B">
        <w:t xml:space="preserve"> </w:t>
      </w:r>
      <w:r w:rsidR="00CD22CE" w:rsidRPr="0022453B">
        <w:t>–</w:t>
      </w:r>
      <w:r w:rsidR="00442398" w:rsidRPr="0022453B">
        <w:rPr>
          <w:lang w:eastAsia="ru-RU"/>
        </w:rPr>
        <w:t xml:space="preserve"> </w:t>
      </w:r>
      <w:r w:rsidR="00E81A19" w:rsidRPr="0022453B">
        <w:t xml:space="preserve">рівень </w:t>
      </w:r>
      <w:r w:rsidR="003507F7" w:rsidRPr="0022453B">
        <w:rPr>
          <w:lang w:eastAsia="ru-RU"/>
        </w:rPr>
        <w:t>тригліцер</w:t>
      </w:r>
      <w:r w:rsidR="00042265" w:rsidRPr="0022453B">
        <w:rPr>
          <w:lang w:eastAsia="ru-RU"/>
        </w:rPr>
        <w:t>и</w:t>
      </w:r>
      <w:r w:rsidR="003507F7" w:rsidRPr="0022453B">
        <w:rPr>
          <w:lang w:eastAsia="ru-RU"/>
        </w:rPr>
        <w:t>дів</w:t>
      </w:r>
      <w:r w:rsidR="00E81A19" w:rsidRPr="0022453B">
        <w:rPr>
          <w:lang w:eastAsia="ru-RU"/>
        </w:rPr>
        <w:t>, мкмоль/л</w:t>
      </w:r>
      <w:r w:rsidR="005822B0">
        <w:rPr>
          <w:lang w:eastAsia="ru-RU"/>
        </w:rPr>
        <w:t xml:space="preserve">; </w:t>
      </w:r>
      <w:r>
        <w:t>Х</w:t>
      </w:r>
      <w:r w:rsidR="00442398" w:rsidRPr="0022453B">
        <w:rPr>
          <w:vertAlign w:val="subscript"/>
        </w:rPr>
        <w:t xml:space="preserve">2 </w:t>
      </w:r>
      <w:r w:rsidR="00CD22CE" w:rsidRPr="0022453B">
        <w:t>–</w:t>
      </w:r>
      <w:r w:rsidR="00D8032A" w:rsidRPr="0022453B">
        <w:t xml:space="preserve"> </w:t>
      </w:r>
      <w:r w:rsidR="00907C97" w:rsidRPr="0022453B">
        <w:rPr>
          <w:lang w:eastAsia="ru-RU"/>
        </w:rPr>
        <w:t>результат тесту з</w:t>
      </w:r>
      <w:r w:rsidR="00907C97" w:rsidRPr="0022453B">
        <w:rPr>
          <w:rFonts w:eastAsia="TimesNewRomanPS-BoldMT"/>
          <w:bCs/>
          <w:lang w:eastAsia="uk-UA"/>
        </w:rPr>
        <w:t xml:space="preserve"> контролю над астмою, кількість балів</w:t>
      </w:r>
      <w:r w:rsidR="005822B0">
        <w:rPr>
          <w:rFonts w:eastAsia="TimesNewRomanPS-BoldMT"/>
          <w:bCs/>
          <w:lang w:eastAsia="uk-UA"/>
        </w:rPr>
        <w:t xml:space="preserve">; </w:t>
      </w:r>
      <w:r>
        <w:t>Х</w:t>
      </w:r>
      <w:r w:rsidR="00442398" w:rsidRPr="0022453B">
        <w:rPr>
          <w:vertAlign w:val="subscript"/>
        </w:rPr>
        <w:t>3</w:t>
      </w:r>
      <w:r w:rsidR="00442398" w:rsidRPr="0022453B">
        <w:t xml:space="preserve"> </w:t>
      </w:r>
      <w:r w:rsidR="00CD22CE" w:rsidRPr="0022453B">
        <w:t>–</w:t>
      </w:r>
      <w:r w:rsidR="00442398" w:rsidRPr="0022453B">
        <w:t xml:space="preserve"> </w:t>
      </w:r>
      <w:r w:rsidR="00442398" w:rsidRPr="0022453B">
        <w:rPr>
          <w:lang w:eastAsia="ru-RU"/>
        </w:rPr>
        <w:t>індекс талія/стегно</w:t>
      </w:r>
      <w:r w:rsidR="005822B0">
        <w:rPr>
          <w:lang w:eastAsia="ru-RU"/>
        </w:rPr>
        <w:t xml:space="preserve">; </w:t>
      </w:r>
      <w:r>
        <w:t>Х</w:t>
      </w:r>
      <w:r w:rsidR="00442398" w:rsidRPr="0022453B">
        <w:rPr>
          <w:vertAlign w:val="subscript"/>
        </w:rPr>
        <w:t>4</w:t>
      </w:r>
      <w:r w:rsidR="007C7AA9" w:rsidRPr="0022453B">
        <w:t xml:space="preserve"> </w:t>
      </w:r>
      <w:r w:rsidR="00CD22CE" w:rsidRPr="0022453B">
        <w:t>–</w:t>
      </w:r>
      <w:r w:rsidR="00442398" w:rsidRPr="0022453B">
        <w:t xml:space="preserve"> </w:t>
      </w:r>
      <w:r w:rsidR="00442398" w:rsidRPr="0022453B">
        <w:rPr>
          <w:lang w:eastAsia="ru-RU"/>
        </w:rPr>
        <w:t>індекс інсулінорезистентності</w:t>
      </w:r>
      <w:r w:rsidR="005822B0">
        <w:rPr>
          <w:lang w:eastAsia="ru-RU"/>
        </w:rPr>
        <w:t xml:space="preserve">; </w:t>
      </w:r>
      <w:r>
        <w:t>Х</w:t>
      </w:r>
      <w:r w:rsidR="00442398" w:rsidRPr="0022453B">
        <w:rPr>
          <w:vertAlign w:val="subscript"/>
        </w:rPr>
        <w:t>5</w:t>
      </w:r>
      <w:r w:rsidR="007C7AA9" w:rsidRPr="0022453B">
        <w:t xml:space="preserve"> </w:t>
      </w:r>
      <w:r w:rsidR="00CD22CE" w:rsidRPr="0022453B">
        <w:t>–</w:t>
      </w:r>
      <w:r w:rsidR="00E226D1" w:rsidRPr="0022453B">
        <w:t xml:space="preserve"> </w:t>
      </w:r>
      <w:r w:rsidR="00E226D1" w:rsidRPr="0022453B">
        <w:rPr>
          <w:lang w:eastAsia="ru-RU"/>
        </w:rPr>
        <w:t xml:space="preserve">рівень </w:t>
      </w:r>
      <w:r w:rsidR="004A5C2F" w:rsidRPr="0022453B">
        <w:rPr>
          <w:lang w:eastAsia="ru-RU"/>
        </w:rPr>
        <w:t>ЛПНЩ</w:t>
      </w:r>
      <w:r w:rsidR="00E226D1" w:rsidRPr="0022453B">
        <w:rPr>
          <w:lang w:eastAsia="ru-RU"/>
        </w:rPr>
        <w:t xml:space="preserve">, </w:t>
      </w:r>
      <w:r w:rsidR="00E226D1" w:rsidRPr="0022453B">
        <w:rPr>
          <w:kern w:val="1"/>
          <w:lang w:eastAsia="ar-SA"/>
        </w:rPr>
        <w:t>ммоль/л</w:t>
      </w:r>
      <w:r w:rsidR="005822B0">
        <w:rPr>
          <w:lang w:eastAsia="ru-RU"/>
        </w:rPr>
        <w:t xml:space="preserve">; </w:t>
      </w:r>
      <w:r>
        <w:t>Х</w:t>
      </w:r>
      <w:r w:rsidR="00442398" w:rsidRPr="0022453B">
        <w:rPr>
          <w:vertAlign w:val="subscript"/>
        </w:rPr>
        <w:t>6</w:t>
      </w:r>
      <w:r w:rsidR="007C7AA9" w:rsidRPr="0022453B">
        <w:t xml:space="preserve"> </w:t>
      </w:r>
      <w:r w:rsidR="00CD22CE" w:rsidRPr="0022453B">
        <w:t>–</w:t>
      </w:r>
      <w:r w:rsidR="00E226D1" w:rsidRPr="0022453B">
        <w:rPr>
          <w:lang w:eastAsia="ru-RU"/>
        </w:rPr>
        <w:t xml:space="preserve"> рівень глікованого гемоглобіну,</w:t>
      </w:r>
      <w:r w:rsidR="0022453B">
        <w:rPr>
          <w:lang w:eastAsia="ru-RU"/>
        </w:rPr>
        <w:t>%</w:t>
      </w:r>
      <w:r w:rsidR="005822B0">
        <w:rPr>
          <w:kern w:val="1"/>
          <w:lang w:eastAsia="ar-SA"/>
        </w:rPr>
        <w:t xml:space="preserve">; </w:t>
      </w:r>
      <w:r>
        <w:t>Х</w:t>
      </w:r>
      <w:r w:rsidR="00442398" w:rsidRPr="0022453B">
        <w:rPr>
          <w:vertAlign w:val="subscript"/>
        </w:rPr>
        <w:t>7</w:t>
      </w:r>
      <w:r w:rsidR="00D74116" w:rsidRPr="0022453B">
        <w:rPr>
          <w:vertAlign w:val="subscript"/>
        </w:rPr>
        <w:t xml:space="preserve"> </w:t>
      </w:r>
      <w:r w:rsidR="00CD22CE" w:rsidRPr="0022453B">
        <w:t>–</w:t>
      </w:r>
      <w:r w:rsidR="00E226D1" w:rsidRPr="0022453B">
        <w:rPr>
          <w:lang w:eastAsia="ru-RU"/>
        </w:rPr>
        <w:t xml:space="preserve"> ОФВ</w:t>
      </w:r>
      <w:r w:rsidR="00E226D1" w:rsidRPr="0022453B">
        <w:rPr>
          <w:vertAlign w:val="subscript"/>
          <w:lang w:eastAsia="ru-RU"/>
        </w:rPr>
        <w:t>1</w:t>
      </w:r>
      <w:r w:rsidR="0022453B">
        <w:rPr>
          <w:kern w:val="1"/>
          <w:lang w:eastAsia="ar-SA"/>
        </w:rPr>
        <w:t>%</w:t>
      </w:r>
      <w:r w:rsidR="00DC6703" w:rsidRPr="0022453B">
        <w:rPr>
          <w:kern w:val="1"/>
          <w:lang w:eastAsia="ar-SA"/>
        </w:rPr>
        <w:t>.</w:t>
      </w:r>
    </w:p>
    <w:p w:rsidR="00D74116" w:rsidRPr="0022453B" w:rsidRDefault="0011499F" w:rsidP="00CD5061">
      <w:pPr>
        <w:spacing w:after="0" w:line="240" w:lineRule="auto"/>
        <w:ind w:left="113" w:firstLine="709"/>
        <w:jc w:val="both"/>
        <w:rPr>
          <w:rFonts w:ascii="Times New Roman" w:hAnsi="Times New Roman"/>
          <w:sz w:val="28"/>
          <w:szCs w:val="28"/>
        </w:rPr>
      </w:pPr>
      <w:r w:rsidRPr="0011499F">
        <w:rPr>
          <w:bCs/>
          <w:position w:val="-36"/>
        </w:rPr>
        <w:object w:dxaOrig="7320" w:dyaOrig="880">
          <v:shape id="_x0000_i1027" type="#_x0000_t75" style="width:410.25pt;height:50.25pt" o:ole="">
            <v:imagedata r:id="rId13" o:title=""/>
          </v:shape>
          <o:OLEObject Type="Embed" ProgID="Equation.3" ShapeID="_x0000_i1027" DrawAspect="Content" ObjectID="_1635860358" r:id="rId14"/>
        </w:object>
      </w:r>
      <w:r w:rsidR="004A5C2F" w:rsidRPr="0022453B">
        <w:rPr>
          <w:rFonts w:ascii="Times New Roman" w:hAnsi="Times New Roman"/>
          <w:sz w:val="28"/>
          <w:szCs w:val="28"/>
        </w:rPr>
        <w:t>,</w:t>
      </w:r>
    </w:p>
    <w:p w:rsidR="004E4160" w:rsidRPr="0022453B" w:rsidRDefault="004E4160" w:rsidP="00CD5061">
      <w:pPr>
        <w:suppressAutoHyphens/>
        <w:overflowPunct w:val="0"/>
        <w:autoSpaceDE w:val="0"/>
        <w:autoSpaceDN w:val="0"/>
        <w:adjustRightInd w:val="0"/>
        <w:spacing w:after="0" w:line="288" w:lineRule="auto"/>
        <w:ind w:firstLine="709"/>
        <w:jc w:val="both"/>
        <w:textAlignment w:val="baseline"/>
        <w:rPr>
          <w:rFonts w:ascii="Times New Roman" w:hAnsi="Times New Roman"/>
          <w:sz w:val="28"/>
          <w:szCs w:val="28"/>
          <w:lang w:val="ru-RU"/>
        </w:rPr>
      </w:pPr>
      <w:r w:rsidRPr="0022453B">
        <w:rPr>
          <w:rFonts w:ascii="Times New Roman" w:hAnsi="Times New Roman"/>
          <w:kern w:val="1"/>
          <w:sz w:val="28"/>
          <w:szCs w:val="28"/>
          <w:lang w:eastAsia="ru-RU"/>
        </w:rPr>
        <w:t>д</w:t>
      </w:r>
      <w:r w:rsidRPr="0022453B">
        <w:rPr>
          <w:rFonts w:ascii="Times New Roman" w:hAnsi="Times New Roman"/>
          <w:sz w:val="28"/>
          <w:szCs w:val="28"/>
        </w:rPr>
        <w:t xml:space="preserve">е </w:t>
      </w:r>
      <w:r w:rsidR="00E6003F" w:rsidRPr="00E6003F">
        <w:rPr>
          <w:rFonts w:ascii="Times New Roman" w:hAnsi="Times New Roman"/>
          <w:kern w:val="1"/>
          <w:lang w:eastAsia="ru-RU"/>
        </w:rPr>
        <w:t xml:space="preserve">К </w:t>
      </w:r>
      <w:r w:rsidR="00E6003F" w:rsidRPr="00E6003F">
        <w:rPr>
          <w:rFonts w:ascii="Times New Roman" w:hAnsi="Times New Roman"/>
          <w:kern w:val="1"/>
          <w:vertAlign w:val="subscript"/>
          <w:lang w:eastAsia="ru-RU"/>
        </w:rPr>
        <w:t>ризику2</w:t>
      </w:r>
      <w:r w:rsidR="00CD22CE" w:rsidRPr="0022453B">
        <w:rPr>
          <w:rFonts w:ascii="Times New Roman" w:hAnsi="Times New Roman"/>
          <w:sz w:val="28"/>
          <w:szCs w:val="28"/>
        </w:rPr>
        <w:t>–</w:t>
      </w:r>
      <w:r w:rsidRPr="0022453B">
        <w:rPr>
          <w:rFonts w:ascii="Times New Roman" w:hAnsi="Times New Roman"/>
          <w:sz w:val="28"/>
          <w:szCs w:val="28"/>
        </w:rPr>
        <w:t xml:space="preserve"> коефіцієнт ризику прогресування </w:t>
      </w:r>
      <w:r w:rsidR="00DC6703" w:rsidRPr="0022453B">
        <w:rPr>
          <w:rFonts w:ascii="Times New Roman" w:hAnsi="Times New Roman"/>
          <w:sz w:val="28"/>
          <w:szCs w:val="28"/>
        </w:rPr>
        <w:t>БА</w:t>
      </w:r>
      <w:r w:rsidRPr="0022453B">
        <w:rPr>
          <w:rFonts w:ascii="Times New Roman" w:hAnsi="Times New Roman"/>
          <w:sz w:val="28"/>
          <w:szCs w:val="28"/>
        </w:rPr>
        <w:t xml:space="preserve"> у пацієнтів з </w:t>
      </w:r>
      <w:r w:rsidR="00DC6703" w:rsidRPr="0022453B">
        <w:rPr>
          <w:rFonts w:ascii="Times New Roman" w:hAnsi="Times New Roman"/>
          <w:sz w:val="28"/>
          <w:szCs w:val="28"/>
        </w:rPr>
        <w:t>БА</w:t>
      </w:r>
      <w:r w:rsidRPr="0022453B">
        <w:rPr>
          <w:rFonts w:ascii="Times New Roman" w:hAnsi="Times New Roman"/>
          <w:sz w:val="28"/>
          <w:szCs w:val="28"/>
        </w:rPr>
        <w:t xml:space="preserve"> і </w:t>
      </w:r>
      <w:r w:rsidR="00DC6703" w:rsidRPr="0022453B">
        <w:rPr>
          <w:rFonts w:ascii="Times New Roman" w:hAnsi="Times New Roman"/>
          <w:sz w:val="28"/>
          <w:szCs w:val="28"/>
        </w:rPr>
        <w:t>ЦД2Т</w:t>
      </w:r>
      <w:r w:rsidR="005822B0">
        <w:rPr>
          <w:rFonts w:ascii="Times New Roman" w:hAnsi="Times New Roman"/>
          <w:sz w:val="28"/>
          <w:szCs w:val="28"/>
          <w:lang w:val="ru-RU"/>
        </w:rPr>
        <w:t>; </w:t>
      </w:r>
    </w:p>
    <w:p w:rsidR="00E226D1" w:rsidRPr="0022453B" w:rsidRDefault="00781D24" w:rsidP="00CD5061">
      <w:pPr>
        <w:pStyle w:val="atextRef"/>
        <w:spacing w:line="288" w:lineRule="auto"/>
        <w:rPr>
          <w:kern w:val="1"/>
          <w:sz w:val="24"/>
          <w:szCs w:val="24"/>
          <w:lang w:eastAsia="ru-RU"/>
        </w:rPr>
      </w:pPr>
      <w:r>
        <w:t>Х</w:t>
      </w:r>
      <w:r w:rsidRPr="00781D24">
        <w:rPr>
          <w:vertAlign w:val="subscript"/>
        </w:rPr>
        <w:t>1</w:t>
      </w:r>
      <w:r w:rsidR="00CD22CE" w:rsidRPr="0022453B">
        <w:rPr>
          <w:lang w:eastAsia="ru-RU"/>
        </w:rPr>
        <w:t>–</w:t>
      </w:r>
      <w:r w:rsidR="00DC6703" w:rsidRPr="0022453B">
        <w:rPr>
          <w:lang w:eastAsia="ru-RU"/>
        </w:rPr>
        <w:t xml:space="preserve"> </w:t>
      </w:r>
      <w:r w:rsidR="00047242" w:rsidRPr="0022453B">
        <w:rPr>
          <w:lang w:eastAsia="ru-RU"/>
        </w:rPr>
        <w:t>об</w:t>
      </w:r>
      <w:r w:rsidR="00AF5C51" w:rsidRPr="0022453B">
        <w:rPr>
          <w:lang w:eastAsia="ru-RU"/>
        </w:rPr>
        <w:t>’</w:t>
      </w:r>
      <w:r w:rsidR="00047242" w:rsidRPr="0022453B">
        <w:rPr>
          <w:lang w:eastAsia="ru-RU"/>
        </w:rPr>
        <w:t>єм стегон, см</w:t>
      </w:r>
      <w:r w:rsidR="005822B0">
        <w:t xml:space="preserve">; </w:t>
      </w:r>
      <w:r>
        <w:t>Х</w:t>
      </w:r>
      <w:r>
        <w:rPr>
          <w:vertAlign w:val="subscript"/>
        </w:rPr>
        <w:t>2</w:t>
      </w:r>
      <w:r w:rsidR="00DC6703" w:rsidRPr="0022453B">
        <w:t xml:space="preserve"> </w:t>
      </w:r>
      <w:r w:rsidR="00CD22CE" w:rsidRPr="0022453B">
        <w:rPr>
          <w:lang w:eastAsia="ru-RU"/>
        </w:rPr>
        <w:t>–</w:t>
      </w:r>
      <w:r w:rsidR="00047242" w:rsidRPr="0022453B">
        <w:t xml:space="preserve"> рівень </w:t>
      </w:r>
      <w:r w:rsidR="00047242" w:rsidRPr="0022453B">
        <w:rPr>
          <w:lang w:eastAsia="ru-RU"/>
        </w:rPr>
        <w:t>креатиніну в крові, мкмоль/л</w:t>
      </w:r>
      <w:r w:rsidR="005822B0">
        <w:rPr>
          <w:lang w:eastAsia="ru-RU"/>
        </w:rPr>
        <w:t xml:space="preserve">; </w:t>
      </w:r>
      <w:r>
        <w:t>Х</w:t>
      </w:r>
      <w:r>
        <w:rPr>
          <w:vertAlign w:val="subscript"/>
        </w:rPr>
        <w:t>3</w:t>
      </w:r>
      <w:r w:rsidR="00DC6703" w:rsidRPr="0022453B">
        <w:t xml:space="preserve"> </w:t>
      </w:r>
      <w:r w:rsidR="00CD22CE" w:rsidRPr="0022453B">
        <w:rPr>
          <w:lang w:eastAsia="ru-RU"/>
        </w:rPr>
        <w:t>–</w:t>
      </w:r>
      <w:r w:rsidR="00DC6703" w:rsidRPr="0022453B">
        <w:rPr>
          <w:lang w:eastAsia="ru-RU"/>
        </w:rPr>
        <w:t xml:space="preserve"> </w:t>
      </w:r>
      <w:r w:rsidR="00047242" w:rsidRPr="0022453B">
        <w:rPr>
          <w:lang w:eastAsia="ru-RU"/>
        </w:rPr>
        <w:t xml:space="preserve">тривалість захворювання, </w:t>
      </w:r>
      <w:r w:rsidR="00047242" w:rsidRPr="0022453B">
        <w:t>кількість</w:t>
      </w:r>
      <w:r w:rsidR="00047242" w:rsidRPr="0022453B">
        <w:rPr>
          <w:lang w:eastAsia="ru-RU"/>
        </w:rPr>
        <w:t xml:space="preserve"> рок</w:t>
      </w:r>
      <w:r w:rsidR="00047242" w:rsidRPr="0022453B">
        <w:t>ів</w:t>
      </w:r>
      <w:r w:rsidR="005822B0">
        <w:t xml:space="preserve">; </w:t>
      </w:r>
      <w:r>
        <w:t>Х</w:t>
      </w:r>
      <w:r>
        <w:rPr>
          <w:vertAlign w:val="subscript"/>
        </w:rPr>
        <w:t>4</w:t>
      </w:r>
      <w:r w:rsidR="00CD22CE" w:rsidRPr="0022453B">
        <w:rPr>
          <w:lang w:eastAsia="ru-RU"/>
        </w:rPr>
        <w:t>–</w:t>
      </w:r>
      <w:r w:rsidR="00DC6703" w:rsidRPr="0022453B">
        <w:rPr>
          <w:lang w:eastAsia="ru-RU"/>
        </w:rPr>
        <w:t xml:space="preserve"> </w:t>
      </w:r>
      <w:r w:rsidR="00047242" w:rsidRPr="0022453B">
        <w:t>форсована життєва ємність леген</w:t>
      </w:r>
      <w:r w:rsidR="00775055" w:rsidRPr="0022453B">
        <w:t>ь</w:t>
      </w:r>
      <w:r w:rsidR="00047242" w:rsidRPr="0022453B">
        <w:t>,</w:t>
      </w:r>
      <w:r w:rsidR="0022453B">
        <w:t>%</w:t>
      </w:r>
      <w:r w:rsidR="005822B0">
        <w:t xml:space="preserve">; </w:t>
      </w:r>
      <w:r>
        <w:t>Х</w:t>
      </w:r>
      <w:r>
        <w:rPr>
          <w:vertAlign w:val="subscript"/>
        </w:rPr>
        <w:t>5</w:t>
      </w:r>
      <w:r w:rsidR="00CD22CE" w:rsidRPr="0022453B">
        <w:rPr>
          <w:lang w:eastAsia="ru-RU"/>
        </w:rPr>
        <w:t>–</w:t>
      </w:r>
      <w:r w:rsidR="00DC6703" w:rsidRPr="0022453B">
        <w:rPr>
          <w:lang w:eastAsia="ru-RU"/>
        </w:rPr>
        <w:t xml:space="preserve"> </w:t>
      </w:r>
      <w:r w:rsidR="00047242" w:rsidRPr="0022453B">
        <w:rPr>
          <w:lang w:eastAsia="ru-RU"/>
        </w:rPr>
        <w:t xml:space="preserve">рівень імуноглобуліну Е в </w:t>
      </w:r>
      <w:r w:rsidR="00047242" w:rsidRPr="0022453B">
        <w:t>сироватці</w:t>
      </w:r>
      <w:r w:rsidR="00956F88" w:rsidRPr="0022453B">
        <w:t xml:space="preserve"> </w:t>
      </w:r>
      <w:r w:rsidR="00047242" w:rsidRPr="0022453B">
        <w:rPr>
          <w:lang w:eastAsia="ru-RU"/>
        </w:rPr>
        <w:t xml:space="preserve">крові, </w:t>
      </w:r>
      <w:r w:rsidR="00047242" w:rsidRPr="0022453B">
        <w:rPr>
          <w:kern w:val="1"/>
          <w:lang w:eastAsia="ar-SA"/>
        </w:rPr>
        <w:t>МО/мл</w:t>
      </w:r>
      <w:r w:rsidR="005822B0">
        <w:rPr>
          <w:lang w:eastAsia="ru-RU"/>
        </w:rPr>
        <w:t xml:space="preserve">; </w:t>
      </w:r>
      <w:r>
        <w:t>Х</w:t>
      </w:r>
      <w:r>
        <w:rPr>
          <w:vertAlign w:val="subscript"/>
        </w:rPr>
        <w:t>6</w:t>
      </w:r>
      <w:r w:rsidR="00CD22CE" w:rsidRPr="0022453B">
        <w:rPr>
          <w:lang w:eastAsia="ru-RU"/>
        </w:rPr>
        <w:t>–</w:t>
      </w:r>
      <w:r w:rsidR="00047242" w:rsidRPr="0022453B">
        <w:rPr>
          <w:lang w:eastAsia="ru-RU"/>
        </w:rPr>
        <w:t xml:space="preserve"> </w:t>
      </w:r>
      <w:r w:rsidR="00047242" w:rsidRPr="0022453B">
        <w:t>пікова об</w:t>
      </w:r>
      <w:r w:rsidR="00AF5C51" w:rsidRPr="0022453B">
        <w:t>’</w:t>
      </w:r>
      <w:r w:rsidR="00047242" w:rsidRPr="0022453B">
        <w:t>ємна швидкість видиху зранку, л/хв</w:t>
      </w:r>
      <w:r w:rsidR="00047242" w:rsidRPr="0022453B">
        <w:rPr>
          <w:sz w:val="24"/>
          <w:szCs w:val="24"/>
        </w:rPr>
        <w:t>.</w:t>
      </w:r>
    </w:p>
    <w:p w:rsidR="005D7B13" w:rsidRPr="000E3501" w:rsidRDefault="005D7B13" w:rsidP="00CD5061">
      <w:pPr>
        <w:pStyle w:val="atextRef"/>
        <w:spacing w:line="288" w:lineRule="auto"/>
        <w:rPr>
          <w:spacing w:val="-2"/>
        </w:rPr>
      </w:pPr>
      <w:r w:rsidRPr="000E3501">
        <w:rPr>
          <w:spacing w:val="-2"/>
        </w:rPr>
        <w:t xml:space="preserve">Значення </w:t>
      </w:r>
      <w:r w:rsidR="0011499F">
        <w:rPr>
          <w:spacing w:val="-2"/>
          <w:kern w:val="1"/>
        </w:rPr>
        <w:t>К</w:t>
      </w:r>
      <w:r w:rsidR="0011499F" w:rsidRPr="00E6003F">
        <w:rPr>
          <w:rFonts w:cs="Times New Roman"/>
          <w:kern w:val="1"/>
          <w:vertAlign w:val="subscript"/>
          <w:lang w:eastAsia="ru-RU"/>
        </w:rPr>
        <w:t>ризику</w:t>
      </w:r>
      <w:r w:rsidR="0011499F">
        <w:rPr>
          <w:rFonts w:cs="Times New Roman"/>
          <w:kern w:val="1"/>
          <w:vertAlign w:val="subscript"/>
          <w:lang w:eastAsia="ru-RU"/>
        </w:rPr>
        <w:t xml:space="preserve"> </w:t>
      </w:r>
      <w:r w:rsidRPr="000E3501">
        <w:rPr>
          <w:spacing w:val="-2"/>
          <w:kern w:val="1"/>
        </w:rPr>
        <w:t xml:space="preserve">знаходиться в межах від 0 до 1 та відбиває ймовірність прогресування БА. </w:t>
      </w:r>
      <w:r w:rsidRPr="000E3501">
        <w:rPr>
          <w:spacing w:val="-2"/>
        </w:rPr>
        <w:t xml:space="preserve">Чим ближче значення прогнозованої ймовірності до одиниці, тим вище ризик прогресування </w:t>
      </w:r>
      <w:r w:rsidRPr="000E3501">
        <w:rPr>
          <w:spacing w:val="-2"/>
          <w:kern w:val="1"/>
        </w:rPr>
        <w:t>БА</w:t>
      </w:r>
      <w:r w:rsidRPr="000E3501">
        <w:rPr>
          <w:spacing w:val="-2"/>
        </w:rPr>
        <w:t xml:space="preserve"> за умов поєднання з ЦД2Т.</w:t>
      </w:r>
      <w:r w:rsidRPr="000E3501">
        <w:rPr>
          <w:spacing w:val="-2"/>
          <w:kern w:val="1"/>
          <w:lang w:eastAsia="ar-SA"/>
        </w:rPr>
        <w:t xml:space="preserve"> Якщо </w:t>
      </w:r>
      <w:r w:rsidR="004469C0">
        <w:rPr>
          <w:spacing w:val="-2"/>
          <w:kern w:val="1"/>
        </w:rPr>
        <w:t>К</w:t>
      </w:r>
      <w:r w:rsidR="004469C0" w:rsidRPr="004469C0">
        <w:rPr>
          <w:spacing w:val="-2"/>
          <w:kern w:val="1"/>
          <w:vertAlign w:val="subscript"/>
        </w:rPr>
        <w:t>ризику</w:t>
      </w:r>
      <w:r w:rsidRPr="000E3501">
        <w:rPr>
          <w:spacing w:val="-2"/>
          <w:kern w:val="1"/>
        </w:rPr>
        <w:t xml:space="preserve"> перевищує 0,5 </w:t>
      </w:r>
      <w:r w:rsidR="00CD22CE" w:rsidRPr="000E3501">
        <w:rPr>
          <w:spacing w:val="-2"/>
          <w:kern w:val="1"/>
        </w:rPr>
        <w:t>–</w:t>
      </w:r>
      <w:r w:rsidRPr="000E3501">
        <w:rPr>
          <w:spacing w:val="-2"/>
          <w:kern w:val="1"/>
        </w:rPr>
        <w:t xml:space="preserve"> ризик прогресування БА високий. </w:t>
      </w:r>
      <w:r w:rsidRPr="000E3501">
        <w:rPr>
          <w:spacing w:val="-2"/>
          <w:kern w:val="1"/>
          <w:lang w:eastAsia="ar-SA"/>
        </w:rPr>
        <w:t xml:space="preserve">Якщо </w:t>
      </w:r>
      <w:r w:rsidRPr="000E3501">
        <w:rPr>
          <w:spacing w:val="-2"/>
        </w:rPr>
        <w:t xml:space="preserve">значення </w:t>
      </w:r>
      <w:r w:rsidRPr="000E3501">
        <w:rPr>
          <w:spacing w:val="-2"/>
          <w:kern w:val="1"/>
          <w:lang w:eastAsia="ar-SA"/>
        </w:rPr>
        <w:t xml:space="preserve"> </w:t>
      </w:r>
      <w:r w:rsidR="004469C0">
        <w:rPr>
          <w:spacing w:val="-2"/>
          <w:kern w:val="1"/>
        </w:rPr>
        <w:t>К</w:t>
      </w:r>
      <w:r w:rsidR="004469C0" w:rsidRPr="004469C0">
        <w:rPr>
          <w:spacing w:val="-2"/>
          <w:kern w:val="1"/>
          <w:vertAlign w:val="subscript"/>
        </w:rPr>
        <w:t>ризику</w:t>
      </w:r>
      <w:r w:rsidR="004469C0" w:rsidRPr="000E3501">
        <w:rPr>
          <w:spacing w:val="-2"/>
          <w:kern w:val="1"/>
          <w:lang w:eastAsia="ar-SA"/>
        </w:rPr>
        <w:t xml:space="preserve"> </w:t>
      </w:r>
      <w:r w:rsidRPr="000E3501">
        <w:rPr>
          <w:spacing w:val="-2"/>
          <w:kern w:val="1"/>
          <w:lang w:eastAsia="ar-SA"/>
        </w:rPr>
        <w:t xml:space="preserve">знаходиться в діапазоні від 0 до 0,5, то в пацієнта низький ризик прогресування БА. </w:t>
      </w:r>
    </w:p>
    <w:p w:rsidR="00DF3074" w:rsidRPr="0022453B" w:rsidRDefault="005D7B13" w:rsidP="00CD5061">
      <w:pPr>
        <w:pStyle w:val="atextRef"/>
        <w:spacing w:line="288" w:lineRule="auto"/>
      </w:pPr>
      <w:r w:rsidRPr="0022453B">
        <w:rPr>
          <w:kern w:val="1"/>
          <w:lang w:eastAsia="ru-RU"/>
        </w:rPr>
        <w:t xml:space="preserve">Проведено оцінку </w:t>
      </w:r>
      <w:r w:rsidRPr="0022453B">
        <w:t>ефективності стандартної та модифікованої терапії у</w:t>
      </w:r>
      <w:r w:rsidR="000E3501">
        <w:t> </w:t>
      </w:r>
      <w:r w:rsidRPr="0022453B">
        <w:t>47</w:t>
      </w:r>
      <w:r w:rsidR="000E3501">
        <w:t> </w:t>
      </w:r>
      <w:r w:rsidRPr="0022453B">
        <w:t xml:space="preserve">пацієнтів на БА + ЦД2Т. Стандартне лікування призначено згідно з </w:t>
      </w:r>
      <w:r w:rsidRPr="0022453B">
        <w:lastRenderedPageBreak/>
        <w:t xml:space="preserve">наказом МОЗ України № 868 від 08.10.2013 р. </w:t>
      </w:r>
      <w:r w:rsidR="005822B0">
        <w:t>«</w:t>
      </w:r>
      <w:r w:rsidRPr="0022453B">
        <w:t>Про затвердження та впровадження медико-технологічних документів зі стандартизації медичної допомоги при бронхіальній астмі</w:t>
      </w:r>
      <w:r w:rsidR="005822B0">
        <w:t>»</w:t>
      </w:r>
      <w:r w:rsidRPr="0022453B">
        <w:t>. Методом випадкової вибірки пацієнти були розподілені на 2</w:t>
      </w:r>
      <w:r w:rsidR="000E3501">
        <w:t> </w:t>
      </w:r>
      <w:r w:rsidRPr="0022453B">
        <w:t xml:space="preserve">репрезентативні за статтю та віком підгрупи (перша </w:t>
      </w:r>
      <w:r w:rsidR="00CD22CE" w:rsidRPr="0022453B">
        <w:t>–</w:t>
      </w:r>
      <w:r w:rsidRPr="0022453B">
        <w:t xml:space="preserve"> 28 хворих і друга </w:t>
      </w:r>
      <w:r w:rsidR="00CD22CE" w:rsidRPr="0022453B">
        <w:t>–</w:t>
      </w:r>
      <w:r w:rsidRPr="0022453B">
        <w:t xml:space="preserve"> 19</w:t>
      </w:r>
      <w:r w:rsidR="000E3501">
        <w:t> </w:t>
      </w:r>
      <w:r w:rsidRPr="0022453B">
        <w:t>хворих), базове лікування яких включало будесонід/</w:t>
      </w:r>
      <w:r w:rsidR="00C033BA" w:rsidRPr="00C033BA">
        <w:t xml:space="preserve"> </w:t>
      </w:r>
      <w:r w:rsidRPr="0022453B">
        <w:t>формотерол фумарат 160/4,5 мкг (</w:t>
      </w:r>
      <w:r w:rsidR="00C961A4" w:rsidRPr="0022453B">
        <w:t>інгаляційний глюкок</w:t>
      </w:r>
      <w:r w:rsidR="002B5DEF" w:rsidRPr="0022453B">
        <w:t>о</w:t>
      </w:r>
      <w:r w:rsidR="00C961A4" w:rsidRPr="0022453B">
        <w:t>ртико</w:t>
      </w:r>
      <w:r w:rsidR="002B5DEF" w:rsidRPr="0022453B">
        <w:t>стеро</w:t>
      </w:r>
      <w:r w:rsidR="00C961A4" w:rsidRPr="0022453B">
        <w:t>їд та β</w:t>
      </w:r>
      <w:r w:rsidR="002B5DEF" w:rsidRPr="0022453B">
        <w:rPr>
          <w:vertAlign w:val="subscript"/>
        </w:rPr>
        <w:t>2</w:t>
      </w:r>
      <w:r w:rsidR="00592F87" w:rsidRPr="0022453B">
        <w:t>-агоніст проло</w:t>
      </w:r>
      <w:r w:rsidR="00C961A4" w:rsidRPr="0022453B">
        <w:t>нгованої дії</w:t>
      </w:r>
      <w:r w:rsidRPr="0022453B">
        <w:t>) у</w:t>
      </w:r>
      <w:r w:rsidR="000E3501">
        <w:t> </w:t>
      </w:r>
      <w:r w:rsidRPr="0022453B">
        <w:t xml:space="preserve">сухопорошковому інгаляторі по 2 вдихи двічі на добу та метформін у дозі </w:t>
      </w:r>
      <w:r w:rsidR="00D520BB">
        <w:t xml:space="preserve">500-1500 мг </w:t>
      </w:r>
      <w:r w:rsidR="00F45D65" w:rsidRPr="00C12B77">
        <w:t>на добу</w:t>
      </w:r>
      <w:r w:rsidR="00F45D65" w:rsidRPr="0022453B">
        <w:t xml:space="preserve"> </w:t>
      </w:r>
      <w:r w:rsidR="00D520BB" w:rsidRPr="0022453B">
        <w:t>залежно від глікемічного профілю, глікованого гемоглобіну під контролем ендокринолога</w:t>
      </w:r>
      <w:r w:rsidRPr="0022453B">
        <w:t>. Першій підгрупі додатково було призначено тіотропі</w:t>
      </w:r>
      <w:r w:rsidR="00F45D65">
        <w:t>ю</w:t>
      </w:r>
      <w:r w:rsidRPr="0022453B">
        <w:t xml:space="preserve"> бромід (18 мкг на добу упродовж року) та препарат</w:t>
      </w:r>
      <w:r w:rsidR="00355A86" w:rsidRPr="00355A86">
        <w:t xml:space="preserve"> </w:t>
      </w:r>
      <w:r w:rsidR="00355A86">
        <w:rPr>
          <w:lang w:val="en-US"/>
        </w:rPr>
        <w:t>L</w:t>
      </w:r>
      <w:r w:rsidR="00355A86" w:rsidRPr="00355A86">
        <w:t>-</w:t>
      </w:r>
      <w:r w:rsidRPr="004E150F">
        <w:t xml:space="preserve">аргініну </w:t>
      </w:r>
      <w:r w:rsidR="00355A86">
        <w:t>аспартат</w:t>
      </w:r>
      <w:r w:rsidRPr="0022453B">
        <w:t xml:space="preserve"> внутрішньо по 15 мл 2 рази на добу, курс лікування складав 3 міс. </w:t>
      </w:r>
      <w:r w:rsidR="00C961A4" w:rsidRPr="0022453B">
        <w:t xml:space="preserve">Контроль лікування проведено через 3 місяці і рік. </w:t>
      </w:r>
      <w:r w:rsidRPr="0022453B">
        <w:t>Оцінка тяжкості нападів БА та рівня контролю здійснювалася за опитувальником з контролю астми (ACQ-5), якість життя (ЯЖ) - за анкетою SF-36, оцінені також показники системного</w:t>
      </w:r>
      <w:r w:rsidR="00C961A4" w:rsidRPr="0022453B">
        <w:t xml:space="preserve"> неспецифічного запалення</w:t>
      </w:r>
      <w:r w:rsidRPr="0022453B">
        <w:t xml:space="preserve"> </w:t>
      </w:r>
      <w:r w:rsidR="00DF3074" w:rsidRPr="0022453B">
        <w:t>функціонального стану ендотелію, рівні МСР-1, ІЛ-8, ІЛ-12, ОФВ</w:t>
      </w:r>
      <w:r w:rsidR="00DF3074" w:rsidRPr="0022453B">
        <w:rPr>
          <w:vertAlign w:val="subscript"/>
        </w:rPr>
        <w:t>1</w:t>
      </w:r>
      <w:r w:rsidR="00DF3074" w:rsidRPr="0022453B">
        <w:t>, ШКФ після лікування.</w:t>
      </w:r>
    </w:p>
    <w:p w:rsidR="00DF3074" w:rsidRPr="0022453B" w:rsidRDefault="00DF3074" w:rsidP="00CD5061">
      <w:pPr>
        <w:pStyle w:val="atextRef"/>
        <w:spacing w:line="288" w:lineRule="auto"/>
      </w:pPr>
      <w:r w:rsidRPr="0022453B">
        <w:t>Призначена терапія сприяла поліпшенню стану пацієнтів за даними опитувальника ACQ-5, що супроводжувалось покращенням ЯЖ у хворих першої та другої підгруп: загальної ЯЖ на 46</w:t>
      </w:r>
      <w:r w:rsidR="0022453B">
        <w:t>%</w:t>
      </w:r>
      <w:r w:rsidRPr="0022453B">
        <w:t xml:space="preserve"> і 29</w:t>
      </w:r>
      <w:r w:rsidR="0022453B">
        <w:t>%</w:t>
      </w:r>
      <w:r w:rsidRPr="0022453B">
        <w:t>, фізичного компонента здоров</w:t>
      </w:r>
      <w:r w:rsidR="00AF5C51" w:rsidRPr="0022453B">
        <w:t>’</w:t>
      </w:r>
      <w:r w:rsidRPr="0022453B">
        <w:t>я на 34</w:t>
      </w:r>
      <w:r w:rsidR="0022453B">
        <w:t>%</w:t>
      </w:r>
      <w:r w:rsidRPr="0022453B">
        <w:t xml:space="preserve"> і 18</w:t>
      </w:r>
      <w:r w:rsidR="0022453B">
        <w:t>%</w:t>
      </w:r>
      <w:r w:rsidRPr="0022453B">
        <w:t>, психічного на 46</w:t>
      </w:r>
      <w:r w:rsidR="0022453B">
        <w:t>%</w:t>
      </w:r>
      <w:r w:rsidRPr="0022453B">
        <w:t xml:space="preserve"> і 21</w:t>
      </w:r>
      <w:r w:rsidR="0022453B">
        <w:t>%</w:t>
      </w:r>
      <w:r w:rsidRPr="0022453B">
        <w:t xml:space="preserve"> відповідно ( р &lt; 0,05). У першій підгрупі пац</w:t>
      </w:r>
      <w:r w:rsidR="00592F87" w:rsidRPr="0022453B">
        <w:t>ієнтів спостерігали вірогідне</w:t>
      </w:r>
      <w:r w:rsidR="0022453B">
        <w:t xml:space="preserve"> </w:t>
      </w:r>
      <w:r w:rsidRPr="0022453B">
        <w:t xml:space="preserve">покращення показників, що характеризують частоту нападів, задоволеність лікуванням, </w:t>
      </w:r>
      <w:r w:rsidR="00972988" w:rsidRPr="0022453B">
        <w:t xml:space="preserve">та </w:t>
      </w:r>
      <w:r w:rsidRPr="0022453B">
        <w:t>прийняття хвороби</w:t>
      </w:r>
      <w:r w:rsidR="00972988" w:rsidRPr="0022453B">
        <w:t>.</w:t>
      </w:r>
      <w:r w:rsidRPr="0022453B">
        <w:t xml:space="preserve"> За</w:t>
      </w:r>
      <w:r w:rsidR="000E3501">
        <w:t> </w:t>
      </w:r>
      <w:r w:rsidRPr="0022453B">
        <w:t>результатами анкети ACQ-5 усі хворі до лікування були в стані відсутності контролю. По закінченні терапії у першій підгрупі було досягнуто повного контролю у 70,0</w:t>
      </w:r>
      <w:r w:rsidR="0022453B">
        <w:t>%</w:t>
      </w:r>
      <w:r w:rsidRPr="0022453B">
        <w:t xml:space="preserve"> хворих (р &lt; 0,05), а у 30,0</w:t>
      </w:r>
      <w:r w:rsidR="0022453B">
        <w:t>%</w:t>
      </w:r>
      <w:r w:rsidRPr="0022453B">
        <w:t xml:space="preserve"> </w:t>
      </w:r>
      <w:r w:rsidR="00CD22CE" w:rsidRPr="0022453B">
        <w:t>–</w:t>
      </w:r>
      <w:r w:rsidRPr="0022453B">
        <w:t xml:space="preserve"> часткового контролю, тоді як у</w:t>
      </w:r>
      <w:r w:rsidR="000E3501">
        <w:t> </w:t>
      </w:r>
      <w:r w:rsidRPr="0022453B">
        <w:t>другій групі повного контролю досягнуто у 36,6</w:t>
      </w:r>
      <w:r w:rsidR="0022453B">
        <w:t>%</w:t>
      </w:r>
      <w:r w:rsidRPr="0022453B">
        <w:t xml:space="preserve"> (р &lt; 0,05) пацієнтів, а 63,4</w:t>
      </w:r>
      <w:r w:rsidR="0022453B">
        <w:t>%</w:t>
      </w:r>
      <w:r w:rsidRPr="0022453B">
        <w:t xml:space="preserve"> (р &gt; 0,05) залишилися у стані відсутності контролю, хоча загальний бал контролю покращився і склав 2,0 [1,75</w:t>
      </w:r>
      <w:r w:rsidR="005822B0">
        <w:t>; </w:t>
      </w:r>
      <w:r w:rsidRPr="0022453B">
        <w:t xml:space="preserve">2,25] бали. Через рік лікування відзначалася позитивна динаміка показників </w:t>
      </w:r>
      <w:r w:rsidR="00721007">
        <w:t>ФЗД</w:t>
      </w:r>
      <w:r w:rsidRPr="0022453B">
        <w:t>: у хворих першої підгрупи ОФВ</w:t>
      </w:r>
      <w:r w:rsidRPr="0022453B">
        <w:rPr>
          <w:vertAlign w:val="subscript"/>
        </w:rPr>
        <w:t>1</w:t>
      </w:r>
      <w:r w:rsidRPr="0022453B">
        <w:t xml:space="preserve"> склав 59,00 [52,00</w:t>
      </w:r>
      <w:r w:rsidR="005822B0">
        <w:t>; </w:t>
      </w:r>
      <w:r w:rsidRPr="0022453B">
        <w:t>64,00]</w:t>
      </w:r>
      <w:r w:rsidR="0022453B">
        <w:t>%</w:t>
      </w:r>
      <w:r w:rsidRPr="0022453B">
        <w:t>, (р &lt; 0,001), МОШ</w:t>
      </w:r>
      <w:r w:rsidRPr="0022453B">
        <w:rPr>
          <w:vertAlign w:val="subscript"/>
        </w:rPr>
        <w:t>25</w:t>
      </w:r>
      <w:r w:rsidRPr="0022453B">
        <w:t xml:space="preserve"> 52,00 [49,00</w:t>
      </w:r>
      <w:r w:rsidR="005822B0">
        <w:t>; </w:t>
      </w:r>
      <w:r w:rsidRPr="0022453B">
        <w:t>57,00]</w:t>
      </w:r>
      <w:r w:rsidR="0022453B">
        <w:t>%</w:t>
      </w:r>
      <w:r w:rsidRPr="0022453B">
        <w:t xml:space="preserve"> (р &lt; 0,005), МОШ</w:t>
      </w:r>
      <w:r w:rsidRPr="0022453B">
        <w:rPr>
          <w:vertAlign w:val="subscript"/>
        </w:rPr>
        <w:t>50</w:t>
      </w:r>
      <w:r w:rsidRPr="0022453B">
        <w:t xml:space="preserve"> 54,40 [47,00</w:t>
      </w:r>
      <w:r w:rsidR="005822B0">
        <w:t xml:space="preserve">; </w:t>
      </w:r>
      <w:r w:rsidRPr="0022453B">
        <w:t>59,00]</w:t>
      </w:r>
      <w:r w:rsidR="0022453B">
        <w:t>%</w:t>
      </w:r>
      <w:r w:rsidRPr="0022453B">
        <w:t xml:space="preserve"> (р &lt; 0,005), МОШ</w:t>
      </w:r>
      <w:r w:rsidRPr="0022453B">
        <w:rPr>
          <w:vertAlign w:val="subscript"/>
        </w:rPr>
        <w:t>75</w:t>
      </w:r>
      <w:r w:rsidRPr="0022453B">
        <w:t xml:space="preserve"> 50,00 [43,00</w:t>
      </w:r>
      <w:r w:rsidR="005822B0">
        <w:t>; </w:t>
      </w:r>
      <w:r w:rsidRPr="0022453B">
        <w:t>57,10]</w:t>
      </w:r>
      <w:r w:rsidR="0022453B">
        <w:t>%</w:t>
      </w:r>
      <w:r w:rsidRPr="0022453B">
        <w:t xml:space="preserve"> (р &lt; 0,005). У пацієнтів другої підгрупи відзначалася істотна позитивна динаміка тільки ОФВ</w:t>
      </w:r>
      <w:r w:rsidRPr="0022453B">
        <w:rPr>
          <w:vertAlign w:val="subscript"/>
        </w:rPr>
        <w:t xml:space="preserve">1 </w:t>
      </w:r>
      <w:r w:rsidRPr="0022453B">
        <w:t>57,00[52,00 61,00]</w:t>
      </w:r>
      <w:r w:rsidR="0022453B">
        <w:t>%</w:t>
      </w:r>
      <w:r w:rsidRPr="0022453B">
        <w:t xml:space="preserve"> (р &lt; 0,005), тоді як решта швидкісних показників (МОШ</w:t>
      </w:r>
      <w:r w:rsidRPr="0022453B">
        <w:rPr>
          <w:vertAlign w:val="subscript"/>
        </w:rPr>
        <w:t>25</w:t>
      </w:r>
      <w:r w:rsidRPr="0022453B">
        <w:t>, МОШ</w:t>
      </w:r>
      <w:r w:rsidRPr="0022453B">
        <w:rPr>
          <w:vertAlign w:val="subscript"/>
        </w:rPr>
        <w:t>50</w:t>
      </w:r>
      <w:r w:rsidRPr="0022453B">
        <w:t>, МОШ</w:t>
      </w:r>
      <w:r w:rsidRPr="0022453B">
        <w:rPr>
          <w:vertAlign w:val="subscript"/>
        </w:rPr>
        <w:t>75</w:t>
      </w:r>
      <w:r w:rsidRPr="0022453B">
        <w:t>) покращувалася незначно.</w:t>
      </w:r>
      <w:r w:rsidR="00721007">
        <w:t xml:space="preserve"> </w:t>
      </w:r>
      <w:r w:rsidRPr="0022453B">
        <w:t>У хворих першої підгрупи були встановлені більш виражені покращення ШКФ, яка після лікування у 80,0</w:t>
      </w:r>
      <w:r w:rsidR="0022453B">
        <w:t>%</w:t>
      </w:r>
      <w:r w:rsidRPr="0022453B">
        <w:t xml:space="preserve"> хворих першої підгрупи і 38,8</w:t>
      </w:r>
      <w:r w:rsidR="0022453B">
        <w:t>%</w:t>
      </w:r>
      <w:r w:rsidRPr="0022453B">
        <w:t xml:space="preserve"> хворих другої </w:t>
      </w:r>
      <w:r w:rsidRPr="0022453B">
        <w:lastRenderedPageBreak/>
        <w:t>підгрупи досягла показника контролю 88,7 [75,6</w:t>
      </w:r>
      <w:r w:rsidR="005822B0">
        <w:t>; </w:t>
      </w:r>
      <w:r w:rsidRPr="0022453B">
        <w:t>91,3] мл/хв/1,73м</w:t>
      </w:r>
      <w:r w:rsidRPr="0022453B">
        <w:rPr>
          <w:vertAlign w:val="superscript"/>
        </w:rPr>
        <w:t>2</w:t>
      </w:r>
      <w:r w:rsidR="00721007">
        <w:t xml:space="preserve"> (</w:t>
      </w:r>
      <w:r w:rsidR="00721007" w:rsidRPr="0022453B">
        <w:t>р &lt; 0,05</w:t>
      </w:r>
      <w:r w:rsidR="00721007">
        <w:t xml:space="preserve">), </w:t>
      </w:r>
      <w:r w:rsidRPr="0022453B">
        <w:t>що супроводжувалось істотним зниженням МАУ (р &lt; 0,05). У решти хворих з двох підгруп ШКФ покращилась, але так і не досягла рівня групи контролю (р &gt; 0,05).</w:t>
      </w:r>
      <w:r w:rsidR="00721007">
        <w:t xml:space="preserve"> </w:t>
      </w:r>
      <w:r w:rsidRPr="0022453B">
        <w:t>Одночасно спостерігалася позитивна динаміка показників ендотеліальної функції, зо</w:t>
      </w:r>
      <w:r w:rsidR="00525952">
        <w:t>крема, підвищення S-нітрозотіолів</w:t>
      </w:r>
      <w:r w:rsidRPr="0022453B">
        <w:t xml:space="preserve"> та зниження ФВ у хворих першої підгрупи (р &lt; 0,001), тоді як у хворих другої групи</w:t>
      </w:r>
      <w:r w:rsidR="0022453B">
        <w:t xml:space="preserve"> </w:t>
      </w:r>
      <w:r w:rsidRPr="0022453B">
        <w:t>такі зміни були відсутні (р &gt; 0,05).</w:t>
      </w:r>
      <w:r w:rsidR="00721007">
        <w:t xml:space="preserve"> </w:t>
      </w:r>
      <w:r w:rsidRPr="0022453B">
        <w:rPr>
          <w:lang w:eastAsia="ru-RU"/>
        </w:rPr>
        <w:t xml:space="preserve">Показник НОМА-IR </w:t>
      </w:r>
      <w:r w:rsidRPr="0022453B">
        <w:t>вірогідно</w:t>
      </w:r>
      <w:r w:rsidRPr="0022453B">
        <w:rPr>
          <w:lang w:eastAsia="ru-RU"/>
        </w:rPr>
        <w:t xml:space="preserve"> знизився </w:t>
      </w:r>
      <w:r w:rsidRPr="0022453B">
        <w:t>через рік лікування</w:t>
      </w:r>
      <w:r w:rsidRPr="0022453B">
        <w:rPr>
          <w:lang w:eastAsia="ru-RU"/>
        </w:rPr>
        <w:t xml:space="preserve"> в першій підгрупі та склав 5,34 </w:t>
      </w:r>
      <w:r w:rsidRPr="0022453B">
        <w:t>[4,20</w:t>
      </w:r>
      <w:r w:rsidR="005822B0">
        <w:t>; </w:t>
      </w:r>
      <w:r w:rsidRPr="0022453B">
        <w:t>5,89] (р</w:t>
      </w:r>
      <w:r w:rsidRPr="0022453B">
        <w:rPr>
          <w:lang w:val="ru-RU"/>
        </w:rPr>
        <w:t> </w:t>
      </w:r>
      <w:r w:rsidRPr="0022453B">
        <w:t>&lt; 0,001), водночас як у</w:t>
      </w:r>
      <w:r w:rsidR="000E3501">
        <w:t> </w:t>
      </w:r>
      <w:r w:rsidRPr="0022453B">
        <w:t>хворих другої підгрупи знизився неістотно (6,96 [6,20</w:t>
      </w:r>
      <w:r w:rsidR="005822B0">
        <w:t>; </w:t>
      </w:r>
      <w:r w:rsidRPr="0022453B">
        <w:t>7,74],</w:t>
      </w:r>
      <w:r w:rsidR="0022453B">
        <w:t xml:space="preserve"> </w:t>
      </w:r>
      <w:r w:rsidRPr="0022453B">
        <w:t>р</w:t>
      </w:r>
      <w:r w:rsidRPr="0022453B">
        <w:rPr>
          <w:lang w:val="ru-RU"/>
        </w:rPr>
        <w:t> </w:t>
      </w:r>
      <w:r w:rsidRPr="0022453B">
        <w:t>&gt; 0,05)</w:t>
      </w:r>
      <w:r w:rsidR="004C0CD4">
        <w:t>.</w:t>
      </w:r>
    </w:p>
    <w:p w:rsidR="00DF3074" w:rsidRPr="0022453B" w:rsidRDefault="00DF3074" w:rsidP="00CD5061">
      <w:pPr>
        <w:pStyle w:val="atextRef"/>
        <w:spacing w:line="288" w:lineRule="auto"/>
      </w:pPr>
      <w:r w:rsidRPr="0022453B">
        <w:t>Важливо, що виявлено відсутність змін маркеру фіброзу МСР-1 через рік лікування в обох підгрупах (р</w:t>
      </w:r>
      <w:r w:rsidRPr="0022453B">
        <w:rPr>
          <w:lang w:val="ru-RU"/>
        </w:rPr>
        <w:t> </w:t>
      </w:r>
      <w:r w:rsidRPr="0022453B">
        <w:t>&gt; 0,05), що може свідчити про незворотні процеси ремоделювання дихальних шляхів, які не змінюються під впливом медикаментозної терапії.</w:t>
      </w:r>
    </w:p>
    <w:p w:rsidR="00DF3074" w:rsidRPr="0022453B" w:rsidRDefault="00DF3074" w:rsidP="00CD5061">
      <w:pPr>
        <w:pStyle w:val="atextRef"/>
        <w:spacing w:line="288" w:lineRule="auto"/>
      </w:pPr>
      <w:r w:rsidRPr="0022453B">
        <w:t xml:space="preserve">Таким чином, додаткове включення до комплексу стандартного лікування препаратів </w:t>
      </w:r>
      <w:r w:rsidR="00455CE6">
        <w:rPr>
          <w:lang w:val="en-US"/>
        </w:rPr>
        <w:t>L</w:t>
      </w:r>
      <w:r w:rsidR="00455CE6" w:rsidRPr="00355A86">
        <w:t>-</w:t>
      </w:r>
      <w:r w:rsidR="00455CE6" w:rsidRPr="004E150F">
        <w:t xml:space="preserve">аргініну </w:t>
      </w:r>
      <w:r w:rsidR="00455CE6">
        <w:t>аспартату</w:t>
      </w:r>
      <w:r w:rsidR="00455CE6" w:rsidRPr="0022453B">
        <w:t xml:space="preserve"> </w:t>
      </w:r>
      <w:r w:rsidR="00531B80">
        <w:t>та</w:t>
      </w:r>
      <w:r w:rsidRPr="0022453B">
        <w:t xml:space="preserve"> тіотропію броміду призводить до кращого контролю над захворюванням, корекції порушень гемокоагуляції та фібринолізу, покращенню функціонального стану ендотелію у хворих на БА у поєднанні з ЦД2Т.</w:t>
      </w:r>
    </w:p>
    <w:p w:rsidR="00A06383" w:rsidRPr="00CD5061" w:rsidRDefault="00A06383" w:rsidP="00386014">
      <w:pPr>
        <w:pStyle w:val="arefZag"/>
        <w:spacing w:before="0" w:after="0"/>
      </w:pPr>
    </w:p>
    <w:p w:rsidR="004F7EFB" w:rsidRDefault="009A341B" w:rsidP="00386014">
      <w:pPr>
        <w:pStyle w:val="arefZag"/>
        <w:spacing w:before="0" w:after="0"/>
        <w:rPr>
          <w:lang w:val="ru-RU"/>
        </w:rPr>
      </w:pPr>
      <w:r w:rsidRPr="0022453B">
        <w:t>ВИСНОВКИ</w:t>
      </w:r>
    </w:p>
    <w:p w:rsidR="00A06383" w:rsidRPr="00A06383" w:rsidRDefault="00A06383" w:rsidP="00CD5061">
      <w:pPr>
        <w:pStyle w:val="arefZag"/>
        <w:spacing w:before="0" w:after="0" w:line="264" w:lineRule="auto"/>
        <w:rPr>
          <w:lang w:val="ru-RU"/>
        </w:rPr>
      </w:pPr>
    </w:p>
    <w:p w:rsidR="00443A21" w:rsidRPr="0022453B" w:rsidRDefault="00443A21" w:rsidP="00CD5061">
      <w:pPr>
        <w:pStyle w:val="atextRef"/>
        <w:numPr>
          <w:ilvl w:val="0"/>
          <w:numId w:val="23"/>
        </w:numPr>
        <w:ind w:left="0" w:firstLine="360"/>
      </w:pPr>
      <w:r w:rsidRPr="0022453B">
        <w:rPr>
          <w:shd w:val="clear" w:color="auto" w:fill="FFFFFF"/>
        </w:rPr>
        <w:t>У роботі подано нове вирішення наукової проблеми сучасної клініки внутрішніх хвороб, а саме, удосконалення оптимізації якості ранньої діагностики та прогнозування перебігу, розробки лікувальної стратегії у хворих із</w:t>
      </w:r>
      <w:r w:rsidR="000E3501">
        <w:rPr>
          <w:shd w:val="clear" w:color="auto" w:fill="FFFFFF"/>
        </w:rPr>
        <w:t> </w:t>
      </w:r>
      <w:r w:rsidRPr="0022453B">
        <w:rPr>
          <w:shd w:val="clear" w:color="auto" w:fill="FFFFFF"/>
        </w:rPr>
        <w:t>коморбідним перебігом бронхіальної астми в поєднанні з</w:t>
      </w:r>
      <w:r w:rsidR="0022453B">
        <w:rPr>
          <w:shd w:val="clear" w:color="auto" w:fill="FFFFFF"/>
        </w:rPr>
        <w:t xml:space="preserve"> </w:t>
      </w:r>
      <w:r w:rsidRPr="0022453B">
        <w:rPr>
          <w:shd w:val="clear" w:color="auto" w:fill="FFFFFF"/>
        </w:rPr>
        <w:t xml:space="preserve">цукровим діабетом </w:t>
      </w:r>
      <w:r w:rsidR="007A33D7">
        <w:t xml:space="preserve">  </w:t>
      </w:r>
      <w:r w:rsidRPr="007A33D7">
        <w:rPr>
          <w:shd w:val="clear" w:color="auto" w:fill="FFFFFF"/>
        </w:rPr>
        <w:t>2-го типу та ожирінням та їх впливу на формування пульморенальних розладів для індивідуалізації профілактичних та лікувальних заходів на підставі комплексного вивчення біомаркерів ендотеліальної фун</w:t>
      </w:r>
      <w:r w:rsidR="003B1AE1" w:rsidRPr="007A33D7">
        <w:rPr>
          <w:shd w:val="clear" w:color="auto" w:fill="FFFFFF"/>
        </w:rPr>
        <w:t>кції (ЕТ-1, фактора Віллебранда</w:t>
      </w:r>
      <w:r w:rsidRPr="007A33D7">
        <w:rPr>
          <w:shd w:val="clear" w:color="auto" w:fill="FFFFFF"/>
        </w:rPr>
        <w:t>, S-нітрозотіолів, системи фракталкіну), матричної метал</w:t>
      </w:r>
      <w:r w:rsidR="007A33D7">
        <w:rPr>
          <w:shd w:val="clear" w:color="auto" w:fill="FFFFFF"/>
        </w:rPr>
        <w:t xml:space="preserve">опротеїнази-9, цітокинів (ІЛ-8, </w:t>
      </w:r>
      <w:r w:rsidRPr="007A33D7">
        <w:rPr>
          <w:shd w:val="clear" w:color="auto" w:fill="FFFFFF"/>
        </w:rPr>
        <w:t xml:space="preserve">ІЛ-12, </w:t>
      </w:r>
      <w:r w:rsidR="009570F9" w:rsidRPr="007A33D7">
        <w:rPr>
          <w:shd w:val="clear" w:color="auto" w:fill="FFFFFF"/>
        </w:rPr>
        <w:t>хемокін</w:t>
      </w:r>
      <w:r w:rsidR="008549F6">
        <w:rPr>
          <w:shd w:val="clear" w:color="auto" w:fill="FFFFFF"/>
          <w:lang w:val="ru-RU"/>
        </w:rPr>
        <w:t>а</w:t>
      </w:r>
      <w:r w:rsidR="009570F9" w:rsidRPr="007A33D7">
        <w:rPr>
          <w:shd w:val="clear" w:color="auto" w:fill="FFFFFF"/>
        </w:rPr>
        <w:t>–</w:t>
      </w:r>
      <w:r w:rsidRPr="007A33D7">
        <w:rPr>
          <w:shd w:val="clear" w:color="auto" w:fill="FFFFFF"/>
        </w:rPr>
        <w:t>моноцитарного хемоатрактантного протеїну-1), показників дослідження функціонального стану легень та нирок, вуглеводного та ліпідного обмінів.</w:t>
      </w:r>
    </w:p>
    <w:p w:rsidR="001358B0" w:rsidRPr="0022453B" w:rsidRDefault="00F5271E" w:rsidP="00CD5061">
      <w:pPr>
        <w:pStyle w:val="atextRef"/>
        <w:numPr>
          <w:ilvl w:val="0"/>
          <w:numId w:val="23"/>
        </w:numPr>
        <w:ind w:left="0" w:firstLine="360"/>
      </w:pPr>
      <w:r w:rsidRPr="0022453B">
        <w:t>Для</w:t>
      </w:r>
      <w:r w:rsidR="00C161FB" w:rsidRPr="0022453B">
        <w:t xml:space="preserve"> перебігу бронхіальної астми </w:t>
      </w:r>
      <w:r w:rsidRPr="0022453B">
        <w:t>на фоні</w:t>
      </w:r>
      <w:r w:rsidR="00C161FB" w:rsidRPr="0022453B">
        <w:t xml:space="preserve"> цукров</w:t>
      </w:r>
      <w:r w:rsidRPr="0022453B">
        <w:t>ого</w:t>
      </w:r>
      <w:r w:rsidR="00C161FB" w:rsidRPr="0022453B">
        <w:t xml:space="preserve"> діабет</w:t>
      </w:r>
      <w:r w:rsidRPr="0022453B">
        <w:t>у</w:t>
      </w:r>
      <w:r w:rsidR="0022453B">
        <w:t xml:space="preserve"> </w:t>
      </w:r>
      <w:r w:rsidR="00806839">
        <w:t xml:space="preserve">2-го типу </w:t>
      </w:r>
      <w:r w:rsidR="00C161FB" w:rsidRPr="0022453B">
        <w:t>є</w:t>
      </w:r>
      <w:r w:rsidR="000E3501">
        <w:t> </w:t>
      </w:r>
      <w:r w:rsidR="009C7309" w:rsidRPr="0022453B">
        <w:t xml:space="preserve">гіперінсулінемія, </w:t>
      </w:r>
      <w:r w:rsidR="00C161FB" w:rsidRPr="0022453B">
        <w:t>інсулінорезистентність</w:t>
      </w:r>
      <w:r w:rsidR="007317D1" w:rsidRPr="0022453B">
        <w:t>,</w:t>
      </w:r>
      <w:r w:rsidR="00C161FB" w:rsidRPr="0022453B">
        <w:t xml:space="preserve"> гіперглікемія, д</w:t>
      </w:r>
      <w:r w:rsidR="001526BF" w:rsidRPr="0022453B">
        <w:t>и</w:t>
      </w:r>
      <w:r w:rsidR="00C161FB" w:rsidRPr="0022453B">
        <w:t>сліпідемія за рахунок гіпертригліцеридемії, зниження рівн</w:t>
      </w:r>
      <w:r w:rsidR="00FE795C" w:rsidRPr="0022453B">
        <w:t>я ХС ЛПВЩ та підвищення ХС ЛПНЩ</w:t>
      </w:r>
      <w:r w:rsidR="005822B0">
        <w:t xml:space="preserve">; </w:t>
      </w:r>
      <w:r w:rsidR="0039211A" w:rsidRPr="0022453B">
        <w:t>у</w:t>
      </w:r>
      <w:r w:rsidR="000E3501">
        <w:t> </w:t>
      </w:r>
      <w:r w:rsidR="0039211A" w:rsidRPr="0022453B">
        <w:t xml:space="preserve">хворих на бронхіальну астму в поєднанні з ожирінням </w:t>
      </w:r>
      <w:r w:rsidR="00CD22CE" w:rsidRPr="0022453B">
        <w:t>–</w:t>
      </w:r>
      <w:r w:rsidR="0039211A" w:rsidRPr="0022453B">
        <w:t xml:space="preserve"> абдомінальне ожиріння,</w:t>
      </w:r>
      <w:r w:rsidR="00C161FB" w:rsidRPr="0022453B">
        <w:t xml:space="preserve"> </w:t>
      </w:r>
      <w:r w:rsidR="007317D1" w:rsidRPr="0022453B">
        <w:t>гіперінсулінемія, інсулінорезистентність, д</w:t>
      </w:r>
      <w:r w:rsidR="001526BF" w:rsidRPr="0022453B">
        <w:t>и</w:t>
      </w:r>
      <w:r w:rsidR="007317D1" w:rsidRPr="0022453B">
        <w:t>сліпідемія за рахунок гіпертригліцеридемії, зниження рівня ХС ЛПВЩ.</w:t>
      </w:r>
    </w:p>
    <w:p w:rsidR="00F5271E" w:rsidRPr="0022453B" w:rsidRDefault="00284C03" w:rsidP="00CD5061">
      <w:pPr>
        <w:pStyle w:val="atextRef"/>
        <w:numPr>
          <w:ilvl w:val="0"/>
          <w:numId w:val="23"/>
        </w:numPr>
        <w:ind w:left="0" w:firstLine="360"/>
      </w:pPr>
      <w:r w:rsidRPr="0022453B">
        <w:lastRenderedPageBreak/>
        <w:t>У хворих на бронхіальну астму середньотяжкого перебігу неко</w:t>
      </w:r>
      <w:r w:rsidR="001526BF" w:rsidRPr="0022453B">
        <w:t>н</w:t>
      </w:r>
      <w:r w:rsidRPr="0022453B">
        <w:t>трольовану</w:t>
      </w:r>
      <w:r w:rsidR="00CE2B9E" w:rsidRPr="0022453B">
        <w:t>,</w:t>
      </w:r>
      <w:r w:rsidR="00A64105" w:rsidRPr="0022453B">
        <w:t xml:space="preserve"> порушення прохідності дихальних шляхів супроводжується</w:t>
      </w:r>
      <w:r w:rsidRPr="0022453B">
        <w:t xml:space="preserve"> </w:t>
      </w:r>
      <w:r w:rsidR="00A03749" w:rsidRPr="0022453B">
        <w:t>зниження фільтраційної функції нирок</w:t>
      </w:r>
      <w:r w:rsidR="00A03749" w:rsidRPr="0022453B">
        <w:rPr>
          <w:lang w:eastAsia="ru-RU"/>
        </w:rPr>
        <w:t xml:space="preserve"> відносно контрольних показників</w:t>
      </w:r>
      <w:r w:rsidR="00A03749" w:rsidRPr="0022453B">
        <w:t xml:space="preserve">: </w:t>
      </w:r>
      <w:r w:rsidR="00F5271E" w:rsidRPr="0022453B">
        <w:t>у групі хворих на ізольовану бронхіальну астму на</w:t>
      </w:r>
      <w:r w:rsidR="00F5271E" w:rsidRPr="0022453B">
        <w:rPr>
          <w:lang w:eastAsia="ru-RU"/>
        </w:rPr>
        <w:t xml:space="preserve"> 15,48</w:t>
      </w:r>
      <w:r w:rsidR="0022453B">
        <w:rPr>
          <w:lang w:eastAsia="ru-RU"/>
        </w:rPr>
        <w:t>%</w:t>
      </w:r>
      <w:r w:rsidR="00F5271E" w:rsidRPr="0022453B">
        <w:rPr>
          <w:lang w:eastAsia="ru-RU"/>
        </w:rPr>
        <w:t xml:space="preserve">, при поєднанні з ожирінням </w:t>
      </w:r>
      <w:r w:rsidR="00CD22CE" w:rsidRPr="0022453B">
        <w:rPr>
          <w:lang w:eastAsia="ru-RU"/>
        </w:rPr>
        <w:t>–</w:t>
      </w:r>
      <w:r w:rsidR="00F5271E" w:rsidRPr="0022453B">
        <w:rPr>
          <w:lang w:eastAsia="ru-RU"/>
        </w:rPr>
        <w:t xml:space="preserve"> на 35,8</w:t>
      </w:r>
      <w:r w:rsidR="0022453B">
        <w:rPr>
          <w:lang w:eastAsia="ru-RU"/>
        </w:rPr>
        <w:t>%</w:t>
      </w:r>
      <w:r w:rsidR="00F5271E" w:rsidRPr="0022453B">
        <w:rPr>
          <w:lang w:eastAsia="ru-RU"/>
        </w:rPr>
        <w:t xml:space="preserve">, а при поєднанні з цукровим діабетом </w:t>
      </w:r>
      <w:r w:rsidR="00806839">
        <w:rPr>
          <w:lang w:eastAsia="ru-RU"/>
        </w:rPr>
        <w:t>2-го типу</w:t>
      </w:r>
      <w:r w:rsidR="00806839" w:rsidRPr="0022453B">
        <w:rPr>
          <w:lang w:eastAsia="ru-RU"/>
        </w:rPr>
        <w:t xml:space="preserve"> </w:t>
      </w:r>
      <w:r w:rsidR="00CD22CE" w:rsidRPr="0022453B">
        <w:rPr>
          <w:lang w:eastAsia="ru-RU"/>
        </w:rPr>
        <w:t>–</w:t>
      </w:r>
      <w:r w:rsidR="00F5271E" w:rsidRPr="0022453B">
        <w:rPr>
          <w:lang w:eastAsia="ru-RU"/>
        </w:rPr>
        <w:t xml:space="preserve"> на </w:t>
      </w:r>
      <w:r w:rsidR="00A03749" w:rsidRPr="0022453B">
        <w:rPr>
          <w:lang w:eastAsia="ru-RU"/>
        </w:rPr>
        <w:t>46,47</w:t>
      </w:r>
      <w:r w:rsidR="0022453B">
        <w:rPr>
          <w:lang w:eastAsia="ru-RU"/>
        </w:rPr>
        <w:t>%</w:t>
      </w:r>
      <w:r w:rsidR="002E709E">
        <w:rPr>
          <w:lang w:eastAsia="ru-RU"/>
        </w:rPr>
        <w:t xml:space="preserve"> та</w:t>
      </w:r>
      <w:r w:rsidR="00F5271E" w:rsidRPr="0022453B">
        <w:rPr>
          <w:lang w:eastAsia="ru-RU"/>
        </w:rPr>
        <w:t xml:space="preserve"> </w:t>
      </w:r>
      <w:r w:rsidR="002E709E">
        <w:t>р</w:t>
      </w:r>
      <w:r w:rsidR="00A03749" w:rsidRPr="0022453B">
        <w:t>озвит</w:t>
      </w:r>
      <w:r w:rsidR="002E709E">
        <w:t>ком</w:t>
      </w:r>
      <w:r w:rsidR="00A03749" w:rsidRPr="0022453B">
        <w:t xml:space="preserve"> мікроальбумінурії у хворих на бронхіальну астму з цукровим діабетом 2</w:t>
      </w:r>
      <w:r w:rsidR="00B710BD">
        <w:t>-го</w:t>
      </w:r>
      <w:r w:rsidR="00A03749" w:rsidRPr="0022453B">
        <w:t xml:space="preserve"> типу діагностовано у 42,31</w:t>
      </w:r>
      <w:r w:rsidR="0022453B">
        <w:t>%</w:t>
      </w:r>
      <w:r w:rsidR="005822B0">
        <w:t xml:space="preserve">; </w:t>
      </w:r>
      <w:r w:rsidR="00A03749" w:rsidRPr="0022453B">
        <w:t xml:space="preserve">у хворих на бронхіальну астму </w:t>
      </w:r>
      <w:r w:rsidR="002E709E">
        <w:t>в поєднанні з</w:t>
      </w:r>
      <w:r w:rsidR="00A03749" w:rsidRPr="0022453B">
        <w:t xml:space="preserve"> ожиріння </w:t>
      </w:r>
      <w:r w:rsidR="00CD22CE" w:rsidRPr="0022453B">
        <w:t>–</w:t>
      </w:r>
      <w:r w:rsidR="00A03749" w:rsidRPr="0022453B">
        <w:t xml:space="preserve"> у</w:t>
      </w:r>
      <w:r w:rsidR="000E3501">
        <w:t> </w:t>
      </w:r>
      <w:r w:rsidR="00A03749" w:rsidRPr="0022453B">
        <w:t>23,34</w:t>
      </w:r>
      <w:r w:rsidR="0022453B">
        <w:t>%</w:t>
      </w:r>
      <w:r w:rsidR="00A03749" w:rsidRPr="0022453B">
        <w:t>.</w:t>
      </w:r>
    </w:p>
    <w:p w:rsidR="00B65AAA" w:rsidRPr="0022453B" w:rsidRDefault="005C123F" w:rsidP="00CD5061">
      <w:pPr>
        <w:pStyle w:val="atextRef"/>
        <w:numPr>
          <w:ilvl w:val="0"/>
          <w:numId w:val="23"/>
        </w:numPr>
        <w:ind w:left="0" w:firstLine="360"/>
      </w:pPr>
      <w:r w:rsidRPr="0022453B">
        <w:t>Виявлено</w:t>
      </w:r>
      <w:r w:rsidR="0022453B">
        <w:t xml:space="preserve"> </w:t>
      </w:r>
      <w:r w:rsidRPr="0022453B">
        <w:t>підвищення</w:t>
      </w:r>
      <w:r w:rsidR="00783748" w:rsidRPr="0022453B">
        <w:t xml:space="preserve"> ЕТ-1, </w:t>
      </w:r>
      <w:r w:rsidR="006F353E" w:rsidRPr="0022453B">
        <w:t>фактору Віллебранда</w:t>
      </w:r>
      <w:r w:rsidR="00783748" w:rsidRPr="0022453B">
        <w:t xml:space="preserve">, </w:t>
      </w:r>
      <w:r w:rsidR="006F353E" w:rsidRPr="0022453B">
        <w:t>фракталкіну</w:t>
      </w:r>
      <w:r w:rsidR="00783748" w:rsidRPr="0022453B">
        <w:t xml:space="preserve"> та</w:t>
      </w:r>
      <w:r w:rsidR="0022453B">
        <w:t xml:space="preserve"> </w:t>
      </w:r>
      <w:r w:rsidRPr="0022453B">
        <w:t xml:space="preserve">зниження </w:t>
      </w:r>
      <w:r w:rsidR="00783748" w:rsidRPr="0022453B">
        <w:rPr>
          <w:lang w:val="en-US"/>
        </w:rPr>
        <w:t>S</w:t>
      </w:r>
      <w:r w:rsidR="00783748" w:rsidRPr="0022453B">
        <w:t>-нітрозотіолів</w:t>
      </w:r>
      <w:r w:rsidR="00AE65D3" w:rsidRPr="0022453B">
        <w:t xml:space="preserve"> </w:t>
      </w:r>
      <w:r w:rsidR="00A03749" w:rsidRPr="0022453B">
        <w:t xml:space="preserve">відносно групи порівняння, </w:t>
      </w:r>
      <w:r w:rsidR="00951B4F" w:rsidRPr="0022453B">
        <w:t>що</w:t>
      </w:r>
      <w:r w:rsidR="00783748" w:rsidRPr="0022453B">
        <w:t xml:space="preserve"> </w:t>
      </w:r>
      <w:r w:rsidR="00E220DD" w:rsidRPr="0022453B">
        <w:t>свідчить про</w:t>
      </w:r>
      <w:r w:rsidR="00783748" w:rsidRPr="0022453B">
        <w:t xml:space="preserve"> </w:t>
      </w:r>
      <w:r w:rsidR="00B65AAA" w:rsidRPr="0022453B">
        <w:t>д</w:t>
      </w:r>
      <w:r w:rsidR="001526BF" w:rsidRPr="0022453B">
        <w:t>и</w:t>
      </w:r>
      <w:r w:rsidR="00B65AAA" w:rsidRPr="0022453B">
        <w:t>сфункці</w:t>
      </w:r>
      <w:r w:rsidR="006F266A" w:rsidRPr="0022453B">
        <w:t>ю</w:t>
      </w:r>
      <w:r w:rsidR="00783748" w:rsidRPr="0022453B">
        <w:t xml:space="preserve"> ендотелію</w:t>
      </w:r>
      <w:r w:rsidR="00014F48" w:rsidRPr="0022453B">
        <w:t>.</w:t>
      </w:r>
      <w:r w:rsidR="0022453B">
        <w:t xml:space="preserve"> </w:t>
      </w:r>
      <w:r w:rsidR="00014F48" w:rsidRPr="0022453B">
        <w:t>При зменшенні ОФВ</w:t>
      </w:r>
      <w:r w:rsidR="00014F48" w:rsidRPr="0022453B">
        <w:rPr>
          <w:vertAlign w:val="subscript"/>
        </w:rPr>
        <w:t>1</w:t>
      </w:r>
      <w:r w:rsidR="00014F48" w:rsidRPr="0022453B">
        <w:t> &lt; 50</w:t>
      </w:r>
      <w:r w:rsidR="0022453B">
        <w:t>%</w:t>
      </w:r>
      <w:r w:rsidR="00014F48" w:rsidRPr="0022453B">
        <w:t xml:space="preserve"> і </w:t>
      </w:r>
      <w:r w:rsidR="00014F48" w:rsidRPr="0022453B">
        <w:rPr>
          <w:lang w:eastAsia="ru-RU"/>
        </w:rPr>
        <w:t>ШКФ &lt; 60</w:t>
      </w:r>
      <w:r w:rsidR="00D63A02" w:rsidRPr="0022453B">
        <w:rPr>
          <w:lang w:eastAsia="ru-RU"/>
        </w:rPr>
        <w:t xml:space="preserve"> </w:t>
      </w:r>
      <w:r w:rsidR="00D63A02" w:rsidRPr="0022453B">
        <w:t>мл/хв/1,73 м</w:t>
      </w:r>
      <w:r w:rsidR="00D63A02" w:rsidRPr="0022453B">
        <w:rPr>
          <w:vertAlign w:val="superscript"/>
        </w:rPr>
        <w:t>2</w:t>
      </w:r>
      <w:r w:rsidR="00014F48" w:rsidRPr="0022453B">
        <w:rPr>
          <w:lang w:eastAsia="ru-RU"/>
        </w:rPr>
        <w:t xml:space="preserve"> </w:t>
      </w:r>
      <w:r w:rsidR="00014F48" w:rsidRPr="0022453B">
        <w:t>у</w:t>
      </w:r>
      <w:r w:rsidR="000E3501">
        <w:t> </w:t>
      </w:r>
      <w:r w:rsidR="00014F48" w:rsidRPr="0022453B">
        <w:t>всіх підгрупах хворих на бронхіальну астму з коморбідністю підвищувалися рівні ЕТ-1 (р &lt;0,001), фактору Віллебранда</w:t>
      </w:r>
      <w:r w:rsidR="00AD0F7C">
        <w:t xml:space="preserve"> </w:t>
      </w:r>
      <w:r w:rsidR="00014F48" w:rsidRPr="0022453B">
        <w:t>(р &lt; 0,001), фракталкіну (р &lt; 0</w:t>
      </w:r>
      <w:r w:rsidR="002E709E">
        <w:t>,001) відносно групи порівняння,</w:t>
      </w:r>
      <w:r w:rsidR="0022453B">
        <w:t xml:space="preserve"> </w:t>
      </w:r>
      <w:r w:rsidR="006F353E" w:rsidRPr="0022453B">
        <w:t>яка залежала</w:t>
      </w:r>
      <w:r w:rsidR="00C94666" w:rsidRPr="0022453B">
        <w:t xml:space="preserve"> </w:t>
      </w:r>
      <w:r w:rsidR="006F266A" w:rsidRPr="0022453B">
        <w:t xml:space="preserve">від </w:t>
      </w:r>
      <w:r w:rsidR="00C078AA" w:rsidRPr="0022453B">
        <w:t xml:space="preserve">прогресування </w:t>
      </w:r>
      <w:r w:rsidR="006F266A" w:rsidRPr="0022453B">
        <w:t>синдрому бронхіальної обструкції</w:t>
      </w:r>
      <w:r w:rsidR="00C078AA" w:rsidRPr="0022453B">
        <w:t xml:space="preserve"> і зниження швидкості клубочкової фільтрації</w:t>
      </w:r>
      <w:r w:rsidR="006F353E" w:rsidRPr="0022453B">
        <w:t>.</w:t>
      </w:r>
      <w:r w:rsidR="006F266A" w:rsidRPr="0022453B">
        <w:t xml:space="preserve"> </w:t>
      </w:r>
    </w:p>
    <w:p w:rsidR="00DA3C3F" w:rsidRPr="00C96EEA" w:rsidRDefault="00C96EEA" w:rsidP="00CD5061">
      <w:pPr>
        <w:pStyle w:val="atextRef"/>
        <w:numPr>
          <w:ilvl w:val="0"/>
          <w:numId w:val="23"/>
        </w:numPr>
        <w:ind w:left="0" w:firstLine="360"/>
      </w:pPr>
      <w:r w:rsidRPr="005527A2">
        <w:t>При прогресуванні пульморенальних розладів спостеріга</w:t>
      </w:r>
      <w:r w:rsidR="001D1534">
        <w:t>ється підвищення рівня</w:t>
      </w:r>
      <w:r w:rsidRPr="005527A2">
        <w:t xml:space="preserve"> фібротичного параметра моноцитарного хемоатрактантного проте</w:t>
      </w:r>
      <w:r w:rsidR="00AD0F7C">
        <w:t>ї</w:t>
      </w:r>
      <w:r w:rsidRPr="005527A2">
        <w:t>ну-1 та зниження антифібротичного – фактору деградації позаклітинного ма</w:t>
      </w:r>
      <w:r w:rsidR="00AD0F7C">
        <w:t>триксу - матричної металопротеї</w:t>
      </w:r>
      <w:r w:rsidRPr="005527A2">
        <w:t>нази-9 у хворих на бронхіальну астму в поєднанні з цукровим діабетом 2-го типу на 28,64 % та бронхіальної астми в</w:t>
      </w:r>
      <w:r w:rsidR="00AD0F7C">
        <w:t xml:space="preserve"> поє</w:t>
      </w:r>
      <w:r w:rsidR="00EF0D79">
        <w:t>днанні  з ожирінням на 19,22%</w:t>
      </w:r>
      <w:r w:rsidRPr="005527A2">
        <w:t xml:space="preserve"> за умов швидкості клубочкової фільтрації &lt;60мл/хв/1,73 м2 </w:t>
      </w:r>
      <w:r w:rsidR="00DA3C3F" w:rsidRPr="005527A2">
        <w:t xml:space="preserve">. </w:t>
      </w:r>
    </w:p>
    <w:p w:rsidR="00FC4B8D" w:rsidRPr="0022453B" w:rsidRDefault="00F90435" w:rsidP="00CD5061">
      <w:pPr>
        <w:pStyle w:val="atextRef"/>
        <w:numPr>
          <w:ilvl w:val="0"/>
          <w:numId w:val="23"/>
        </w:numPr>
        <w:ind w:left="0" w:firstLine="360"/>
      </w:pPr>
      <w:r w:rsidRPr="0022453B">
        <w:t>В основі коморбідного перебігу бронхіальної астми з ожирінням і</w:t>
      </w:r>
      <w:r w:rsidR="000E3501">
        <w:t> </w:t>
      </w:r>
      <w:r w:rsidRPr="0022453B">
        <w:t>цукровим діабетом 2</w:t>
      </w:r>
      <w:r w:rsidR="00531B80">
        <w:t>-го</w:t>
      </w:r>
      <w:r w:rsidRPr="0022453B">
        <w:t xml:space="preserve"> типу, лежить прогресуюче хронічне запалення аутоімунного характеру</w:t>
      </w:r>
      <w:r w:rsidRPr="0022453B">
        <w:rPr>
          <w:sz w:val="24"/>
          <w:szCs w:val="24"/>
        </w:rPr>
        <w:t xml:space="preserve">. </w:t>
      </w:r>
      <w:r w:rsidR="00712896" w:rsidRPr="0022453B">
        <w:t>Н</w:t>
      </w:r>
      <w:r w:rsidR="00E220DD" w:rsidRPr="0022453B">
        <w:t>езалежно від коморбідності</w:t>
      </w:r>
      <w:r w:rsidR="00FC4B8D" w:rsidRPr="0022453B">
        <w:t xml:space="preserve"> ре</w:t>
      </w:r>
      <w:r w:rsidR="00F1407B" w:rsidRPr="0022453B">
        <w:t>є</w:t>
      </w:r>
      <w:r w:rsidR="00FC4B8D" w:rsidRPr="0022453B">
        <w:t xml:space="preserve">струються ознаки </w:t>
      </w:r>
      <w:r w:rsidR="005756FF" w:rsidRPr="0022453B">
        <w:t xml:space="preserve">імунного </w:t>
      </w:r>
      <w:r w:rsidR="00FC4B8D" w:rsidRPr="0022453B">
        <w:t xml:space="preserve">запалення, підвищення рівнів ІЛ-8, </w:t>
      </w:r>
      <w:r w:rsidR="00F06411" w:rsidRPr="0022453B">
        <w:t>І</w:t>
      </w:r>
      <w:r w:rsidR="006F70A5" w:rsidRPr="0022453B">
        <w:t>Л-12</w:t>
      </w:r>
      <w:r w:rsidR="005756FF" w:rsidRPr="0022453B">
        <w:t xml:space="preserve">. </w:t>
      </w:r>
      <w:r w:rsidR="00FC4B8D" w:rsidRPr="0022453B">
        <w:t xml:space="preserve">У хворих на </w:t>
      </w:r>
      <w:r w:rsidR="00B3479F" w:rsidRPr="0022453B">
        <w:t>бронхіальн</w:t>
      </w:r>
      <w:r w:rsidR="00FE795C" w:rsidRPr="0022453B">
        <w:t>у</w:t>
      </w:r>
      <w:r w:rsidR="00B3479F" w:rsidRPr="0022453B">
        <w:t xml:space="preserve"> астм</w:t>
      </w:r>
      <w:r w:rsidR="00FE795C" w:rsidRPr="0022453B">
        <w:t>у</w:t>
      </w:r>
      <w:r w:rsidR="00B3479F" w:rsidRPr="0022453B">
        <w:t xml:space="preserve"> в поєднанні з цукровим діабетом 2-го типу</w:t>
      </w:r>
      <w:r w:rsidR="00FE795C" w:rsidRPr="0022453B">
        <w:t>,</w:t>
      </w:r>
      <w:r w:rsidR="0022453B">
        <w:t xml:space="preserve"> </w:t>
      </w:r>
      <w:r w:rsidR="00B3479F" w:rsidRPr="0022453B">
        <w:t xml:space="preserve">бронхіальну астму з </w:t>
      </w:r>
      <w:r w:rsidR="00FC4B8D" w:rsidRPr="0022453B">
        <w:t>о</w:t>
      </w:r>
      <w:r w:rsidR="00595942" w:rsidRPr="0022453B">
        <w:t>жирінням</w:t>
      </w:r>
      <w:r w:rsidR="00FE795C" w:rsidRPr="0022453B">
        <w:t xml:space="preserve"> та</w:t>
      </w:r>
      <w:r w:rsidR="00D8032A" w:rsidRPr="0022453B">
        <w:t xml:space="preserve"> </w:t>
      </w:r>
      <w:r w:rsidR="00FE795C" w:rsidRPr="0022453B">
        <w:t xml:space="preserve">ізольовану БА </w:t>
      </w:r>
      <w:r w:rsidR="007753B5" w:rsidRPr="0022453B">
        <w:t>порівняно</w:t>
      </w:r>
      <w:r w:rsidR="00674BDB" w:rsidRPr="0022453B">
        <w:t xml:space="preserve"> з</w:t>
      </w:r>
      <w:r w:rsidR="00FC4B8D" w:rsidRPr="0022453B">
        <w:t xml:space="preserve"> групою</w:t>
      </w:r>
      <w:r w:rsidR="00FE795C" w:rsidRPr="0022453B">
        <w:t xml:space="preserve"> контролю</w:t>
      </w:r>
      <w:r w:rsidR="00FC4B8D" w:rsidRPr="0022453B">
        <w:t>, розвивається вторинний імунодефіцит</w:t>
      </w:r>
      <w:r w:rsidR="00FE795C" w:rsidRPr="0022453B">
        <w:t xml:space="preserve"> зі </w:t>
      </w:r>
      <w:r w:rsidR="00FC4B8D" w:rsidRPr="0022453B">
        <w:t xml:space="preserve">зменшенням </w:t>
      </w:r>
      <w:r w:rsidR="00CF4B56" w:rsidRPr="0022453B">
        <w:t>субпопуляції Т лімфоцитів,</w:t>
      </w:r>
      <w:r w:rsidR="00FC4B8D" w:rsidRPr="0022453B">
        <w:t xml:space="preserve"> CD4, </w:t>
      </w:r>
      <w:r w:rsidR="00CF4B56" w:rsidRPr="0022453B">
        <w:t>CD8 (у 1,6</w:t>
      </w:r>
      <w:r w:rsidR="00631686" w:rsidRPr="0022453B">
        <w:t>,</w:t>
      </w:r>
      <w:r w:rsidR="00CF4B56" w:rsidRPr="0022453B">
        <w:t xml:space="preserve"> 1,2 та 1,2, 1,4 раз</w:t>
      </w:r>
      <w:r w:rsidR="0089008F">
        <w:t>а</w:t>
      </w:r>
      <w:r w:rsidR="00CF4B56" w:rsidRPr="0022453B">
        <w:t xml:space="preserve">), збільшення натуральних кіллерів </w:t>
      </w:r>
      <w:r w:rsidR="00FC4B8D" w:rsidRPr="0022453B">
        <w:t>CD16</w:t>
      </w:r>
      <w:r w:rsidR="002D7715" w:rsidRPr="0022453B">
        <w:t xml:space="preserve"> (р&lt;0,05 відповідно)</w:t>
      </w:r>
      <w:r w:rsidR="00FC4B8D" w:rsidRPr="0022453B">
        <w:t xml:space="preserve"> </w:t>
      </w:r>
      <w:r w:rsidR="00E220DD" w:rsidRPr="0022453B">
        <w:t>та В-лімфоцитів</w:t>
      </w:r>
      <w:r w:rsidR="00E86DA3" w:rsidRPr="0022453B">
        <w:t xml:space="preserve"> </w:t>
      </w:r>
      <w:r w:rsidR="00FC4B8D" w:rsidRPr="0022453B">
        <w:t>CD22</w:t>
      </w:r>
      <w:r w:rsidR="007C7AA9" w:rsidRPr="0022453B">
        <w:t xml:space="preserve"> </w:t>
      </w:r>
      <w:r w:rsidR="00631686" w:rsidRPr="0022453B">
        <w:t>(</w:t>
      </w:r>
      <w:r w:rsidR="002D7715" w:rsidRPr="0022453B">
        <w:t>р&lt;0,05 відповідно</w:t>
      </w:r>
      <w:r w:rsidR="00FC4B8D" w:rsidRPr="0022453B">
        <w:t>) і загальної кількості лімфоцитарних антитіл (у 1,9</w:t>
      </w:r>
      <w:r w:rsidR="001768D5">
        <w:t>,</w:t>
      </w:r>
      <w:r w:rsidR="00FC4B8D" w:rsidRPr="0022453B">
        <w:t xml:space="preserve"> 1,4</w:t>
      </w:r>
      <w:r w:rsidR="00FE795C" w:rsidRPr="0022453B">
        <w:t>, 1,2</w:t>
      </w:r>
      <w:r w:rsidR="007C7AA9" w:rsidRPr="0022453B">
        <w:t xml:space="preserve"> </w:t>
      </w:r>
      <w:r w:rsidR="00FC4B8D" w:rsidRPr="0022453B">
        <w:t>раз</w:t>
      </w:r>
      <w:r w:rsidR="0089008F">
        <w:t>а</w:t>
      </w:r>
      <w:r w:rsidR="00FC4B8D" w:rsidRPr="0022453B">
        <w:t xml:space="preserve"> відповідно).</w:t>
      </w:r>
      <w:r w:rsidR="007C7AA9" w:rsidRPr="0022453B">
        <w:t xml:space="preserve"> </w:t>
      </w:r>
      <w:r w:rsidR="00FC4B8D" w:rsidRPr="0022453B">
        <w:t xml:space="preserve">Ці зміни супроводжуються зниженням імунорегуляторного індексу як у хворих на </w:t>
      </w:r>
      <w:r w:rsidR="00803CE2" w:rsidRPr="0022453B">
        <w:t>бронхіальн</w:t>
      </w:r>
      <w:r w:rsidR="00857B19">
        <w:t>у</w:t>
      </w:r>
      <w:r w:rsidR="00803CE2" w:rsidRPr="0022453B">
        <w:t xml:space="preserve"> астм</w:t>
      </w:r>
      <w:r w:rsidR="00857B19">
        <w:t>у</w:t>
      </w:r>
      <w:r w:rsidR="00803CE2" w:rsidRPr="0022453B">
        <w:t xml:space="preserve"> в поєднанні з</w:t>
      </w:r>
      <w:r w:rsidR="000E3501">
        <w:t> </w:t>
      </w:r>
      <w:r w:rsidR="00803CE2" w:rsidRPr="0022453B">
        <w:t>цукровим діабетом 2-го типу</w:t>
      </w:r>
      <w:r w:rsidR="00FC4B8D" w:rsidRPr="0022453B">
        <w:t>,</w:t>
      </w:r>
      <w:r w:rsidR="007C7AA9" w:rsidRPr="0022453B">
        <w:t xml:space="preserve"> </w:t>
      </w:r>
      <w:r w:rsidR="00FC4B8D" w:rsidRPr="0022453B">
        <w:t xml:space="preserve">так і </w:t>
      </w:r>
      <w:r w:rsidR="00177D2C" w:rsidRPr="0022453B">
        <w:t xml:space="preserve">у </w:t>
      </w:r>
      <w:r w:rsidR="00FC4B8D" w:rsidRPr="0022453B">
        <w:t xml:space="preserve">хворих на </w:t>
      </w:r>
      <w:r w:rsidR="00803CE2" w:rsidRPr="0022453B">
        <w:t>бронхіальну астму в поєднанні з</w:t>
      </w:r>
      <w:r w:rsidR="000E3501">
        <w:t> </w:t>
      </w:r>
      <w:r w:rsidR="00803CE2" w:rsidRPr="0022453B">
        <w:t xml:space="preserve">ожирінням </w:t>
      </w:r>
      <w:r w:rsidR="00FC4B8D" w:rsidRPr="0022453B">
        <w:t>на 25,14</w:t>
      </w:r>
      <w:r w:rsidR="0022453B">
        <w:t>%</w:t>
      </w:r>
      <w:r w:rsidR="00FC4B8D" w:rsidRPr="0022453B">
        <w:t xml:space="preserve"> і 19,7</w:t>
      </w:r>
      <w:r w:rsidR="0022453B">
        <w:t>%</w:t>
      </w:r>
      <w:r w:rsidR="00F1407B" w:rsidRPr="0022453B">
        <w:t xml:space="preserve">, </w:t>
      </w:r>
      <w:r w:rsidR="00FC4B8D" w:rsidRPr="0022453B">
        <w:t>відповідно</w:t>
      </w:r>
      <w:r w:rsidR="007C7AA9" w:rsidRPr="0022453B">
        <w:t xml:space="preserve"> </w:t>
      </w:r>
      <w:r w:rsidR="00FC4B8D" w:rsidRPr="0022453B">
        <w:t>(p</w:t>
      </w:r>
      <w:r w:rsidR="00D74FC8" w:rsidRPr="0022453B">
        <w:t> </w:t>
      </w:r>
      <w:r w:rsidR="00FC4B8D" w:rsidRPr="0022453B">
        <w:t>&lt;</w:t>
      </w:r>
      <w:r w:rsidR="00D74FC8" w:rsidRPr="0022453B">
        <w:t> </w:t>
      </w:r>
      <w:r w:rsidR="00FC4B8D" w:rsidRPr="0022453B">
        <w:t>0,05).</w:t>
      </w:r>
    </w:p>
    <w:p w:rsidR="00FC4B8D" w:rsidRPr="0022453B" w:rsidRDefault="00082977" w:rsidP="00CD5061">
      <w:pPr>
        <w:pStyle w:val="atextRef"/>
        <w:numPr>
          <w:ilvl w:val="0"/>
          <w:numId w:val="23"/>
        </w:numPr>
        <w:ind w:left="0" w:firstLine="360"/>
      </w:pPr>
      <w:r w:rsidRPr="0022453B">
        <w:t>В</w:t>
      </w:r>
      <w:r w:rsidR="00177D2C" w:rsidRPr="0022453B">
        <w:t>изначено</w:t>
      </w:r>
      <w:r w:rsidR="00AA27F8" w:rsidRPr="0022453B">
        <w:t xml:space="preserve"> клінічні параметри</w:t>
      </w:r>
      <w:r w:rsidR="00215391" w:rsidRPr="0022453B">
        <w:t xml:space="preserve"> ризику прогресування, переходу середньої тяжкості персистуючої бронхіальної астми в поєднанні з цукровим діабетом 2</w:t>
      </w:r>
      <w:r w:rsidR="00020309">
        <w:t>-го</w:t>
      </w:r>
      <w:r w:rsidR="00215391" w:rsidRPr="0022453B">
        <w:t xml:space="preserve"> типу та бронхіальної астми в поєднанні з ожирінням у тяжку: </w:t>
      </w:r>
      <w:r w:rsidR="00712896" w:rsidRPr="0022453B">
        <w:t xml:space="preserve">рівень креатиніну, тест з контролю над астмою, індекс талія/стегно, індекс </w:t>
      </w:r>
      <w:r w:rsidR="00712896" w:rsidRPr="0022453B">
        <w:lastRenderedPageBreak/>
        <w:t xml:space="preserve">інсулінорезистентності, рівень глікованого гемоглобіну, </w:t>
      </w:r>
      <w:r w:rsidR="00712896" w:rsidRPr="0022453B">
        <w:rPr>
          <w:lang w:eastAsia="ru-RU"/>
        </w:rPr>
        <w:t>об</w:t>
      </w:r>
      <w:r w:rsidR="00AF5C51" w:rsidRPr="0022453B">
        <w:rPr>
          <w:lang w:eastAsia="ru-RU"/>
        </w:rPr>
        <w:t>’</w:t>
      </w:r>
      <w:r w:rsidR="00712896" w:rsidRPr="0022453B">
        <w:rPr>
          <w:lang w:eastAsia="ru-RU"/>
        </w:rPr>
        <w:t xml:space="preserve">єм форсованого видиху за 1 секунду, </w:t>
      </w:r>
      <w:r w:rsidR="009038E2" w:rsidRPr="0022453B">
        <w:t>рівень загального імуноглобуліну Е</w:t>
      </w:r>
      <w:r w:rsidR="00215391" w:rsidRPr="0022453B">
        <w:t>.</w:t>
      </w:r>
      <w:r w:rsidR="00877938" w:rsidRPr="0022453B">
        <w:t xml:space="preserve"> </w:t>
      </w:r>
      <w:r w:rsidR="00440DB1" w:rsidRPr="0022453B">
        <w:t>Р</w:t>
      </w:r>
      <w:r w:rsidR="00FC4B8D" w:rsidRPr="0022453B">
        <w:t>івняння регресії у</w:t>
      </w:r>
      <w:r w:rsidR="000E3501">
        <w:t> </w:t>
      </w:r>
      <w:r w:rsidR="00FC4B8D" w:rsidRPr="0022453B">
        <w:t xml:space="preserve">хворих на </w:t>
      </w:r>
      <w:r w:rsidR="00803CE2" w:rsidRPr="0022453B">
        <w:t>бронхіальну астму в поєднанні з ожирінням</w:t>
      </w:r>
      <w:r w:rsidRPr="0022453B">
        <w:t xml:space="preserve"> дають</w:t>
      </w:r>
      <w:r w:rsidR="008D54C3" w:rsidRPr="0022453B">
        <w:t xml:space="preserve"> змогу</w:t>
      </w:r>
      <w:r w:rsidR="00FC4B8D" w:rsidRPr="0022453B">
        <w:t xml:space="preserve"> </w:t>
      </w:r>
      <w:r w:rsidR="001526BF" w:rsidRPr="0022453B">
        <w:t>с</w:t>
      </w:r>
      <w:r w:rsidR="00FC4B8D" w:rsidRPr="0022453B">
        <w:t>прогнозувати перехід середнього ступеня тяжкості у тяжкий у 93</w:t>
      </w:r>
      <w:r w:rsidR="00D74FC8" w:rsidRPr="0022453B">
        <w:t> </w:t>
      </w:r>
      <w:r w:rsidR="00FC4B8D" w:rsidRPr="0022453B">
        <w:t>±</w:t>
      </w:r>
      <w:r w:rsidR="00D74FC8" w:rsidRPr="0022453B">
        <w:t> </w:t>
      </w:r>
      <w:r w:rsidR="00FC4B8D" w:rsidRPr="0022453B">
        <w:t>3</w:t>
      </w:r>
      <w:r w:rsidR="0022453B">
        <w:t>%</w:t>
      </w:r>
      <w:r w:rsidR="00FC4B8D" w:rsidRPr="0022453B">
        <w:t xml:space="preserve"> випадків, у хворих на </w:t>
      </w:r>
      <w:r w:rsidR="00803CE2" w:rsidRPr="0022453B">
        <w:t>бронхіальн</w:t>
      </w:r>
      <w:r w:rsidR="00FE795C" w:rsidRPr="0022453B">
        <w:t>у</w:t>
      </w:r>
      <w:r w:rsidR="00803CE2" w:rsidRPr="0022453B">
        <w:t xml:space="preserve"> астм</w:t>
      </w:r>
      <w:r w:rsidR="00FE795C" w:rsidRPr="0022453B">
        <w:t>у</w:t>
      </w:r>
      <w:r w:rsidR="00803CE2" w:rsidRPr="0022453B">
        <w:t xml:space="preserve"> в поєднанні з цукровим діабетом 2-го типу </w:t>
      </w:r>
      <w:r w:rsidR="00FC4B8D" w:rsidRPr="0022453B">
        <w:t>у</w:t>
      </w:r>
      <w:r w:rsidR="000E3501">
        <w:t> </w:t>
      </w:r>
      <w:r w:rsidR="00FC4B8D" w:rsidRPr="0022453B">
        <w:t>95</w:t>
      </w:r>
      <w:r w:rsidR="00D74FC8" w:rsidRPr="0022453B">
        <w:t> </w:t>
      </w:r>
      <w:r w:rsidR="00FC4B8D" w:rsidRPr="0022453B">
        <w:t>±</w:t>
      </w:r>
      <w:r w:rsidR="00D74FC8" w:rsidRPr="0022453B">
        <w:t> </w:t>
      </w:r>
      <w:r w:rsidR="00FC4B8D" w:rsidRPr="0022453B">
        <w:t>2</w:t>
      </w:r>
      <w:r w:rsidR="0022453B">
        <w:t>%</w:t>
      </w:r>
      <w:r w:rsidR="00FC4B8D" w:rsidRPr="0022453B">
        <w:t xml:space="preserve"> випадків.</w:t>
      </w:r>
    </w:p>
    <w:p w:rsidR="00FC4B8D" w:rsidRPr="00A06383" w:rsidRDefault="00FC4B8D" w:rsidP="00CD5061">
      <w:pPr>
        <w:pStyle w:val="atextRef"/>
        <w:numPr>
          <w:ilvl w:val="0"/>
          <w:numId w:val="23"/>
        </w:numPr>
        <w:ind w:left="0" w:firstLine="360"/>
      </w:pPr>
      <w:r w:rsidRPr="0022453B">
        <w:t>Призначення</w:t>
      </w:r>
      <w:r w:rsidR="007C7AA9" w:rsidRPr="0022453B">
        <w:t xml:space="preserve"> </w:t>
      </w:r>
      <w:r w:rsidRPr="0022453B">
        <w:t>препаратів</w:t>
      </w:r>
      <w:r w:rsidR="00D8032A" w:rsidRPr="0022453B">
        <w:t xml:space="preserve"> </w:t>
      </w:r>
      <w:r w:rsidR="00355A86">
        <w:rPr>
          <w:lang w:val="en-US"/>
        </w:rPr>
        <w:t>L</w:t>
      </w:r>
      <w:r w:rsidR="00355A86" w:rsidRPr="00355A86">
        <w:t>-</w:t>
      </w:r>
      <w:r w:rsidR="00355A86" w:rsidRPr="004E150F">
        <w:t xml:space="preserve">аргініну </w:t>
      </w:r>
      <w:r w:rsidR="00355A86">
        <w:t>аспартату</w:t>
      </w:r>
      <w:r w:rsidR="00355A86" w:rsidRPr="0022453B">
        <w:t xml:space="preserve"> </w:t>
      </w:r>
      <w:r w:rsidRPr="0022453B">
        <w:t>та тіотропію бромід</w:t>
      </w:r>
      <w:r w:rsidR="005C5C5B" w:rsidRPr="0022453B">
        <w:t>у</w:t>
      </w:r>
      <w:r w:rsidRPr="0022453B">
        <w:t xml:space="preserve"> на тлі базисної терапії у хворих на </w:t>
      </w:r>
      <w:r w:rsidR="00177D2C" w:rsidRPr="0022453B">
        <w:t>бронхіальну астму</w:t>
      </w:r>
      <w:r w:rsidR="00803CE2" w:rsidRPr="0022453B">
        <w:t xml:space="preserve"> в поєднанні з цукровим діабетом 2-го типу</w:t>
      </w:r>
      <w:r w:rsidR="00F1407B" w:rsidRPr="0022453B">
        <w:t>,</w:t>
      </w:r>
      <w:r w:rsidR="008D54C3" w:rsidRPr="0022453B">
        <w:t xml:space="preserve"> при</w:t>
      </w:r>
      <w:r w:rsidR="00F1407B" w:rsidRPr="0022453B">
        <w:t>з</w:t>
      </w:r>
      <w:r w:rsidRPr="0022453B">
        <w:t>водить до корекції функціонального стану ендотелію</w:t>
      </w:r>
      <w:r w:rsidR="008D54C3" w:rsidRPr="0022453B">
        <w:t>,</w:t>
      </w:r>
      <w:r w:rsidRPr="0022453B">
        <w:t xml:space="preserve"> зменшує вплив</w:t>
      </w:r>
      <w:r w:rsidR="007C7AA9" w:rsidRPr="0022453B">
        <w:t xml:space="preserve"> </w:t>
      </w:r>
      <w:r w:rsidRPr="0022453B">
        <w:t>ІГКС на метаболічні порушення (зниження ІМТ у 1,2 раз</w:t>
      </w:r>
      <w:r w:rsidR="00C033BA" w:rsidRPr="00C033BA">
        <w:t>а</w:t>
      </w:r>
      <w:r w:rsidRPr="0022453B">
        <w:t>, індексу НОМА в 1,2 раз</w:t>
      </w:r>
      <w:r w:rsidR="00177D2C" w:rsidRPr="0022453B">
        <w:t>а</w:t>
      </w:r>
      <w:r w:rsidRPr="0022453B">
        <w:t xml:space="preserve">), підвищує контроль над симптомами астми </w:t>
      </w:r>
      <w:r w:rsidR="001526BF" w:rsidRPr="0022453B">
        <w:t>у</w:t>
      </w:r>
      <w:r w:rsidRPr="0022453B">
        <w:t xml:space="preserve"> 1,9 раз</w:t>
      </w:r>
      <w:r w:rsidR="00177D2C" w:rsidRPr="0022453B">
        <w:t>а</w:t>
      </w:r>
      <w:r w:rsidRPr="0022453B">
        <w:t>, покращує показники ОФВ</w:t>
      </w:r>
      <w:r w:rsidRPr="0022453B">
        <w:rPr>
          <w:vertAlign w:val="subscript"/>
        </w:rPr>
        <w:t>1</w:t>
      </w:r>
      <w:r w:rsidRPr="0022453B">
        <w:t xml:space="preserve"> та ШКФ у 87,6</w:t>
      </w:r>
      <w:r w:rsidR="0022453B">
        <w:t>%</w:t>
      </w:r>
      <w:r w:rsidRPr="0022453B">
        <w:t xml:space="preserve"> хворих,</w:t>
      </w:r>
      <w:r w:rsidR="00D74FC8" w:rsidRPr="0022453B">
        <w:t xml:space="preserve"> </w:t>
      </w:r>
      <w:r w:rsidR="008D54C3" w:rsidRPr="0022453B">
        <w:t>якість</w:t>
      </w:r>
      <w:r w:rsidRPr="0022453B">
        <w:t xml:space="preserve"> життя: фізичне функціонування у 1,4 раз</w:t>
      </w:r>
      <w:r w:rsidR="00177D2C" w:rsidRPr="0022453B">
        <w:t>а</w:t>
      </w:r>
      <w:r w:rsidRPr="0022453B">
        <w:t>, психологічне здоров</w:t>
      </w:r>
      <w:r w:rsidR="00AF5C51" w:rsidRPr="0022453B">
        <w:t>’</w:t>
      </w:r>
      <w:r w:rsidRPr="0022453B">
        <w:t>я у 1,7 раз</w:t>
      </w:r>
      <w:r w:rsidR="00177D2C" w:rsidRPr="0022453B">
        <w:t>а</w:t>
      </w:r>
      <w:r w:rsidRPr="0022453B">
        <w:t>.</w:t>
      </w:r>
    </w:p>
    <w:p w:rsidR="00D36EA2" w:rsidRPr="0022453B" w:rsidRDefault="00D36EA2" w:rsidP="00CD5061">
      <w:pPr>
        <w:pStyle w:val="atextRef"/>
        <w:ind w:firstLine="360"/>
      </w:pPr>
    </w:p>
    <w:p w:rsidR="00CD5061" w:rsidRPr="00CD5061" w:rsidRDefault="00FC4B8D" w:rsidP="00CD5061">
      <w:pPr>
        <w:pStyle w:val="arefZag"/>
        <w:spacing w:before="0" w:line="264" w:lineRule="auto"/>
        <w:ind w:firstLine="360"/>
      </w:pPr>
      <w:r w:rsidRPr="0022453B">
        <w:t>ПРАКТИЧНІ РЕКОМЕНДАЦІЇ</w:t>
      </w:r>
    </w:p>
    <w:p w:rsidR="00B0210B" w:rsidRPr="0022453B" w:rsidRDefault="00B0210B" w:rsidP="00CD5061">
      <w:pPr>
        <w:pStyle w:val="atextRef"/>
        <w:numPr>
          <w:ilvl w:val="0"/>
          <w:numId w:val="24"/>
        </w:numPr>
        <w:ind w:left="0" w:firstLine="360"/>
      </w:pPr>
      <w:r w:rsidRPr="0022453B">
        <w:t xml:space="preserve">Для подальшого контролю за станом хворих на бронхіальну астму </w:t>
      </w:r>
      <w:r w:rsidR="005B3C24" w:rsidRPr="0022453B">
        <w:t>в</w:t>
      </w:r>
      <w:r w:rsidR="00C033BA" w:rsidRPr="00CD5061">
        <w:t xml:space="preserve"> </w:t>
      </w:r>
      <w:r w:rsidRPr="0022453B">
        <w:t xml:space="preserve">поєднанні з </w:t>
      </w:r>
      <w:r w:rsidR="002717C1" w:rsidRPr="0022453B">
        <w:t>цукровим діабетом 2-го типу</w:t>
      </w:r>
      <w:r w:rsidR="0022453B">
        <w:t xml:space="preserve"> </w:t>
      </w:r>
      <w:r w:rsidRPr="0022453B">
        <w:t>рекомендовано додатково досліджувати рівень креатиніну, тест з контролю над астмою, індекс талія/стегно, індекс інсулінорезистентності, рівень глікованого гемоглобіну,</w:t>
      </w:r>
      <w:r w:rsidR="005B3C24" w:rsidRPr="0022453B">
        <w:t xml:space="preserve"> </w:t>
      </w:r>
      <w:r w:rsidR="00531B80" w:rsidRPr="0022453B">
        <w:t>загального імуноглобуліну Е у</w:t>
      </w:r>
      <w:r w:rsidR="00531B80">
        <w:t> </w:t>
      </w:r>
      <w:r w:rsidR="00531B80" w:rsidRPr="0022453B">
        <w:t>сироватці крові</w:t>
      </w:r>
      <w:r w:rsidR="00531B80">
        <w:t>,</w:t>
      </w:r>
      <w:r w:rsidR="00531B80">
        <w:rPr>
          <w:kern w:val="1"/>
          <w:lang w:eastAsia="ar-SA"/>
        </w:rPr>
        <w:t xml:space="preserve"> </w:t>
      </w:r>
      <w:r w:rsidRPr="0022453B">
        <w:rPr>
          <w:lang w:eastAsia="ru-RU"/>
        </w:rPr>
        <w:t>об</w:t>
      </w:r>
      <w:r w:rsidR="00AF5C51" w:rsidRPr="0022453B">
        <w:rPr>
          <w:lang w:eastAsia="ru-RU"/>
        </w:rPr>
        <w:t>’</w:t>
      </w:r>
      <w:r w:rsidRPr="0022453B">
        <w:rPr>
          <w:lang w:eastAsia="ru-RU"/>
        </w:rPr>
        <w:t>єм форсованого видиху за 1 секунду</w:t>
      </w:r>
      <w:r w:rsidR="002717C1" w:rsidRPr="0022453B">
        <w:rPr>
          <w:lang w:eastAsia="ru-RU"/>
        </w:rPr>
        <w:t xml:space="preserve"> </w:t>
      </w:r>
      <w:r w:rsidR="001C1271" w:rsidRPr="0022453B">
        <w:rPr>
          <w:lang w:eastAsia="ru-RU"/>
        </w:rPr>
        <w:t>у відсотках</w:t>
      </w:r>
      <w:r w:rsidR="003131EB">
        <w:rPr>
          <w:lang w:eastAsia="ru-RU"/>
        </w:rPr>
        <w:t xml:space="preserve"> один раз на рік. При перегляді терапії в бік підвищення інгаляційних кортикостероїдів, проводити контроль цих показників один раз на  три місяці.</w:t>
      </w:r>
    </w:p>
    <w:p w:rsidR="00B0210B" w:rsidRPr="0022453B" w:rsidRDefault="00B0210B" w:rsidP="00CD5061">
      <w:pPr>
        <w:pStyle w:val="atextRef"/>
        <w:numPr>
          <w:ilvl w:val="0"/>
          <w:numId w:val="24"/>
        </w:numPr>
        <w:ind w:left="0" w:firstLine="360"/>
      </w:pPr>
      <w:r w:rsidRPr="0022453B">
        <w:t>З метою корекції проявів ендотеліальної дисфункції, функціональних порушень легень та нирок у хворих на бронхіальну астму поєднану з цукровим діабетом 2</w:t>
      </w:r>
      <w:r w:rsidR="00177D2C" w:rsidRPr="0022453B">
        <w:t>-го</w:t>
      </w:r>
      <w:r w:rsidRPr="0022453B">
        <w:t xml:space="preserve"> типу рекомендовано до базисної терапії включати препарати </w:t>
      </w:r>
      <w:r w:rsidR="00384B4F">
        <w:rPr>
          <w:lang w:val="en-US"/>
        </w:rPr>
        <w:t>L</w:t>
      </w:r>
      <w:r w:rsidR="00384B4F" w:rsidRPr="00355A86">
        <w:t>-</w:t>
      </w:r>
      <w:r w:rsidR="00384B4F" w:rsidRPr="004E150F">
        <w:t xml:space="preserve">аргініну </w:t>
      </w:r>
      <w:r w:rsidR="00384B4F">
        <w:t>аспартату</w:t>
      </w:r>
      <w:r w:rsidR="00384B4F" w:rsidRPr="0022453B">
        <w:t xml:space="preserve"> </w:t>
      </w:r>
      <w:r w:rsidRPr="0022453B">
        <w:t xml:space="preserve">внутрішньо по 15 мл 2 рази на добу, </w:t>
      </w:r>
      <w:r w:rsidR="004D62A2" w:rsidRPr="0022453B">
        <w:t xml:space="preserve">курс лікування </w:t>
      </w:r>
      <w:r w:rsidR="00177D2C" w:rsidRPr="0022453B">
        <w:t>триває</w:t>
      </w:r>
      <w:r w:rsidR="005B3C24" w:rsidRPr="0022453B">
        <w:t xml:space="preserve"> </w:t>
      </w:r>
      <w:r w:rsidRPr="0022453B">
        <w:t>3</w:t>
      </w:r>
      <w:r w:rsidR="000E3501">
        <w:t> </w:t>
      </w:r>
      <w:r w:rsidRPr="0022453B">
        <w:t>міс. (90 днів)</w:t>
      </w:r>
      <w:r w:rsidR="00177D2C" w:rsidRPr="0022453B">
        <w:t>,</w:t>
      </w:r>
      <w:r w:rsidRPr="0022453B">
        <w:t xml:space="preserve"> та тіотропію броміду через їх позитивний вплив на самопочуття хворих, швид</w:t>
      </w:r>
      <w:r w:rsidR="005B3C24" w:rsidRPr="0022453B">
        <w:t>к</w:t>
      </w:r>
      <w:r w:rsidRPr="0022453B">
        <w:t>е усунення обструкції, досягнення та подовження тривалості клініко-спірографічної ремісії, покращення якості життя.</w:t>
      </w:r>
    </w:p>
    <w:p w:rsidR="00B0210B" w:rsidRPr="0022453B" w:rsidRDefault="00B0210B" w:rsidP="00CD5061">
      <w:pPr>
        <w:pStyle w:val="atextRef"/>
        <w:numPr>
          <w:ilvl w:val="0"/>
          <w:numId w:val="24"/>
        </w:numPr>
        <w:ind w:left="0" w:firstLine="360"/>
      </w:pPr>
      <w:r w:rsidRPr="0022453B">
        <w:t>Хворим на бронхіальну астму, які отримують базисну терапію</w:t>
      </w:r>
      <w:r w:rsidR="005B3C24" w:rsidRPr="0022453B">
        <w:t>,</w:t>
      </w:r>
      <w:r w:rsidRPr="0022453B">
        <w:t xml:space="preserve"> необхідно проводити регулярні обстеження на наявність ожиріння, дисл</w:t>
      </w:r>
      <w:r w:rsidR="005B3C24" w:rsidRPr="0022453B">
        <w:t>і</w:t>
      </w:r>
      <w:r w:rsidRPr="0022453B">
        <w:t>попроте</w:t>
      </w:r>
      <w:r w:rsidR="005B3C24" w:rsidRPr="0022453B">
        <w:t>ї</w:t>
      </w:r>
      <w:r w:rsidRPr="0022453B">
        <w:t>нем</w:t>
      </w:r>
      <w:r w:rsidR="005B3C24" w:rsidRPr="0022453B">
        <w:t>ії</w:t>
      </w:r>
      <w:r w:rsidRPr="0022453B">
        <w:t>, а також своєчасну корекцію виявлених порушень вуглеводного та ліпідного обмінів. Оптимізація базисної терапії бронхіальної астми у хворих на середньо</w:t>
      </w:r>
      <w:r w:rsidR="005B3C24" w:rsidRPr="0022453B">
        <w:t>тя</w:t>
      </w:r>
      <w:r w:rsidRPr="0022453B">
        <w:t>жкий перебі</w:t>
      </w:r>
      <w:r w:rsidR="005B3C24" w:rsidRPr="0022453B">
        <w:t xml:space="preserve">г </w:t>
      </w:r>
      <w:r w:rsidRPr="0022453B">
        <w:t>захв</w:t>
      </w:r>
      <w:r w:rsidR="005B3C24" w:rsidRPr="0022453B">
        <w:t>о</w:t>
      </w:r>
      <w:r w:rsidRPr="0022453B">
        <w:t xml:space="preserve">рювання повинна </w:t>
      </w:r>
      <w:r w:rsidR="00177D2C" w:rsidRPr="0022453B">
        <w:t xml:space="preserve">обмежуватись </w:t>
      </w:r>
      <w:r w:rsidRPr="0022453B">
        <w:t>зменшення</w:t>
      </w:r>
      <w:r w:rsidR="00177D2C" w:rsidRPr="0022453B">
        <w:t>м</w:t>
      </w:r>
      <w:r w:rsidRPr="0022453B">
        <w:t xml:space="preserve"> дози ІГКС до рівня мінімально достатньої </w:t>
      </w:r>
      <w:r w:rsidR="005B3C24" w:rsidRPr="0022453B">
        <w:t>внаслідок</w:t>
      </w:r>
      <w:r w:rsidRPr="0022453B">
        <w:t xml:space="preserve"> комбінації його з довготривалим препаратами (β</w:t>
      </w:r>
      <w:r w:rsidR="00531B80" w:rsidRPr="00531B80">
        <w:rPr>
          <w:vertAlign w:val="subscript"/>
        </w:rPr>
        <w:t>2</w:t>
      </w:r>
      <w:r w:rsidRPr="0022453B">
        <w:t>-агоністами та тіотропі</w:t>
      </w:r>
      <w:r w:rsidR="00531B80">
        <w:t>ю</w:t>
      </w:r>
      <w:r w:rsidRPr="0022453B">
        <w:t xml:space="preserve"> бромід</w:t>
      </w:r>
      <w:r w:rsidR="005B3C24" w:rsidRPr="0022453B">
        <w:t>у</w:t>
      </w:r>
      <w:r w:rsidRPr="0022453B">
        <w:t>).</w:t>
      </w:r>
    </w:p>
    <w:p w:rsidR="00D36EA2" w:rsidRDefault="00D36EA2" w:rsidP="00386014">
      <w:pPr>
        <w:pStyle w:val="arefZag"/>
        <w:spacing w:before="0" w:after="0"/>
      </w:pPr>
    </w:p>
    <w:p w:rsidR="00AC335E" w:rsidRDefault="00CD5061" w:rsidP="00D36EA2">
      <w:pPr>
        <w:pStyle w:val="arefZag"/>
        <w:spacing w:before="120" w:after="240"/>
        <w:rPr>
          <w:lang w:val="ru-RU"/>
        </w:rPr>
      </w:pPr>
      <w:r>
        <w:br w:type="page"/>
      </w:r>
      <w:r w:rsidR="00AC335E" w:rsidRPr="0022453B">
        <w:lastRenderedPageBreak/>
        <w:t xml:space="preserve">СПИСОК </w:t>
      </w:r>
      <w:r w:rsidR="000B2EDD" w:rsidRPr="0022453B">
        <w:t xml:space="preserve">ОПУБЛІКОВАНИХ </w:t>
      </w:r>
      <w:r w:rsidR="00AC335E" w:rsidRPr="0022453B">
        <w:t>ПРАЦЬ ЗА ТЕМОЮ ДИСЕРТАЦІЇ</w:t>
      </w:r>
    </w:p>
    <w:p w:rsidR="004868FD" w:rsidRPr="002637DB" w:rsidRDefault="004868FD" w:rsidP="00D36EA2">
      <w:pPr>
        <w:pStyle w:val="arefZag"/>
        <w:spacing w:before="120" w:after="240"/>
      </w:pPr>
      <w:r w:rsidRPr="002637DB">
        <w:t>Наукові праці, в яких опубліковані основні наукові результати дисертації:</w:t>
      </w:r>
    </w:p>
    <w:p w:rsidR="004868FD" w:rsidRPr="0068604C" w:rsidRDefault="004868FD" w:rsidP="00CD5061">
      <w:pPr>
        <w:pStyle w:val="atextSpisLit"/>
        <w:numPr>
          <w:ilvl w:val="0"/>
          <w:numId w:val="22"/>
        </w:numPr>
        <w:spacing w:after="120" w:line="252" w:lineRule="auto"/>
        <w:ind w:left="709" w:hanging="357"/>
        <w:rPr>
          <w:lang w:val="uk-UA"/>
        </w:rPr>
      </w:pPr>
      <w:r w:rsidRPr="0068604C">
        <w:t>Ерёменко</w:t>
      </w:r>
      <w:r w:rsidRPr="0068604C">
        <w:rPr>
          <w:lang w:val="uk-UA"/>
        </w:rPr>
        <w:t xml:space="preserve"> </w:t>
      </w:r>
      <w:r w:rsidRPr="0068604C">
        <w:t>Г</w:t>
      </w:r>
      <w:r>
        <w:t>.</w:t>
      </w:r>
      <w:r w:rsidRPr="0068604C">
        <w:t>В</w:t>
      </w:r>
      <w:r>
        <w:t>.</w:t>
      </w:r>
      <w:r w:rsidRPr="0068604C">
        <w:rPr>
          <w:lang w:val="uk-UA"/>
        </w:rPr>
        <w:t>,</w:t>
      </w:r>
      <w:r w:rsidRPr="0068604C">
        <w:t xml:space="preserve"> Бездетко Т</w:t>
      </w:r>
      <w:r>
        <w:t>.</w:t>
      </w:r>
      <w:r w:rsidRPr="0068604C">
        <w:t>В</w:t>
      </w:r>
      <w:r>
        <w:t>.</w:t>
      </w:r>
      <w:r w:rsidRPr="0068604C">
        <w:t>, Новикова И</w:t>
      </w:r>
      <w:r>
        <w:t>.</w:t>
      </w:r>
      <w:r w:rsidRPr="0068604C">
        <w:t>В</w:t>
      </w:r>
      <w:r>
        <w:t>.</w:t>
      </w:r>
      <w:r w:rsidRPr="0068604C">
        <w:t>, Мижирицкая Т</w:t>
      </w:r>
      <w:r>
        <w:t>.</w:t>
      </w:r>
      <w:r w:rsidRPr="0068604C">
        <w:t>В</w:t>
      </w:r>
      <w:r>
        <w:t>.</w:t>
      </w:r>
      <w:r w:rsidRPr="0068604C">
        <w:t>, Ходус</w:t>
      </w:r>
      <w:r>
        <w:t> </w:t>
      </w:r>
      <w:r w:rsidRPr="0068604C">
        <w:t>С</w:t>
      </w:r>
      <w:r>
        <w:t>. </w:t>
      </w:r>
      <w:r w:rsidRPr="0068604C">
        <w:t xml:space="preserve">А. Результаты исследования аллергенспецифических </w:t>
      </w:r>
      <w:r w:rsidRPr="0068604C">
        <w:rPr>
          <w:lang w:val="en-US"/>
        </w:rPr>
        <w:t>IgE</w:t>
      </w:r>
      <w:r w:rsidRPr="0068604C">
        <w:t xml:space="preserve"> антител с</w:t>
      </w:r>
      <w:r>
        <w:t> </w:t>
      </w:r>
      <w:r w:rsidRPr="0068604C">
        <w:t xml:space="preserve">использованием тест-систем ООО «УКРМЕД-ДОН». </w:t>
      </w:r>
      <w:r w:rsidRPr="00924510">
        <w:rPr>
          <w:i/>
        </w:rPr>
        <w:t>Лабораторна діагностика</w:t>
      </w:r>
      <w:r w:rsidRPr="0068604C">
        <w:t>. 2014; 1(67): 17</w:t>
      </w:r>
      <w:r>
        <w:t>–</w:t>
      </w:r>
      <w:r w:rsidRPr="0068604C">
        <w:t>22.</w:t>
      </w:r>
      <w:r w:rsidRPr="0068604C">
        <w:rPr>
          <w:lang w:val="uk-UA"/>
        </w:rPr>
        <w:t xml:space="preserve"> </w:t>
      </w:r>
      <w:r w:rsidRPr="0068604C">
        <w:rPr>
          <w:i/>
          <w:lang w:val="uk-UA"/>
        </w:rPr>
        <w:t>(</w:t>
      </w:r>
      <w:r w:rsidRPr="0068604C">
        <w:rPr>
          <w:bCs/>
          <w:i/>
          <w:lang w:val="uk-UA"/>
        </w:rPr>
        <w:t>Здобувачем проведено збір матеріалу, проаналізовано частоту вия</w:t>
      </w:r>
      <w:r w:rsidR="008D561F">
        <w:rPr>
          <w:bCs/>
          <w:i/>
          <w:lang w:val="uk-UA"/>
        </w:rPr>
        <w:t>влення недіагностованої алер</w:t>
      </w:r>
      <w:r w:rsidRPr="0068604C">
        <w:rPr>
          <w:bCs/>
          <w:i/>
          <w:lang w:val="uk-UA"/>
        </w:rPr>
        <w:t>гічної реакції у хворих на</w:t>
      </w:r>
      <w:r>
        <w:rPr>
          <w:bCs/>
          <w:i/>
          <w:lang w:val="uk-UA"/>
        </w:rPr>
        <w:t> </w:t>
      </w:r>
      <w:r w:rsidRPr="0068604C">
        <w:rPr>
          <w:bCs/>
          <w:i/>
          <w:lang w:val="uk-UA"/>
        </w:rPr>
        <w:t>бронхіальну астму, проведено анкетування, оформлення статті до друку</w:t>
      </w:r>
      <w:r w:rsidRPr="0068604C">
        <w:rPr>
          <w:i/>
          <w:lang w:val="uk-UA"/>
        </w:rPr>
        <w:t>).</w:t>
      </w:r>
    </w:p>
    <w:p w:rsidR="004868FD" w:rsidRPr="0068604C" w:rsidRDefault="004868FD" w:rsidP="00CD5061">
      <w:pPr>
        <w:pStyle w:val="atextSpisLit"/>
        <w:numPr>
          <w:ilvl w:val="0"/>
          <w:numId w:val="22"/>
        </w:numPr>
        <w:spacing w:after="120" w:line="252" w:lineRule="auto"/>
        <w:ind w:left="709" w:hanging="357"/>
      </w:pPr>
      <w:r w:rsidRPr="0068604C">
        <w:t>Ерёменко</w:t>
      </w:r>
      <w:r w:rsidRPr="0068604C">
        <w:rPr>
          <w:lang w:val="uk-UA"/>
        </w:rPr>
        <w:t xml:space="preserve"> </w:t>
      </w:r>
      <w:r w:rsidRPr="0068604C">
        <w:t>Г</w:t>
      </w:r>
      <w:r>
        <w:t>.</w:t>
      </w:r>
      <w:r w:rsidRPr="0068604C">
        <w:t>В. Особенности течения бронхиальной астмы у больных с</w:t>
      </w:r>
      <w:r>
        <w:t> </w:t>
      </w:r>
      <w:r w:rsidRPr="0068604C">
        <w:t>сопутствующим сахарным диабетом</w:t>
      </w:r>
      <w:r w:rsidRPr="0068604C">
        <w:rPr>
          <w:lang w:val="uk-UA"/>
        </w:rPr>
        <w:t>.</w:t>
      </w:r>
      <w:r w:rsidRPr="0068604C">
        <w:t xml:space="preserve"> </w:t>
      </w:r>
      <w:r w:rsidRPr="00B134A8">
        <w:rPr>
          <w:bCs/>
          <w:i/>
        </w:rPr>
        <w:t>Проблемы эндокринной патологии</w:t>
      </w:r>
      <w:r w:rsidRPr="0068604C">
        <w:rPr>
          <w:bCs/>
        </w:rPr>
        <w:t>. 2015</w:t>
      </w:r>
      <w:r w:rsidRPr="0068604C">
        <w:rPr>
          <w:bCs/>
          <w:lang w:val="uk-UA"/>
        </w:rPr>
        <w:t xml:space="preserve">; </w:t>
      </w:r>
      <w:r w:rsidRPr="0068604C">
        <w:rPr>
          <w:bCs/>
        </w:rPr>
        <w:t>2</w:t>
      </w:r>
      <w:r>
        <w:rPr>
          <w:bCs/>
          <w:lang w:val="uk-UA"/>
        </w:rPr>
        <w:t>:</w:t>
      </w:r>
      <w:r w:rsidRPr="0068604C">
        <w:rPr>
          <w:bCs/>
        </w:rPr>
        <w:t>22</w:t>
      </w:r>
      <w:r>
        <w:rPr>
          <w:bCs/>
          <w:lang w:val="uk-UA"/>
        </w:rPr>
        <w:t>–</w:t>
      </w:r>
      <w:r w:rsidRPr="0068604C">
        <w:rPr>
          <w:bCs/>
        </w:rPr>
        <w:t>27.</w:t>
      </w:r>
    </w:p>
    <w:p w:rsidR="004868FD" w:rsidRPr="0068604C" w:rsidRDefault="004868FD" w:rsidP="00CD5061">
      <w:pPr>
        <w:pStyle w:val="atextSpisLit"/>
        <w:numPr>
          <w:ilvl w:val="0"/>
          <w:numId w:val="22"/>
        </w:numPr>
        <w:spacing w:after="120" w:line="252" w:lineRule="auto"/>
        <w:ind w:left="709" w:hanging="357"/>
        <w:rPr>
          <w:lang w:val="en-US"/>
        </w:rPr>
      </w:pPr>
      <w:r w:rsidRPr="0068604C">
        <w:rPr>
          <w:lang w:val="en-US"/>
        </w:rPr>
        <w:t>Yeryomenko G</w:t>
      </w:r>
      <w:r w:rsidRPr="00547E73">
        <w:rPr>
          <w:lang w:val="en-US"/>
        </w:rPr>
        <w:t>.</w:t>
      </w:r>
      <w:r w:rsidRPr="0068604C">
        <w:rPr>
          <w:lang w:val="en-US"/>
        </w:rPr>
        <w:t xml:space="preserve">V. Peculiarities of asthma in patients with concomitant obesity. </w:t>
      </w:r>
      <w:r w:rsidRPr="00B134A8">
        <w:rPr>
          <w:i/>
          <w:lang w:val="en-US"/>
        </w:rPr>
        <w:t>The Tenth International Conference on Biology and Medical Sciences</w:t>
      </w:r>
      <w:r w:rsidRPr="0068604C">
        <w:rPr>
          <w:lang w:val="en-US"/>
        </w:rPr>
        <w:t xml:space="preserve"> </w:t>
      </w:r>
      <w:r w:rsidR="00B134A8">
        <w:rPr>
          <w:lang w:val="en-US"/>
        </w:rPr>
        <w:t>(</w:t>
      </w:r>
      <w:r w:rsidR="00B134A8" w:rsidRPr="0068604C">
        <w:rPr>
          <w:lang w:val="en-US"/>
        </w:rPr>
        <w:t>Vienna</w:t>
      </w:r>
      <w:r w:rsidR="00B134A8">
        <w:rPr>
          <w:lang w:val="uk-UA"/>
        </w:rPr>
        <w:t>,</w:t>
      </w:r>
      <w:r w:rsidR="00B134A8" w:rsidRPr="0068604C">
        <w:rPr>
          <w:lang w:val="en-US"/>
        </w:rPr>
        <w:t xml:space="preserve"> </w:t>
      </w:r>
      <w:r w:rsidRPr="0068604C">
        <w:rPr>
          <w:lang w:val="en-US"/>
        </w:rPr>
        <w:t>5</w:t>
      </w:r>
      <w:r w:rsidRPr="0068604C">
        <w:rPr>
          <w:vertAlign w:val="superscript"/>
          <w:lang w:val="en-US"/>
        </w:rPr>
        <w:t>th</w:t>
      </w:r>
      <w:r w:rsidRPr="0068604C">
        <w:rPr>
          <w:lang w:val="en-US"/>
        </w:rPr>
        <w:t xml:space="preserve"> June 2016</w:t>
      </w:r>
      <w:r w:rsidR="00B134A8">
        <w:rPr>
          <w:lang w:val="uk-UA"/>
        </w:rPr>
        <w:t>)</w:t>
      </w:r>
      <w:r w:rsidRPr="0068604C">
        <w:rPr>
          <w:lang w:val="en-US"/>
        </w:rPr>
        <w:t>. Vienna; 2016</w:t>
      </w:r>
      <w:r w:rsidR="00B134A8">
        <w:rPr>
          <w:lang w:val="uk-UA"/>
        </w:rPr>
        <w:t>.</w:t>
      </w:r>
      <w:r w:rsidRPr="0068604C">
        <w:rPr>
          <w:lang w:val="en-US"/>
        </w:rPr>
        <w:t xml:space="preserve"> </w:t>
      </w:r>
      <w:r w:rsidR="00B134A8" w:rsidRPr="0068604C">
        <w:rPr>
          <w:lang w:val="en-US"/>
        </w:rPr>
        <w:t>P</w:t>
      </w:r>
      <w:r w:rsidRPr="0068604C">
        <w:rPr>
          <w:lang w:val="en-US"/>
        </w:rPr>
        <w:t>. 13</w:t>
      </w:r>
      <w:r>
        <w:t>–</w:t>
      </w:r>
      <w:r w:rsidRPr="0068604C">
        <w:rPr>
          <w:lang w:val="en-US"/>
        </w:rPr>
        <w:t>18.</w:t>
      </w:r>
    </w:p>
    <w:p w:rsidR="004868FD" w:rsidRPr="00BB71E7" w:rsidRDefault="004868FD" w:rsidP="00CD5061">
      <w:pPr>
        <w:pStyle w:val="atextSpisLit"/>
        <w:numPr>
          <w:ilvl w:val="0"/>
          <w:numId w:val="22"/>
        </w:numPr>
        <w:spacing w:after="120" w:line="252" w:lineRule="auto"/>
        <w:ind w:left="709" w:hanging="357"/>
        <w:rPr>
          <w:lang w:val="en-US"/>
        </w:rPr>
      </w:pPr>
      <w:r w:rsidRPr="0068604C">
        <w:rPr>
          <w:lang w:val="en-US"/>
        </w:rPr>
        <w:t>Yeryomenko G</w:t>
      </w:r>
      <w:r w:rsidRPr="00547E73">
        <w:rPr>
          <w:lang w:val="en-US"/>
        </w:rPr>
        <w:t>.</w:t>
      </w:r>
      <w:r w:rsidRPr="0068604C">
        <w:rPr>
          <w:lang w:val="en-US"/>
        </w:rPr>
        <w:t xml:space="preserve">V. Role of diabetes mellitus type 2 and obesity in the progression of airflow obstruction in patients with asthma. In: The Eleventh International Conference </w:t>
      </w:r>
      <w:r w:rsidR="00B134A8">
        <w:rPr>
          <w:lang w:val="en-US"/>
        </w:rPr>
        <w:t>on Biology and Medical Sciences</w:t>
      </w:r>
      <w:r w:rsidRPr="0068604C">
        <w:rPr>
          <w:lang w:val="en-US"/>
        </w:rPr>
        <w:t xml:space="preserve"> </w:t>
      </w:r>
      <w:r w:rsidR="00B134A8">
        <w:rPr>
          <w:lang w:val="uk-UA"/>
        </w:rPr>
        <w:t>(</w:t>
      </w:r>
      <w:r w:rsidR="00B134A8" w:rsidRPr="0068604C">
        <w:rPr>
          <w:lang w:val="en-US"/>
        </w:rPr>
        <w:t>Vienna</w:t>
      </w:r>
      <w:r w:rsidR="00B134A8">
        <w:rPr>
          <w:lang w:val="uk-UA"/>
        </w:rPr>
        <w:t>,</w:t>
      </w:r>
      <w:r w:rsidR="00B134A8" w:rsidRPr="0068604C">
        <w:rPr>
          <w:lang w:val="en-US"/>
        </w:rPr>
        <w:t xml:space="preserve"> </w:t>
      </w:r>
      <w:r w:rsidRPr="0068604C">
        <w:rPr>
          <w:lang w:val="en-US"/>
        </w:rPr>
        <w:t>5</w:t>
      </w:r>
      <w:r w:rsidRPr="0068604C">
        <w:rPr>
          <w:vertAlign w:val="superscript"/>
          <w:lang w:val="en-US"/>
        </w:rPr>
        <w:t>th</w:t>
      </w:r>
      <w:r w:rsidRPr="0068604C">
        <w:rPr>
          <w:lang w:val="en-US"/>
        </w:rPr>
        <w:t>September 2016</w:t>
      </w:r>
      <w:r w:rsidR="00B134A8">
        <w:rPr>
          <w:lang w:val="uk-UA"/>
        </w:rPr>
        <w:t>)</w:t>
      </w:r>
      <w:r w:rsidRPr="0068604C">
        <w:rPr>
          <w:lang w:val="en-US"/>
        </w:rPr>
        <w:t>. Vienna</w:t>
      </w:r>
      <w:r w:rsidR="00B134A8">
        <w:rPr>
          <w:lang w:val="uk-UA"/>
        </w:rPr>
        <w:t>,</w:t>
      </w:r>
      <w:r w:rsidRPr="0068604C">
        <w:rPr>
          <w:lang w:val="en-US"/>
        </w:rPr>
        <w:t xml:space="preserve"> 2016</w:t>
      </w:r>
      <w:r w:rsidR="00B134A8">
        <w:rPr>
          <w:lang w:val="uk-UA"/>
        </w:rPr>
        <w:t>.</w:t>
      </w:r>
      <w:r w:rsidRPr="0068604C">
        <w:rPr>
          <w:lang w:val="en-US"/>
        </w:rPr>
        <w:t xml:space="preserve"> </w:t>
      </w:r>
      <w:r w:rsidR="00B134A8" w:rsidRPr="0068604C">
        <w:rPr>
          <w:lang w:val="en-US"/>
        </w:rPr>
        <w:t>P</w:t>
      </w:r>
      <w:r w:rsidRPr="0068604C">
        <w:rPr>
          <w:lang w:val="en-US"/>
        </w:rPr>
        <w:t>. 7</w:t>
      </w:r>
      <w:r>
        <w:t>–</w:t>
      </w:r>
      <w:r w:rsidRPr="0068604C">
        <w:rPr>
          <w:lang w:val="en-US"/>
        </w:rPr>
        <w:t>14.</w:t>
      </w:r>
    </w:p>
    <w:p w:rsidR="004868FD" w:rsidRPr="0068604C" w:rsidRDefault="004868FD" w:rsidP="00CD5061">
      <w:pPr>
        <w:pStyle w:val="atextSpisLit"/>
        <w:numPr>
          <w:ilvl w:val="0"/>
          <w:numId w:val="22"/>
        </w:numPr>
        <w:spacing w:after="120" w:line="252" w:lineRule="auto"/>
        <w:ind w:left="709" w:hanging="357"/>
      </w:pPr>
      <w:r w:rsidRPr="0068604C">
        <w:t>Ерёменко</w:t>
      </w:r>
      <w:r w:rsidRPr="0068604C">
        <w:rPr>
          <w:lang w:val="uk-UA"/>
        </w:rPr>
        <w:t xml:space="preserve"> </w:t>
      </w:r>
      <w:r w:rsidRPr="0068604C">
        <w:t>Г</w:t>
      </w:r>
      <w:r>
        <w:t>.</w:t>
      </w:r>
      <w:r w:rsidRPr="0068604C">
        <w:t>В</w:t>
      </w:r>
      <w:r>
        <w:t>.</w:t>
      </w:r>
      <w:r w:rsidRPr="0068604C">
        <w:rPr>
          <w:lang w:val="uk-UA"/>
        </w:rPr>
        <w:t>,</w:t>
      </w:r>
      <w:r w:rsidRPr="0068604C">
        <w:t xml:space="preserve"> Бездетко Т</w:t>
      </w:r>
      <w:r>
        <w:t>.</w:t>
      </w:r>
      <w:r w:rsidRPr="0068604C">
        <w:t>В</w:t>
      </w:r>
      <w:r>
        <w:t>.</w:t>
      </w:r>
      <w:r w:rsidRPr="0068604C">
        <w:t>, Оспанова Т</w:t>
      </w:r>
      <w:r>
        <w:t>.</w:t>
      </w:r>
      <w:r w:rsidRPr="0068604C">
        <w:t xml:space="preserve">С. Порушення функції нирок у хворих на бронхіальну астму в поєднанні з цукровим діабетом 2-го типу. </w:t>
      </w:r>
      <w:r w:rsidRPr="00CE1CA7">
        <w:rPr>
          <w:i/>
        </w:rPr>
        <w:t>Сучасні аспекти військової медицини</w:t>
      </w:r>
      <w:r w:rsidRPr="0068604C">
        <w:t>. 2016; 23: 112</w:t>
      </w:r>
      <w:r>
        <w:t>–</w:t>
      </w:r>
      <w:r w:rsidRPr="0068604C">
        <w:t xml:space="preserve">117. </w:t>
      </w:r>
      <w:r w:rsidRPr="0068604C">
        <w:rPr>
          <w:i/>
        </w:rPr>
        <w:t>(</w:t>
      </w:r>
      <w:r w:rsidRPr="0068604C">
        <w:rPr>
          <w:bCs/>
          <w:i/>
        </w:rPr>
        <w:t xml:space="preserve">Здобувачем проведено збір матеріалу, </w:t>
      </w:r>
      <w:r w:rsidRPr="0068604C">
        <w:rPr>
          <w:bCs/>
          <w:i/>
          <w:lang w:val="uk-UA"/>
        </w:rPr>
        <w:t>проаналізовано частоту виявлення порушень функції нирок у</w:t>
      </w:r>
      <w:r>
        <w:rPr>
          <w:bCs/>
          <w:i/>
          <w:lang w:val="uk-UA"/>
        </w:rPr>
        <w:t> </w:t>
      </w:r>
      <w:r w:rsidRPr="0068604C">
        <w:rPr>
          <w:bCs/>
          <w:i/>
          <w:lang w:val="uk-UA"/>
        </w:rPr>
        <w:t xml:space="preserve"> хворих на бронхіальну астму в поєднанні з цукровим діабетом 2</w:t>
      </w:r>
      <w:r>
        <w:rPr>
          <w:bCs/>
          <w:i/>
          <w:lang w:val="uk-UA"/>
        </w:rPr>
        <w:t> </w:t>
      </w:r>
      <w:r w:rsidRPr="0068604C">
        <w:rPr>
          <w:bCs/>
          <w:i/>
          <w:lang w:val="uk-UA"/>
        </w:rPr>
        <w:t>типу</w:t>
      </w:r>
      <w:r w:rsidRPr="0068604C">
        <w:rPr>
          <w:bCs/>
          <w:i/>
        </w:rPr>
        <w:t>, оформлен</w:t>
      </w:r>
      <w:r w:rsidRPr="0068604C">
        <w:rPr>
          <w:bCs/>
          <w:i/>
          <w:lang w:val="uk-UA"/>
        </w:rPr>
        <w:t>ня</w:t>
      </w:r>
      <w:r w:rsidRPr="0068604C">
        <w:rPr>
          <w:bCs/>
          <w:i/>
        </w:rPr>
        <w:t xml:space="preserve"> статт</w:t>
      </w:r>
      <w:r w:rsidRPr="0068604C">
        <w:rPr>
          <w:bCs/>
          <w:i/>
          <w:lang w:val="uk-UA"/>
        </w:rPr>
        <w:t>і</w:t>
      </w:r>
      <w:r w:rsidRPr="0068604C">
        <w:rPr>
          <w:bCs/>
          <w:i/>
        </w:rPr>
        <w:t xml:space="preserve"> до друку</w:t>
      </w:r>
      <w:r w:rsidRPr="0068604C">
        <w:rPr>
          <w:i/>
        </w:rPr>
        <w:t>)</w:t>
      </w:r>
      <w:r w:rsidRPr="0068604C">
        <w:rPr>
          <w:i/>
          <w:lang w:val="uk-UA"/>
        </w:rPr>
        <w:t>.</w:t>
      </w:r>
    </w:p>
    <w:p w:rsidR="004868FD" w:rsidRPr="0068604C" w:rsidRDefault="004868FD" w:rsidP="00CD5061">
      <w:pPr>
        <w:pStyle w:val="atextSpisLit"/>
        <w:numPr>
          <w:ilvl w:val="0"/>
          <w:numId w:val="22"/>
        </w:numPr>
        <w:spacing w:after="120" w:line="252" w:lineRule="auto"/>
        <w:ind w:left="709" w:hanging="357"/>
      </w:pPr>
      <w:r w:rsidRPr="0068604C">
        <w:t>Єрьоменко Г</w:t>
      </w:r>
      <w:r>
        <w:t>.</w:t>
      </w:r>
      <w:r w:rsidRPr="0068604C">
        <w:t>В. Вплив ожиріння та інсул</w:t>
      </w:r>
      <w:r w:rsidRPr="0068604C">
        <w:rPr>
          <w:lang w:val="uk-UA"/>
        </w:rPr>
        <w:t>і</w:t>
      </w:r>
      <w:r w:rsidRPr="0068604C">
        <w:t>норезистентності на перебіг бронхіальної астми</w:t>
      </w:r>
      <w:r w:rsidRPr="0068604C">
        <w:rPr>
          <w:lang w:val="uk-UA"/>
        </w:rPr>
        <w:t>.</w:t>
      </w:r>
      <w:r w:rsidRPr="0068604C">
        <w:t xml:space="preserve"> </w:t>
      </w:r>
      <w:r w:rsidRPr="00CE1CA7">
        <w:rPr>
          <w:i/>
        </w:rPr>
        <w:t>Запорожский медицинский журнал</w:t>
      </w:r>
      <w:r w:rsidRPr="0068604C">
        <w:t>. 2017; 19(5): 577</w:t>
      </w:r>
      <w:r>
        <w:t>–</w:t>
      </w:r>
      <w:r w:rsidRPr="0068604C">
        <w:t xml:space="preserve">580. </w:t>
      </w:r>
    </w:p>
    <w:p w:rsidR="004868FD" w:rsidRPr="0068604C" w:rsidRDefault="004868FD" w:rsidP="00CD5061">
      <w:pPr>
        <w:pStyle w:val="atextSpisLit"/>
        <w:numPr>
          <w:ilvl w:val="0"/>
          <w:numId w:val="22"/>
        </w:numPr>
        <w:spacing w:after="120" w:line="252" w:lineRule="auto"/>
        <w:ind w:left="709" w:hanging="357"/>
      </w:pPr>
      <w:r w:rsidRPr="0068604C">
        <w:t>Єрьоменко</w:t>
      </w:r>
      <w:r>
        <w:rPr>
          <w:lang w:val="uk-UA"/>
        </w:rPr>
        <w:t> </w:t>
      </w:r>
      <w:r w:rsidRPr="0068604C">
        <w:t>Г</w:t>
      </w:r>
      <w:r>
        <w:t>.</w:t>
      </w:r>
      <w:r w:rsidRPr="0068604C">
        <w:t>В. Механізми формування імунного запалення при бронхіальній астмі, сполученій з метаболічно значущими станами: ожирінням або цукровим діабетом 2 типу</w:t>
      </w:r>
      <w:r w:rsidRPr="0068604C">
        <w:rPr>
          <w:lang w:val="uk-UA"/>
        </w:rPr>
        <w:t xml:space="preserve">. </w:t>
      </w:r>
      <w:r w:rsidRPr="00CE1CA7">
        <w:rPr>
          <w:i/>
        </w:rPr>
        <w:t>Український</w:t>
      </w:r>
      <w:r w:rsidRPr="00CE1CA7">
        <w:rPr>
          <w:i/>
          <w:lang w:val="uk-UA"/>
        </w:rPr>
        <w:t xml:space="preserve"> </w:t>
      </w:r>
      <w:r w:rsidRPr="00CE1CA7">
        <w:rPr>
          <w:i/>
        </w:rPr>
        <w:t>журнал</w:t>
      </w:r>
      <w:r w:rsidRPr="00CE1CA7">
        <w:rPr>
          <w:i/>
          <w:lang w:val="uk-UA"/>
        </w:rPr>
        <w:t xml:space="preserve"> </w:t>
      </w:r>
      <w:r w:rsidRPr="00CE1CA7">
        <w:rPr>
          <w:i/>
        </w:rPr>
        <w:t>медицини</w:t>
      </w:r>
      <w:r w:rsidRPr="00CE1CA7">
        <w:rPr>
          <w:i/>
          <w:lang w:val="uk-UA"/>
        </w:rPr>
        <w:t xml:space="preserve">, </w:t>
      </w:r>
      <w:r w:rsidRPr="00CE1CA7">
        <w:rPr>
          <w:i/>
        </w:rPr>
        <w:t>біології</w:t>
      </w:r>
      <w:r w:rsidRPr="00CE1CA7">
        <w:rPr>
          <w:i/>
          <w:lang w:val="uk-UA"/>
        </w:rPr>
        <w:t xml:space="preserve"> </w:t>
      </w:r>
      <w:r w:rsidRPr="00CE1CA7">
        <w:rPr>
          <w:i/>
        </w:rPr>
        <w:t>та</w:t>
      </w:r>
      <w:r w:rsidRPr="00CE1CA7">
        <w:rPr>
          <w:i/>
          <w:lang w:val="uk-UA"/>
        </w:rPr>
        <w:t xml:space="preserve"> </w:t>
      </w:r>
      <w:r w:rsidRPr="00CE1CA7">
        <w:rPr>
          <w:i/>
        </w:rPr>
        <w:t>спорту</w:t>
      </w:r>
      <w:r w:rsidRPr="0068604C">
        <w:t>.</w:t>
      </w:r>
      <w:r w:rsidRPr="0068604C">
        <w:rPr>
          <w:lang w:val="uk-UA"/>
        </w:rPr>
        <w:t xml:space="preserve"> </w:t>
      </w:r>
      <w:r w:rsidRPr="0068604C">
        <w:t>2017</w:t>
      </w:r>
      <w:r w:rsidRPr="0068604C">
        <w:rPr>
          <w:lang w:val="uk-UA"/>
        </w:rPr>
        <w:t xml:space="preserve">; </w:t>
      </w:r>
      <w:r w:rsidRPr="0068604C">
        <w:t>3</w:t>
      </w:r>
      <w:r w:rsidRPr="0068604C">
        <w:rPr>
          <w:lang w:val="uk-UA"/>
        </w:rPr>
        <w:t>:</w:t>
      </w:r>
      <w:r w:rsidRPr="0068604C">
        <w:t xml:space="preserve"> 48</w:t>
      </w:r>
      <w:r>
        <w:rPr>
          <w:lang w:val="uk-UA"/>
        </w:rPr>
        <w:t>–</w:t>
      </w:r>
      <w:r w:rsidRPr="0068604C">
        <w:t>54</w:t>
      </w:r>
      <w:r w:rsidRPr="0068604C">
        <w:rPr>
          <w:lang w:val="uk-UA"/>
        </w:rPr>
        <w:t>.</w:t>
      </w:r>
    </w:p>
    <w:p w:rsidR="004868FD" w:rsidRPr="0068604C" w:rsidRDefault="004868FD" w:rsidP="00CD5061">
      <w:pPr>
        <w:pStyle w:val="atextSpisLit"/>
        <w:numPr>
          <w:ilvl w:val="0"/>
          <w:numId w:val="22"/>
        </w:numPr>
        <w:spacing w:after="120" w:line="252" w:lineRule="auto"/>
        <w:ind w:left="709" w:hanging="357"/>
      </w:pPr>
      <w:r w:rsidRPr="00924510">
        <w:rPr>
          <w:szCs w:val="28"/>
        </w:rPr>
        <w:t>Ерёменко Г.В</w:t>
      </w:r>
      <w:r w:rsidRPr="0068604C">
        <w:t xml:space="preserve">. </w:t>
      </w:r>
      <w:r w:rsidRPr="0068604C">
        <w:rPr>
          <w:szCs w:val="28"/>
        </w:rPr>
        <w:t xml:space="preserve">Особенности иммунного статуса при бронхиальной астме, сочетанной с ожирением или в ассоциации с сахарным диабетом ІІ типа. </w:t>
      </w:r>
      <w:r w:rsidRPr="00924510">
        <w:rPr>
          <w:i/>
          <w:szCs w:val="28"/>
          <w:lang w:val="uk-UA"/>
        </w:rPr>
        <w:t>Вісник Української медичної стоматологічної академії «</w:t>
      </w:r>
      <w:r w:rsidRPr="00924510">
        <w:rPr>
          <w:i/>
          <w:szCs w:val="28"/>
        </w:rPr>
        <w:t>Актуальні проблеми сучасної медицини</w:t>
      </w:r>
      <w:r w:rsidRPr="00924510">
        <w:rPr>
          <w:i/>
          <w:szCs w:val="28"/>
          <w:lang w:val="uk-UA"/>
        </w:rPr>
        <w:t>»</w:t>
      </w:r>
      <w:r w:rsidRPr="0068604C">
        <w:rPr>
          <w:szCs w:val="28"/>
        </w:rPr>
        <w:t>. 2017; 4(60): 107</w:t>
      </w:r>
      <w:r w:rsidR="00B134A8">
        <w:rPr>
          <w:szCs w:val="28"/>
          <w:lang w:val="uk-UA"/>
        </w:rPr>
        <w:t>–</w:t>
      </w:r>
      <w:r w:rsidRPr="0068604C">
        <w:rPr>
          <w:szCs w:val="28"/>
        </w:rPr>
        <w:t>111.</w:t>
      </w:r>
    </w:p>
    <w:p w:rsidR="004868FD" w:rsidRPr="00170F12" w:rsidRDefault="004868FD" w:rsidP="00CD5061">
      <w:pPr>
        <w:pStyle w:val="atextSpisLit"/>
        <w:numPr>
          <w:ilvl w:val="0"/>
          <w:numId w:val="22"/>
        </w:numPr>
        <w:spacing w:after="120" w:line="252" w:lineRule="auto"/>
        <w:ind w:left="709" w:hanging="357"/>
        <w:rPr>
          <w:lang w:val="en-US"/>
        </w:rPr>
      </w:pPr>
      <w:r w:rsidRPr="00547E73">
        <w:rPr>
          <w:lang w:val="en-US"/>
        </w:rPr>
        <w:lastRenderedPageBreak/>
        <w:t xml:space="preserve">Yeryomenko G., Ospanova T., Bezditko T., Vysotska O. </w:t>
      </w:r>
      <w:r w:rsidRPr="0068604C">
        <w:t>Т</w:t>
      </w:r>
      <w:r w:rsidRPr="00547E73">
        <w:rPr>
          <w:lang w:val="en-US"/>
        </w:rPr>
        <w:t xml:space="preserve">he role of fractalkine in the development of inflammation in patients with asthma combined with diabetes mellitus type 2 and obesity. </w:t>
      </w:r>
      <w:r w:rsidRPr="00170F12">
        <w:rPr>
          <w:i/>
          <w:lang w:val="en-US"/>
        </w:rPr>
        <w:t>Regional Innovations MEDICAL SCIENCE</w:t>
      </w:r>
      <w:r w:rsidRPr="00170F12">
        <w:rPr>
          <w:lang w:val="en-US"/>
        </w:rPr>
        <w:t xml:space="preserve">. 2017; 4: 46–52. </w:t>
      </w:r>
      <w:r w:rsidRPr="00170F12">
        <w:rPr>
          <w:i/>
          <w:lang w:val="en-US"/>
        </w:rPr>
        <w:t>(</w:t>
      </w:r>
      <w:r w:rsidRPr="0068604C">
        <w:rPr>
          <w:i/>
        </w:rPr>
        <w:t>Здобувачем</w:t>
      </w:r>
      <w:r w:rsidRPr="00170F12">
        <w:rPr>
          <w:i/>
          <w:lang w:val="en-US"/>
        </w:rPr>
        <w:t xml:space="preserve"> </w:t>
      </w:r>
      <w:r w:rsidRPr="0068604C">
        <w:rPr>
          <w:i/>
        </w:rPr>
        <w:t>проведено</w:t>
      </w:r>
      <w:r w:rsidRPr="00170F12">
        <w:rPr>
          <w:i/>
          <w:lang w:val="en-US"/>
        </w:rPr>
        <w:t xml:space="preserve"> </w:t>
      </w:r>
      <w:r w:rsidRPr="0068604C">
        <w:rPr>
          <w:i/>
        </w:rPr>
        <w:t>пошук</w:t>
      </w:r>
      <w:r w:rsidRPr="00170F12">
        <w:rPr>
          <w:i/>
          <w:lang w:val="en-US"/>
        </w:rPr>
        <w:t xml:space="preserve"> </w:t>
      </w:r>
      <w:r w:rsidRPr="0068604C">
        <w:rPr>
          <w:i/>
        </w:rPr>
        <w:t>та</w:t>
      </w:r>
      <w:r w:rsidRPr="00170F12">
        <w:rPr>
          <w:i/>
          <w:lang w:val="en-US"/>
        </w:rPr>
        <w:t xml:space="preserve"> </w:t>
      </w:r>
      <w:r w:rsidRPr="0068604C">
        <w:rPr>
          <w:i/>
        </w:rPr>
        <w:t>аналіз</w:t>
      </w:r>
      <w:r w:rsidRPr="00170F12">
        <w:rPr>
          <w:i/>
          <w:lang w:val="en-US"/>
        </w:rPr>
        <w:t xml:space="preserve"> </w:t>
      </w:r>
      <w:r w:rsidRPr="0068604C">
        <w:rPr>
          <w:i/>
        </w:rPr>
        <w:t>літератури</w:t>
      </w:r>
      <w:r w:rsidRPr="00170F12">
        <w:rPr>
          <w:i/>
          <w:lang w:val="en-US"/>
        </w:rPr>
        <w:t xml:space="preserve">, </w:t>
      </w:r>
      <w:r w:rsidRPr="0068604C">
        <w:rPr>
          <w:i/>
        </w:rPr>
        <w:t>клінічне</w:t>
      </w:r>
      <w:r w:rsidRPr="00170F12">
        <w:rPr>
          <w:i/>
          <w:lang w:val="en-US"/>
        </w:rPr>
        <w:t xml:space="preserve"> </w:t>
      </w:r>
      <w:r w:rsidRPr="0068604C">
        <w:rPr>
          <w:i/>
        </w:rPr>
        <w:t>обстеження</w:t>
      </w:r>
      <w:r w:rsidRPr="00170F12">
        <w:rPr>
          <w:i/>
          <w:lang w:val="en-US"/>
        </w:rPr>
        <w:t xml:space="preserve"> </w:t>
      </w:r>
      <w:r w:rsidRPr="0068604C">
        <w:rPr>
          <w:i/>
        </w:rPr>
        <w:t>хворих</w:t>
      </w:r>
      <w:r w:rsidRPr="00170F12">
        <w:rPr>
          <w:i/>
          <w:lang w:val="en-US"/>
        </w:rPr>
        <w:t xml:space="preserve"> </w:t>
      </w:r>
      <w:r w:rsidRPr="0068604C">
        <w:rPr>
          <w:i/>
        </w:rPr>
        <w:t>на</w:t>
      </w:r>
      <w:r w:rsidRPr="00170F12">
        <w:rPr>
          <w:i/>
          <w:lang w:val="en-US"/>
        </w:rPr>
        <w:t xml:space="preserve"> </w:t>
      </w:r>
      <w:r w:rsidRPr="0068604C">
        <w:rPr>
          <w:i/>
        </w:rPr>
        <w:t>бронхіальну</w:t>
      </w:r>
      <w:r w:rsidRPr="00170F12">
        <w:rPr>
          <w:i/>
          <w:lang w:val="en-US"/>
        </w:rPr>
        <w:t xml:space="preserve"> </w:t>
      </w:r>
      <w:r w:rsidRPr="0068604C">
        <w:rPr>
          <w:i/>
        </w:rPr>
        <w:t>астму</w:t>
      </w:r>
      <w:r w:rsidRPr="00170F12">
        <w:rPr>
          <w:i/>
          <w:lang w:val="en-US"/>
        </w:rPr>
        <w:t xml:space="preserve"> </w:t>
      </w:r>
      <w:r w:rsidRPr="0068604C">
        <w:rPr>
          <w:i/>
        </w:rPr>
        <w:t>в</w:t>
      </w:r>
      <w:r w:rsidRPr="00170F12">
        <w:rPr>
          <w:i/>
          <w:lang w:val="en-US"/>
        </w:rPr>
        <w:t xml:space="preserve"> </w:t>
      </w:r>
      <w:r w:rsidRPr="0068604C">
        <w:rPr>
          <w:i/>
        </w:rPr>
        <w:t>поєднанні</w:t>
      </w:r>
      <w:r w:rsidRPr="00170F12">
        <w:rPr>
          <w:i/>
          <w:lang w:val="en-US"/>
        </w:rPr>
        <w:t xml:space="preserve"> </w:t>
      </w:r>
      <w:r w:rsidRPr="0068604C">
        <w:rPr>
          <w:i/>
        </w:rPr>
        <w:t>з</w:t>
      </w:r>
      <w:r w:rsidRPr="00170F12">
        <w:rPr>
          <w:i/>
          <w:lang w:val="en-US"/>
        </w:rPr>
        <w:t xml:space="preserve"> </w:t>
      </w:r>
      <w:r w:rsidRPr="0068604C">
        <w:rPr>
          <w:i/>
        </w:rPr>
        <w:t>цукровим</w:t>
      </w:r>
      <w:r w:rsidRPr="00170F12">
        <w:rPr>
          <w:i/>
          <w:lang w:val="en-US"/>
        </w:rPr>
        <w:t xml:space="preserve"> </w:t>
      </w:r>
      <w:r w:rsidRPr="0068604C">
        <w:rPr>
          <w:i/>
        </w:rPr>
        <w:t>діабетом</w:t>
      </w:r>
      <w:r w:rsidRPr="00170F12">
        <w:rPr>
          <w:i/>
          <w:lang w:val="en-US"/>
        </w:rPr>
        <w:t xml:space="preserve"> 2 </w:t>
      </w:r>
      <w:r w:rsidRPr="0068604C">
        <w:rPr>
          <w:i/>
        </w:rPr>
        <w:t>типу</w:t>
      </w:r>
      <w:r w:rsidRPr="00170F12">
        <w:rPr>
          <w:i/>
          <w:lang w:val="en-US"/>
        </w:rPr>
        <w:t xml:space="preserve"> </w:t>
      </w:r>
      <w:r w:rsidRPr="0068604C">
        <w:rPr>
          <w:i/>
        </w:rPr>
        <w:t>й</w:t>
      </w:r>
      <w:r w:rsidRPr="00170F12">
        <w:rPr>
          <w:i/>
          <w:lang w:val="en-US"/>
        </w:rPr>
        <w:t xml:space="preserve"> </w:t>
      </w:r>
      <w:r w:rsidRPr="0068604C">
        <w:rPr>
          <w:i/>
        </w:rPr>
        <w:t>ожирінням</w:t>
      </w:r>
      <w:r w:rsidRPr="00170F12">
        <w:rPr>
          <w:i/>
          <w:lang w:val="en-US"/>
        </w:rPr>
        <w:t xml:space="preserve">, </w:t>
      </w:r>
      <w:r w:rsidRPr="0068604C">
        <w:rPr>
          <w:i/>
        </w:rPr>
        <w:t>аналіз</w:t>
      </w:r>
      <w:r w:rsidRPr="00170F12">
        <w:rPr>
          <w:i/>
          <w:lang w:val="en-US"/>
        </w:rPr>
        <w:t xml:space="preserve"> </w:t>
      </w:r>
      <w:r w:rsidRPr="0068604C">
        <w:rPr>
          <w:i/>
        </w:rPr>
        <w:t>ФЗД</w:t>
      </w:r>
      <w:r w:rsidRPr="00170F12">
        <w:rPr>
          <w:i/>
          <w:lang w:val="en-US"/>
        </w:rPr>
        <w:t xml:space="preserve">, </w:t>
      </w:r>
      <w:r w:rsidRPr="0068604C">
        <w:rPr>
          <w:i/>
        </w:rPr>
        <w:t>написання</w:t>
      </w:r>
      <w:r w:rsidRPr="00170F12">
        <w:rPr>
          <w:i/>
          <w:lang w:val="en-US"/>
        </w:rPr>
        <w:t xml:space="preserve"> </w:t>
      </w:r>
      <w:r w:rsidRPr="0068604C">
        <w:rPr>
          <w:i/>
        </w:rPr>
        <w:t>статті</w:t>
      </w:r>
      <w:r w:rsidRPr="00170F12">
        <w:rPr>
          <w:i/>
          <w:lang w:val="en-US"/>
        </w:rPr>
        <w:t>).</w:t>
      </w:r>
    </w:p>
    <w:p w:rsidR="004868FD" w:rsidRPr="0068604C" w:rsidRDefault="004868FD" w:rsidP="00CD5061">
      <w:pPr>
        <w:pStyle w:val="atextSpisLit"/>
        <w:numPr>
          <w:ilvl w:val="0"/>
          <w:numId w:val="22"/>
        </w:numPr>
        <w:spacing w:after="120" w:line="252" w:lineRule="auto"/>
        <w:ind w:left="709" w:hanging="357"/>
        <w:rPr>
          <w:lang w:val="uk-UA"/>
        </w:rPr>
      </w:pPr>
      <w:r w:rsidRPr="0068604C">
        <w:rPr>
          <w:lang w:val="en-US"/>
        </w:rPr>
        <w:t>Yeryomenko</w:t>
      </w:r>
      <w:r w:rsidRPr="00A2473E">
        <w:rPr>
          <w:lang w:val="uk-UA"/>
        </w:rPr>
        <w:t xml:space="preserve"> </w:t>
      </w:r>
      <w:r w:rsidRPr="0068604C">
        <w:rPr>
          <w:lang w:val="en-US"/>
        </w:rPr>
        <w:t>G</w:t>
      </w:r>
      <w:r w:rsidRPr="00547E73">
        <w:rPr>
          <w:lang w:val="en-US"/>
        </w:rPr>
        <w:t>.</w:t>
      </w:r>
      <w:r w:rsidRPr="0068604C">
        <w:rPr>
          <w:lang w:val="en-US"/>
        </w:rPr>
        <w:t>V</w:t>
      </w:r>
      <w:r w:rsidRPr="00547E73">
        <w:rPr>
          <w:lang w:val="en-US"/>
        </w:rPr>
        <w:t>.</w:t>
      </w:r>
      <w:r w:rsidRPr="00A2473E">
        <w:rPr>
          <w:lang w:val="uk-UA"/>
        </w:rPr>
        <w:t xml:space="preserve">, </w:t>
      </w:r>
      <w:r w:rsidRPr="0068604C">
        <w:rPr>
          <w:lang w:val="en-US"/>
        </w:rPr>
        <w:t>Ospanova</w:t>
      </w:r>
      <w:r w:rsidRPr="00A2473E">
        <w:rPr>
          <w:lang w:val="uk-UA"/>
        </w:rPr>
        <w:t xml:space="preserve"> </w:t>
      </w:r>
      <w:r w:rsidRPr="0068604C">
        <w:rPr>
          <w:lang w:val="en-US"/>
        </w:rPr>
        <w:t>T</w:t>
      </w:r>
      <w:r w:rsidRPr="00547E73">
        <w:rPr>
          <w:lang w:val="en-US"/>
        </w:rPr>
        <w:t>.</w:t>
      </w:r>
      <w:r w:rsidRPr="0068604C">
        <w:rPr>
          <w:lang w:val="en-US"/>
        </w:rPr>
        <w:t>S</w:t>
      </w:r>
      <w:r w:rsidRPr="00547E73">
        <w:rPr>
          <w:lang w:val="en-US"/>
        </w:rPr>
        <w:t>.</w:t>
      </w:r>
      <w:r w:rsidRPr="00A2473E">
        <w:rPr>
          <w:lang w:val="uk-UA"/>
        </w:rPr>
        <w:t xml:space="preserve">, </w:t>
      </w:r>
      <w:r w:rsidRPr="0068604C">
        <w:rPr>
          <w:lang w:val="en-US"/>
        </w:rPr>
        <w:t>Khimich</w:t>
      </w:r>
      <w:r w:rsidRPr="00A2473E">
        <w:rPr>
          <w:lang w:val="uk-UA"/>
        </w:rPr>
        <w:t xml:space="preserve"> </w:t>
      </w:r>
      <w:r w:rsidRPr="0068604C">
        <w:rPr>
          <w:lang w:val="en-US"/>
        </w:rPr>
        <w:t>T</w:t>
      </w:r>
      <w:r w:rsidRPr="00547E73">
        <w:rPr>
          <w:lang w:val="en-US"/>
        </w:rPr>
        <w:t>.</w:t>
      </w:r>
      <w:r w:rsidRPr="0068604C">
        <w:rPr>
          <w:lang w:val="en-US"/>
        </w:rPr>
        <w:t>U</w:t>
      </w:r>
      <w:r w:rsidRPr="00547E73">
        <w:rPr>
          <w:lang w:val="en-US"/>
        </w:rPr>
        <w:t>.</w:t>
      </w:r>
      <w:r w:rsidRPr="00A2473E">
        <w:rPr>
          <w:lang w:val="uk-UA"/>
        </w:rPr>
        <w:t xml:space="preserve">, </w:t>
      </w:r>
      <w:r w:rsidRPr="0068604C">
        <w:rPr>
          <w:lang w:val="en-US"/>
        </w:rPr>
        <w:t>Bezditko</w:t>
      </w:r>
      <w:r w:rsidRPr="00A2473E">
        <w:rPr>
          <w:lang w:val="uk-UA"/>
        </w:rPr>
        <w:t xml:space="preserve"> </w:t>
      </w:r>
      <w:r w:rsidRPr="0068604C">
        <w:rPr>
          <w:lang w:val="en-US"/>
        </w:rPr>
        <w:t>T</w:t>
      </w:r>
      <w:r w:rsidRPr="00547E73">
        <w:rPr>
          <w:lang w:val="en-US"/>
        </w:rPr>
        <w:t>.</w:t>
      </w:r>
      <w:r w:rsidRPr="0068604C">
        <w:rPr>
          <w:lang w:val="en-US"/>
        </w:rPr>
        <w:t>V</w:t>
      </w:r>
      <w:r w:rsidRPr="00547E73">
        <w:rPr>
          <w:lang w:val="en-US"/>
        </w:rPr>
        <w:t>.</w:t>
      </w:r>
      <w:r w:rsidRPr="00A2473E">
        <w:rPr>
          <w:lang w:val="uk-UA"/>
        </w:rPr>
        <w:t xml:space="preserve">, </w:t>
      </w:r>
      <w:r w:rsidRPr="0068604C">
        <w:rPr>
          <w:lang w:val="en-US"/>
        </w:rPr>
        <w:t>Bolokadze</w:t>
      </w:r>
      <w:r w:rsidRPr="00A2473E">
        <w:rPr>
          <w:lang w:val="uk-UA"/>
        </w:rPr>
        <w:t xml:space="preserve"> </w:t>
      </w:r>
      <w:r w:rsidRPr="0068604C">
        <w:rPr>
          <w:lang w:val="en-US"/>
        </w:rPr>
        <w:t>E</w:t>
      </w:r>
      <w:r w:rsidRPr="00547E73">
        <w:rPr>
          <w:lang w:val="en-US"/>
        </w:rPr>
        <w:t>.</w:t>
      </w:r>
      <w:r w:rsidRPr="0068604C">
        <w:rPr>
          <w:lang w:val="en-US"/>
        </w:rPr>
        <w:t>O</w:t>
      </w:r>
      <w:r w:rsidRPr="00547E73">
        <w:rPr>
          <w:lang w:val="en-US"/>
        </w:rPr>
        <w:t>.</w:t>
      </w:r>
      <w:r w:rsidRPr="00A2473E">
        <w:rPr>
          <w:lang w:val="uk-UA"/>
        </w:rPr>
        <w:t xml:space="preserve">, </w:t>
      </w:r>
      <w:r w:rsidRPr="0068604C">
        <w:rPr>
          <w:lang w:val="en-US"/>
        </w:rPr>
        <w:t>Mizhiritskaya</w:t>
      </w:r>
      <w:r w:rsidRPr="00A2473E">
        <w:rPr>
          <w:lang w:val="uk-UA"/>
        </w:rPr>
        <w:t xml:space="preserve"> </w:t>
      </w:r>
      <w:r w:rsidRPr="0068604C">
        <w:rPr>
          <w:lang w:val="en-US"/>
        </w:rPr>
        <w:t>T</w:t>
      </w:r>
      <w:r w:rsidRPr="00547E73">
        <w:rPr>
          <w:lang w:val="en-US"/>
        </w:rPr>
        <w:t>.</w:t>
      </w:r>
      <w:r w:rsidRPr="0068604C">
        <w:rPr>
          <w:lang w:val="en-US"/>
        </w:rPr>
        <w:t>V</w:t>
      </w:r>
      <w:r w:rsidRPr="00A2473E">
        <w:rPr>
          <w:lang w:val="uk-UA"/>
        </w:rPr>
        <w:t xml:space="preserve">. </w:t>
      </w:r>
      <w:r w:rsidRPr="0068604C">
        <w:rPr>
          <w:lang w:val="en-US"/>
        </w:rPr>
        <w:t xml:space="preserve">State of Humoral Immunity in patients with asthma combined with obesity. </w:t>
      </w:r>
      <w:r w:rsidRPr="00B134A8">
        <w:rPr>
          <w:i/>
          <w:lang w:val="en-US"/>
        </w:rPr>
        <w:t>Intercollegas</w:t>
      </w:r>
      <w:r w:rsidRPr="0068604C">
        <w:rPr>
          <w:lang w:val="en-US"/>
        </w:rPr>
        <w:t>. 2017; 4: 123</w:t>
      </w:r>
      <w:r w:rsidRPr="00547E73">
        <w:rPr>
          <w:lang w:val="en-US"/>
        </w:rPr>
        <w:t>–</w:t>
      </w:r>
      <w:r w:rsidRPr="0068604C">
        <w:rPr>
          <w:lang w:val="en-US"/>
        </w:rPr>
        <w:t>127.</w:t>
      </w:r>
      <w:r w:rsidRPr="0068604C">
        <w:rPr>
          <w:lang w:val="uk-UA"/>
        </w:rPr>
        <w:t xml:space="preserve"> </w:t>
      </w:r>
      <w:r w:rsidRPr="0068604C">
        <w:rPr>
          <w:i/>
          <w:lang w:val="uk-UA"/>
        </w:rPr>
        <w:t>(</w:t>
      </w:r>
      <w:r w:rsidRPr="0068604C">
        <w:rPr>
          <w:bCs/>
          <w:i/>
          <w:lang w:val="uk-UA"/>
        </w:rPr>
        <w:t>Особисто здобувачем проведено обстеження пацієнтів, оцінку порушень імунологічних показників в</w:t>
      </w:r>
      <w:r w:rsidR="00A06383">
        <w:rPr>
          <w:bCs/>
          <w:i/>
          <w:lang w:val="uk-UA"/>
        </w:rPr>
        <w:t xml:space="preserve"> </w:t>
      </w:r>
      <w:r w:rsidRPr="0068604C">
        <w:rPr>
          <w:bCs/>
          <w:i/>
          <w:lang w:val="uk-UA"/>
        </w:rPr>
        <w:t>осіб із поєднаною патологією, оформлення статті до друку</w:t>
      </w:r>
      <w:r w:rsidRPr="0068604C">
        <w:rPr>
          <w:i/>
          <w:lang w:val="uk-UA"/>
        </w:rPr>
        <w:t>).</w:t>
      </w:r>
    </w:p>
    <w:p w:rsidR="004868FD" w:rsidRPr="0068604C" w:rsidRDefault="004868FD" w:rsidP="00CD5061">
      <w:pPr>
        <w:pStyle w:val="atextSpisLit"/>
        <w:numPr>
          <w:ilvl w:val="0"/>
          <w:numId w:val="22"/>
        </w:numPr>
        <w:spacing w:after="120" w:line="252" w:lineRule="auto"/>
        <w:ind w:left="709" w:hanging="357"/>
      </w:pPr>
      <w:r w:rsidRPr="0068604C">
        <w:rPr>
          <w:lang w:val="en-US"/>
        </w:rPr>
        <w:t xml:space="preserve">Yeryomenko G. The state of immune homeostasis in patients with comorbid course of asthma, obesity and diabetes mellitus type 2. </w:t>
      </w:r>
      <w:r w:rsidRPr="00CE1CA7">
        <w:rPr>
          <w:i/>
        </w:rPr>
        <w:t>Астма та алергія</w:t>
      </w:r>
      <w:r w:rsidRPr="0068604C">
        <w:t>. 2017; 4: 15</w:t>
      </w:r>
      <w:r>
        <w:t>–</w:t>
      </w:r>
      <w:r w:rsidRPr="0068604C">
        <w:t>19.</w:t>
      </w:r>
    </w:p>
    <w:p w:rsidR="004868FD" w:rsidRPr="0068604C" w:rsidRDefault="004868FD" w:rsidP="00CD5061">
      <w:pPr>
        <w:pStyle w:val="atextSpisLit"/>
        <w:numPr>
          <w:ilvl w:val="0"/>
          <w:numId w:val="22"/>
        </w:numPr>
        <w:spacing w:after="120" w:line="252" w:lineRule="auto"/>
        <w:ind w:left="709" w:hanging="357"/>
        <w:rPr>
          <w:bCs/>
          <w:lang w:val="en-US"/>
        </w:rPr>
      </w:pPr>
      <w:r w:rsidRPr="002637DB">
        <w:rPr>
          <w:spacing w:val="-2"/>
          <w:lang w:val="en-US"/>
        </w:rPr>
        <w:t xml:space="preserve">Yeryomenko G. The role of fractalkine and monocyte chemoattractant protein-1 in the progression of asthma. </w:t>
      </w:r>
      <w:r w:rsidRPr="00B134A8">
        <w:rPr>
          <w:i/>
          <w:spacing w:val="-2"/>
        </w:rPr>
        <w:t>Georgian Medicаl News</w:t>
      </w:r>
      <w:r w:rsidRPr="002637DB">
        <w:rPr>
          <w:spacing w:val="-2"/>
        </w:rPr>
        <w:t>. 2018; 1(274): 125–129</w:t>
      </w:r>
      <w:r w:rsidRPr="0068604C">
        <w:rPr>
          <w:lang w:val="en-US"/>
        </w:rPr>
        <w:t>.</w:t>
      </w:r>
    </w:p>
    <w:p w:rsidR="004868FD" w:rsidRPr="000C6261" w:rsidRDefault="004868FD" w:rsidP="00CD5061">
      <w:pPr>
        <w:pStyle w:val="atextSpisLit"/>
        <w:numPr>
          <w:ilvl w:val="0"/>
          <w:numId w:val="22"/>
        </w:numPr>
        <w:spacing w:after="120" w:line="252" w:lineRule="auto"/>
        <w:ind w:left="709" w:hanging="357"/>
      </w:pPr>
      <w:r w:rsidRPr="000C6261">
        <w:rPr>
          <w:lang w:val="en-US"/>
        </w:rPr>
        <w:t xml:space="preserve">Yeryomenko G. The dependence of the endothelial function on comorbid states in patients with asthma. </w:t>
      </w:r>
      <w:r w:rsidRPr="00B134A8">
        <w:rPr>
          <w:i/>
          <w:lang w:val="en-US"/>
        </w:rPr>
        <w:t>Wiadomosci Lekarskie</w:t>
      </w:r>
      <w:r w:rsidRPr="000C6261">
        <w:rPr>
          <w:lang w:val="en-US"/>
        </w:rPr>
        <w:t>. 2018; 2, cz</w:t>
      </w:r>
      <w:r w:rsidR="00B134A8">
        <w:rPr>
          <w:lang w:val="uk-UA"/>
        </w:rPr>
        <w:t>.</w:t>
      </w:r>
      <w:r w:rsidRPr="000C6261">
        <w:rPr>
          <w:lang w:val="en-US"/>
        </w:rPr>
        <w:t xml:space="preserve"> I: 329</w:t>
      </w:r>
      <w:r>
        <w:t>–</w:t>
      </w:r>
      <w:r w:rsidRPr="000C6261">
        <w:rPr>
          <w:lang w:val="en-US"/>
        </w:rPr>
        <w:t xml:space="preserve">332. </w:t>
      </w:r>
    </w:p>
    <w:p w:rsidR="004868FD" w:rsidRPr="000C6261" w:rsidRDefault="004868FD" w:rsidP="00CD5061">
      <w:pPr>
        <w:pStyle w:val="atextSpisLit"/>
        <w:numPr>
          <w:ilvl w:val="0"/>
          <w:numId w:val="22"/>
        </w:numPr>
        <w:spacing w:after="120" w:line="252" w:lineRule="auto"/>
        <w:ind w:left="709" w:hanging="357"/>
      </w:pPr>
      <w:r w:rsidRPr="000C6261">
        <w:t>Єрьоменко Г</w:t>
      </w:r>
      <w:r>
        <w:t>.</w:t>
      </w:r>
      <w:r w:rsidRPr="000C6261">
        <w:t xml:space="preserve">В. Клініко-патогенетичні особливості цукрового діабету 2-го типу у хворих на бронхіальну астму. </w:t>
      </w:r>
      <w:r w:rsidRPr="00B134A8">
        <w:rPr>
          <w:i/>
        </w:rPr>
        <w:t>Астма та алергія</w:t>
      </w:r>
      <w:r w:rsidRPr="000C6261">
        <w:t>. 2018; 1: 15</w:t>
      </w:r>
      <w:r>
        <w:t>–</w:t>
      </w:r>
      <w:r w:rsidRPr="000C6261">
        <w:t>19.</w:t>
      </w:r>
    </w:p>
    <w:p w:rsidR="004868FD" w:rsidRPr="0068604C" w:rsidRDefault="004868FD" w:rsidP="00CD5061">
      <w:pPr>
        <w:pStyle w:val="atextSpisLit"/>
        <w:numPr>
          <w:ilvl w:val="0"/>
          <w:numId w:val="22"/>
        </w:numPr>
        <w:spacing w:after="120" w:line="252" w:lineRule="auto"/>
        <w:ind w:left="709" w:hanging="357"/>
        <w:rPr>
          <w:lang w:val="uk-UA"/>
        </w:rPr>
      </w:pPr>
      <w:r w:rsidRPr="0068604C">
        <w:rPr>
          <w:lang w:val="en-US"/>
        </w:rPr>
        <w:t>Yeryomenko</w:t>
      </w:r>
      <w:r w:rsidRPr="0068604C">
        <w:rPr>
          <w:lang w:val="uk-UA"/>
        </w:rPr>
        <w:t xml:space="preserve"> </w:t>
      </w:r>
      <w:r w:rsidRPr="0068604C">
        <w:rPr>
          <w:lang w:val="en-US"/>
        </w:rPr>
        <w:t>G</w:t>
      </w:r>
      <w:r w:rsidRPr="00547E73">
        <w:rPr>
          <w:lang w:val="en-US"/>
        </w:rPr>
        <w:t>.</w:t>
      </w:r>
      <w:r w:rsidRPr="0068604C">
        <w:rPr>
          <w:lang w:val="uk-UA"/>
        </w:rPr>
        <w:t xml:space="preserve">, </w:t>
      </w:r>
      <w:r w:rsidRPr="0068604C">
        <w:rPr>
          <w:lang w:val="en-US"/>
        </w:rPr>
        <w:t>Bezditko T</w:t>
      </w:r>
      <w:r w:rsidR="00B134A8" w:rsidRPr="00547E73">
        <w:rPr>
          <w:lang w:val="en-US"/>
        </w:rPr>
        <w:t>.</w:t>
      </w:r>
      <w:r w:rsidRPr="0068604C">
        <w:rPr>
          <w:lang w:val="en-US"/>
        </w:rPr>
        <w:t>V. The</w:t>
      </w:r>
      <w:r w:rsidRPr="0068604C">
        <w:rPr>
          <w:lang w:val="uk-UA"/>
        </w:rPr>
        <w:t xml:space="preserve"> </w:t>
      </w:r>
      <w:r w:rsidRPr="0068604C">
        <w:rPr>
          <w:lang w:val="en-US"/>
        </w:rPr>
        <w:t>treatment</w:t>
      </w:r>
      <w:r w:rsidRPr="0068604C">
        <w:rPr>
          <w:lang w:val="uk-UA"/>
        </w:rPr>
        <w:t xml:space="preserve"> </w:t>
      </w:r>
      <w:r w:rsidRPr="0068604C">
        <w:rPr>
          <w:lang w:val="en-US"/>
        </w:rPr>
        <w:t>of</w:t>
      </w:r>
      <w:r w:rsidRPr="0068604C">
        <w:rPr>
          <w:lang w:val="uk-UA"/>
        </w:rPr>
        <w:t xml:space="preserve"> </w:t>
      </w:r>
      <w:r w:rsidRPr="0068604C">
        <w:rPr>
          <w:lang w:val="en-US"/>
        </w:rPr>
        <w:t>patients</w:t>
      </w:r>
      <w:r w:rsidRPr="0068604C">
        <w:rPr>
          <w:lang w:val="uk-UA"/>
        </w:rPr>
        <w:t xml:space="preserve"> </w:t>
      </w:r>
      <w:r w:rsidRPr="0068604C">
        <w:rPr>
          <w:lang w:val="en-US"/>
        </w:rPr>
        <w:t>with</w:t>
      </w:r>
      <w:r w:rsidRPr="0068604C">
        <w:rPr>
          <w:lang w:val="uk-UA"/>
        </w:rPr>
        <w:t xml:space="preserve"> </w:t>
      </w:r>
      <w:r w:rsidRPr="0068604C">
        <w:rPr>
          <w:lang w:val="en-US"/>
        </w:rPr>
        <w:t>asthma</w:t>
      </w:r>
      <w:r w:rsidRPr="0068604C">
        <w:rPr>
          <w:lang w:val="uk-UA"/>
        </w:rPr>
        <w:t xml:space="preserve"> </w:t>
      </w:r>
      <w:r w:rsidRPr="0068604C">
        <w:rPr>
          <w:lang w:val="en-US"/>
        </w:rPr>
        <w:t>and</w:t>
      </w:r>
      <w:r w:rsidRPr="0068604C">
        <w:rPr>
          <w:lang w:val="uk-UA"/>
        </w:rPr>
        <w:t xml:space="preserve"> </w:t>
      </w:r>
      <w:r w:rsidRPr="0068604C">
        <w:rPr>
          <w:lang w:val="en-US"/>
        </w:rPr>
        <w:t>comorbidity</w:t>
      </w:r>
      <w:r w:rsidRPr="0068604C">
        <w:rPr>
          <w:lang w:val="uk-UA"/>
        </w:rPr>
        <w:t xml:space="preserve">. Медичні перспективи. 2018; ХХІІІ(1), </w:t>
      </w:r>
      <w:r w:rsidRPr="0068604C">
        <w:rPr>
          <w:lang w:val="en-US"/>
        </w:rPr>
        <w:t>is</w:t>
      </w:r>
      <w:r w:rsidRPr="0068604C">
        <w:rPr>
          <w:lang w:val="uk-UA"/>
        </w:rPr>
        <w:t>. 1: 50</w:t>
      </w:r>
      <w:r>
        <w:rPr>
          <w:lang w:val="uk-UA"/>
        </w:rPr>
        <w:t>–</w:t>
      </w:r>
      <w:r w:rsidRPr="0068604C">
        <w:rPr>
          <w:lang w:val="uk-UA"/>
        </w:rPr>
        <w:t xml:space="preserve">59. </w:t>
      </w:r>
      <w:r w:rsidRPr="0068604C">
        <w:rPr>
          <w:i/>
          <w:lang w:val="uk-UA"/>
        </w:rPr>
        <w:t>(</w:t>
      </w:r>
      <w:r w:rsidR="00242E92">
        <w:rPr>
          <w:bCs/>
          <w:i/>
          <w:lang w:val="uk-UA"/>
        </w:rPr>
        <w:t>З</w:t>
      </w:r>
      <w:r w:rsidRPr="002637DB">
        <w:rPr>
          <w:bCs/>
          <w:i/>
          <w:lang w:val="uk-UA"/>
        </w:rPr>
        <w:t>добувачем</w:t>
      </w:r>
      <w:r w:rsidRPr="002637DB">
        <w:rPr>
          <w:i/>
          <w:lang w:val="uk-UA"/>
        </w:rPr>
        <w:t xml:space="preserve"> проведено пошук та аналіз літератури,</w:t>
      </w:r>
      <w:r w:rsidRPr="002637DB">
        <w:rPr>
          <w:bCs/>
          <w:i/>
          <w:lang w:val="uk-UA"/>
        </w:rPr>
        <w:t xml:space="preserve"> здійснено відбір хворих, проведено обстеження пацієнтів упродовж лікування, контроль стану хворих і досліджуваних показників, оцінку результатів лікування, оформлення статті до друку</w:t>
      </w:r>
      <w:r w:rsidRPr="0068604C">
        <w:rPr>
          <w:i/>
          <w:lang w:val="uk-UA"/>
        </w:rPr>
        <w:t>).</w:t>
      </w:r>
    </w:p>
    <w:p w:rsidR="004868FD" w:rsidRPr="00BB71E7" w:rsidRDefault="004868FD" w:rsidP="00CD5061">
      <w:pPr>
        <w:pStyle w:val="atextSpisLit"/>
        <w:numPr>
          <w:ilvl w:val="0"/>
          <w:numId w:val="22"/>
        </w:numPr>
        <w:spacing w:after="120" w:line="252" w:lineRule="auto"/>
        <w:ind w:left="709" w:hanging="357"/>
        <w:rPr>
          <w:lang w:val="en-US"/>
        </w:rPr>
      </w:pPr>
      <w:r w:rsidRPr="0068604C">
        <w:rPr>
          <w:lang w:val="en-US"/>
        </w:rPr>
        <w:t xml:space="preserve">Yeryomenko G. Peculiarities of asthma and insulin resistance depending on the types of obesity. </w:t>
      </w:r>
      <w:r w:rsidRPr="00B134A8">
        <w:rPr>
          <w:i/>
          <w:lang w:val="en-US"/>
        </w:rPr>
        <w:t>Український журнал медицини, біології та спорту</w:t>
      </w:r>
      <w:r w:rsidRPr="0068604C">
        <w:rPr>
          <w:lang w:val="en-US"/>
        </w:rPr>
        <w:t>. 2018; 4</w:t>
      </w:r>
      <w:r>
        <w:rPr>
          <w:lang w:val="uk-UA"/>
        </w:rPr>
        <w:t xml:space="preserve"> </w:t>
      </w:r>
      <w:r w:rsidRPr="0068604C">
        <w:rPr>
          <w:lang w:val="en-US"/>
        </w:rPr>
        <w:t>(13): 73</w:t>
      </w:r>
      <w:r>
        <w:t>–</w:t>
      </w:r>
      <w:r w:rsidRPr="0068604C">
        <w:rPr>
          <w:lang w:val="en-US"/>
        </w:rPr>
        <w:t>77.</w:t>
      </w:r>
    </w:p>
    <w:p w:rsidR="004868FD" w:rsidRPr="00BB71E7" w:rsidRDefault="004868FD" w:rsidP="00CD5061">
      <w:pPr>
        <w:pStyle w:val="atextSpisLit"/>
        <w:numPr>
          <w:ilvl w:val="0"/>
          <w:numId w:val="22"/>
        </w:numPr>
        <w:spacing w:after="120" w:line="252" w:lineRule="auto"/>
        <w:ind w:left="709" w:hanging="357"/>
        <w:rPr>
          <w:rFonts w:eastAsia="TimesNewRomanPS-BoldMT"/>
          <w:bCs/>
          <w:lang w:val="uk-UA"/>
        </w:rPr>
      </w:pPr>
      <w:r w:rsidRPr="0068604C">
        <w:rPr>
          <w:bCs/>
        </w:rPr>
        <w:t>Єрьоменко</w:t>
      </w:r>
      <w:r w:rsidRPr="00547E73">
        <w:rPr>
          <w:bCs/>
          <w:lang w:val="en-US"/>
        </w:rPr>
        <w:t> </w:t>
      </w:r>
      <w:r w:rsidRPr="0068604C">
        <w:rPr>
          <w:bCs/>
        </w:rPr>
        <w:t>Г</w:t>
      </w:r>
      <w:r w:rsidRPr="00547E73">
        <w:rPr>
          <w:bCs/>
          <w:lang w:val="en-US"/>
        </w:rPr>
        <w:t>.</w:t>
      </w:r>
      <w:r w:rsidRPr="0068604C">
        <w:rPr>
          <w:bCs/>
        </w:rPr>
        <w:t>В</w:t>
      </w:r>
      <w:r w:rsidRPr="00547E73">
        <w:rPr>
          <w:bCs/>
          <w:lang w:val="en-US"/>
        </w:rPr>
        <w:t xml:space="preserve">, </w:t>
      </w:r>
      <w:r w:rsidRPr="0068604C">
        <w:rPr>
          <w:bCs/>
        </w:rPr>
        <w:t>Оспанова</w:t>
      </w:r>
      <w:r w:rsidRPr="00547E73">
        <w:rPr>
          <w:bCs/>
          <w:lang w:val="en-US"/>
        </w:rPr>
        <w:t> </w:t>
      </w:r>
      <w:r w:rsidRPr="0068604C">
        <w:rPr>
          <w:bCs/>
        </w:rPr>
        <w:t>Т</w:t>
      </w:r>
      <w:r w:rsidRPr="00547E73">
        <w:rPr>
          <w:bCs/>
          <w:lang w:val="en-US"/>
        </w:rPr>
        <w:t>.</w:t>
      </w:r>
      <w:r w:rsidRPr="0068604C">
        <w:rPr>
          <w:bCs/>
        </w:rPr>
        <w:t>В</w:t>
      </w:r>
      <w:r w:rsidRPr="00547E73">
        <w:rPr>
          <w:bCs/>
          <w:lang w:val="en-US"/>
        </w:rPr>
        <w:t xml:space="preserve">, </w:t>
      </w:r>
      <w:r w:rsidRPr="0068604C">
        <w:rPr>
          <w:bCs/>
        </w:rPr>
        <w:t>Безд</w:t>
      </w:r>
      <w:r>
        <w:rPr>
          <w:bCs/>
          <w:lang w:val="uk-UA"/>
        </w:rPr>
        <w:t>і</w:t>
      </w:r>
      <w:r w:rsidRPr="0068604C">
        <w:rPr>
          <w:bCs/>
        </w:rPr>
        <w:t>тко</w:t>
      </w:r>
      <w:r w:rsidRPr="00547E73">
        <w:rPr>
          <w:bCs/>
          <w:lang w:val="en-US"/>
        </w:rPr>
        <w:t> </w:t>
      </w:r>
      <w:r w:rsidRPr="0068604C">
        <w:rPr>
          <w:bCs/>
        </w:rPr>
        <w:t>Т</w:t>
      </w:r>
      <w:r w:rsidRPr="00547E73">
        <w:rPr>
          <w:bCs/>
          <w:lang w:val="en-US"/>
        </w:rPr>
        <w:t>.</w:t>
      </w:r>
      <w:r w:rsidRPr="0068604C">
        <w:rPr>
          <w:bCs/>
        </w:rPr>
        <w:t>В</w:t>
      </w:r>
      <w:r w:rsidRPr="00547E73">
        <w:rPr>
          <w:bCs/>
          <w:lang w:val="en-US"/>
        </w:rPr>
        <w:t xml:space="preserve">. </w:t>
      </w:r>
      <w:r w:rsidRPr="0068604C">
        <w:rPr>
          <w:bCs/>
        </w:rPr>
        <w:t>Особливості</w:t>
      </w:r>
      <w:r w:rsidRPr="00547E73">
        <w:rPr>
          <w:bCs/>
          <w:lang w:val="en-US"/>
        </w:rPr>
        <w:t xml:space="preserve"> </w:t>
      </w:r>
      <w:r w:rsidRPr="0068604C">
        <w:rPr>
          <w:bCs/>
        </w:rPr>
        <w:t>профібротичних</w:t>
      </w:r>
      <w:r w:rsidRPr="00547E73">
        <w:rPr>
          <w:bCs/>
          <w:lang w:val="en-US"/>
        </w:rPr>
        <w:t xml:space="preserve"> </w:t>
      </w:r>
      <w:r w:rsidRPr="0068604C">
        <w:rPr>
          <w:bCs/>
        </w:rPr>
        <w:t>маркерів</w:t>
      </w:r>
      <w:r w:rsidRPr="00547E73">
        <w:rPr>
          <w:bCs/>
          <w:lang w:val="en-US"/>
        </w:rPr>
        <w:t xml:space="preserve"> </w:t>
      </w:r>
      <w:r w:rsidRPr="0068604C">
        <w:rPr>
          <w:bCs/>
        </w:rPr>
        <w:t>та</w:t>
      </w:r>
      <w:r w:rsidRPr="00547E73">
        <w:rPr>
          <w:bCs/>
          <w:lang w:val="en-US"/>
        </w:rPr>
        <w:t xml:space="preserve"> </w:t>
      </w:r>
      <w:r w:rsidRPr="0068604C">
        <w:rPr>
          <w:bCs/>
        </w:rPr>
        <w:t>ендотеліальної</w:t>
      </w:r>
      <w:r w:rsidRPr="00547E73">
        <w:rPr>
          <w:bCs/>
          <w:lang w:val="en-US"/>
        </w:rPr>
        <w:t xml:space="preserve"> </w:t>
      </w:r>
      <w:r w:rsidRPr="0068604C">
        <w:rPr>
          <w:bCs/>
        </w:rPr>
        <w:t>дисфункції</w:t>
      </w:r>
      <w:r w:rsidRPr="00547E73">
        <w:rPr>
          <w:bCs/>
          <w:lang w:val="en-US"/>
        </w:rPr>
        <w:t xml:space="preserve"> </w:t>
      </w:r>
      <w:r w:rsidRPr="0068604C">
        <w:rPr>
          <w:bCs/>
        </w:rPr>
        <w:t>у</w:t>
      </w:r>
      <w:r w:rsidRPr="00547E73">
        <w:rPr>
          <w:bCs/>
          <w:lang w:val="en-US"/>
        </w:rPr>
        <w:t xml:space="preserve"> </w:t>
      </w:r>
      <w:r w:rsidRPr="0068604C">
        <w:rPr>
          <w:bCs/>
        </w:rPr>
        <w:t>хворих</w:t>
      </w:r>
      <w:r w:rsidRPr="00547E73">
        <w:rPr>
          <w:bCs/>
          <w:lang w:val="en-US"/>
        </w:rPr>
        <w:t xml:space="preserve"> </w:t>
      </w:r>
      <w:r w:rsidRPr="0068604C">
        <w:rPr>
          <w:bCs/>
        </w:rPr>
        <w:t>на</w:t>
      </w:r>
      <w:r w:rsidRPr="00547E73">
        <w:rPr>
          <w:bCs/>
          <w:lang w:val="en-US"/>
        </w:rPr>
        <w:t xml:space="preserve"> </w:t>
      </w:r>
      <w:r w:rsidRPr="0068604C">
        <w:rPr>
          <w:bCs/>
        </w:rPr>
        <w:t>бронхіальну</w:t>
      </w:r>
      <w:r w:rsidRPr="00547E73">
        <w:rPr>
          <w:bCs/>
          <w:lang w:val="en-US"/>
        </w:rPr>
        <w:t xml:space="preserve"> </w:t>
      </w:r>
      <w:r w:rsidRPr="0068604C">
        <w:rPr>
          <w:bCs/>
        </w:rPr>
        <w:t>астму</w:t>
      </w:r>
      <w:r w:rsidRPr="00547E73">
        <w:rPr>
          <w:bCs/>
          <w:lang w:val="en-US"/>
        </w:rPr>
        <w:t xml:space="preserve"> </w:t>
      </w:r>
      <w:r w:rsidRPr="0068604C">
        <w:rPr>
          <w:bCs/>
        </w:rPr>
        <w:t>та</w:t>
      </w:r>
      <w:r w:rsidRPr="00547E73">
        <w:rPr>
          <w:bCs/>
          <w:lang w:val="en-US"/>
        </w:rPr>
        <w:t xml:space="preserve"> </w:t>
      </w:r>
      <w:r w:rsidRPr="0068604C">
        <w:rPr>
          <w:bCs/>
        </w:rPr>
        <w:t>в</w:t>
      </w:r>
      <w:r w:rsidRPr="00547E73">
        <w:rPr>
          <w:bCs/>
          <w:lang w:val="en-US"/>
        </w:rPr>
        <w:t xml:space="preserve"> </w:t>
      </w:r>
      <w:r w:rsidRPr="0068604C">
        <w:rPr>
          <w:bCs/>
        </w:rPr>
        <w:t>коморбідності</w:t>
      </w:r>
      <w:r w:rsidRPr="00547E73">
        <w:rPr>
          <w:bCs/>
          <w:lang w:val="en-US"/>
        </w:rPr>
        <w:t xml:space="preserve"> </w:t>
      </w:r>
      <w:r w:rsidRPr="0068604C">
        <w:rPr>
          <w:bCs/>
        </w:rPr>
        <w:t>з</w:t>
      </w:r>
      <w:r w:rsidRPr="00547E73">
        <w:rPr>
          <w:bCs/>
          <w:lang w:val="en-US"/>
        </w:rPr>
        <w:t xml:space="preserve"> </w:t>
      </w:r>
      <w:r w:rsidRPr="0068604C">
        <w:rPr>
          <w:bCs/>
        </w:rPr>
        <w:t>ожирінням</w:t>
      </w:r>
      <w:r w:rsidRPr="00547E73">
        <w:rPr>
          <w:bCs/>
          <w:lang w:val="en-US"/>
        </w:rPr>
        <w:t xml:space="preserve"> </w:t>
      </w:r>
      <w:r w:rsidRPr="0068604C">
        <w:rPr>
          <w:bCs/>
        </w:rPr>
        <w:t>та</w:t>
      </w:r>
      <w:r w:rsidRPr="00547E73">
        <w:rPr>
          <w:bCs/>
          <w:lang w:val="en-US"/>
        </w:rPr>
        <w:t xml:space="preserve"> </w:t>
      </w:r>
      <w:r w:rsidRPr="0068604C">
        <w:rPr>
          <w:bCs/>
        </w:rPr>
        <w:t>цукровим</w:t>
      </w:r>
      <w:r w:rsidRPr="00547E73">
        <w:rPr>
          <w:bCs/>
          <w:lang w:val="en-US"/>
        </w:rPr>
        <w:t xml:space="preserve"> </w:t>
      </w:r>
      <w:r w:rsidRPr="0068604C">
        <w:rPr>
          <w:bCs/>
        </w:rPr>
        <w:t>діабетом</w:t>
      </w:r>
      <w:r w:rsidRPr="00547E73">
        <w:rPr>
          <w:bCs/>
          <w:lang w:val="en-US"/>
        </w:rPr>
        <w:t xml:space="preserve"> 2 </w:t>
      </w:r>
      <w:r w:rsidRPr="0068604C">
        <w:rPr>
          <w:bCs/>
        </w:rPr>
        <w:t>типу</w:t>
      </w:r>
      <w:r w:rsidRPr="00547E73">
        <w:rPr>
          <w:bCs/>
          <w:lang w:val="en-US"/>
        </w:rPr>
        <w:t xml:space="preserve">. </w:t>
      </w:r>
      <w:r w:rsidRPr="00B134A8">
        <w:rPr>
          <w:bCs/>
          <w:i/>
          <w:lang w:val="en-US"/>
        </w:rPr>
        <w:t>Science</w:t>
      </w:r>
      <w:r w:rsidRPr="00B134A8">
        <w:rPr>
          <w:bCs/>
          <w:i/>
          <w:lang w:val="uk-UA"/>
        </w:rPr>
        <w:t xml:space="preserve"> </w:t>
      </w:r>
      <w:r w:rsidRPr="00B134A8">
        <w:rPr>
          <w:bCs/>
          <w:i/>
          <w:lang w:val="en-US"/>
        </w:rPr>
        <w:t>Rise</w:t>
      </w:r>
      <w:r w:rsidRPr="00170F12">
        <w:rPr>
          <w:bCs/>
          <w:i/>
          <w:lang w:val="en-US"/>
        </w:rPr>
        <w:t xml:space="preserve">: </w:t>
      </w:r>
      <w:r w:rsidRPr="00B134A8">
        <w:rPr>
          <w:bCs/>
          <w:i/>
          <w:lang w:val="en-US"/>
        </w:rPr>
        <w:t>Medical</w:t>
      </w:r>
      <w:r w:rsidRPr="00170F12">
        <w:rPr>
          <w:bCs/>
          <w:i/>
          <w:lang w:val="en-US"/>
        </w:rPr>
        <w:t xml:space="preserve"> </w:t>
      </w:r>
      <w:r w:rsidRPr="00B134A8">
        <w:rPr>
          <w:bCs/>
          <w:i/>
          <w:lang w:val="en-US"/>
        </w:rPr>
        <w:t>Science</w:t>
      </w:r>
      <w:r w:rsidRPr="00170F12">
        <w:rPr>
          <w:bCs/>
          <w:lang w:val="en-US"/>
        </w:rPr>
        <w:t>. 2018; 7(27): 33–38.</w:t>
      </w:r>
      <w:r w:rsidRPr="0068604C">
        <w:rPr>
          <w:rFonts w:eastAsia="TimesNewRomanPS-BoldMT"/>
          <w:bCs/>
          <w:lang w:val="uk-UA"/>
        </w:rPr>
        <w:t xml:space="preserve"> </w:t>
      </w:r>
      <w:r w:rsidRPr="0068604C">
        <w:rPr>
          <w:i/>
          <w:lang w:val="uk-UA"/>
        </w:rPr>
        <w:t>(</w:t>
      </w:r>
      <w:r w:rsidRPr="0068604C">
        <w:rPr>
          <w:bCs/>
          <w:i/>
          <w:lang w:val="uk-UA"/>
        </w:rPr>
        <w:t>Особисто здобувачем</w:t>
      </w:r>
      <w:r w:rsidRPr="0068604C">
        <w:rPr>
          <w:i/>
          <w:lang w:val="uk-UA"/>
        </w:rPr>
        <w:t xml:space="preserve"> проведено пошук та аналіз літератури,</w:t>
      </w:r>
      <w:r w:rsidRPr="0068604C">
        <w:rPr>
          <w:bCs/>
          <w:i/>
          <w:lang w:val="uk-UA"/>
        </w:rPr>
        <w:t xml:space="preserve"> здійснено відбір хворих, проведено оцінку особливостей ШКФ, </w:t>
      </w:r>
      <w:r w:rsidRPr="0068604C">
        <w:rPr>
          <w:i/>
        </w:rPr>
        <w:t>ФЗД</w:t>
      </w:r>
      <w:r w:rsidRPr="0068604C">
        <w:rPr>
          <w:bCs/>
          <w:i/>
          <w:lang w:val="uk-UA"/>
        </w:rPr>
        <w:t xml:space="preserve"> у хворих на бронхіальну астму з коморбідною патологією, оформлення статті до друку</w:t>
      </w:r>
      <w:r w:rsidRPr="0068604C">
        <w:rPr>
          <w:i/>
          <w:lang w:val="uk-UA"/>
        </w:rPr>
        <w:t>).</w:t>
      </w:r>
    </w:p>
    <w:p w:rsidR="00CD5061" w:rsidRDefault="00CD5061" w:rsidP="00CD5061">
      <w:pPr>
        <w:pStyle w:val="arefZag"/>
        <w:spacing w:before="0" w:line="252" w:lineRule="auto"/>
        <w:ind w:left="709"/>
      </w:pPr>
    </w:p>
    <w:p w:rsidR="004868FD" w:rsidRDefault="004868FD" w:rsidP="00CD5061">
      <w:pPr>
        <w:pStyle w:val="arefZag"/>
        <w:spacing w:before="0" w:line="252" w:lineRule="auto"/>
        <w:ind w:left="709"/>
      </w:pPr>
      <w:r w:rsidRPr="001E3630">
        <w:lastRenderedPageBreak/>
        <w:t>Наукові праці, які засвідчують апробацію матеріалів дисертації:</w:t>
      </w:r>
    </w:p>
    <w:p w:rsidR="004868FD" w:rsidRPr="0068604C" w:rsidRDefault="004868FD" w:rsidP="00CD5061">
      <w:pPr>
        <w:pStyle w:val="atextSpisLit"/>
        <w:numPr>
          <w:ilvl w:val="0"/>
          <w:numId w:val="22"/>
        </w:numPr>
        <w:spacing w:after="120" w:line="240" w:lineRule="auto"/>
        <w:ind w:left="709" w:hanging="357"/>
      </w:pPr>
      <w:r w:rsidRPr="0068604C">
        <w:t>Еременко Г</w:t>
      </w:r>
      <w:r>
        <w:t>.</w:t>
      </w:r>
      <w:r w:rsidRPr="0068604C">
        <w:t>В</w:t>
      </w:r>
      <w:r>
        <w:t>.</w:t>
      </w:r>
      <w:r w:rsidRPr="0068604C">
        <w:t>, Бездетко Т</w:t>
      </w:r>
      <w:r>
        <w:t>.</w:t>
      </w:r>
      <w:r w:rsidRPr="0068604C">
        <w:t>В</w:t>
      </w:r>
      <w:r>
        <w:t>.</w:t>
      </w:r>
      <w:r w:rsidRPr="0068604C">
        <w:t>, Польщикова С</w:t>
      </w:r>
      <w:r>
        <w:t>.</w:t>
      </w:r>
      <w:r w:rsidRPr="0068604C">
        <w:t>Л</w:t>
      </w:r>
      <w:r>
        <w:t>.</w:t>
      </w:r>
      <w:r w:rsidRPr="0068604C">
        <w:t>, Хохуда О</w:t>
      </w:r>
      <w:r>
        <w:t>.</w:t>
      </w:r>
      <w:r w:rsidRPr="0068604C">
        <w:t>Н</w:t>
      </w:r>
      <w:r>
        <w:t>.</w:t>
      </w:r>
      <w:r w:rsidRPr="0068604C">
        <w:t>, Шмидт</w:t>
      </w:r>
      <w:r>
        <w:t> </w:t>
      </w:r>
      <w:r w:rsidRPr="0068604C">
        <w:t>А</w:t>
      </w:r>
      <w:r>
        <w:t>.</w:t>
      </w:r>
      <w:r w:rsidRPr="0068604C">
        <w:t xml:space="preserve">В. Современные направления лечения при сочетании бронхиальной астмы и аллергического ринита. </w:t>
      </w:r>
      <w:r w:rsidRPr="00CE1CA7">
        <w:rPr>
          <w:i/>
        </w:rPr>
        <w:t>Астма та алергія</w:t>
      </w:r>
      <w:r w:rsidRPr="0068604C">
        <w:t>. 2012; 3: 72</w:t>
      </w:r>
      <w:r>
        <w:t>–</w:t>
      </w:r>
      <w:r w:rsidRPr="0068604C">
        <w:t>25.</w:t>
      </w:r>
      <w:r w:rsidRPr="0068604C">
        <w:rPr>
          <w:i/>
        </w:rPr>
        <w:t xml:space="preserve"> (</w:t>
      </w:r>
      <w:r w:rsidRPr="0068604C">
        <w:rPr>
          <w:bCs/>
          <w:i/>
          <w:lang w:val="uk-UA"/>
        </w:rPr>
        <w:t>Особисто здобувачем</w:t>
      </w:r>
      <w:r w:rsidR="00242E92">
        <w:rPr>
          <w:i/>
        </w:rPr>
        <w:t xml:space="preserve"> проведено</w:t>
      </w:r>
      <w:r w:rsidRPr="0068604C">
        <w:rPr>
          <w:i/>
        </w:rPr>
        <w:t xml:space="preserve"> клінічне обстеження хворих на БА</w:t>
      </w:r>
      <w:r w:rsidRPr="0068604C">
        <w:rPr>
          <w:i/>
          <w:lang w:val="uk-UA"/>
        </w:rPr>
        <w:t xml:space="preserve">, функціональні методи дослідження, оцінку порушень </w:t>
      </w:r>
      <w:r w:rsidRPr="0068604C">
        <w:rPr>
          <w:i/>
        </w:rPr>
        <w:t>Ф</w:t>
      </w:r>
      <w:r w:rsidRPr="0068604C">
        <w:rPr>
          <w:i/>
          <w:lang w:val="uk-UA"/>
        </w:rPr>
        <w:t>ЗД</w:t>
      </w:r>
      <w:r w:rsidRPr="0068604C">
        <w:rPr>
          <w:i/>
        </w:rPr>
        <w:t xml:space="preserve">, </w:t>
      </w:r>
      <w:r w:rsidRPr="0068604C">
        <w:rPr>
          <w:i/>
          <w:lang w:val="uk-UA"/>
        </w:rPr>
        <w:t>оформлення</w:t>
      </w:r>
      <w:r w:rsidRPr="0068604C">
        <w:rPr>
          <w:i/>
        </w:rPr>
        <w:t xml:space="preserve"> статті до друку)</w:t>
      </w:r>
      <w:r w:rsidRPr="0068604C">
        <w:rPr>
          <w:i/>
          <w:lang w:val="uk-UA"/>
        </w:rPr>
        <w:t>.</w:t>
      </w:r>
    </w:p>
    <w:p w:rsidR="004868FD" w:rsidRPr="00170F12" w:rsidRDefault="004868FD" w:rsidP="00CD5061">
      <w:pPr>
        <w:pStyle w:val="atextSpisLit"/>
        <w:numPr>
          <w:ilvl w:val="0"/>
          <w:numId w:val="22"/>
        </w:numPr>
        <w:spacing w:after="120" w:line="240" w:lineRule="auto"/>
        <w:ind w:left="709" w:hanging="357"/>
        <w:rPr>
          <w:lang w:val="uk-UA"/>
        </w:rPr>
      </w:pPr>
      <w:r w:rsidRPr="0068604C">
        <w:rPr>
          <w:bCs/>
        </w:rPr>
        <w:t>Ерёменко</w:t>
      </w:r>
      <w:r w:rsidRPr="0068604C">
        <w:rPr>
          <w:bCs/>
          <w:lang w:val="uk-UA"/>
        </w:rPr>
        <w:t xml:space="preserve"> </w:t>
      </w:r>
      <w:r w:rsidRPr="0068604C">
        <w:rPr>
          <w:bCs/>
        </w:rPr>
        <w:t>Г</w:t>
      </w:r>
      <w:r>
        <w:rPr>
          <w:bCs/>
        </w:rPr>
        <w:t>.</w:t>
      </w:r>
      <w:r w:rsidRPr="0068604C">
        <w:rPr>
          <w:bCs/>
        </w:rPr>
        <w:t>В</w:t>
      </w:r>
      <w:r>
        <w:rPr>
          <w:bCs/>
        </w:rPr>
        <w:t>.</w:t>
      </w:r>
      <w:r w:rsidRPr="0068604C">
        <w:rPr>
          <w:bCs/>
          <w:lang w:val="uk-UA"/>
        </w:rPr>
        <w:t xml:space="preserve">, </w:t>
      </w:r>
      <w:r w:rsidRPr="0068604C">
        <w:t>Бездетко Т</w:t>
      </w:r>
      <w:r>
        <w:t>.</w:t>
      </w:r>
      <w:r w:rsidRPr="0068604C">
        <w:t>В</w:t>
      </w:r>
      <w:r>
        <w:t>.</w:t>
      </w:r>
      <w:r w:rsidRPr="0068604C">
        <w:t>, Польщикова С</w:t>
      </w:r>
      <w:r>
        <w:t>.</w:t>
      </w:r>
      <w:r w:rsidRPr="0068604C">
        <w:t>Л</w:t>
      </w:r>
      <w:r>
        <w:t>.</w:t>
      </w:r>
      <w:r w:rsidRPr="0068604C">
        <w:t>,</w:t>
      </w:r>
      <w:r w:rsidRPr="0068604C">
        <w:rPr>
          <w:lang w:val="uk-UA"/>
        </w:rPr>
        <w:t xml:space="preserve"> </w:t>
      </w:r>
      <w:r w:rsidRPr="0068604C">
        <w:t>Шмидт А</w:t>
      </w:r>
      <w:r>
        <w:t>.</w:t>
      </w:r>
      <w:r w:rsidRPr="0068604C">
        <w:t>В</w:t>
      </w:r>
      <w:r>
        <w:t>.</w:t>
      </w:r>
      <w:r w:rsidRPr="0068604C">
        <w:rPr>
          <w:lang w:val="uk-UA"/>
        </w:rPr>
        <w:t xml:space="preserve">, </w:t>
      </w:r>
      <w:r w:rsidRPr="0068604C">
        <w:t>Хохуда</w:t>
      </w:r>
      <w:r>
        <w:t> </w:t>
      </w:r>
      <w:r w:rsidRPr="0068604C">
        <w:t>О</w:t>
      </w:r>
      <w:r>
        <w:t>.</w:t>
      </w:r>
      <w:r w:rsidRPr="0068604C">
        <w:t>Н</w:t>
      </w:r>
      <w:r w:rsidRPr="0068604C">
        <w:rPr>
          <w:bCs/>
        </w:rPr>
        <w:t>. Лечение аллергического ринита</w:t>
      </w:r>
      <w:r w:rsidRPr="0068604C">
        <w:rPr>
          <w:bCs/>
          <w:lang w:val="uk-UA"/>
        </w:rPr>
        <w:t xml:space="preserve">. </w:t>
      </w:r>
      <w:r w:rsidRPr="00170F12">
        <w:rPr>
          <w:bCs/>
          <w:i/>
          <w:lang w:val="uk-UA"/>
        </w:rPr>
        <w:t>Астма та алергія</w:t>
      </w:r>
      <w:r w:rsidRPr="0068604C">
        <w:rPr>
          <w:bCs/>
          <w:lang w:val="uk-UA"/>
        </w:rPr>
        <w:t>.</w:t>
      </w:r>
      <w:r w:rsidRPr="00170F12">
        <w:rPr>
          <w:bCs/>
          <w:lang w:val="uk-UA"/>
        </w:rPr>
        <w:t xml:space="preserve"> 2012</w:t>
      </w:r>
      <w:r w:rsidRPr="0068604C">
        <w:rPr>
          <w:bCs/>
          <w:lang w:val="uk-UA"/>
        </w:rPr>
        <w:t xml:space="preserve">; </w:t>
      </w:r>
      <w:r w:rsidRPr="00170F12">
        <w:rPr>
          <w:bCs/>
          <w:lang w:val="uk-UA"/>
        </w:rPr>
        <w:t>1</w:t>
      </w:r>
      <w:r w:rsidRPr="0068604C">
        <w:rPr>
          <w:bCs/>
          <w:lang w:val="uk-UA"/>
        </w:rPr>
        <w:t xml:space="preserve">: </w:t>
      </w:r>
      <w:r w:rsidRPr="00170F12">
        <w:rPr>
          <w:bCs/>
          <w:lang w:val="uk-UA"/>
        </w:rPr>
        <w:t>68</w:t>
      </w:r>
      <w:r>
        <w:rPr>
          <w:bCs/>
          <w:lang w:val="uk-UA"/>
        </w:rPr>
        <w:t>–</w:t>
      </w:r>
      <w:r w:rsidRPr="00170F12">
        <w:rPr>
          <w:bCs/>
          <w:lang w:val="uk-UA"/>
        </w:rPr>
        <w:t xml:space="preserve">72. </w:t>
      </w:r>
      <w:r w:rsidRPr="00170F12">
        <w:rPr>
          <w:i/>
          <w:lang w:val="uk-UA"/>
        </w:rPr>
        <w:t xml:space="preserve">(Здобувачем проведено </w:t>
      </w:r>
      <w:r w:rsidRPr="0068604C">
        <w:rPr>
          <w:i/>
          <w:lang w:val="uk-UA"/>
        </w:rPr>
        <w:t xml:space="preserve">огляд сучасної літератури, проведено функціональні методи дослідження, відбір і </w:t>
      </w:r>
      <w:r w:rsidRPr="00170F12">
        <w:rPr>
          <w:i/>
          <w:lang w:val="uk-UA"/>
        </w:rPr>
        <w:t>клінічне обстеження хворих на БА</w:t>
      </w:r>
      <w:r w:rsidRPr="0068604C">
        <w:rPr>
          <w:i/>
          <w:lang w:val="uk-UA"/>
        </w:rPr>
        <w:t xml:space="preserve"> з коморбідними станами</w:t>
      </w:r>
      <w:r w:rsidRPr="00170F12">
        <w:rPr>
          <w:i/>
          <w:lang w:val="uk-UA"/>
        </w:rPr>
        <w:t>, підготовку статті до друку)</w:t>
      </w:r>
      <w:r w:rsidRPr="0068604C">
        <w:rPr>
          <w:i/>
          <w:lang w:val="uk-UA"/>
        </w:rPr>
        <w:t>.</w:t>
      </w:r>
    </w:p>
    <w:p w:rsidR="004868FD" w:rsidRPr="00170F12" w:rsidRDefault="004868FD" w:rsidP="00CD5061">
      <w:pPr>
        <w:pStyle w:val="atextSpisLit"/>
        <w:numPr>
          <w:ilvl w:val="0"/>
          <w:numId w:val="22"/>
        </w:numPr>
        <w:spacing w:after="120" w:line="240" w:lineRule="auto"/>
        <w:ind w:left="709" w:hanging="357"/>
        <w:rPr>
          <w:lang w:val="uk-UA"/>
        </w:rPr>
      </w:pPr>
      <w:r w:rsidRPr="0068604C">
        <w:t>Ерёменко</w:t>
      </w:r>
      <w:r>
        <w:rPr>
          <w:lang w:val="uk-UA"/>
        </w:rPr>
        <w:t> </w:t>
      </w:r>
      <w:r w:rsidRPr="0068604C">
        <w:t>Г</w:t>
      </w:r>
      <w:r>
        <w:t>.</w:t>
      </w:r>
      <w:r w:rsidRPr="0068604C">
        <w:t>В</w:t>
      </w:r>
      <w:r>
        <w:t>.</w:t>
      </w:r>
      <w:r w:rsidRPr="0068604C">
        <w:rPr>
          <w:lang w:val="uk-UA"/>
        </w:rPr>
        <w:t xml:space="preserve">, </w:t>
      </w:r>
      <w:r w:rsidRPr="0068604C">
        <w:t>Бездетко Т</w:t>
      </w:r>
      <w:r>
        <w:t>.</w:t>
      </w:r>
      <w:r w:rsidRPr="0068604C">
        <w:t>В,</w:t>
      </w:r>
      <w:r w:rsidRPr="0068604C">
        <w:rPr>
          <w:lang w:val="uk-UA"/>
        </w:rPr>
        <w:t xml:space="preserve"> Овчаренко Л</w:t>
      </w:r>
      <w:r>
        <w:rPr>
          <w:lang w:val="uk-UA"/>
        </w:rPr>
        <w:t>.</w:t>
      </w:r>
      <w:r w:rsidRPr="0068604C">
        <w:rPr>
          <w:lang w:val="uk-UA"/>
        </w:rPr>
        <w:t>А</w:t>
      </w:r>
      <w:r>
        <w:rPr>
          <w:lang w:val="uk-UA"/>
        </w:rPr>
        <w:t>.</w:t>
      </w:r>
      <w:r w:rsidRPr="0068604C">
        <w:rPr>
          <w:lang w:val="uk-UA"/>
        </w:rPr>
        <w:t>, Бойко Л</w:t>
      </w:r>
      <w:r>
        <w:rPr>
          <w:lang w:val="uk-UA"/>
        </w:rPr>
        <w:t>.</w:t>
      </w:r>
      <w:r w:rsidRPr="0068604C">
        <w:rPr>
          <w:lang w:val="uk-UA"/>
        </w:rPr>
        <w:t>А.</w:t>
      </w:r>
      <w:r w:rsidRPr="0068604C">
        <w:t xml:space="preserve"> Клинический опыт применения комбинированного препарата на основе фенотерола и ипратропия бромида в комплексной терапии бронхиальной астмы в</w:t>
      </w:r>
      <w:r>
        <w:t> </w:t>
      </w:r>
      <w:r w:rsidRPr="0068604C">
        <w:t>сочетании с гастроэзофагальной рефлюксной болезнью</w:t>
      </w:r>
      <w:r>
        <w:t>.</w:t>
      </w:r>
      <w:r w:rsidRPr="0068604C">
        <w:rPr>
          <w:lang w:val="uk-UA"/>
        </w:rPr>
        <w:t xml:space="preserve"> </w:t>
      </w:r>
      <w:r w:rsidRPr="00331B70">
        <w:rPr>
          <w:i/>
          <w:lang w:val="uk-UA"/>
        </w:rPr>
        <w:t>У</w:t>
      </w:r>
      <w:r w:rsidRPr="00170F12">
        <w:rPr>
          <w:i/>
          <w:lang w:val="uk-UA"/>
        </w:rPr>
        <w:t>країнський пульмонологічний журнал</w:t>
      </w:r>
      <w:r w:rsidRPr="0068604C">
        <w:rPr>
          <w:lang w:val="uk-UA"/>
        </w:rPr>
        <w:t>.</w:t>
      </w:r>
      <w:r w:rsidRPr="00170F12">
        <w:rPr>
          <w:lang w:val="uk-UA"/>
        </w:rPr>
        <w:t xml:space="preserve"> 2012</w:t>
      </w:r>
      <w:r w:rsidRPr="0068604C">
        <w:rPr>
          <w:lang w:val="uk-UA"/>
        </w:rPr>
        <w:t>;</w:t>
      </w:r>
      <w:r w:rsidRPr="00170F12">
        <w:rPr>
          <w:lang w:val="uk-UA"/>
        </w:rPr>
        <w:t xml:space="preserve"> 3</w:t>
      </w:r>
      <w:r w:rsidRPr="0068604C">
        <w:rPr>
          <w:lang w:val="uk-UA"/>
        </w:rPr>
        <w:t>:</w:t>
      </w:r>
      <w:r w:rsidRPr="00170F12">
        <w:rPr>
          <w:lang w:val="uk-UA"/>
        </w:rPr>
        <w:t xml:space="preserve"> 25</w:t>
      </w:r>
      <w:r>
        <w:rPr>
          <w:lang w:val="uk-UA"/>
        </w:rPr>
        <w:t>–</w:t>
      </w:r>
      <w:r w:rsidRPr="00170F12">
        <w:rPr>
          <w:lang w:val="uk-UA"/>
        </w:rPr>
        <w:t xml:space="preserve">27. </w:t>
      </w:r>
      <w:r w:rsidRPr="00170F12">
        <w:rPr>
          <w:i/>
          <w:szCs w:val="28"/>
          <w:lang w:val="uk-UA"/>
        </w:rPr>
        <w:t>(</w:t>
      </w:r>
      <w:r w:rsidRPr="00170F12">
        <w:rPr>
          <w:bCs/>
          <w:i/>
          <w:szCs w:val="28"/>
          <w:lang w:val="uk-UA"/>
        </w:rPr>
        <w:t xml:space="preserve">Здобувачем проведено збір матеріалу, </w:t>
      </w:r>
      <w:r w:rsidRPr="0068604C">
        <w:rPr>
          <w:bCs/>
          <w:i/>
          <w:szCs w:val="28"/>
          <w:lang w:val="uk-UA"/>
        </w:rPr>
        <w:t xml:space="preserve">проаналізовано </w:t>
      </w:r>
      <w:r w:rsidR="00242E92">
        <w:rPr>
          <w:bCs/>
          <w:i/>
          <w:szCs w:val="28"/>
          <w:lang w:val="uk-UA"/>
        </w:rPr>
        <w:t xml:space="preserve">аналіз </w:t>
      </w:r>
      <w:r w:rsidRPr="0068604C">
        <w:rPr>
          <w:bCs/>
          <w:i/>
          <w:szCs w:val="28"/>
          <w:lang w:val="uk-UA"/>
        </w:rPr>
        <w:t>час</w:t>
      </w:r>
      <w:r w:rsidR="00242E92">
        <w:rPr>
          <w:bCs/>
          <w:i/>
          <w:szCs w:val="28"/>
          <w:lang w:val="uk-UA"/>
        </w:rPr>
        <w:t>тоти</w:t>
      </w:r>
      <w:r>
        <w:rPr>
          <w:bCs/>
          <w:i/>
          <w:szCs w:val="28"/>
          <w:lang w:val="uk-UA"/>
        </w:rPr>
        <w:t xml:space="preserve"> виявлення недіагностованої </w:t>
      </w:r>
      <w:r w:rsidRPr="00924510">
        <w:rPr>
          <w:bCs/>
          <w:i/>
          <w:szCs w:val="28"/>
          <w:lang w:val="uk-UA"/>
        </w:rPr>
        <w:t>гастроезофаг</w:t>
      </w:r>
      <w:r w:rsidR="00242E92">
        <w:rPr>
          <w:bCs/>
          <w:i/>
          <w:szCs w:val="28"/>
          <w:lang w:val="uk-UA"/>
        </w:rPr>
        <w:t>е</w:t>
      </w:r>
      <w:r w:rsidRPr="00924510">
        <w:rPr>
          <w:bCs/>
          <w:i/>
          <w:szCs w:val="28"/>
          <w:lang w:val="uk-UA"/>
        </w:rPr>
        <w:t>альної рефлюксної хвороби</w:t>
      </w:r>
      <w:r w:rsidRPr="0068604C">
        <w:rPr>
          <w:bCs/>
          <w:i/>
          <w:szCs w:val="28"/>
          <w:lang w:val="uk-UA"/>
        </w:rPr>
        <w:t xml:space="preserve"> у пацієнтів на БА</w:t>
      </w:r>
      <w:r w:rsidRPr="00170F12">
        <w:rPr>
          <w:bCs/>
          <w:i/>
          <w:szCs w:val="28"/>
          <w:lang w:val="uk-UA"/>
        </w:rPr>
        <w:t xml:space="preserve">, </w:t>
      </w:r>
      <w:r w:rsidRPr="0068604C">
        <w:rPr>
          <w:bCs/>
          <w:i/>
          <w:szCs w:val="28"/>
          <w:lang w:val="uk-UA"/>
        </w:rPr>
        <w:t xml:space="preserve">проведено функціональні методи дослідження, </w:t>
      </w:r>
      <w:r w:rsidRPr="00170F12">
        <w:rPr>
          <w:bCs/>
          <w:i/>
          <w:szCs w:val="28"/>
          <w:lang w:val="uk-UA"/>
        </w:rPr>
        <w:t>оформлен</w:t>
      </w:r>
      <w:r w:rsidRPr="0068604C">
        <w:rPr>
          <w:bCs/>
          <w:i/>
          <w:szCs w:val="28"/>
          <w:lang w:val="uk-UA"/>
        </w:rPr>
        <w:t>о</w:t>
      </w:r>
      <w:r w:rsidRPr="00170F12">
        <w:rPr>
          <w:bCs/>
          <w:i/>
          <w:szCs w:val="28"/>
          <w:lang w:val="uk-UA"/>
        </w:rPr>
        <w:t xml:space="preserve"> статт</w:t>
      </w:r>
      <w:r w:rsidRPr="0068604C">
        <w:rPr>
          <w:bCs/>
          <w:i/>
          <w:szCs w:val="28"/>
          <w:lang w:val="uk-UA"/>
        </w:rPr>
        <w:t>ю</w:t>
      </w:r>
      <w:r w:rsidRPr="00170F12">
        <w:rPr>
          <w:bCs/>
          <w:i/>
          <w:szCs w:val="28"/>
          <w:lang w:val="uk-UA"/>
        </w:rPr>
        <w:t xml:space="preserve"> до друку</w:t>
      </w:r>
      <w:r w:rsidRPr="00170F12">
        <w:rPr>
          <w:i/>
          <w:szCs w:val="28"/>
          <w:lang w:val="uk-UA"/>
        </w:rPr>
        <w:t>)</w:t>
      </w:r>
      <w:r w:rsidRPr="00170F12">
        <w:rPr>
          <w:i/>
          <w:lang w:val="uk-UA"/>
        </w:rPr>
        <w:t>.</w:t>
      </w:r>
    </w:p>
    <w:p w:rsidR="004868FD" w:rsidRPr="00BB71E7" w:rsidRDefault="004868FD" w:rsidP="00CD5061">
      <w:pPr>
        <w:pStyle w:val="atextSpisLit"/>
        <w:numPr>
          <w:ilvl w:val="0"/>
          <w:numId w:val="22"/>
        </w:numPr>
        <w:spacing w:after="120" w:line="240" w:lineRule="auto"/>
        <w:ind w:left="709" w:hanging="357"/>
      </w:pPr>
      <w:r w:rsidRPr="0068604C">
        <w:t>Ерёменко</w:t>
      </w:r>
      <w:r w:rsidRPr="0068604C">
        <w:rPr>
          <w:lang w:val="uk-UA"/>
        </w:rPr>
        <w:t xml:space="preserve"> </w:t>
      </w:r>
      <w:r w:rsidRPr="0068604C">
        <w:t>Г</w:t>
      </w:r>
      <w:r>
        <w:t>.</w:t>
      </w:r>
      <w:r w:rsidRPr="0068604C">
        <w:t>В</w:t>
      </w:r>
      <w:r w:rsidR="00B134A8">
        <w:rPr>
          <w:lang w:val="uk-UA"/>
        </w:rPr>
        <w:t>.</w:t>
      </w:r>
      <w:r w:rsidRPr="0068604C">
        <w:rPr>
          <w:lang w:val="uk-UA"/>
        </w:rPr>
        <w:t>,</w:t>
      </w:r>
      <w:r w:rsidRPr="0068604C">
        <w:t xml:space="preserve"> Бездетко Т</w:t>
      </w:r>
      <w:r>
        <w:t>.</w:t>
      </w:r>
      <w:r w:rsidRPr="0068604C">
        <w:t>В</w:t>
      </w:r>
      <w:r w:rsidR="00B134A8">
        <w:rPr>
          <w:lang w:val="uk-UA"/>
        </w:rPr>
        <w:t>.</w:t>
      </w:r>
      <w:r w:rsidRPr="0068604C">
        <w:t>, Оспанова Т</w:t>
      </w:r>
      <w:r>
        <w:t>.</w:t>
      </w:r>
      <w:r w:rsidRPr="0068604C">
        <w:t>С</w:t>
      </w:r>
      <w:r w:rsidR="00B134A8">
        <w:rPr>
          <w:lang w:val="uk-UA"/>
        </w:rPr>
        <w:t>.</w:t>
      </w:r>
      <w:r w:rsidRPr="0068604C">
        <w:t>, Новикова И</w:t>
      </w:r>
      <w:r>
        <w:t>.</w:t>
      </w:r>
      <w:r w:rsidRPr="0068604C">
        <w:t>В</w:t>
      </w:r>
      <w:r w:rsidR="00B134A8">
        <w:rPr>
          <w:lang w:val="uk-UA"/>
        </w:rPr>
        <w:t>.</w:t>
      </w:r>
      <w:r w:rsidRPr="0068604C">
        <w:t>, Болокадзе Е</w:t>
      </w:r>
      <w:r>
        <w:t>.</w:t>
      </w:r>
      <w:r w:rsidRPr="0068604C">
        <w:t>А</w:t>
      </w:r>
      <w:r w:rsidR="00B134A8">
        <w:rPr>
          <w:lang w:val="uk-UA"/>
        </w:rPr>
        <w:t>.</w:t>
      </w:r>
      <w:r w:rsidRPr="0068604C">
        <w:t>, Хохуда О</w:t>
      </w:r>
      <w:r>
        <w:t>.</w:t>
      </w:r>
      <w:r w:rsidRPr="0068604C">
        <w:t xml:space="preserve">Н. Особенности поллинации в Харьковском регионе. </w:t>
      </w:r>
      <w:r w:rsidRPr="00331B70">
        <w:rPr>
          <w:i/>
        </w:rPr>
        <w:t>Астма та алергія</w:t>
      </w:r>
      <w:r w:rsidRPr="0068604C">
        <w:t>. 2014; 1: 39</w:t>
      </w:r>
      <w:r>
        <w:t>–</w:t>
      </w:r>
      <w:r w:rsidRPr="0068604C">
        <w:t xml:space="preserve">41. </w:t>
      </w:r>
      <w:r w:rsidRPr="0068604C">
        <w:rPr>
          <w:i/>
          <w:szCs w:val="28"/>
        </w:rPr>
        <w:t>(</w:t>
      </w:r>
      <w:r w:rsidRPr="00924510">
        <w:rPr>
          <w:i/>
          <w:szCs w:val="28"/>
        </w:rPr>
        <w:t>Здобувачем проведено пошук та аналіз літератури, клінічне обстеження хворих</w:t>
      </w:r>
      <w:r w:rsidRPr="00924510">
        <w:rPr>
          <w:i/>
          <w:szCs w:val="28"/>
          <w:lang w:val="uk-UA"/>
        </w:rPr>
        <w:t>, проведення</w:t>
      </w:r>
      <w:r w:rsidRPr="00924510">
        <w:rPr>
          <w:i/>
          <w:szCs w:val="28"/>
        </w:rPr>
        <w:t xml:space="preserve"> </w:t>
      </w:r>
      <w:r w:rsidRPr="00924510">
        <w:rPr>
          <w:i/>
          <w:szCs w:val="28"/>
          <w:lang w:val="uk-UA"/>
        </w:rPr>
        <w:t xml:space="preserve">прік-тестів, </w:t>
      </w:r>
      <w:r w:rsidRPr="00924510">
        <w:rPr>
          <w:i/>
          <w:szCs w:val="28"/>
        </w:rPr>
        <w:t>підготовку статті до друку</w:t>
      </w:r>
      <w:r w:rsidRPr="0068604C">
        <w:rPr>
          <w:i/>
        </w:rPr>
        <w:t>)</w:t>
      </w:r>
      <w:r w:rsidRPr="0068604C">
        <w:rPr>
          <w:i/>
          <w:lang w:val="uk-UA"/>
        </w:rPr>
        <w:t>.</w:t>
      </w:r>
    </w:p>
    <w:p w:rsidR="004868FD" w:rsidRPr="0010201B" w:rsidRDefault="004868FD" w:rsidP="00CD5061">
      <w:pPr>
        <w:pStyle w:val="atextSpisLit"/>
        <w:numPr>
          <w:ilvl w:val="0"/>
          <w:numId w:val="22"/>
        </w:numPr>
        <w:spacing w:after="120" w:line="240" w:lineRule="auto"/>
        <w:ind w:left="709" w:hanging="357"/>
      </w:pPr>
      <w:r w:rsidRPr="00BB71E7">
        <w:rPr>
          <w:lang w:val="uk-UA"/>
        </w:rPr>
        <w:t>Ерёменко Г</w:t>
      </w:r>
      <w:r>
        <w:rPr>
          <w:lang w:val="uk-UA"/>
        </w:rPr>
        <w:t>.</w:t>
      </w:r>
      <w:r w:rsidRPr="00BB71E7">
        <w:rPr>
          <w:lang w:val="uk-UA"/>
        </w:rPr>
        <w:t>В. Факторы риска развития сахарного диабета 2 типа у</w:t>
      </w:r>
      <w:r>
        <w:rPr>
          <w:lang w:val="uk-UA"/>
        </w:rPr>
        <w:t> </w:t>
      </w:r>
      <w:r w:rsidRPr="00BB71E7">
        <w:rPr>
          <w:lang w:val="uk-UA"/>
        </w:rPr>
        <w:t xml:space="preserve">больных бронхиальной астмой. </w:t>
      </w:r>
      <w:r w:rsidRPr="00FC0E48">
        <w:rPr>
          <w:i/>
          <w:lang w:val="uk-UA"/>
        </w:rPr>
        <w:t>Медицина третього тисячоліття</w:t>
      </w:r>
      <w:r>
        <w:rPr>
          <w:lang w:val="uk-UA"/>
        </w:rPr>
        <w:t>:</w:t>
      </w:r>
      <w:r w:rsidRPr="00BB71E7">
        <w:rPr>
          <w:lang w:val="uk-UA"/>
        </w:rPr>
        <w:t xml:space="preserve"> </w:t>
      </w:r>
      <w:r>
        <w:rPr>
          <w:lang w:val="uk-UA"/>
        </w:rPr>
        <w:t>м</w:t>
      </w:r>
      <w:r w:rsidRPr="00BB71E7">
        <w:rPr>
          <w:lang w:val="uk-UA"/>
        </w:rPr>
        <w:t xml:space="preserve">атеріали науково-практичної конференції </w:t>
      </w:r>
      <w:r>
        <w:rPr>
          <w:lang w:val="uk-UA"/>
        </w:rPr>
        <w:t>(</w:t>
      </w:r>
      <w:r w:rsidRPr="00BB71E7">
        <w:rPr>
          <w:lang w:val="uk-UA"/>
        </w:rPr>
        <w:t>Харків</w:t>
      </w:r>
      <w:r>
        <w:rPr>
          <w:lang w:val="uk-UA"/>
        </w:rPr>
        <w:t>,</w:t>
      </w:r>
      <w:r w:rsidRPr="00BB71E7">
        <w:rPr>
          <w:lang w:val="uk-UA"/>
        </w:rPr>
        <w:t xml:space="preserve"> 14 січня 2014 р.</w:t>
      </w:r>
      <w:r>
        <w:rPr>
          <w:lang w:val="uk-UA"/>
        </w:rPr>
        <w:t>)</w:t>
      </w:r>
      <w:r w:rsidRPr="00BB71E7">
        <w:rPr>
          <w:lang w:val="uk-UA"/>
        </w:rPr>
        <w:t xml:space="preserve"> Харків</w:t>
      </w:r>
      <w:r>
        <w:rPr>
          <w:lang w:val="uk-UA"/>
        </w:rPr>
        <w:t>,</w:t>
      </w:r>
      <w:r w:rsidRPr="00BB71E7">
        <w:rPr>
          <w:lang w:val="uk-UA"/>
        </w:rPr>
        <w:t xml:space="preserve"> 2014</w:t>
      </w:r>
      <w:r>
        <w:rPr>
          <w:lang w:val="uk-UA"/>
        </w:rPr>
        <w:t>.</w:t>
      </w:r>
      <w:r w:rsidRPr="00BB71E7">
        <w:rPr>
          <w:lang w:val="uk-UA"/>
        </w:rPr>
        <w:t xml:space="preserve"> </w:t>
      </w:r>
      <w:r>
        <w:rPr>
          <w:lang w:val="uk-UA"/>
        </w:rPr>
        <w:t>С. </w:t>
      </w:r>
      <w:r w:rsidRPr="00BB71E7">
        <w:rPr>
          <w:lang w:val="uk-UA"/>
        </w:rPr>
        <w:t>63</w:t>
      </w:r>
      <w:r>
        <w:rPr>
          <w:lang w:val="uk-UA"/>
        </w:rPr>
        <w:t>–</w:t>
      </w:r>
      <w:r w:rsidRPr="00BB71E7">
        <w:rPr>
          <w:lang w:val="uk-UA"/>
        </w:rPr>
        <w:t>64.</w:t>
      </w:r>
    </w:p>
    <w:p w:rsidR="004868FD" w:rsidRPr="0010201B" w:rsidRDefault="004868FD" w:rsidP="00CD5061">
      <w:pPr>
        <w:pStyle w:val="atextSpisLit"/>
        <w:numPr>
          <w:ilvl w:val="0"/>
          <w:numId w:val="22"/>
        </w:numPr>
        <w:spacing w:after="120" w:line="240" w:lineRule="auto"/>
        <w:ind w:left="709" w:hanging="357"/>
      </w:pPr>
      <w:r w:rsidRPr="0010201B">
        <w:rPr>
          <w:lang w:val="uk-UA"/>
        </w:rPr>
        <w:t>Ерёменко Г</w:t>
      </w:r>
      <w:r>
        <w:rPr>
          <w:lang w:val="uk-UA"/>
        </w:rPr>
        <w:t>.</w:t>
      </w:r>
      <w:r w:rsidRPr="0010201B">
        <w:rPr>
          <w:lang w:val="uk-UA"/>
        </w:rPr>
        <w:t>В</w:t>
      </w:r>
      <w:r>
        <w:rPr>
          <w:lang w:val="uk-UA"/>
        </w:rPr>
        <w:t>.</w:t>
      </w:r>
      <w:r w:rsidRPr="0010201B">
        <w:rPr>
          <w:lang w:val="uk-UA"/>
        </w:rPr>
        <w:t>, Илюха С</w:t>
      </w:r>
      <w:r>
        <w:rPr>
          <w:lang w:val="uk-UA"/>
        </w:rPr>
        <w:t>.</w:t>
      </w:r>
      <w:r w:rsidRPr="0010201B">
        <w:rPr>
          <w:lang w:val="uk-UA"/>
        </w:rPr>
        <w:t>Э. Особенности углеводного обмена у</w:t>
      </w:r>
      <w:r>
        <w:rPr>
          <w:lang w:val="uk-UA"/>
        </w:rPr>
        <w:t> </w:t>
      </w:r>
      <w:r w:rsidRPr="0010201B">
        <w:rPr>
          <w:lang w:val="uk-UA"/>
        </w:rPr>
        <w:t xml:space="preserve">больных бронхиальной астмой </w:t>
      </w:r>
      <w:r>
        <w:rPr>
          <w:lang w:val="uk-UA"/>
        </w:rPr>
        <w:t>/</w:t>
      </w:r>
      <w:r w:rsidRPr="0010201B">
        <w:rPr>
          <w:lang w:val="uk-UA"/>
        </w:rPr>
        <w:t xml:space="preserve"> </w:t>
      </w:r>
      <w:r w:rsidRPr="00B134A8">
        <w:rPr>
          <w:i/>
          <w:lang w:val="uk-UA"/>
        </w:rPr>
        <w:t>Медицина третього тисячоліття</w:t>
      </w:r>
      <w:r>
        <w:rPr>
          <w:lang w:val="uk-UA"/>
        </w:rPr>
        <w:t>:</w:t>
      </w:r>
      <w:r w:rsidRPr="0010201B">
        <w:rPr>
          <w:lang w:val="uk-UA"/>
        </w:rPr>
        <w:t xml:space="preserve"> </w:t>
      </w:r>
      <w:r>
        <w:rPr>
          <w:lang w:val="uk-UA"/>
        </w:rPr>
        <w:t>м</w:t>
      </w:r>
      <w:r w:rsidRPr="0010201B">
        <w:rPr>
          <w:lang w:val="uk-UA"/>
        </w:rPr>
        <w:t>атеріали науково-практичної конференції</w:t>
      </w:r>
      <w:r>
        <w:rPr>
          <w:lang w:val="uk-UA"/>
        </w:rPr>
        <w:t xml:space="preserve">. </w:t>
      </w:r>
      <w:r w:rsidRPr="0010201B">
        <w:rPr>
          <w:lang w:val="uk-UA"/>
        </w:rPr>
        <w:t>20 січня 2015 р. Харків</w:t>
      </w:r>
      <w:r>
        <w:rPr>
          <w:lang w:val="uk-UA"/>
        </w:rPr>
        <w:t>,</w:t>
      </w:r>
      <w:r w:rsidRPr="0010201B">
        <w:rPr>
          <w:lang w:val="uk-UA"/>
        </w:rPr>
        <w:t xml:space="preserve"> 2015</w:t>
      </w:r>
      <w:r>
        <w:rPr>
          <w:lang w:val="uk-UA"/>
        </w:rPr>
        <w:t>.</w:t>
      </w:r>
      <w:r w:rsidRPr="0010201B">
        <w:rPr>
          <w:lang w:val="uk-UA"/>
        </w:rPr>
        <w:t xml:space="preserve"> </w:t>
      </w:r>
      <w:r>
        <w:rPr>
          <w:lang w:val="uk-UA"/>
        </w:rPr>
        <w:t>С</w:t>
      </w:r>
      <w:r w:rsidRPr="0010201B">
        <w:rPr>
          <w:lang w:val="uk-UA"/>
        </w:rPr>
        <w:t>.</w:t>
      </w:r>
      <w:r>
        <w:rPr>
          <w:lang w:val="uk-UA"/>
        </w:rPr>
        <w:t> </w:t>
      </w:r>
      <w:r w:rsidRPr="0010201B">
        <w:rPr>
          <w:lang w:val="uk-UA"/>
        </w:rPr>
        <w:t>88</w:t>
      </w:r>
      <w:r>
        <w:rPr>
          <w:lang w:val="uk-UA"/>
        </w:rPr>
        <w:t>–</w:t>
      </w:r>
      <w:r w:rsidRPr="0010201B">
        <w:rPr>
          <w:lang w:val="uk-UA"/>
        </w:rPr>
        <w:t>89.</w:t>
      </w:r>
    </w:p>
    <w:p w:rsidR="004868FD" w:rsidRPr="0010201B" w:rsidRDefault="004868FD" w:rsidP="00CD5061">
      <w:pPr>
        <w:pStyle w:val="atextSpisLit"/>
        <w:numPr>
          <w:ilvl w:val="0"/>
          <w:numId w:val="22"/>
        </w:numPr>
        <w:spacing w:after="120" w:line="240" w:lineRule="auto"/>
        <w:ind w:left="709" w:hanging="357"/>
      </w:pPr>
      <w:r w:rsidRPr="0010201B">
        <w:rPr>
          <w:lang w:val="uk-UA"/>
        </w:rPr>
        <w:t xml:space="preserve"> Ерёменко Г</w:t>
      </w:r>
      <w:r>
        <w:rPr>
          <w:lang w:val="uk-UA"/>
        </w:rPr>
        <w:t>.</w:t>
      </w:r>
      <w:r w:rsidRPr="0010201B">
        <w:rPr>
          <w:lang w:val="uk-UA"/>
        </w:rPr>
        <w:t>В, Бездетко Т</w:t>
      </w:r>
      <w:r>
        <w:rPr>
          <w:lang w:val="uk-UA"/>
        </w:rPr>
        <w:t>.</w:t>
      </w:r>
      <w:r w:rsidRPr="0010201B">
        <w:rPr>
          <w:lang w:val="uk-UA"/>
        </w:rPr>
        <w:t>В</w:t>
      </w:r>
      <w:r>
        <w:rPr>
          <w:lang w:val="uk-UA"/>
        </w:rPr>
        <w:t>.</w:t>
      </w:r>
      <w:r w:rsidRPr="0010201B">
        <w:rPr>
          <w:lang w:val="uk-UA"/>
        </w:rPr>
        <w:t>, Химич Т</w:t>
      </w:r>
      <w:r>
        <w:rPr>
          <w:lang w:val="uk-UA"/>
        </w:rPr>
        <w:t>.</w:t>
      </w:r>
      <w:r w:rsidRPr="0010201B">
        <w:rPr>
          <w:lang w:val="uk-UA"/>
        </w:rPr>
        <w:t>Ю. Гендерные особенности больных бронхиальной астмой</w:t>
      </w:r>
      <w:r>
        <w:rPr>
          <w:lang w:val="uk-UA"/>
        </w:rPr>
        <w:t>.</w:t>
      </w:r>
      <w:r w:rsidRPr="0010201B">
        <w:rPr>
          <w:lang w:val="uk-UA"/>
        </w:rPr>
        <w:t xml:space="preserve"> </w:t>
      </w:r>
      <w:r w:rsidRPr="00FC0E48">
        <w:rPr>
          <w:i/>
          <w:lang w:val="uk-UA"/>
        </w:rPr>
        <w:t>Гендер, екологія, здоров’я</w:t>
      </w:r>
      <w:r>
        <w:rPr>
          <w:lang w:val="uk-UA"/>
        </w:rPr>
        <w:t>: м</w:t>
      </w:r>
      <w:r w:rsidRPr="0010201B">
        <w:rPr>
          <w:lang w:val="uk-UA"/>
        </w:rPr>
        <w:t>атеріали 4</w:t>
      </w:r>
      <w:r>
        <w:rPr>
          <w:lang w:val="uk-UA"/>
        </w:rPr>
        <w:t> </w:t>
      </w:r>
      <w:r w:rsidRPr="0010201B">
        <w:rPr>
          <w:lang w:val="uk-UA"/>
        </w:rPr>
        <w:t xml:space="preserve">науково-практичної конференції з міжнародною участю </w:t>
      </w:r>
      <w:r>
        <w:rPr>
          <w:lang w:val="uk-UA"/>
        </w:rPr>
        <w:t>(</w:t>
      </w:r>
      <w:r w:rsidRPr="0010201B">
        <w:rPr>
          <w:lang w:val="uk-UA"/>
        </w:rPr>
        <w:t>Харків</w:t>
      </w:r>
      <w:r>
        <w:rPr>
          <w:lang w:val="uk-UA"/>
        </w:rPr>
        <w:t>,</w:t>
      </w:r>
      <w:r w:rsidRPr="0010201B">
        <w:rPr>
          <w:lang w:val="uk-UA"/>
        </w:rPr>
        <w:t xml:space="preserve"> 21–22 квітня 2015 р.</w:t>
      </w:r>
      <w:r>
        <w:rPr>
          <w:lang w:val="uk-UA"/>
        </w:rPr>
        <w:t>)</w:t>
      </w:r>
      <w:r w:rsidRPr="0010201B">
        <w:rPr>
          <w:lang w:val="uk-UA"/>
        </w:rPr>
        <w:t xml:space="preserve"> Харків</w:t>
      </w:r>
      <w:r>
        <w:rPr>
          <w:lang w:val="uk-UA"/>
        </w:rPr>
        <w:t>,</w:t>
      </w:r>
      <w:r w:rsidRPr="0010201B">
        <w:rPr>
          <w:lang w:val="uk-UA"/>
        </w:rPr>
        <w:t xml:space="preserve"> 2015.</w:t>
      </w:r>
      <w:r>
        <w:rPr>
          <w:lang w:val="uk-UA"/>
        </w:rPr>
        <w:t xml:space="preserve"> С. </w:t>
      </w:r>
      <w:r w:rsidRPr="0010201B">
        <w:rPr>
          <w:lang w:val="uk-UA"/>
        </w:rPr>
        <w:t>37</w:t>
      </w:r>
      <w:r>
        <w:rPr>
          <w:lang w:val="uk-UA"/>
        </w:rPr>
        <w:t>–</w:t>
      </w:r>
      <w:r w:rsidRPr="0010201B">
        <w:rPr>
          <w:lang w:val="uk-UA"/>
        </w:rPr>
        <w:t>38. (</w:t>
      </w:r>
      <w:r w:rsidRPr="0010201B">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10201B">
        <w:rPr>
          <w:lang w:val="uk-UA"/>
        </w:rPr>
        <w:t>)</w:t>
      </w:r>
    </w:p>
    <w:p w:rsidR="004868FD" w:rsidRPr="0010201B" w:rsidRDefault="004868FD" w:rsidP="00CD5061">
      <w:pPr>
        <w:pStyle w:val="atextSpisLit"/>
        <w:numPr>
          <w:ilvl w:val="0"/>
          <w:numId w:val="22"/>
        </w:numPr>
        <w:spacing w:after="120" w:line="240" w:lineRule="auto"/>
        <w:ind w:left="709" w:hanging="357"/>
      </w:pPr>
      <w:r w:rsidRPr="0010201B">
        <w:rPr>
          <w:lang w:val="uk-UA"/>
        </w:rPr>
        <w:t>Ерёменко Г</w:t>
      </w:r>
      <w:r>
        <w:rPr>
          <w:lang w:val="uk-UA"/>
        </w:rPr>
        <w:t>.</w:t>
      </w:r>
      <w:r w:rsidRPr="0010201B">
        <w:rPr>
          <w:lang w:val="uk-UA"/>
        </w:rPr>
        <w:t>В. Влияние липидного обмена на контроль бронхиальной астмы</w:t>
      </w:r>
      <w:r>
        <w:rPr>
          <w:lang w:val="uk-UA"/>
        </w:rPr>
        <w:t>: м</w:t>
      </w:r>
      <w:r w:rsidRPr="0010201B">
        <w:rPr>
          <w:lang w:val="uk-UA"/>
        </w:rPr>
        <w:t>атериалы VIII съезда фтизиатров и пульмонологов Узбекистана</w:t>
      </w:r>
      <w:r>
        <w:rPr>
          <w:lang w:val="uk-UA"/>
        </w:rPr>
        <w:t>.</w:t>
      </w:r>
      <w:r w:rsidRPr="0010201B">
        <w:rPr>
          <w:lang w:val="uk-UA"/>
        </w:rPr>
        <w:t xml:space="preserve"> </w:t>
      </w:r>
      <w:r>
        <w:rPr>
          <w:lang w:val="uk-UA"/>
        </w:rPr>
        <w:t>(</w:t>
      </w:r>
      <w:r w:rsidRPr="0010201B">
        <w:rPr>
          <w:lang w:val="uk-UA"/>
        </w:rPr>
        <w:t>Ташкент</w:t>
      </w:r>
      <w:r>
        <w:rPr>
          <w:lang w:val="uk-UA"/>
        </w:rPr>
        <w:t>,</w:t>
      </w:r>
      <w:r w:rsidRPr="0010201B">
        <w:rPr>
          <w:lang w:val="uk-UA"/>
        </w:rPr>
        <w:t xml:space="preserve"> 4–6 мая </w:t>
      </w:r>
      <w:smartTag w:uri="urn:schemas-microsoft-com:office:smarttags" w:element="metricconverter">
        <w:smartTagPr>
          <w:attr w:name="ProductID" w:val="2015 г"/>
        </w:smartTagPr>
        <w:r w:rsidRPr="0010201B">
          <w:rPr>
            <w:lang w:val="uk-UA"/>
          </w:rPr>
          <w:t>2015 г</w:t>
        </w:r>
      </w:smartTag>
      <w:r w:rsidRPr="0010201B">
        <w:rPr>
          <w:lang w:val="uk-UA"/>
        </w:rPr>
        <w:t>.</w:t>
      </w:r>
      <w:r>
        <w:rPr>
          <w:lang w:val="uk-UA"/>
        </w:rPr>
        <w:t>) Ташкент,</w:t>
      </w:r>
      <w:r w:rsidRPr="0010201B">
        <w:rPr>
          <w:lang w:val="uk-UA"/>
        </w:rPr>
        <w:t xml:space="preserve"> 2015</w:t>
      </w:r>
      <w:r>
        <w:rPr>
          <w:lang w:val="uk-UA"/>
        </w:rPr>
        <w:t>.</w:t>
      </w:r>
      <w:r w:rsidRPr="0010201B">
        <w:rPr>
          <w:lang w:val="uk-UA"/>
        </w:rPr>
        <w:t xml:space="preserve"> </w:t>
      </w:r>
      <w:r>
        <w:rPr>
          <w:lang w:val="uk-UA"/>
        </w:rPr>
        <w:t>– С</w:t>
      </w:r>
      <w:r w:rsidRPr="0010201B">
        <w:rPr>
          <w:lang w:val="uk-UA"/>
        </w:rPr>
        <w:t>. 295.</w:t>
      </w:r>
    </w:p>
    <w:p w:rsidR="004868FD" w:rsidRPr="0010201B" w:rsidRDefault="004868FD" w:rsidP="00CD5061">
      <w:pPr>
        <w:pStyle w:val="atextSpisLit"/>
        <w:numPr>
          <w:ilvl w:val="0"/>
          <w:numId w:val="22"/>
        </w:numPr>
        <w:spacing w:after="120" w:line="240" w:lineRule="auto"/>
        <w:ind w:left="709" w:hanging="357"/>
      </w:pPr>
      <w:r w:rsidRPr="0010201B">
        <w:rPr>
          <w:lang w:val="uk-UA"/>
        </w:rPr>
        <w:lastRenderedPageBreak/>
        <w:t xml:space="preserve"> Ерёменко Г</w:t>
      </w:r>
      <w:r>
        <w:rPr>
          <w:lang w:val="uk-UA"/>
        </w:rPr>
        <w:t>.</w:t>
      </w:r>
      <w:r w:rsidRPr="0010201B">
        <w:rPr>
          <w:lang w:val="uk-UA"/>
        </w:rPr>
        <w:t>В. Особенности лечения больных тяжелой бронхиальной астмой</w:t>
      </w:r>
      <w:r>
        <w:rPr>
          <w:lang w:val="uk-UA"/>
        </w:rPr>
        <w:t>.</w:t>
      </w:r>
      <w:r w:rsidRPr="0010201B">
        <w:rPr>
          <w:lang w:val="uk-UA"/>
        </w:rPr>
        <w:t xml:space="preserve"> </w:t>
      </w:r>
      <w:r w:rsidRPr="00331B70">
        <w:rPr>
          <w:i/>
          <w:lang w:val="uk-UA"/>
        </w:rPr>
        <w:t>Хронічні неінфекційні захворювання: заходи профілактики і боротьби з ускладненнями</w:t>
      </w:r>
      <w:r>
        <w:rPr>
          <w:lang w:val="uk-UA"/>
        </w:rPr>
        <w:t>: з</w:t>
      </w:r>
      <w:r w:rsidRPr="0010201B">
        <w:rPr>
          <w:lang w:val="uk-UA"/>
        </w:rPr>
        <w:t xml:space="preserve">бірник тез </w:t>
      </w:r>
      <w:r>
        <w:rPr>
          <w:lang w:val="uk-UA"/>
        </w:rPr>
        <w:t>(</w:t>
      </w:r>
      <w:r w:rsidRPr="0010201B">
        <w:rPr>
          <w:lang w:val="uk-UA"/>
        </w:rPr>
        <w:t>Харків</w:t>
      </w:r>
      <w:r>
        <w:rPr>
          <w:lang w:val="uk-UA"/>
        </w:rPr>
        <w:t>,</w:t>
      </w:r>
      <w:r w:rsidRPr="0010201B">
        <w:rPr>
          <w:lang w:val="uk-UA"/>
        </w:rPr>
        <w:t xml:space="preserve"> 5 листопада 2015 р</w:t>
      </w:r>
      <w:r>
        <w:rPr>
          <w:lang w:val="uk-UA"/>
        </w:rPr>
        <w:t>.)</w:t>
      </w:r>
      <w:r w:rsidRPr="0010201B">
        <w:rPr>
          <w:lang w:val="uk-UA"/>
        </w:rPr>
        <w:t>. Харків</w:t>
      </w:r>
      <w:r>
        <w:rPr>
          <w:lang w:val="uk-UA"/>
        </w:rPr>
        <w:t>,</w:t>
      </w:r>
      <w:r w:rsidRPr="0010201B">
        <w:rPr>
          <w:lang w:val="uk-UA"/>
        </w:rPr>
        <w:t xml:space="preserve"> 2015</w:t>
      </w:r>
      <w:r>
        <w:rPr>
          <w:lang w:val="uk-UA"/>
        </w:rPr>
        <w:t>. –</w:t>
      </w:r>
      <w:r w:rsidRPr="0010201B">
        <w:rPr>
          <w:lang w:val="uk-UA"/>
        </w:rPr>
        <w:t xml:space="preserve"> </w:t>
      </w:r>
      <w:r>
        <w:rPr>
          <w:lang w:val="uk-UA"/>
        </w:rPr>
        <w:t>С</w:t>
      </w:r>
      <w:r w:rsidRPr="0010201B">
        <w:rPr>
          <w:lang w:val="uk-UA"/>
        </w:rPr>
        <w:t>.</w:t>
      </w:r>
      <w:r>
        <w:rPr>
          <w:lang w:val="uk-UA"/>
        </w:rPr>
        <w:t> </w:t>
      </w:r>
      <w:r w:rsidRPr="0010201B">
        <w:rPr>
          <w:lang w:val="uk-UA"/>
        </w:rPr>
        <w:t>78.</w:t>
      </w:r>
    </w:p>
    <w:p w:rsidR="004868FD" w:rsidRPr="0010201B" w:rsidRDefault="004868FD" w:rsidP="00CD5061">
      <w:pPr>
        <w:pStyle w:val="atextSpisLit"/>
        <w:numPr>
          <w:ilvl w:val="0"/>
          <w:numId w:val="22"/>
        </w:numPr>
        <w:spacing w:after="120" w:line="240" w:lineRule="auto"/>
        <w:ind w:left="709" w:hanging="357"/>
      </w:pPr>
      <w:r w:rsidRPr="0010201B">
        <w:rPr>
          <w:lang w:val="uk-UA"/>
        </w:rPr>
        <w:t xml:space="preserve"> Єрьоменко Г</w:t>
      </w:r>
      <w:r>
        <w:rPr>
          <w:lang w:val="uk-UA"/>
        </w:rPr>
        <w:t>.</w:t>
      </w:r>
      <w:r w:rsidRPr="0010201B">
        <w:rPr>
          <w:lang w:val="uk-UA"/>
        </w:rPr>
        <w:t>В</w:t>
      </w:r>
      <w:r>
        <w:rPr>
          <w:lang w:val="uk-UA"/>
        </w:rPr>
        <w:t>.</w:t>
      </w:r>
      <w:r w:rsidRPr="0010201B">
        <w:rPr>
          <w:lang w:val="uk-UA"/>
        </w:rPr>
        <w:t>, Ілюха С</w:t>
      </w:r>
      <w:r>
        <w:rPr>
          <w:lang w:val="uk-UA"/>
        </w:rPr>
        <w:t>.</w:t>
      </w:r>
      <w:r w:rsidRPr="0010201B">
        <w:rPr>
          <w:lang w:val="uk-UA"/>
        </w:rPr>
        <w:t xml:space="preserve">Э. Роль фракталкина в развитии воспаления у больных бронхиальной астмой. </w:t>
      </w:r>
      <w:r w:rsidRPr="001B0EEA">
        <w:rPr>
          <w:i/>
          <w:lang w:val="uk-UA"/>
        </w:rPr>
        <w:t>Актуальні питання сучасної медицини</w:t>
      </w:r>
      <w:r>
        <w:rPr>
          <w:lang w:val="uk-UA"/>
        </w:rPr>
        <w:t>:</w:t>
      </w:r>
      <w:r w:rsidRPr="0010201B">
        <w:rPr>
          <w:lang w:val="uk-UA"/>
        </w:rPr>
        <w:t xml:space="preserve"> </w:t>
      </w:r>
      <w:r>
        <w:rPr>
          <w:lang w:val="uk-UA"/>
        </w:rPr>
        <w:t>м</w:t>
      </w:r>
      <w:r w:rsidRPr="0010201B">
        <w:rPr>
          <w:lang w:val="uk-UA"/>
        </w:rPr>
        <w:t xml:space="preserve">атеріали науково-практичної конференції </w:t>
      </w:r>
      <w:r>
        <w:rPr>
          <w:lang w:val="uk-UA"/>
        </w:rPr>
        <w:t>(</w:t>
      </w:r>
      <w:r w:rsidRPr="0010201B">
        <w:rPr>
          <w:lang w:val="uk-UA"/>
        </w:rPr>
        <w:t>Харків</w:t>
      </w:r>
      <w:r>
        <w:rPr>
          <w:lang w:val="uk-UA"/>
        </w:rPr>
        <w:t>,</w:t>
      </w:r>
      <w:r w:rsidRPr="0010201B">
        <w:rPr>
          <w:lang w:val="uk-UA"/>
        </w:rPr>
        <w:t xml:space="preserve"> 14–15 квітня 2016 р.</w:t>
      </w:r>
      <w:r>
        <w:rPr>
          <w:lang w:val="uk-UA"/>
        </w:rPr>
        <w:t>).</w:t>
      </w:r>
      <w:r w:rsidRPr="0010201B">
        <w:rPr>
          <w:lang w:val="uk-UA"/>
        </w:rPr>
        <w:t xml:space="preserve"> Харків</w:t>
      </w:r>
      <w:r>
        <w:rPr>
          <w:lang w:val="uk-UA"/>
        </w:rPr>
        <w:t>,</w:t>
      </w:r>
      <w:r w:rsidRPr="0010201B">
        <w:rPr>
          <w:lang w:val="uk-UA"/>
        </w:rPr>
        <w:t xml:space="preserve"> 2016</w:t>
      </w:r>
      <w:r>
        <w:rPr>
          <w:lang w:val="uk-UA"/>
        </w:rPr>
        <w:t>. С. </w:t>
      </w:r>
      <w:r w:rsidRPr="0010201B">
        <w:rPr>
          <w:lang w:val="uk-UA"/>
        </w:rPr>
        <w:t>18</w:t>
      </w:r>
      <w:r>
        <w:rPr>
          <w:lang w:val="uk-UA"/>
        </w:rPr>
        <w:t>–</w:t>
      </w:r>
      <w:r w:rsidRPr="0010201B">
        <w:rPr>
          <w:lang w:val="uk-UA"/>
        </w:rPr>
        <w:t>19. (</w:t>
      </w:r>
      <w:r w:rsidRPr="0010201B">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10201B">
        <w:rPr>
          <w:lang w:val="uk-UA"/>
        </w:rPr>
        <w:t>).</w:t>
      </w:r>
    </w:p>
    <w:p w:rsidR="004868FD" w:rsidRPr="0010201B" w:rsidRDefault="004868FD" w:rsidP="00CD5061">
      <w:pPr>
        <w:pStyle w:val="atextSpisLit"/>
        <w:numPr>
          <w:ilvl w:val="0"/>
          <w:numId w:val="22"/>
        </w:numPr>
        <w:spacing w:after="120" w:line="240" w:lineRule="auto"/>
        <w:ind w:left="709" w:hanging="357"/>
      </w:pPr>
      <w:r w:rsidRPr="0010201B">
        <w:rPr>
          <w:lang w:val="uk-UA"/>
        </w:rPr>
        <w:t>Єрьоменко</w:t>
      </w:r>
      <w:r>
        <w:rPr>
          <w:lang w:val="uk-UA"/>
        </w:rPr>
        <w:t> </w:t>
      </w:r>
      <w:r w:rsidRPr="0010201B">
        <w:rPr>
          <w:lang w:val="uk-UA"/>
        </w:rPr>
        <w:t>Г</w:t>
      </w:r>
      <w:r>
        <w:rPr>
          <w:lang w:val="uk-UA"/>
        </w:rPr>
        <w:t>.</w:t>
      </w:r>
      <w:r w:rsidRPr="0010201B">
        <w:rPr>
          <w:lang w:val="uk-UA"/>
        </w:rPr>
        <w:t>В</w:t>
      </w:r>
      <w:r>
        <w:rPr>
          <w:lang w:val="uk-UA"/>
        </w:rPr>
        <w:t>.</w:t>
      </w:r>
      <w:r w:rsidRPr="0010201B">
        <w:rPr>
          <w:lang w:val="uk-UA"/>
        </w:rPr>
        <w:t>, Ілюха С</w:t>
      </w:r>
      <w:r>
        <w:rPr>
          <w:lang w:val="uk-UA"/>
        </w:rPr>
        <w:t>.</w:t>
      </w:r>
      <w:r w:rsidRPr="0010201B">
        <w:rPr>
          <w:lang w:val="uk-UA"/>
        </w:rPr>
        <w:t xml:space="preserve">Е. Проблеми цукрового діабету та бронхіальної астми. </w:t>
      </w:r>
      <w:r w:rsidRPr="003F0AD0">
        <w:rPr>
          <w:i/>
          <w:lang w:val="uk-UA"/>
        </w:rPr>
        <w:t>Науковий потенціал молоді – прогрес медицини майбутнього</w:t>
      </w:r>
      <w:r>
        <w:rPr>
          <w:lang w:val="uk-UA"/>
        </w:rPr>
        <w:t>:</w:t>
      </w:r>
      <w:r w:rsidRPr="0010201B">
        <w:rPr>
          <w:lang w:val="uk-UA"/>
        </w:rPr>
        <w:t xml:space="preserve"> </w:t>
      </w:r>
      <w:r>
        <w:rPr>
          <w:lang w:val="uk-UA"/>
        </w:rPr>
        <w:t>м</w:t>
      </w:r>
      <w:r w:rsidRPr="0010201B">
        <w:rPr>
          <w:lang w:val="uk-UA"/>
        </w:rPr>
        <w:t xml:space="preserve">атеріали XIV міжнародної науково-практичної конференції </w:t>
      </w:r>
      <w:r>
        <w:rPr>
          <w:lang w:val="uk-UA"/>
        </w:rPr>
        <w:t>(</w:t>
      </w:r>
      <w:r w:rsidRPr="0010201B">
        <w:rPr>
          <w:lang w:val="uk-UA"/>
        </w:rPr>
        <w:t>Харків</w:t>
      </w:r>
      <w:r>
        <w:rPr>
          <w:lang w:val="uk-UA"/>
        </w:rPr>
        <w:t>,</w:t>
      </w:r>
      <w:r w:rsidRPr="0010201B">
        <w:rPr>
          <w:lang w:val="uk-UA"/>
        </w:rPr>
        <w:t xml:space="preserve"> 20–23 квітня 2016</w:t>
      </w:r>
      <w:r>
        <w:rPr>
          <w:lang w:val="uk-UA"/>
        </w:rPr>
        <w:t>)</w:t>
      </w:r>
      <w:r w:rsidRPr="0010201B">
        <w:rPr>
          <w:lang w:val="uk-UA"/>
        </w:rPr>
        <w:t>. Харків</w:t>
      </w:r>
      <w:r>
        <w:rPr>
          <w:lang w:val="uk-UA"/>
        </w:rPr>
        <w:t>,</w:t>
      </w:r>
      <w:r w:rsidRPr="0010201B">
        <w:rPr>
          <w:lang w:val="uk-UA"/>
        </w:rPr>
        <w:t xml:space="preserve"> 2016</w:t>
      </w:r>
      <w:r>
        <w:rPr>
          <w:lang w:val="uk-UA"/>
        </w:rPr>
        <w:t>.</w:t>
      </w:r>
      <w:r w:rsidRPr="0010201B">
        <w:rPr>
          <w:lang w:val="uk-UA"/>
        </w:rPr>
        <w:t xml:space="preserve"> </w:t>
      </w:r>
      <w:r>
        <w:rPr>
          <w:lang w:val="uk-UA"/>
        </w:rPr>
        <w:t>С</w:t>
      </w:r>
      <w:r w:rsidRPr="0010201B">
        <w:rPr>
          <w:lang w:val="uk-UA"/>
        </w:rPr>
        <w:t>.</w:t>
      </w:r>
      <w:r>
        <w:rPr>
          <w:lang w:val="uk-UA"/>
        </w:rPr>
        <w:t> </w:t>
      </w:r>
      <w:r w:rsidRPr="0010201B">
        <w:rPr>
          <w:lang w:val="uk-UA"/>
        </w:rPr>
        <w:t>233</w:t>
      </w:r>
      <w:r>
        <w:rPr>
          <w:lang w:val="uk-UA"/>
        </w:rPr>
        <w:t>–</w:t>
      </w:r>
      <w:r w:rsidRPr="0010201B">
        <w:rPr>
          <w:lang w:val="uk-UA"/>
        </w:rPr>
        <w:t>234. (</w:t>
      </w:r>
      <w:r w:rsidRPr="0010201B">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10201B">
        <w:rPr>
          <w:lang w:val="uk-UA"/>
        </w:rPr>
        <w:t>).</w:t>
      </w:r>
    </w:p>
    <w:p w:rsidR="004868FD" w:rsidRPr="0010201B" w:rsidRDefault="004868FD" w:rsidP="00CD5061">
      <w:pPr>
        <w:pStyle w:val="atextSpisLit"/>
        <w:numPr>
          <w:ilvl w:val="0"/>
          <w:numId w:val="22"/>
        </w:numPr>
        <w:spacing w:after="120" w:line="240" w:lineRule="auto"/>
        <w:ind w:left="709" w:hanging="357"/>
      </w:pPr>
      <w:r w:rsidRPr="0010201B">
        <w:rPr>
          <w:lang w:val="uk-UA"/>
        </w:rPr>
        <w:t>Ерёменко Г</w:t>
      </w:r>
      <w:r>
        <w:rPr>
          <w:lang w:val="uk-UA"/>
        </w:rPr>
        <w:t>.</w:t>
      </w:r>
      <w:r w:rsidRPr="0010201B">
        <w:rPr>
          <w:lang w:val="uk-UA"/>
        </w:rPr>
        <w:t xml:space="preserve">В. Параметры клеточного и гуморального звеньев иммунитета у больных с бронхиальной астмой. </w:t>
      </w:r>
      <w:r w:rsidRPr="003F0AD0">
        <w:rPr>
          <w:i/>
          <w:lang w:val="uk-UA"/>
        </w:rPr>
        <w:t>Актуальні питання теоретичної та практичної медицини</w:t>
      </w:r>
      <w:r>
        <w:rPr>
          <w:i/>
          <w:lang w:val="uk-UA"/>
        </w:rPr>
        <w:t>:</w:t>
      </w:r>
      <w:r w:rsidRPr="0010201B">
        <w:rPr>
          <w:lang w:val="uk-UA"/>
        </w:rPr>
        <w:t xml:space="preserve"> </w:t>
      </w:r>
      <w:r>
        <w:rPr>
          <w:lang w:val="uk-UA"/>
        </w:rPr>
        <w:t>м</w:t>
      </w:r>
      <w:r w:rsidRPr="0010201B">
        <w:rPr>
          <w:lang w:val="uk-UA"/>
        </w:rPr>
        <w:t xml:space="preserve">атеріали IV Міжнародної науково-практичної конференції студентів та молодих вчених </w:t>
      </w:r>
      <w:r>
        <w:rPr>
          <w:lang w:val="uk-UA"/>
        </w:rPr>
        <w:t>(</w:t>
      </w:r>
      <w:r w:rsidRPr="0010201B">
        <w:rPr>
          <w:lang w:val="uk-UA"/>
        </w:rPr>
        <w:t>Харків</w:t>
      </w:r>
      <w:r>
        <w:rPr>
          <w:lang w:val="uk-UA"/>
        </w:rPr>
        <w:t>,</w:t>
      </w:r>
      <w:r w:rsidRPr="0010201B">
        <w:rPr>
          <w:lang w:val="uk-UA"/>
        </w:rPr>
        <w:t xml:space="preserve"> 21–22 квітня 2016 р.</w:t>
      </w:r>
      <w:r>
        <w:rPr>
          <w:lang w:val="uk-UA"/>
        </w:rPr>
        <w:t>).</w:t>
      </w:r>
      <w:r w:rsidRPr="0010201B">
        <w:rPr>
          <w:lang w:val="uk-UA"/>
        </w:rPr>
        <w:t xml:space="preserve"> Харків</w:t>
      </w:r>
      <w:r>
        <w:rPr>
          <w:lang w:val="uk-UA"/>
        </w:rPr>
        <w:t>,</w:t>
      </w:r>
      <w:r w:rsidRPr="0010201B">
        <w:rPr>
          <w:lang w:val="uk-UA"/>
        </w:rPr>
        <w:t xml:space="preserve"> 2016</w:t>
      </w:r>
      <w:r>
        <w:rPr>
          <w:lang w:val="uk-UA"/>
        </w:rPr>
        <w:t>. С. </w:t>
      </w:r>
      <w:r w:rsidRPr="0010201B">
        <w:rPr>
          <w:lang w:val="uk-UA"/>
        </w:rPr>
        <w:t>119.</w:t>
      </w:r>
    </w:p>
    <w:p w:rsidR="004868FD" w:rsidRPr="0010201B" w:rsidRDefault="004868FD" w:rsidP="00CD5061">
      <w:pPr>
        <w:pStyle w:val="atextSpisLit"/>
        <w:numPr>
          <w:ilvl w:val="0"/>
          <w:numId w:val="22"/>
        </w:numPr>
        <w:spacing w:after="120" w:line="240" w:lineRule="auto"/>
        <w:ind w:left="709" w:hanging="357"/>
      </w:pPr>
      <w:r w:rsidRPr="0010201B">
        <w:rPr>
          <w:lang w:val="uk-UA"/>
        </w:rPr>
        <w:t xml:space="preserve">Yeryomenko G. The role of von Willebrand factor in the development of inflammation in patients with asthma. </w:t>
      </w:r>
      <w:r w:rsidRPr="00B134A8">
        <w:rPr>
          <w:i/>
          <w:lang w:val="uk-UA"/>
        </w:rPr>
        <w:t>IX International Interdisciplinary scientific conference of young scientists and medical students «Actual problems of clinical and theoretical medicine»</w:t>
      </w:r>
      <w:r w:rsidRPr="0010201B">
        <w:rPr>
          <w:lang w:val="uk-UA"/>
        </w:rPr>
        <w:t xml:space="preserve"> </w:t>
      </w:r>
      <w:r w:rsidRPr="00B134A8">
        <w:rPr>
          <w:i/>
          <w:lang w:val="uk-UA"/>
        </w:rPr>
        <w:t>Kharkiv National Medical University</w:t>
      </w:r>
      <w:r w:rsidRPr="0010201B">
        <w:rPr>
          <w:lang w:val="uk-UA"/>
        </w:rPr>
        <w:t xml:space="preserve"> </w:t>
      </w:r>
      <w:r w:rsidR="00B134A8">
        <w:rPr>
          <w:lang w:val="uk-UA"/>
        </w:rPr>
        <w:t>(</w:t>
      </w:r>
      <w:r w:rsidR="00B134A8" w:rsidRPr="0010201B">
        <w:rPr>
          <w:lang w:val="uk-UA"/>
        </w:rPr>
        <w:t>Kharkiv</w:t>
      </w:r>
      <w:r w:rsidR="00B134A8">
        <w:rPr>
          <w:lang w:val="uk-UA"/>
        </w:rPr>
        <w:t>,</w:t>
      </w:r>
      <w:r w:rsidR="00B134A8" w:rsidRPr="0010201B">
        <w:rPr>
          <w:lang w:val="uk-UA"/>
        </w:rPr>
        <w:t xml:space="preserve"> </w:t>
      </w:r>
      <w:r w:rsidRPr="0010201B">
        <w:rPr>
          <w:lang w:val="uk-UA"/>
        </w:rPr>
        <w:t>20 May 2016</w:t>
      </w:r>
      <w:r w:rsidR="00B134A8">
        <w:rPr>
          <w:lang w:val="uk-UA"/>
        </w:rPr>
        <w:t>)</w:t>
      </w:r>
      <w:r w:rsidRPr="0010201B">
        <w:rPr>
          <w:lang w:val="uk-UA"/>
        </w:rPr>
        <w:t>. Kharkiv</w:t>
      </w:r>
      <w:r>
        <w:rPr>
          <w:lang w:val="uk-UA"/>
        </w:rPr>
        <w:t>,</w:t>
      </w:r>
      <w:r w:rsidRPr="0010201B">
        <w:rPr>
          <w:lang w:val="uk-UA"/>
        </w:rPr>
        <w:t xml:space="preserve"> 2016</w:t>
      </w:r>
      <w:r>
        <w:rPr>
          <w:lang w:val="uk-UA"/>
        </w:rPr>
        <w:t>.</w:t>
      </w:r>
      <w:r w:rsidRPr="0010201B">
        <w:rPr>
          <w:lang w:val="uk-UA"/>
        </w:rPr>
        <w:t xml:space="preserve"> Р. 381</w:t>
      </w:r>
      <w:r>
        <w:rPr>
          <w:lang w:val="uk-UA"/>
        </w:rPr>
        <w:t>–</w:t>
      </w:r>
      <w:r w:rsidRPr="0010201B">
        <w:rPr>
          <w:lang w:val="uk-UA"/>
        </w:rPr>
        <w:t>382.</w:t>
      </w:r>
    </w:p>
    <w:p w:rsidR="004868FD" w:rsidRPr="0010201B" w:rsidRDefault="004868FD" w:rsidP="00CD5061">
      <w:pPr>
        <w:pStyle w:val="atextSpisLit"/>
        <w:numPr>
          <w:ilvl w:val="0"/>
          <w:numId w:val="22"/>
        </w:numPr>
        <w:spacing w:after="120" w:line="240" w:lineRule="auto"/>
        <w:ind w:left="709" w:hanging="357"/>
      </w:pPr>
      <w:r w:rsidRPr="0010201B">
        <w:rPr>
          <w:lang w:val="uk-UA"/>
        </w:rPr>
        <w:t>Ерёменко Г</w:t>
      </w:r>
      <w:r>
        <w:rPr>
          <w:lang w:val="uk-UA"/>
        </w:rPr>
        <w:t>.</w:t>
      </w:r>
      <w:r w:rsidRPr="0010201B">
        <w:rPr>
          <w:lang w:val="uk-UA"/>
        </w:rPr>
        <w:t>В</w:t>
      </w:r>
      <w:r>
        <w:rPr>
          <w:lang w:val="uk-UA"/>
        </w:rPr>
        <w:t>.</w:t>
      </w:r>
      <w:r w:rsidRPr="0010201B">
        <w:rPr>
          <w:lang w:val="uk-UA"/>
        </w:rPr>
        <w:t>, Бездетко Т</w:t>
      </w:r>
      <w:r>
        <w:rPr>
          <w:lang w:val="uk-UA"/>
        </w:rPr>
        <w:t>.</w:t>
      </w:r>
      <w:r w:rsidRPr="0010201B">
        <w:rPr>
          <w:lang w:val="uk-UA"/>
        </w:rPr>
        <w:t>В</w:t>
      </w:r>
      <w:r>
        <w:rPr>
          <w:lang w:val="uk-UA"/>
        </w:rPr>
        <w:t>.</w:t>
      </w:r>
      <w:r w:rsidRPr="0010201B">
        <w:rPr>
          <w:lang w:val="uk-UA"/>
        </w:rPr>
        <w:t>, Хохуда О</w:t>
      </w:r>
      <w:r>
        <w:rPr>
          <w:lang w:val="uk-UA"/>
        </w:rPr>
        <w:t>.</w:t>
      </w:r>
      <w:r w:rsidRPr="0010201B">
        <w:rPr>
          <w:lang w:val="uk-UA"/>
        </w:rPr>
        <w:t xml:space="preserve">Н. Контроль над симптомами бронхиальной астмы возможен. </w:t>
      </w:r>
      <w:r w:rsidRPr="003F0AD0">
        <w:rPr>
          <w:i/>
          <w:lang w:val="uk-UA"/>
        </w:rPr>
        <w:t>Щорічні терапевтичні читання: профілактика неінфекційних захворювань на перехресті терапевтичних наук</w:t>
      </w:r>
      <w:r>
        <w:rPr>
          <w:lang w:val="uk-UA"/>
        </w:rPr>
        <w:t>:</w:t>
      </w:r>
      <w:r w:rsidRPr="0010201B">
        <w:rPr>
          <w:lang w:val="uk-UA"/>
        </w:rPr>
        <w:t xml:space="preserve"> </w:t>
      </w:r>
      <w:r>
        <w:rPr>
          <w:lang w:val="uk-UA"/>
        </w:rPr>
        <w:t>м</w:t>
      </w:r>
      <w:r w:rsidRPr="0010201B">
        <w:rPr>
          <w:lang w:val="uk-UA"/>
        </w:rPr>
        <w:t xml:space="preserve">атеріали науково-практичної конференції з міжнародною участю </w:t>
      </w:r>
      <w:r>
        <w:rPr>
          <w:lang w:val="uk-UA"/>
        </w:rPr>
        <w:t>(</w:t>
      </w:r>
      <w:r w:rsidRPr="0010201B">
        <w:rPr>
          <w:lang w:val="uk-UA"/>
        </w:rPr>
        <w:t>Харків</w:t>
      </w:r>
      <w:r>
        <w:rPr>
          <w:lang w:val="uk-UA"/>
        </w:rPr>
        <w:t>,</w:t>
      </w:r>
      <w:r w:rsidRPr="0010201B">
        <w:rPr>
          <w:lang w:val="uk-UA"/>
        </w:rPr>
        <w:t xml:space="preserve"> 21 квітня 2016</w:t>
      </w:r>
      <w:r>
        <w:rPr>
          <w:lang w:val="uk-UA"/>
        </w:rPr>
        <w:t> </w:t>
      </w:r>
      <w:r w:rsidRPr="0010201B">
        <w:rPr>
          <w:lang w:val="uk-UA"/>
        </w:rPr>
        <w:t>р.</w:t>
      </w:r>
      <w:r>
        <w:rPr>
          <w:lang w:val="uk-UA"/>
        </w:rPr>
        <w:t>).</w:t>
      </w:r>
      <w:r w:rsidRPr="0010201B">
        <w:rPr>
          <w:lang w:val="uk-UA"/>
        </w:rPr>
        <w:t xml:space="preserve"> Харків</w:t>
      </w:r>
      <w:r>
        <w:rPr>
          <w:lang w:val="uk-UA"/>
        </w:rPr>
        <w:t>,</w:t>
      </w:r>
      <w:r w:rsidRPr="0010201B">
        <w:rPr>
          <w:lang w:val="uk-UA"/>
        </w:rPr>
        <w:t xml:space="preserve"> 2016</w:t>
      </w:r>
      <w:r>
        <w:rPr>
          <w:lang w:val="uk-UA"/>
        </w:rPr>
        <w:t>.</w:t>
      </w:r>
      <w:r w:rsidRPr="0010201B">
        <w:rPr>
          <w:lang w:val="uk-UA"/>
        </w:rPr>
        <w:t xml:space="preserve"> </w:t>
      </w:r>
      <w:r>
        <w:rPr>
          <w:lang w:val="uk-UA"/>
        </w:rPr>
        <w:t>С</w:t>
      </w:r>
      <w:r w:rsidRPr="0010201B">
        <w:rPr>
          <w:lang w:val="uk-UA"/>
        </w:rPr>
        <w:t>. 17. (</w:t>
      </w:r>
      <w:r w:rsidRPr="0010201B">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10201B">
        <w:rPr>
          <w:lang w:val="uk-UA"/>
        </w:rPr>
        <w:t>).</w:t>
      </w:r>
    </w:p>
    <w:p w:rsidR="004868FD" w:rsidRPr="0010201B" w:rsidRDefault="004868FD" w:rsidP="00CD5061">
      <w:pPr>
        <w:pStyle w:val="atextSpisLit"/>
        <w:numPr>
          <w:ilvl w:val="0"/>
          <w:numId w:val="22"/>
        </w:numPr>
        <w:spacing w:after="120" w:line="240" w:lineRule="auto"/>
        <w:ind w:left="709" w:hanging="357"/>
      </w:pPr>
      <w:r w:rsidRPr="0010201B">
        <w:rPr>
          <w:lang w:val="uk-UA"/>
        </w:rPr>
        <w:t>Ерёменко Г</w:t>
      </w:r>
      <w:r>
        <w:rPr>
          <w:lang w:val="uk-UA"/>
        </w:rPr>
        <w:t>.</w:t>
      </w:r>
      <w:r w:rsidRPr="0010201B">
        <w:rPr>
          <w:lang w:val="uk-UA"/>
        </w:rPr>
        <w:t xml:space="preserve">В. Особенности лечения больных тяжелой бронхиальной астмой. </w:t>
      </w:r>
      <w:r w:rsidRPr="003F0AD0">
        <w:rPr>
          <w:i/>
          <w:spacing w:val="-2"/>
          <w:lang w:val="uk-UA"/>
        </w:rPr>
        <w:t>Щорічні терапевтичні читання: профілактика неінфекційних захворювань на перехресті терапевтичних наук</w:t>
      </w:r>
      <w:r w:rsidRPr="003F0AD0">
        <w:rPr>
          <w:spacing w:val="-2"/>
          <w:lang w:val="uk-UA"/>
        </w:rPr>
        <w:t>: матеріали науково-практичної конференції з</w:t>
      </w:r>
      <w:r>
        <w:rPr>
          <w:spacing w:val="-2"/>
          <w:lang w:val="uk-UA"/>
        </w:rPr>
        <w:t> </w:t>
      </w:r>
      <w:r w:rsidRPr="003F0AD0">
        <w:rPr>
          <w:spacing w:val="-2"/>
          <w:lang w:val="uk-UA"/>
        </w:rPr>
        <w:t>міжнародною участю</w:t>
      </w:r>
      <w:r w:rsidRPr="0010201B">
        <w:rPr>
          <w:lang w:val="uk-UA"/>
        </w:rPr>
        <w:t xml:space="preserve"> </w:t>
      </w:r>
      <w:r>
        <w:rPr>
          <w:lang w:val="uk-UA"/>
        </w:rPr>
        <w:t>(</w:t>
      </w:r>
      <w:r w:rsidRPr="0010201B">
        <w:rPr>
          <w:lang w:val="uk-UA"/>
        </w:rPr>
        <w:t>Харків</w:t>
      </w:r>
      <w:r>
        <w:rPr>
          <w:lang w:val="uk-UA"/>
        </w:rPr>
        <w:t>,</w:t>
      </w:r>
      <w:r w:rsidRPr="0010201B">
        <w:rPr>
          <w:lang w:val="uk-UA"/>
        </w:rPr>
        <w:t xml:space="preserve"> 21 квітня 2016 р.</w:t>
      </w:r>
      <w:r>
        <w:rPr>
          <w:lang w:val="uk-UA"/>
        </w:rPr>
        <w:t>).</w:t>
      </w:r>
      <w:r w:rsidRPr="0010201B">
        <w:rPr>
          <w:lang w:val="uk-UA"/>
        </w:rPr>
        <w:t xml:space="preserve"> Харків</w:t>
      </w:r>
      <w:r>
        <w:rPr>
          <w:lang w:val="uk-UA"/>
        </w:rPr>
        <w:t>,</w:t>
      </w:r>
      <w:r w:rsidRPr="0010201B">
        <w:rPr>
          <w:lang w:val="uk-UA"/>
        </w:rPr>
        <w:t xml:space="preserve"> 2016</w:t>
      </w:r>
      <w:r>
        <w:rPr>
          <w:lang w:val="uk-UA"/>
        </w:rPr>
        <w:t>.</w:t>
      </w:r>
      <w:r w:rsidRPr="0010201B">
        <w:rPr>
          <w:lang w:val="uk-UA"/>
        </w:rPr>
        <w:t xml:space="preserve"> </w:t>
      </w:r>
      <w:r>
        <w:rPr>
          <w:lang w:val="uk-UA"/>
        </w:rPr>
        <w:t>С</w:t>
      </w:r>
      <w:r w:rsidRPr="0010201B">
        <w:rPr>
          <w:lang w:val="uk-UA"/>
        </w:rPr>
        <w:t>.</w:t>
      </w:r>
      <w:r>
        <w:rPr>
          <w:lang w:val="uk-UA"/>
        </w:rPr>
        <w:t> </w:t>
      </w:r>
      <w:r w:rsidRPr="0010201B">
        <w:rPr>
          <w:lang w:val="uk-UA"/>
        </w:rPr>
        <w:t>98.</w:t>
      </w:r>
    </w:p>
    <w:p w:rsidR="004868FD" w:rsidRPr="004D6464" w:rsidRDefault="004868FD" w:rsidP="00CD5061">
      <w:pPr>
        <w:pStyle w:val="atextSpisLit"/>
        <w:numPr>
          <w:ilvl w:val="0"/>
          <w:numId w:val="22"/>
        </w:numPr>
        <w:spacing w:after="120" w:line="240" w:lineRule="auto"/>
        <w:ind w:left="709" w:hanging="357"/>
      </w:pPr>
      <w:r w:rsidRPr="0010201B">
        <w:t>Ерёменко Г</w:t>
      </w:r>
      <w:r>
        <w:rPr>
          <w:lang w:val="uk-UA"/>
        </w:rPr>
        <w:t>.</w:t>
      </w:r>
      <w:r w:rsidRPr="0010201B">
        <w:t>В</w:t>
      </w:r>
      <w:r>
        <w:rPr>
          <w:lang w:val="uk-UA"/>
        </w:rPr>
        <w:t>.</w:t>
      </w:r>
      <w:r w:rsidRPr="0010201B">
        <w:t>, Бездетко Т</w:t>
      </w:r>
      <w:r>
        <w:rPr>
          <w:lang w:val="uk-UA"/>
        </w:rPr>
        <w:t>.</w:t>
      </w:r>
      <w:r w:rsidRPr="0010201B">
        <w:t>В</w:t>
      </w:r>
      <w:r>
        <w:rPr>
          <w:lang w:val="uk-UA"/>
        </w:rPr>
        <w:t>.</w:t>
      </w:r>
      <w:r w:rsidRPr="0010201B">
        <w:t>, Оспанова Т</w:t>
      </w:r>
      <w:r>
        <w:rPr>
          <w:lang w:val="uk-UA"/>
        </w:rPr>
        <w:t>.</w:t>
      </w:r>
      <w:r w:rsidRPr="0010201B">
        <w:t xml:space="preserve">С. Некоторые причины бронхиальной обструкции у больных бронхальной астмой. </w:t>
      </w:r>
      <w:r w:rsidRPr="003F0AD0">
        <w:rPr>
          <w:i/>
        </w:rPr>
        <w:t xml:space="preserve">Щорічні </w:t>
      </w:r>
      <w:r w:rsidRPr="003F0AD0">
        <w:rPr>
          <w:i/>
        </w:rPr>
        <w:lastRenderedPageBreak/>
        <w:t>терапевтичні читання: профілактика неінфекційних захворювань на перехресті терапевтичних наук</w:t>
      </w:r>
      <w:r>
        <w:rPr>
          <w:lang w:val="uk-UA"/>
        </w:rPr>
        <w:t>:</w:t>
      </w:r>
      <w:r w:rsidRPr="0010201B">
        <w:t xml:space="preserve"> </w:t>
      </w:r>
      <w:r>
        <w:rPr>
          <w:lang w:val="uk-UA"/>
        </w:rPr>
        <w:t>м</w:t>
      </w:r>
      <w:r w:rsidRPr="0010201B">
        <w:t>атеріали наук.-практ. конф. з міжнар. участю, присвяченої пам</w:t>
      </w:r>
      <w:r>
        <w:t>’</w:t>
      </w:r>
      <w:r w:rsidRPr="0010201B">
        <w:t xml:space="preserve">яті акад. Л.Т. Малої </w:t>
      </w:r>
      <w:r>
        <w:rPr>
          <w:lang w:val="uk-UA"/>
        </w:rPr>
        <w:t>(</w:t>
      </w:r>
      <w:r w:rsidRPr="0010201B">
        <w:t>Харків</w:t>
      </w:r>
      <w:r>
        <w:rPr>
          <w:lang w:val="uk-UA"/>
        </w:rPr>
        <w:t>,</w:t>
      </w:r>
      <w:r w:rsidRPr="0010201B">
        <w:t xml:space="preserve"> 21 квітня 2016 р.</w:t>
      </w:r>
      <w:r>
        <w:rPr>
          <w:lang w:val="uk-UA"/>
        </w:rPr>
        <w:t>).</w:t>
      </w:r>
      <w:r w:rsidRPr="0010201B">
        <w:t xml:space="preserve"> Харків</w:t>
      </w:r>
      <w:r>
        <w:rPr>
          <w:lang w:val="uk-UA"/>
        </w:rPr>
        <w:t xml:space="preserve">, </w:t>
      </w:r>
      <w:r w:rsidRPr="0010201B">
        <w:t>2016</w:t>
      </w:r>
      <w:r>
        <w:rPr>
          <w:lang w:val="uk-UA"/>
        </w:rPr>
        <w:t>.</w:t>
      </w:r>
      <w:r w:rsidRPr="0010201B">
        <w:t xml:space="preserve"> </w:t>
      </w:r>
      <w:r>
        <w:rPr>
          <w:lang w:val="uk-UA"/>
        </w:rPr>
        <w:t>С</w:t>
      </w:r>
      <w:r w:rsidRPr="0010201B">
        <w:t>. 23. (</w:t>
      </w:r>
      <w:r w:rsidRPr="0010201B">
        <w:rPr>
          <w:i/>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10201B">
        <w:t>).</w:t>
      </w:r>
    </w:p>
    <w:p w:rsidR="004868FD" w:rsidRPr="00337AA5" w:rsidRDefault="004868FD" w:rsidP="00CD5061">
      <w:pPr>
        <w:pStyle w:val="atextSpisLit"/>
        <w:numPr>
          <w:ilvl w:val="0"/>
          <w:numId w:val="22"/>
        </w:numPr>
        <w:spacing w:after="120" w:line="240" w:lineRule="auto"/>
        <w:ind w:left="709" w:hanging="357"/>
      </w:pPr>
      <w:r w:rsidRPr="004D6464">
        <w:rPr>
          <w:lang w:val="uk-UA"/>
        </w:rPr>
        <w:t>Ерёменко Г</w:t>
      </w:r>
      <w:r>
        <w:rPr>
          <w:lang w:val="uk-UA"/>
        </w:rPr>
        <w:t>.</w:t>
      </w:r>
      <w:r w:rsidRPr="004D6464">
        <w:rPr>
          <w:lang w:val="uk-UA"/>
        </w:rPr>
        <w:t>В</w:t>
      </w:r>
      <w:r>
        <w:rPr>
          <w:lang w:val="uk-UA"/>
        </w:rPr>
        <w:t>.</w:t>
      </w:r>
      <w:r w:rsidRPr="004D6464">
        <w:rPr>
          <w:lang w:val="uk-UA"/>
        </w:rPr>
        <w:t>, Бездетко Т</w:t>
      </w:r>
      <w:r>
        <w:rPr>
          <w:lang w:val="uk-UA"/>
        </w:rPr>
        <w:t>.</w:t>
      </w:r>
      <w:r w:rsidRPr="004D6464">
        <w:rPr>
          <w:lang w:val="uk-UA"/>
        </w:rPr>
        <w:t>В. Значение определения скорости клубочковой фильтрации у больных бронхиальной астмой</w:t>
      </w:r>
      <w:r>
        <w:rPr>
          <w:lang w:val="uk-UA"/>
        </w:rPr>
        <w:t>: м</w:t>
      </w:r>
      <w:r w:rsidRPr="004D6464">
        <w:rPr>
          <w:lang w:val="uk-UA"/>
        </w:rPr>
        <w:t>атериалы IV</w:t>
      </w:r>
      <w:r>
        <w:rPr>
          <w:lang w:val="uk-UA"/>
        </w:rPr>
        <w:t> </w:t>
      </w:r>
      <w:r w:rsidRPr="004D6464">
        <w:rPr>
          <w:lang w:val="uk-UA"/>
        </w:rPr>
        <w:t xml:space="preserve">конгресса ассоциации нефрологов новых независимых государств </w:t>
      </w:r>
      <w:r>
        <w:rPr>
          <w:lang w:val="uk-UA"/>
        </w:rPr>
        <w:t>(</w:t>
      </w:r>
      <w:r w:rsidRPr="004D6464">
        <w:rPr>
          <w:lang w:val="uk-UA"/>
        </w:rPr>
        <w:t>Минск</w:t>
      </w:r>
      <w:r>
        <w:rPr>
          <w:lang w:val="uk-UA"/>
        </w:rPr>
        <w:t>,</w:t>
      </w:r>
      <w:r w:rsidRPr="004D6464">
        <w:rPr>
          <w:lang w:val="uk-UA"/>
        </w:rPr>
        <w:t xml:space="preserve"> 29–30 сентября 2016 р.</w:t>
      </w:r>
      <w:r>
        <w:rPr>
          <w:lang w:val="uk-UA"/>
        </w:rPr>
        <w:t>).</w:t>
      </w:r>
      <w:r w:rsidRPr="004D6464">
        <w:rPr>
          <w:lang w:val="uk-UA"/>
        </w:rPr>
        <w:t xml:space="preserve"> Минск</w:t>
      </w:r>
      <w:r>
        <w:rPr>
          <w:lang w:val="uk-UA"/>
        </w:rPr>
        <w:t>,</w:t>
      </w:r>
      <w:r w:rsidRPr="004D6464">
        <w:rPr>
          <w:lang w:val="uk-UA"/>
        </w:rPr>
        <w:t xml:space="preserve"> 2016</w:t>
      </w:r>
      <w:r>
        <w:rPr>
          <w:lang w:val="uk-UA"/>
        </w:rPr>
        <w:t>.</w:t>
      </w:r>
      <w:r w:rsidRPr="004D6464">
        <w:rPr>
          <w:lang w:val="uk-UA"/>
        </w:rPr>
        <w:t xml:space="preserve"> </w:t>
      </w:r>
      <w:r>
        <w:rPr>
          <w:lang w:val="uk-UA"/>
        </w:rPr>
        <w:t>С</w:t>
      </w:r>
      <w:r w:rsidRPr="004D6464">
        <w:rPr>
          <w:lang w:val="uk-UA"/>
        </w:rPr>
        <w:t>. 20. (</w:t>
      </w:r>
      <w:r w:rsidRPr="004D6464">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4D6464">
        <w:rPr>
          <w:lang w:val="uk-UA"/>
        </w:rPr>
        <w:t>).</w:t>
      </w:r>
    </w:p>
    <w:p w:rsidR="004868FD" w:rsidRPr="00337AA5" w:rsidRDefault="004868FD" w:rsidP="00CD5061">
      <w:pPr>
        <w:pStyle w:val="atextSpisLit"/>
        <w:numPr>
          <w:ilvl w:val="0"/>
          <w:numId w:val="22"/>
        </w:numPr>
        <w:spacing w:after="120" w:line="240" w:lineRule="auto"/>
        <w:ind w:left="709" w:hanging="357"/>
      </w:pPr>
      <w:r w:rsidRPr="00337AA5">
        <w:rPr>
          <w:lang w:val="uk-UA"/>
        </w:rPr>
        <w:t>Ерёменко Г</w:t>
      </w:r>
      <w:r>
        <w:rPr>
          <w:lang w:val="uk-UA"/>
        </w:rPr>
        <w:t>.</w:t>
      </w:r>
      <w:r w:rsidRPr="00337AA5">
        <w:rPr>
          <w:lang w:val="uk-UA"/>
        </w:rPr>
        <w:t>В</w:t>
      </w:r>
      <w:r>
        <w:rPr>
          <w:lang w:val="uk-UA"/>
        </w:rPr>
        <w:t>.</w:t>
      </w:r>
      <w:r w:rsidRPr="00337AA5">
        <w:rPr>
          <w:lang w:val="uk-UA"/>
        </w:rPr>
        <w:t>, Бездетко Т</w:t>
      </w:r>
      <w:r>
        <w:rPr>
          <w:lang w:val="uk-UA"/>
        </w:rPr>
        <w:t>.</w:t>
      </w:r>
      <w:r w:rsidRPr="00337AA5">
        <w:rPr>
          <w:lang w:val="uk-UA"/>
        </w:rPr>
        <w:t>В</w:t>
      </w:r>
      <w:r>
        <w:rPr>
          <w:lang w:val="uk-UA"/>
        </w:rPr>
        <w:t>.</w:t>
      </w:r>
      <w:r w:rsidRPr="00337AA5">
        <w:rPr>
          <w:lang w:val="uk-UA"/>
        </w:rPr>
        <w:t>, Оспанова Т</w:t>
      </w:r>
      <w:r>
        <w:rPr>
          <w:lang w:val="uk-UA"/>
        </w:rPr>
        <w:t>.</w:t>
      </w:r>
      <w:r w:rsidRPr="00337AA5">
        <w:rPr>
          <w:lang w:val="uk-UA"/>
        </w:rPr>
        <w:t xml:space="preserve">С. Альбуминурия как маркер прогрессирования сочетанной патологии: </w:t>
      </w:r>
      <w:r>
        <w:rPr>
          <w:lang w:val="uk-UA"/>
        </w:rPr>
        <w:t>м</w:t>
      </w:r>
      <w:r w:rsidRPr="00337AA5">
        <w:rPr>
          <w:lang w:val="uk-UA"/>
        </w:rPr>
        <w:t xml:space="preserve">атериалы IV конгресса ассоциации нефрологов новых независимых государств </w:t>
      </w:r>
      <w:r>
        <w:rPr>
          <w:lang w:val="uk-UA"/>
        </w:rPr>
        <w:t>(</w:t>
      </w:r>
      <w:r w:rsidRPr="00337AA5">
        <w:rPr>
          <w:lang w:val="uk-UA"/>
        </w:rPr>
        <w:t>Минск</w:t>
      </w:r>
      <w:r>
        <w:rPr>
          <w:lang w:val="uk-UA"/>
        </w:rPr>
        <w:t>,</w:t>
      </w:r>
      <w:r w:rsidRPr="00337AA5">
        <w:rPr>
          <w:lang w:val="uk-UA"/>
        </w:rPr>
        <w:t xml:space="preserve"> 29–30 сентября 2016 р.</w:t>
      </w:r>
      <w:r>
        <w:rPr>
          <w:lang w:val="uk-UA"/>
        </w:rPr>
        <w:t>).</w:t>
      </w:r>
      <w:r w:rsidRPr="00337AA5">
        <w:rPr>
          <w:lang w:val="uk-UA"/>
        </w:rPr>
        <w:t xml:space="preserve"> Минск</w:t>
      </w:r>
      <w:r>
        <w:rPr>
          <w:lang w:val="uk-UA"/>
        </w:rPr>
        <w:t>,</w:t>
      </w:r>
      <w:r w:rsidRPr="00337AA5">
        <w:rPr>
          <w:lang w:val="uk-UA"/>
        </w:rPr>
        <w:t xml:space="preserve"> 2016</w:t>
      </w:r>
      <w:r>
        <w:rPr>
          <w:lang w:val="uk-UA"/>
        </w:rPr>
        <w:t>.</w:t>
      </w:r>
      <w:r w:rsidRPr="00337AA5">
        <w:rPr>
          <w:lang w:val="uk-UA"/>
        </w:rPr>
        <w:t xml:space="preserve"> </w:t>
      </w:r>
      <w:r>
        <w:rPr>
          <w:lang w:val="uk-UA"/>
        </w:rPr>
        <w:t>С</w:t>
      </w:r>
      <w:r w:rsidRPr="00337AA5">
        <w:rPr>
          <w:lang w:val="uk-UA"/>
        </w:rPr>
        <w:t>. 21. (</w:t>
      </w:r>
      <w:r w:rsidRPr="00337AA5">
        <w:rPr>
          <w:i/>
          <w:lang w:val="uk-UA"/>
        </w:rPr>
        <w:t>Здобувачем проведено пошук та аналіз літератури, клінічне обстеження хворих на БА, статистичну обробку отриманих даних, підготовку статті до друку</w:t>
      </w:r>
      <w:r w:rsidRPr="00337AA5">
        <w:rPr>
          <w:lang w:val="uk-UA"/>
        </w:rPr>
        <w:t>).</w:t>
      </w:r>
    </w:p>
    <w:p w:rsidR="004868FD" w:rsidRPr="004D6464" w:rsidRDefault="004868FD" w:rsidP="00CD5061">
      <w:pPr>
        <w:pStyle w:val="atextSpisLit"/>
        <w:numPr>
          <w:ilvl w:val="0"/>
          <w:numId w:val="22"/>
        </w:numPr>
        <w:spacing w:after="120" w:line="240" w:lineRule="auto"/>
        <w:ind w:left="709" w:hanging="357"/>
      </w:pPr>
      <w:r w:rsidRPr="004D6464">
        <w:rPr>
          <w:lang w:val="uk-UA"/>
        </w:rPr>
        <w:t>Ерёменко Г</w:t>
      </w:r>
      <w:r>
        <w:rPr>
          <w:lang w:val="uk-UA"/>
        </w:rPr>
        <w:t>.</w:t>
      </w:r>
      <w:r w:rsidRPr="004D6464">
        <w:rPr>
          <w:lang w:val="uk-UA"/>
        </w:rPr>
        <w:t>В</w:t>
      </w:r>
      <w:r>
        <w:rPr>
          <w:lang w:val="uk-UA"/>
        </w:rPr>
        <w:t>.</w:t>
      </w:r>
      <w:r w:rsidRPr="004D6464">
        <w:rPr>
          <w:lang w:val="uk-UA"/>
        </w:rPr>
        <w:t>, Бездетко Т</w:t>
      </w:r>
      <w:r>
        <w:rPr>
          <w:lang w:val="uk-UA"/>
        </w:rPr>
        <w:t>.</w:t>
      </w:r>
      <w:r w:rsidRPr="004D6464">
        <w:rPr>
          <w:lang w:val="uk-UA"/>
        </w:rPr>
        <w:t>В</w:t>
      </w:r>
      <w:r>
        <w:rPr>
          <w:lang w:val="uk-UA"/>
        </w:rPr>
        <w:t>.</w:t>
      </w:r>
      <w:r w:rsidRPr="004D6464">
        <w:rPr>
          <w:lang w:val="uk-UA"/>
        </w:rPr>
        <w:t>, Оспанова Т</w:t>
      </w:r>
      <w:r>
        <w:rPr>
          <w:lang w:val="uk-UA"/>
        </w:rPr>
        <w:t>.</w:t>
      </w:r>
      <w:r w:rsidRPr="004D6464">
        <w:rPr>
          <w:lang w:val="uk-UA"/>
        </w:rPr>
        <w:t>С. Роль эндотелина-1 в</w:t>
      </w:r>
      <w:r>
        <w:rPr>
          <w:lang w:val="uk-UA"/>
        </w:rPr>
        <w:t> </w:t>
      </w:r>
      <w:r w:rsidRPr="004D6464">
        <w:rPr>
          <w:lang w:val="uk-UA"/>
        </w:rPr>
        <w:t xml:space="preserve">развитии воспаления у больных бронхиальной астмой. </w:t>
      </w:r>
      <w:r w:rsidRPr="0043063B">
        <w:rPr>
          <w:i/>
          <w:lang w:val="uk-UA"/>
        </w:rPr>
        <w:t>Стратегії профілактики неінфекційних хвороб та шляхи їх реалізації: від постулатів минулого в</w:t>
      </w:r>
      <w:r>
        <w:rPr>
          <w:i/>
          <w:lang w:val="uk-UA"/>
        </w:rPr>
        <w:t> </w:t>
      </w:r>
      <w:r w:rsidRPr="0043063B">
        <w:rPr>
          <w:i/>
          <w:lang w:val="uk-UA"/>
        </w:rPr>
        <w:t>майбутнє</w:t>
      </w:r>
      <w:r>
        <w:rPr>
          <w:lang w:val="uk-UA"/>
        </w:rPr>
        <w:t>:</w:t>
      </w:r>
      <w:r w:rsidRPr="004D6464">
        <w:rPr>
          <w:lang w:val="uk-UA"/>
        </w:rPr>
        <w:t xml:space="preserve"> </w:t>
      </w:r>
      <w:r>
        <w:rPr>
          <w:lang w:val="uk-UA"/>
        </w:rPr>
        <w:t>м</w:t>
      </w:r>
      <w:r w:rsidRPr="004D6464">
        <w:rPr>
          <w:lang w:val="uk-UA"/>
        </w:rPr>
        <w:t xml:space="preserve">атеріали науково-практичної конференції з міжнародною участю </w:t>
      </w:r>
      <w:r>
        <w:rPr>
          <w:lang w:val="uk-UA"/>
        </w:rPr>
        <w:t>(</w:t>
      </w:r>
      <w:r w:rsidRPr="004D6464">
        <w:rPr>
          <w:lang w:val="uk-UA"/>
        </w:rPr>
        <w:t>Харків</w:t>
      </w:r>
      <w:r>
        <w:rPr>
          <w:lang w:val="uk-UA"/>
        </w:rPr>
        <w:t>,</w:t>
      </w:r>
      <w:r w:rsidRPr="004D6464">
        <w:rPr>
          <w:lang w:val="uk-UA"/>
        </w:rPr>
        <w:t xml:space="preserve"> 4 листопада 2016 р.</w:t>
      </w:r>
      <w:r>
        <w:rPr>
          <w:lang w:val="uk-UA"/>
        </w:rPr>
        <w:t>).</w:t>
      </w:r>
      <w:r w:rsidRPr="004D6464">
        <w:rPr>
          <w:lang w:val="uk-UA"/>
        </w:rPr>
        <w:t xml:space="preserve"> Харків</w:t>
      </w:r>
      <w:r>
        <w:rPr>
          <w:lang w:val="uk-UA"/>
        </w:rPr>
        <w:t>,</w:t>
      </w:r>
      <w:r w:rsidRPr="004D6464">
        <w:rPr>
          <w:lang w:val="uk-UA"/>
        </w:rPr>
        <w:t xml:space="preserve"> 2016</w:t>
      </w:r>
      <w:r>
        <w:rPr>
          <w:lang w:val="uk-UA"/>
        </w:rPr>
        <w:t>.</w:t>
      </w:r>
      <w:r w:rsidRPr="004D6464">
        <w:rPr>
          <w:lang w:val="uk-UA"/>
        </w:rPr>
        <w:t xml:space="preserve"> </w:t>
      </w:r>
      <w:r>
        <w:rPr>
          <w:lang w:val="uk-UA"/>
        </w:rPr>
        <w:t>С</w:t>
      </w:r>
      <w:r w:rsidRPr="004D6464">
        <w:rPr>
          <w:lang w:val="uk-UA"/>
        </w:rPr>
        <w:t>. 64. (</w:t>
      </w:r>
      <w:r w:rsidRPr="004D6464">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4D6464">
        <w:rPr>
          <w:lang w:val="uk-UA"/>
        </w:rPr>
        <w:t>).</w:t>
      </w:r>
    </w:p>
    <w:p w:rsidR="004868FD" w:rsidRPr="00A2473E" w:rsidRDefault="004868FD" w:rsidP="00CD5061">
      <w:pPr>
        <w:pStyle w:val="atextSpisLit"/>
        <w:numPr>
          <w:ilvl w:val="0"/>
          <w:numId w:val="22"/>
        </w:numPr>
        <w:spacing w:after="120" w:line="240" w:lineRule="auto"/>
        <w:ind w:left="709" w:hanging="357"/>
        <w:rPr>
          <w:lang w:val="uk-UA"/>
        </w:rPr>
      </w:pPr>
      <w:r w:rsidRPr="004D6464">
        <w:rPr>
          <w:lang w:val="uk-UA"/>
        </w:rPr>
        <w:t>Єрьоменко Г</w:t>
      </w:r>
      <w:r>
        <w:rPr>
          <w:lang w:val="uk-UA"/>
        </w:rPr>
        <w:t>.</w:t>
      </w:r>
      <w:r w:rsidRPr="004D6464">
        <w:rPr>
          <w:lang w:val="uk-UA"/>
        </w:rPr>
        <w:t>В</w:t>
      </w:r>
      <w:r>
        <w:rPr>
          <w:lang w:val="uk-UA"/>
        </w:rPr>
        <w:t>.</w:t>
      </w:r>
      <w:r w:rsidRPr="004D6464">
        <w:rPr>
          <w:lang w:val="uk-UA"/>
        </w:rPr>
        <w:t>, Бездітко Т</w:t>
      </w:r>
      <w:r>
        <w:rPr>
          <w:lang w:val="uk-UA"/>
        </w:rPr>
        <w:t>.</w:t>
      </w:r>
      <w:r w:rsidRPr="004D6464">
        <w:rPr>
          <w:lang w:val="uk-UA"/>
        </w:rPr>
        <w:t>В</w:t>
      </w:r>
      <w:r>
        <w:rPr>
          <w:lang w:val="uk-UA"/>
        </w:rPr>
        <w:t>.</w:t>
      </w:r>
      <w:r w:rsidRPr="004D6464">
        <w:rPr>
          <w:lang w:val="uk-UA"/>
        </w:rPr>
        <w:t>, Хіміч Т</w:t>
      </w:r>
      <w:r>
        <w:rPr>
          <w:lang w:val="uk-UA"/>
        </w:rPr>
        <w:t>.</w:t>
      </w:r>
      <w:r w:rsidRPr="004D6464">
        <w:rPr>
          <w:lang w:val="uk-UA"/>
        </w:rPr>
        <w:t>Ю</w:t>
      </w:r>
      <w:r>
        <w:rPr>
          <w:lang w:val="uk-UA"/>
        </w:rPr>
        <w:t>.</w:t>
      </w:r>
      <w:r w:rsidRPr="004D6464">
        <w:rPr>
          <w:lang w:val="uk-UA"/>
        </w:rPr>
        <w:t>, Ілюха С</w:t>
      </w:r>
      <w:r>
        <w:rPr>
          <w:lang w:val="uk-UA"/>
        </w:rPr>
        <w:t>.</w:t>
      </w:r>
      <w:r w:rsidRPr="004D6464">
        <w:rPr>
          <w:lang w:val="uk-UA"/>
        </w:rPr>
        <w:t xml:space="preserve">Е. Роль фракталкіну в пошкодженні ендотелію судин у хворих на бронхіальну астму. </w:t>
      </w:r>
      <w:r w:rsidRPr="00FC0E48">
        <w:rPr>
          <w:i/>
          <w:lang w:val="uk-UA"/>
        </w:rPr>
        <w:t>Щорічні терапевтичні читання: медикаментозна та немедикаментозна профілактика неінфекційних захворювань: погляд в майбутнє</w:t>
      </w:r>
      <w:r>
        <w:rPr>
          <w:lang w:val="uk-UA"/>
        </w:rPr>
        <w:t>:</w:t>
      </w:r>
      <w:r w:rsidRPr="004D6464">
        <w:rPr>
          <w:lang w:val="uk-UA"/>
        </w:rPr>
        <w:t xml:space="preserve"> </w:t>
      </w:r>
      <w:r>
        <w:rPr>
          <w:lang w:val="uk-UA"/>
        </w:rPr>
        <w:t>м</w:t>
      </w:r>
      <w:r w:rsidRPr="004D6464">
        <w:rPr>
          <w:lang w:val="uk-UA"/>
        </w:rPr>
        <w:t>атеріали наук.-практ. конф. з міжнар. участю, присвяченої пам</w:t>
      </w:r>
      <w:r>
        <w:rPr>
          <w:lang w:val="uk-UA"/>
        </w:rPr>
        <w:t>’</w:t>
      </w:r>
      <w:r w:rsidRPr="004D6464">
        <w:rPr>
          <w:lang w:val="uk-UA"/>
        </w:rPr>
        <w:t xml:space="preserve">яті акад. Л. Т. Малої </w:t>
      </w:r>
      <w:r>
        <w:rPr>
          <w:lang w:val="uk-UA"/>
        </w:rPr>
        <w:t>(</w:t>
      </w:r>
      <w:r w:rsidRPr="004D6464">
        <w:rPr>
          <w:lang w:val="uk-UA"/>
        </w:rPr>
        <w:t>Харків</w:t>
      </w:r>
      <w:r>
        <w:rPr>
          <w:lang w:val="uk-UA"/>
        </w:rPr>
        <w:t>,</w:t>
      </w:r>
      <w:r w:rsidRPr="004D6464">
        <w:rPr>
          <w:lang w:val="uk-UA"/>
        </w:rPr>
        <w:t xml:space="preserve"> 20</w:t>
      </w:r>
      <w:r w:rsidR="00B134A8">
        <w:rPr>
          <w:lang w:val="uk-UA"/>
        </w:rPr>
        <w:t> </w:t>
      </w:r>
      <w:r w:rsidRPr="004D6464">
        <w:rPr>
          <w:lang w:val="uk-UA"/>
        </w:rPr>
        <w:t>квітня 2017 р.</w:t>
      </w:r>
      <w:r>
        <w:rPr>
          <w:lang w:val="uk-UA"/>
        </w:rPr>
        <w:t>).</w:t>
      </w:r>
      <w:r w:rsidRPr="004D6464">
        <w:rPr>
          <w:lang w:val="uk-UA"/>
        </w:rPr>
        <w:t xml:space="preserve"> Харків</w:t>
      </w:r>
      <w:r>
        <w:rPr>
          <w:lang w:val="uk-UA"/>
        </w:rPr>
        <w:t>,</w:t>
      </w:r>
      <w:r w:rsidRPr="004D6464">
        <w:rPr>
          <w:lang w:val="uk-UA"/>
        </w:rPr>
        <w:t xml:space="preserve"> 2017</w:t>
      </w:r>
      <w:r>
        <w:rPr>
          <w:lang w:val="uk-UA"/>
        </w:rPr>
        <w:t>.</w:t>
      </w:r>
      <w:r w:rsidRPr="004D6464">
        <w:rPr>
          <w:lang w:val="uk-UA"/>
        </w:rPr>
        <w:t xml:space="preserve"> </w:t>
      </w:r>
      <w:r>
        <w:rPr>
          <w:lang w:val="uk-UA"/>
        </w:rPr>
        <w:t>С</w:t>
      </w:r>
      <w:r w:rsidRPr="000721D0">
        <w:rPr>
          <w:lang w:val="uk-UA"/>
        </w:rPr>
        <w:t xml:space="preserve">. 98. </w:t>
      </w:r>
      <w:r w:rsidRPr="000F4039">
        <w:rPr>
          <w:lang w:val="uk-UA"/>
        </w:rPr>
        <w:t>(</w:t>
      </w:r>
      <w:r w:rsidRPr="000721D0">
        <w:rPr>
          <w:lang w:val="uk-UA"/>
        </w:rPr>
        <w:t>Здобувачем проведено пошук та аналіз літератури, оцінка коморбідної патології клінічне обстеження хворих на БА, статистичну обробку отриманих даних, підготовку статті до друку</w:t>
      </w:r>
      <w:r w:rsidRPr="004D6464">
        <w:rPr>
          <w:lang w:val="uk-UA"/>
        </w:rPr>
        <w:t>).</w:t>
      </w:r>
    </w:p>
    <w:p w:rsidR="004868FD" w:rsidRPr="000721D0" w:rsidRDefault="004868FD" w:rsidP="00CD5061">
      <w:pPr>
        <w:pStyle w:val="atextSpisLit"/>
        <w:numPr>
          <w:ilvl w:val="0"/>
          <w:numId w:val="22"/>
        </w:numPr>
        <w:spacing w:after="120" w:line="240" w:lineRule="auto"/>
        <w:ind w:left="709" w:hanging="357"/>
        <w:rPr>
          <w:lang w:val="uk-UA"/>
        </w:rPr>
      </w:pPr>
      <w:r w:rsidRPr="004D6464">
        <w:rPr>
          <w:lang w:val="uk-UA"/>
        </w:rPr>
        <w:t>Єрьоменко Г</w:t>
      </w:r>
      <w:r>
        <w:rPr>
          <w:lang w:val="uk-UA"/>
        </w:rPr>
        <w:t>.</w:t>
      </w:r>
      <w:r w:rsidRPr="004D6464">
        <w:rPr>
          <w:lang w:val="uk-UA"/>
        </w:rPr>
        <w:t xml:space="preserve">В. Клінічна ефективність застосування екзогенного </w:t>
      </w:r>
      <w:r>
        <w:rPr>
          <w:lang w:val="uk-UA"/>
        </w:rPr>
        <w:br/>
      </w:r>
      <w:r w:rsidRPr="004D6464">
        <w:rPr>
          <w:lang w:val="uk-UA"/>
        </w:rPr>
        <w:t>L</w:t>
      </w:r>
      <w:r>
        <w:rPr>
          <w:lang w:val="uk-UA"/>
        </w:rPr>
        <w:t>-</w:t>
      </w:r>
      <w:r w:rsidRPr="004D6464">
        <w:rPr>
          <w:lang w:val="uk-UA"/>
        </w:rPr>
        <w:t xml:space="preserve">аргиніну в лікуванні хворих на бронхіальну астму у поєднанні з цукровим діабетом 2 типу. </w:t>
      </w:r>
      <w:r w:rsidRPr="000721D0">
        <w:rPr>
          <w:lang w:val="uk-UA"/>
        </w:rPr>
        <w:t>Профілактика неінфекційних загострень фокус на коморбідність</w:t>
      </w:r>
      <w:r>
        <w:rPr>
          <w:lang w:val="uk-UA"/>
        </w:rPr>
        <w:t>:</w:t>
      </w:r>
      <w:r w:rsidRPr="004D6464">
        <w:rPr>
          <w:lang w:val="uk-UA"/>
        </w:rPr>
        <w:t xml:space="preserve"> Матеріали науково-практичної конференції з міжнародною участю </w:t>
      </w:r>
      <w:r>
        <w:rPr>
          <w:lang w:val="uk-UA"/>
        </w:rPr>
        <w:t>(</w:t>
      </w:r>
      <w:r w:rsidRPr="004D6464">
        <w:rPr>
          <w:lang w:val="uk-UA"/>
        </w:rPr>
        <w:t>Харків</w:t>
      </w:r>
      <w:r>
        <w:rPr>
          <w:lang w:val="uk-UA"/>
        </w:rPr>
        <w:t>,</w:t>
      </w:r>
      <w:r w:rsidRPr="004D6464">
        <w:rPr>
          <w:lang w:val="uk-UA"/>
        </w:rPr>
        <w:t xml:space="preserve"> 3 листопада 2017 р.</w:t>
      </w:r>
      <w:r>
        <w:rPr>
          <w:lang w:val="uk-UA"/>
        </w:rPr>
        <w:t>).</w:t>
      </w:r>
      <w:r w:rsidRPr="004D6464">
        <w:rPr>
          <w:lang w:val="uk-UA"/>
        </w:rPr>
        <w:t xml:space="preserve"> Харків</w:t>
      </w:r>
      <w:r>
        <w:rPr>
          <w:lang w:val="uk-UA"/>
        </w:rPr>
        <w:t>,</w:t>
      </w:r>
      <w:r w:rsidRPr="004D6464">
        <w:rPr>
          <w:lang w:val="uk-UA"/>
        </w:rPr>
        <w:t xml:space="preserve"> 2017</w:t>
      </w:r>
      <w:r>
        <w:rPr>
          <w:lang w:val="uk-UA"/>
        </w:rPr>
        <w:t>.</w:t>
      </w:r>
      <w:r w:rsidRPr="004D6464">
        <w:rPr>
          <w:lang w:val="uk-UA"/>
        </w:rPr>
        <w:t xml:space="preserve"> </w:t>
      </w:r>
      <w:r>
        <w:rPr>
          <w:lang w:val="uk-UA"/>
        </w:rPr>
        <w:t>С</w:t>
      </w:r>
      <w:r w:rsidRPr="004D6464">
        <w:rPr>
          <w:lang w:val="uk-UA"/>
        </w:rPr>
        <w:t>. 43.</w:t>
      </w:r>
    </w:p>
    <w:p w:rsidR="004868FD" w:rsidRPr="00A2473E" w:rsidRDefault="004868FD" w:rsidP="00CD5061">
      <w:pPr>
        <w:pStyle w:val="atextSpisLit"/>
        <w:numPr>
          <w:ilvl w:val="0"/>
          <w:numId w:val="22"/>
        </w:numPr>
        <w:spacing w:after="120" w:line="240" w:lineRule="auto"/>
        <w:ind w:left="709" w:hanging="357"/>
        <w:rPr>
          <w:lang w:val="uk-UA"/>
        </w:rPr>
      </w:pPr>
      <w:r w:rsidRPr="004D6464">
        <w:rPr>
          <w:lang w:val="uk-UA"/>
        </w:rPr>
        <w:lastRenderedPageBreak/>
        <w:t xml:space="preserve">Yeryomenko G, Bezditko T. The role of allergens in the progression of obesity and hyperglycemia in the asthma patients. </w:t>
      </w:r>
      <w:r w:rsidRPr="000721D0">
        <w:rPr>
          <w:lang w:val="uk-UA"/>
        </w:rPr>
        <w:t>Abstracts from the EAACI. Congress</w:t>
      </w:r>
      <w:r w:rsidRPr="004D6464">
        <w:rPr>
          <w:lang w:val="uk-UA"/>
        </w:rPr>
        <w:t xml:space="preserve"> </w:t>
      </w:r>
      <w:r>
        <w:rPr>
          <w:lang w:val="uk-UA"/>
        </w:rPr>
        <w:t>(</w:t>
      </w:r>
      <w:r w:rsidRPr="004D6464">
        <w:rPr>
          <w:lang w:val="uk-UA"/>
        </w:rPr>
        <w:t>Helsinki</w:t>
      </w:r>
      <w:r>
        <w:rPr>
          <w:lang w:val="uk-UA"/>
        </w:rPr>
        <w:t>,</w:t>
      </w:r>
      <w:r w:rsidRPr="004D6464">
        <w:rPr>
          <w:lang w:val="uk-UA"/>
        </w:rPr>
        <w:t xml:space="preserve"> 17–21 June 2017 year</w:t>
      </w:r>
      <w:r>
        <w:rPr>
          <w:lang w:val="uk-UA"/>
        </w:rPr>
        <w:t>)</w:t>
      </w:r>
      <w:r w:rsidRPr="004D6464">
        <w:rPr>
          <w:lang w:val="uk-UA"/>
        </w:rPr>
        <w:t>. Helsinki</w:t>
      </w:r>
      <w:r>
        <w:rPr>
          <w:lang w:val="uk-UA"/>
        </w:rPr>
        <w:t>,</w:t>
      </w:r>
      <w:r w:rsidRPr="004D6464">
        <w:rPr>
          <w:lang w:val="uk-UA"/>
        </w:rPr>
        <w:t xml:space="preserve"> 2017</w:t>
      </w:r>
      <w:r>
        <w:rPr>
          <w:lang w:val="uk-UA"/>
        </w:rPr>
        <w:t>. Р</w:t>
      </w:r>
      <w:r w:rsidRPr="004D6464">
        <w:rPr>
          <w:lang w:val="uk-UA"/>
        </w:rPr>
        <w:t>. 18. (</w:t>
      </w:r>
      <w:r w:rsidRPr="000721D0">
        <w:rPr>
          <w:lang w:val="uk-UA"/>
        </w:rPr>
        <w:t>Здобувачем проведено пошук та аналіз літератури, оцінка впливу алергенів у пацієнтів з гіперглікемією, хворих на бронхіальну астму та ожиріння, клінічне обстеження хворих на бронхіальну астму, статистичну обробку отриманих даних, оформлення та подання до друку</w:t>
      </w:r>
      <w:r w:rsidRPr="004D6464">
        <w:rPr>
          <w:lang w:val="uk-UA"/>
        </w:rPr>
        <w:t>).</w:t>
      </w:r>
    </w:p>
    <w:p w:rsidR="004868FD" w:rsidRPr="00A2473E" w:rsidRDefault="004868FD" w:rsidP="00CD5061">
      <w:pPr>
        <w:pStyle w:val="atextSpisLit"/>
        <w:numPr>
          <w:ilvl w:val="0"/>
          <w:numId w:val="22"/>
        </w:numPr>
        <w:spacing w:after="120" w:line="240" w:lineRule="auto"/>
        <w:ind w:left="709" w:hanging="357"/>
        <w:rPr>
          <w:lang w:val="uk-UA"/>
        </w:rPr>
      </w:pPr>
      <w:r w:rsidRPr="004D6464">
        <w:rPr>
          <w:lang w:val="uk-UA"/>
        </w:rPr>
        <w:t>Єрьоменко Г</w:t>
      </w:r>
      <w:r>
        <w:rPr>
          <w:lang w:val="uk-UA"/>
        </w:rPr>
        <w:t>.</w:t>
      </w:r>
      <w:r w:rsidRPr="004D6464">
        <w:rPr>
          <w:lang w:val="uk-UA"/>
        </w:rPr>
        <w:t>В</w:t>
      </w:r>
      <w:r>
        <w:rPr>
          <w:lang w:val="uk-UA"/>
        </w:rPr>
        <w:t>.</w:t>
      </w:r>
      <w:r w:rsidRPr="004D6464">
        <w:rPr>
          <w:lang w:val="uk-UA"/>
        </w:rPr>
        <w:t>, Оспанова Т</w:t>
      </w:r>
      <w:r>
        <w:rPr>
          <w:lang w:val="uk-UA"/>
        </w:rPr>
        <w:t>.</w:t>
      </w:r>
      <w:r w:rsidRPr="004D6464">
        <w:rPr>
          <w:lang w:val="uk-UA"/>
        </w:rPr>
        <w:t>С</w:t>
      </w:r>
      <w:r>
        <w:rPr>
          <w:lang w:val="uk-UA"/>
        </w:rPr>
        <w:t>.</w:t>
      </w:r>
      <w:r w:rsidRPr="004D6464">
        <w:rPr>
          <w:lang w:val="uk-UA"/>
        </w:rPr>
        <w:t>, Бездітко Т</w:t>
      </w:r>
      <w:r>
        <w:rPr>
          <w:lang w:val="uk-UA"/>
        </w:rPr>
        <w:t>.</w:t>
      </w:r>
      <w:r w:rsidRPr="004D6464">
        <w:rPr>
          <w:lang w:val="uk-UA"/>
        </w:rPr>
        <w:t>В</w:t>
      </w:r>
      <w:r>
        <w:rPr>
          <w:lang w:val="uk-UA"/>
        </w:rPr>
        <w:t>.</w:t>
      </w:r>
      <w:r w:rsidRPr="004D6464">
        <w:rPr>
          <w:lang w:val="uk-UA"/>
        </w:rPr>
        <w:t>, Хіміч Т</w:t>
      </w:r>
      <w:r>
        <w:rPr>
          <w:lang w:val="uk-UA"/>
        </w:rPr>
        <w:t>.</w:t>
      </w:r>
      <w:r w:rsidRPr="004D6464">
        <w:rPr>
          <w:lang w:val="uk-UA"/>
        </w:rPr>
        <w:t xml:space="preserve">Ю. Цукровий діабет 2 типу в поєднанні з бронхіальною астмою, особливості лікування. </w:t>
      </w:r>
      <w:r w:rsidRPr="00021D36">
        <w:rPr>
          <w:i/>
          <w:lang w:val="uk-UA"/>
        </w:rPr>
        <w:t>Сахарный диабет как интегральная проблема внутренней медицины</w:t>
      </w:r>
      <w:r>
        <w:rPr>
          <w:lang w:val="uk-UA"/>
        </w:rPr>
        <w:t>:</w:t>
      </w:r>
      <w:r w:rsidRPr="004D6464">
        <w:rPr>
          <w:lang w:val="uk-UA"/>
        </w:rPr>
        <w:t xml:space="preserve"> </w:t>
      </w:r>
      <w:r>
        <w:rPr>
          <w:lang w:val="uk-UA"/>
        </w:rPr>
        <w:t>м</w:t>
      </w:r>
      <w:r w:rsidRPr="004D6464">
        <w:rPr>
          <w:lang w:val="uk-UA"/>
        </w:rPr>
        <w:t xml:space="preserve">атеріали науково-практичної конференції з міжнародною участю </w:t>
      </w:r>
      <w:r>
        <w:rPr>
          <w:lang w:val="uk-UA"/>
        </w:rPr>
        <w:t>(</w:t>
      </w:r>
      <w:r w:rsidRPr="004D6464">
        <w:rPr>
          <w:lang w:val="uk-UA"/>
        </w:rPr>
        <w:t>Харків</w:t>
      </w:r>
      <w:r>
        <w:rPr>
          <w:lang w:val="uk-UA"/>
        </w:rPr>
        <w:t>,</w:t>
      </w:r>
      <w:r w:rsidRPr="004D6464">
        <w:rPr>
          <w:lang w:val="uk-UA"/>
        </w:rPr>
        <w:t xml:space="preserve"> 7 вересня 2017</w:t>
      </w:r>
      <w:r>
        <w:rPr>
          <w:lang w:val="uk-UA"/>
        </w:rPr>
        <w:t> </w:t>
      </w:r>
      <w:r w:rsidRPr="004D6464">
        <w:rPr>
          <w:lang w:val="uk-UA"/>
        </w:rPr>
        <w:t>р.</w:t>
      </w:r>
      <w:r>
        <w:rPr>
          <w:lang w:val="uk-UA"/>
        </w:rPr>
        <w:t>).</w:t>
      </w:r>
      <w:r w:rsidRPr="004D6464">
        <w:rPr>
          <w:lang w:val="uk-UA"/>
        </w:rPr>
        <w:t xml:space="preserve"> Харків</w:t>
      </w:r>
      <w:r>
        <w:rPr>
          <w:lang w:val="uk-UA"/>
        </w:rPr>
        <w:t>,</w:t>
      </w:r>
      <w:r w:rsidRPr="004D6464">
        <w:rPr>
          <w:lang w:val="uk-UA"/>
        </w:rPr>
        <w:t xml:space="preserve"> 2017</w:t>
      </w:r>
      <w:r>
        <w:rPr>
          <w:lang w:val="uk-UA"/>
        </w:rPr>
        <w:t>.</w:t>
      </w:r>
      <w:r w:rsidRPr="004D6464">
        <w:rPr>
          <w:lang w:val="uk-UA"/>
        </w:rPr>
        <w:t xml:space="preserve"> </w:t>
      </w:r>
      <w:r>
        <w:rPr>
          <w:lang w:val="uk-UA"/>
        </w:rPr>
        <w:t>С</w:t>
      </w:r>
      <w:r w:rsidRPr="004D6464">
        <w:rPr>
          <w:lang w:val="uk-UA"/>
        </w:rPr>
        <w:t>.</w:t>
      </w:r>
      <w:r>
        <w:rPr>
          <w:lang w:val="uk-UA"/>
        </w:rPr>
        <w:t> </w:t>
      </w:r>
      <w:r w:rsidRPr="004D6464">
        <w:rPr>
          <w:lang w:val="uk-UA"/>
        </w:rPr>
        <w:t>30</w:t>
      </w:r>
      <w:r>
        <w:rPr>
          <w:lang w:val="uk-UA"/>
        </w:rPr>
        <w:t>–</w:t>
      </w:r>
      <w:r w:rsidRPr="004D6464">
        <w:rPr>
          <w:lang w:val="uk-UA"/>
        </w:rPr>
        <w:t>31. (</w:t>
      </w:r>
      <w:r w:rsidRPr="004D6464">
        <w:rPr>
          <w:i/>
          <w:lang w:val="uk-UA"/>
        </w:rPr>
        <w:t>Здобувачем проведено пошук та аналіз літератури, клінічне обстеження хворих на бронхіальну астму, аналіз лікувальних схем залежно від вираженості цукрового діабету 2-го типу при бронхіальній астмі, статистичну обробку отриманих даних, оформлення та подання до друку</w:t>
      </w:r>
      <w:r w:rsidRPr="004D6464">
        <w:rPr>
          <w:lang w:val="uk-UA"/>
        </w:rPr>
        <w:t>).</w:t>
      </w:r>
    </w:p>
    <w:p w:rsidR="004868FD" w:rsidRPr="004D6464" w:rsidRDefault="004868FD" w:rsidP="00CD5061">
      <w:pPr>
        <w:pStyle w:val="atextSpisLit"/>
        <w:numPr>
          <w:ilvl w:val="0"/>
          <w:numId w:val="22"/>
        </w:numPr>
        <w:spacing w:after="120" w:line="240" w:lineRule="auto"/>
        <w:ind w:left="709" w:hanging="357"/>
      </w:pPr>
      <w:r w:rsidRPr="004D6464">
        <w:rPr>
          <w:lang w:val="uk-UA"/>
        </w:rPr>
        <w:t>Єрьоменко Г</w:t>
      </w:r>
      <w:r>
        <w:rPr>
          <w:lang w:val="uk-UA"/>
        </w:rPr>
        <w:t>.</w:t>
      </w:r>
      <w:r w:rsidRPr="004D6464">
        <w:rPr>
          <w:lang w:val="uk-UA"/>
        </w:rPr>
        <w:t>В</w:t>
      </w:r>
      <w:r>
        <w:rPr>
          <w:lang w:val="uk-UA"/>
        </w:rPr>
        <w:t>.</w:t>
      </w:r>
      <w:r w:rsidRPr="004D6464">
        <w:rPr>
          <w:lang w:val="uk-UA"/>
        </w:rPr>
        <w:t>, Бездітко Т</w:t>
      </w:r>
      <w:r>
        <w:rPr>
          <w:lang w:val="uk-UA"/>
        </w:rPr>
        <w:t>.</w:t>
      </w:r>
      <w:r w:rsidRPr="004D6464">
        <w:rPr>
          <w:lang w:val="uk-UA"/>
        </w:rPr>
        <w:t>В</w:t>
      </w:r>
      <w:r>
        <w:rPr>
          <w:lang w:val="uk-UA"/>
        </w:rPr>
        <w:t>.</w:t>
      </w:r>
      <w:r w:rsidRPr="004D6464">
        <w:rPr>
          <w:lang w:val="uk-UA"/>
        </w:rPr>
        <w:t>, Хіміч Т</w:t>
      </w:r>
      <w:r>
        <w:rPr>
          <w:lang w:val="uk-UA"/>
        </w:rPr>
        <w:t>.</w:t>
      </w:r>
      <w:r w:rsidRPr="004D6464">
        <w:rPr>
          <w:lang w:val="uk-UA"/>
        </w:rPr>
        <w:t>Ю</w:t>
      </w:r>
      <w:r>
        <w:rPr>
          <w:lang w:val="uk-UA"/>
        </w:rPr>
        <w:t>.</w:t>
      </w:r>
      <w:r w:rsidRPr="004D6464">
        <w:rPr>
          <w:lang w:val="uk-UA"/>
        </w:rPr>
        <w:t>, Блажко В</w:t>
      </w:r>
      <w:r>
        <w:rPr>
          <w:lang w:val="uk-UA"/>
        </w:rPr>
        <w:t>.</w:t>
      </w:r>
      <w:r w:rsidRPr="004D6464">
        <w:rPr>
          <w:lang w:val="uk-UA"/>
        </w:rPr>
        <w:t xml:space="preserve">І. Результати оцінки рівня контролю бронхіальної астми. </w:t>
      </w:r>
      <w:r w:rsidRPr="004730AF">
        <w:rPr>
          <w:i/>
          <w:lang w:val="uk-UA"/>
        </w:rPr>
        <w:t>Клінічна імунологія. Алергологія. Інфектологія</w:t>
      </w:r>
      <w:r w:rsidRPr="004D6464">
        <w:rPr>
          <w:lang w:val="uk-UA"/>
        </w:rPr>
        <w:t>. 2018; 1: 68. (</w:t>
      </w:r>
      <w:r w:rsidRPr="004D6464">
        <w:rPr>
          <w:i/>
          <w:lang w:val="uk-UA"/>
        </w:rPr>
        <w:t>Здобувачем проведено пошук та аналіз літератури, аналіз результатів опитувальника ACQ-5 на стан хворих на БА, статистичну обробку отриманих даних, оформлення та подання до друку</w:t>
      </w:r>
      <w:r w:rsidRPr="004D6464">
        <w:rPr>
          <w:lang w:val="uk-UA"/>
        </w:rPr>
        <w:t>).</w:t>
      </w:r>
    </w:p>
    <w:p w:rsidR="004868FD" w:rsidRPr="004D6464" w:rsidRDefault="004868FD" w:rsidP="00CD5061">
      <w:pPr>
        <w:pStyle w:val="atextSpisLit"/>
        <w:numPr>
          <w:ilvl w:val="0"/>
          <w:numId w:val="22"/>
        </w:numPr>
        <w:spacing w:after="120" w:line="240" w:lineRule="auto"/>
        <w:ind w:left="709" w:hanging="357"/>
      </w:pPr>
      <w:r w:rsidRPr="004D6464">
        <w:rPr>
          <w:lang w:val="uk-UA"/>
        </w:rPr>
        <w:t>Єрьоменко Г</w:t>
      </w:r>
      <w:r>
        <w:rPr>
          <w:lang w:val="uk-UA"/>
        </w:rPr>
        <w:t>.</w:t>
      </w:r>
      <w:r w:rsidRPr="004D6464">
        <w:rPr>
          <w:lang w:val="uk-UA"/>
        </w:rPr>
        <w:t>В</w:t>
      </w:r>
      <w:r>
        <w:rPr>
          <w:lang w:val="uk-UA"/>
        </w:rPr>
        <w:t>.</w:t>
      </w:r>
      <w:r w:rsidRPr="004D6464">
        <w:rPr>
          <w:lang w:val="uk-UA"/>
        </w:rPr>
        <w:t>, Оспанова Т</w:t>
      </w:r>
      <w:r>
        <w:rPr>
          <w:lang w:val="uk-UA"/>
        </w:rPr>
        <w:t>.</w:t>
      </w:r>
      <w:r w:rsidRPr="004D6464">
        <w:rPr>
          <w:lang w:val="uk-UA"/>
        </w:rPr>
        <w:t>С</w:t>
      </w:r>
      <w:r>
        <w:rPr>
          <w:lang w:val="uk-UA"/>
        </w:rPr>
        <w:t>.</w:t>
      </w:r>
      <w:r w:rsidRPr="004D6464">
        <w:rPr>
          <w:lang w:val="uk-UA"/>
        </w:rPr>
        <w:t>, Бездітко Т</w:t>
      </w:r>
      <w:r>
        <w:rPr>
          <w:lang w:val="uk-UA"/>
        </w:rPr>
        <w:t>.</w:t>
      </w:r>
      <w:r w:rsidRPr="004D6464">
        <w:rPr>
          <w:lang w:val="uk-UA"/>
        </w:rPr>
        <w:t>В</w:t>
      </w:r>
      <w:r>
        <w:rPr>
          <w:lang w:val="uk-UA"/>
        </w:rPr>
        <w:t>.</w:t>
      </w:r>
      <w:r w:rsidRPr="004D6464">
        <w:rPr>
          <w:lang w:val="uk-UA"/>
        </w:rPr>
        <w:t>, Хіміч Т</w:t>
      </w:r>
      <w:r>
        <w:rPr>
          <w:lang w:val="uk-UA"/>
        </w:rPr>
        <w:t>.</w:t>
      </w:r>
      <w:r w:rsidRPr="004D6464">
        <w:rPr>
          <w:lang w:val="uk-UA"/>
        </w:rPr>
        <w:t>Ю</w:t>
      </w:r>
      <w:r>
        <w:rPr>
          <w:lang w:val="uk-UA"/>
        </w:rPr>
        <w:t>.</w:t>
      </w:r>
      <w:r w:rsidRPr="004D6464">
        <w:rPr>
          <w:lang w:val="uk-UA"/>
        </w:rPr>
        <w:t>, Хохуда</w:t>
      </w:r>
      <w:r>
        <w:rPr>
          <w:lang w:val="uk-UA"/>
        </w:rPr>
        <w:t> </w:t>
      </w:r>
      <w:r w:rsidRPr="004D6464">
        <w:rPr>
          <w:lang w:val="uk-UA"/>
        </w:rPr>
        <w:t>О</w:t>
      </w:r>
      <w:r>
        <w:rPr>
          <w:lang w:val="uk-UA"/>
        </w:rPr>
        <w:t>.</w:t>
      </w:r>
      <w:r w:rsidRPr="004D6464">
        <w:rPr>
          <w:lang w:val="uk-UA"/>
        </w:rPr>
        <w:t>М</w:t>
      </w:r>
      <w:r>
        <w:rPr>
          <w:lang w:val="uk-UA"/>
        </w:rPr>
        <w:t>.</w:t>
      </w:r>
      <w:r w:rsidRPr="004D6464">
        <w:rPr>
          <w:lang w:val="uk-UA"/>
        </w:rPr>
        <w:t>, Бабічева О</w:t>
      </w:r>
      <w:r>
        <w:rPr>
          <w:lang w:val="uk-UA"/>
        </w:rPr>
        <w:t>.</w:t>
      </w:r>
      <w:r w:rsidRPr="004D6464">
        <w:rPr>
          <w:lang w:val="uk-UA"/>
        </w:rPr>
        <w:t xml:space="preserve">О. Дослідження коморбідності у хворих на бронхіальну астму з важким перебігом захворювання. </w:t>
      </w:r>
      <w:r w:rsidRPr="004730AF">
        <w:rPr>
          <w:i/>
          <w:lang w:val="uk-UA"/>
        </w:rPr>
        <w:t>Імунологія та алергологія: наука і</w:t>
      </w:r>
      <w:r>
        <w:rPr>
          <w:i/>
          <w:lang w:val="uk-UA"/>
        </w:rPr>
        <w:t> </w:t>
      </w:r>
      <w:r w:rsidRPr="004730AF">
        <w:rPr>
          <w:i/>
          <w:lang w:val="uk-UA"/>
        </w:rPr>
        <w:t>практика</w:t>
      </w:r>
      <w:r w:rsidRPr="004D6464">
        <w:rPr>
          <w:lang w:val="uk-UA"/>
        </w:rPr>
        <w:t>. 2018; 1, додаток 2: 5</w:t>
      </w:r>
      <w:r>
        <w:rPr>
          <w:lang w:val="uk-UA"/>
        </w:rPr>
        <w:t>–</w:t>
      </w:r>
      <w:r w:rsidRPr="004D6464">
        <w:rPr>
          <w:lang w:val="uk-UA"/>
        </w:rPr>
        <w:t>6. (</w:t>
      </w:r>
      <w:r w:rsidRPr="004D6464">
        <w:rPr>
          <w:i/>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4D6464">
        <w:rPr>
          <w:lang w:val="uk-UA"/>
        </w:rPr>
        <w:t>).</w:t>
      </w:r>
    </w:p>
    <w:p w:rsidR="004868FD" w:rsidRPr="004D6464" w:rsidRDefault="004868FD" w:rsidP="00CD5061">
      <w:pPr>
        <w:pStyle w:val="atextSpisLit"/>
        <w:numPr>
          <w:ilvl w:val="0"/>
          <w:numId w:val="22"/>
        </w:numPr>
        <w:spacing w:after="120" w:line="240" w:lineRule="auto"/>
        <w:ind w:left="709" w:hanging="357"/>
      </w:pPr>
      <w:r w:rsidRPr="004D6464">
        <w:rPr>
          <w:lang w:val="uk-UA"/>
        </w:rPr>
        <w:t>Єрьоменко Г</w:t>
      </w:r>
      <w:r>
        <w:rPr>
          <w:lang w:val="uk-UA"/>
        </w:rPr>
        <w:t>.</w:t>
      </w:r>
      <w:r w:rsidRPr="004D6464">
        <w:rPr>
          <w:lang w:val="uk-UA"/>
        </w:rPr>
        <w:t>В</w:t>
      </w:r>
      <w:r>
        <w:rPr>
          <w:lang w:val="uk-UA"/>
        </w:rPr>
        <w:t>.</w:t>
      </w:r>
      <w:r w:rsidRPr="004D6464">
        <w:rPr>
          <w:lang w:val="uk-UA"/>
        </w:rPr>
        <w:t>, Оспанова Т</w:t>
      </w:r>
      <w:r>
        <w:rPr>
          <w:lang w:val="uk-UA"/>
        </w:rPr>
        <w:t>.</w:t>
      </w:r>
      <w:r w:rsidRPr="004D6464">
        <w:rPr>
          <w:lang w:val="uk-UA"/>
        </w:rPr>
        <w:t>С</w:t>
      </w:r>
      <w:r>
        <w:rPr>
          <w:lang w:val="uk-UA"/>
        </w:rPr>
        <w:t>.</w:t>
      </w:r>
      <w:r w:rsidRPr="004D6464">
        <w:rPr>
          <w:lang w:val="uk-UA"/>
        </w:rPr>
        <w:t>, Бездітко Т</w:t>
      </w:r>
      <w:r>
        <w:rPr>
          <w:lang w:val="uk-UA"/>
        </w:rPr>
        <w:t>.</w:t>
      </w:r>
      <w:r w:rsidRPr="004D6464">
        <w:rPr>
          <w:lang w:val="uk-UA"/>
        </w:rPr>
        <w:t>В</w:t>
      </w:r>
      <w:r>
        <w:rPr>
          <w:lang w:val="uk-UA"/>
        </w:rPr>
        <w:t>.</w:t>
      </w:r>
      <w:r w:rsidRPr="004D6464">
        <w:rPr>
          <w:lang w:val="uk-UA"/>
        </w:rPr>
        <w:t>, Хіміч Т</w:t>
      </w:r>
      <w:r>
        <w:rPr>
          <w:lang w:val="uk-UA"/>
        </w:rPr>
        <w:t>.</w:t>
      </w:r>
      <w:r w:rsidRPr="004D6464">
        <w:rPr>
          <w:lang w:val="uk-UA"/>
        </w:rPr>
        <w:t xml:space="preserve">Ю. Залежність вуглеводного обміну у хворих на бронхіальну астму та ожиріння. </w:t>
      </w:r>
      <w:r w:rsidRPr="004730AF">
        <w:rPr>
          <w:i/>
          <w:lang w:val="uk-UA"/>
        </w:rPr>
        <w:t>Коморбідність: міждисциплінарні аспекти та сучасний пацієнт</w:t>
      </w:r>
      <w:r w:rsidRPr="004D6464">
        <w:rPr>
          <w:lang w:val="uk-UA"/>
        </w:rPr>
        <w:t xml:space="preserve">: матеріали наук.-практ. конф., що присвячена 80-річчю кафедри пропедевтики внутрішньої медицини № 2 та медсестринства ХНМУ </w:t>
      </w:r>
      <w:r>
        <w:rPr>
          <w:lang w:val="uk-UA"/>
        </w:rPr>
        <w:t>(</w:t>
      </w:r>
      <w:r w:rsidRPr="004D6464">
        <w:rPr>
          <w:lang w:val="uk-UA"/>
        </w:rPr>
        <w:t>Харків, 27 вересня 2018 р.</w:t>
      </w:r>
      <w:r>
        <w:rPr>
          <w:lang w:val="uk-UA"/>
        </w:rPr>
        <w:t>).</w:t>
      </w:r>
      <w:r w:rsidRPr="004D6464">
        <w:rPr>
          <w:lang w:val="uk-UA"/>
        </w:rPr>
        <w:t xml:space="preserve"> Харків</w:t>
      </w:r>
      <w:r>
        <w:rPr>
          <w:lang w:val="uk-UA"/>
        </w:rPr>
        <w:t>.</w:t>
      </w:r>
      <w:r w:rsidRPr="004D6464">
        <w:rPr>
          <w:lang w:val="uk-UA"/>
        </w:rPr>
        <w:t xml:space="preserve"> 2018</w:t>
      </w:r>
      <w:r>
        <w:rPr>
          <w:lang w:val="uk-UA"/>
        </w:rPr>
        <w:t>.</w:t>
      </w:r>
      <w:r w:rsidRPr="004D6464">
        <w:rPr>
          <w:lang w:val="uk-UA"/>
        </w:rPr>
        <w:t xml:space="preserve"> </w:t>
      </w:r>
      <w:r>
        <w:rPr>
          <w:lang w:val="uk-UA"/>
        </w:rPr>
        <w:t>С</w:t>
      </w:r>
      <w:r w:rsidRPr="004D6464">
        <w:rPr>
          <w:lang w:val="uk-UA"/>
        </w:rPr>
        <w:t>. 28.</w:t>
      </w:r>
      <w:r>
        <w:rPr>
          <w:lang w:val="uk-UA"/>
        </w:rPr>
        <w:t xml:space="preserve"> (</w:t>
      </w:r>
      <w:r w:rsidRPr="00924510">
        <w:rPr>
          <w:i/>
          <w:szCs w:val="28"/>
          <w:lang w:val="uk-UA"/>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Pr>
          <w:i/>
          <w:szCs w:val="28"/>
          <w:lang w:val="uk-UA"/>
        </w:rPr>
        <w:t>)</w:t>
      </w:r>
    </w:p>
    <w:p w:rsidR="004868FD" w:rsidRPr="004D6464" w:rsidRDefault="004868FD" w:rsidP="00CD5061">
      <w:pPr>
        <w:pStyle w:val="atextSpisLit"/>
        <w:numPr>
          <w:ilvl w:val="0"/>
          <w:numId w:val="22"/>
        </w:numPr>
        <w:spacing w:after="120" w:line="240" w:lineRule="auto"/>
        <w:ind w:left="709" w:hanging="357"/>
        <w:rPr>
          <w:lang w:val="uk-UA"/>
        </w:rPr>
      </w:pPr>
      <w:r w:rsidRPr="004D6464">
        <w:rPr>
          <w:lang w:val="uk-UA"/>
        </w:rPr>
        <w:t xml:space="preserve"> Бездітко Т</w:t>
      </w:r>
      <w:r>
        <w:rPr>
          <w:lang w:val="uk-UA"/>
        </w:rPr>
        <w:t>.</w:t>
      </w:r>
      <w:r w:rsidRPr="004D6464">
        <w:rPr>
          <w:lang w:val="uk-UA"/>
        </w:rPr>
        <w:t>В</w:t>
      </w:r>
      <w:r>
        <w:rPr>
          <w:lang w:val="uk-UA"/>
        </w:rPr>
        <w:t>.</w:t>
      </w:r>
      <w:r w:rsidRPr="004D6464">
        <w:rPr>
          <w:lang w:val="uk-UA"/>
        </w:rPr>
        <w:t>, Єрьоменко Г</w:t>
      </w:r>
      <w:r>
        <w:rPr>
          <w:lang w:val="uk-UA"/>
        </w:rPr>
        <w:t>.</w:t>
      </w:r>
      <w:r w:rsidRPr="004D6464">
        <w:rPr>
          <w:lang w:val="uk-UA"/>
        </w:rPr>
        <w:t>В</w:t>
      </w:r>
      <w:r>
        <w:rPr>
          <w:lang w:val="uk-UA"/>
        </w:rPr>
        <w:t>.</w:t>
      </w:r>
      <w:r w:rsidRPr="004D6464">
        <w:rPr>
          <w:lang w:val="uk-UA"/>
        </w:rPr>
        <w:t>, Ілюха С</w:t>
      </w:r>
      <w:r>
        <w:rPr>
          <w:lang w:val="uk-UA"/>
        </w:rPr>
        <w:t>.</w:t>
      </w:r>
      <w:r w:rsidRPr="004D6464">
        <w:rPr>
          <w:lang w:val="uk-UA"/>
        </w:rPr>
        <w:t xml:space="preserve">Е. Роль пошкодження ендотелію в прогресуванні бронхіальної астми з коморбідністю. </w:t>
      </w:r>
      <w:r w:rsidRPr="004730AF">
        <w:rPr>
          <w:i/>
          <w:lang w:val="uk-UA"/>
        </w:rPr>
        <w:t>Український пульмонологічний журнал</w:t>
      </w:r>
      <w:r>
        <w:rPr>
          <w:lang w:val="uk-UA"/>
        </w:rPr>
        <w:t>. 2018; додаток 3:</w:t>
      </w:r>
      <w:r w:rsidRPr="004D6464">
        <w:rPr>
          <w:lang w:val="uk-UA"/>
        </w:rPr>
        <w:t>49. (</w:t>
      </w:r>
      <w:r w:rsidRPr="004D6464">
        <w:rPr>
          <w:i/>
          <w:lang w:val="uk-UA"/>
        </w:rPr>
        <w:t>Здобувачем проведено огляд літератури, збір матеріалу, проаналізовано зміни стану ендотелію залежно від коморбідної патології</w:t>
      </w:r>
      <w:r w:rsidRPr="004D6464">
        <w:rPr>
          <w:lang w:val="uk-UA"/>
        </w:rPr>
        <w:t>).</w:t>
      </w:r>
    </w:p>
    <w:p w:rsidR="004868FD" w:rsidRDefault="004868FD" w:rsidP="00CD5061">
      <w:pPr>
        <w:pStyle w:val="arefZag"/>
        <w:spacing w:before="0" w:after="240" w:line="252" w:lineRule="auto"/>
      </w:pPr>
      <w:r w:rsidRPr="001E3630">
        <w:lastRenderedPageBreak/>
        <w:t>Наукові праці, які додатково відображують наукові результати дисертації:</w:t>
      </w:r>
    </w:p>
    <w:p w:rsidR="004868FD" w:rsidRPr="00170F12" w:rsidRDefault="004868FD" w:rsidP="00CD5061">
      <w:pPr>
        <w:pStyle w:val="atextSpisLit"/>
        <w:numPr>
          <w:ilvl w:val="0"/>
          <w:numId w:val="22"/>
        </w:numPr>
        <w:spacing w:after="120" w:line="259" w:lineRule="auto"/>
        <w:ind w:left="709" w:hanging="357"/>
        <w:rPr>
          <w:lang w:val="uk-UA"/>
        </w:rPr>
      </w:pPr>
      <w:r w:rsidRPr="00170F12">
        <w:rPr>
          <w:lang w:val="uk-UA"/>
        </w:rPr>
        <w:t>Єрьоменко Г</w:t>
      </w:r>
      <w:r>
        <w:rPr>
          <w:lang w:val="uk-UA"/>
        </w:rPr>
        <w:t>.</w:t>
      </w:r>
      <w:r w:rsidRPr="00170F12">
        <w:rPr>
          <w:lang w:val="uk-UA"/>
        </w:rPr>
        <w:t>В</w:t>
      </w:r>
      <w:r>
        <w:rPr>
          <w:lang w:val="uk-UA"/>
        </w:rPr>
        <w:t>.</w:t>
      </w:r>
      <w:r w:rsidRPr="00170F12">
        <w:rPr>
          <w:lang w:val="uk-UA"/>
        </w:rPr>
        <w:t>, Висоцька О</w:t>
      </w:r>
      <w:r>
        <w:rPr>
          <w:lang w:val="uk-UA"/>
        </w:rPr>
        <w:t>.</w:t>
      </w:r>
      <w:r w:rsidRPr="00170F12">
        <w:rPr>
          <w:lang w:val="uk-UA"/>
        </w:rPr>
        <w:t>В</w:t>
      </w:r>
      <w:r>
        <w:rPr>
          <w:lang w:val="uk-UA"/>
        </w:rPr>
        <w:t>.</w:t>
      </w:r>
      <w:r w:rsidRPr="00170F12">
        <w:rPr>
          <w:lang w:val="uk-UA"/>
        </w:rPr>
        <w:t>, Оспанова Т</w:t>
      </w:r>
      <w:r>
        <w:rPr>
          <w:lang w:val="uk-UA"/>
        </w:rPr>
        <w:t>.</w:t>
      </w:r>
      <w:r w:rsidRPr="00170F12">
        <w:rPr>
          <w:lang w:val="uk-UA"/>
        </w:rPr>
        <w:t>С</w:t>
      </w:r>
      <w:r>
        <w:rPr>
          <w:lang w:val="uk-UA"/>
        </w:rPr>
        <w:t>.</w:t>
      </w:r>
      <w:r w:rsidRPr="00170F12">
        <w:rPr>
          <w:lang w:val="uk-UA"/>
        </w:rPr>
        <w:t>, Бездітко Т</w:t>
      </w:r>
      <w:r>
        <w:rPr>
          <w:lang w:val="uk-UA"/>
        </w:rPr>
        <w:t>.</w:t>
      </w:r>
      <w:r w:rsidRPr="00170F12">
        <w:rPr>
          <w:lang w:val="uk-UA"/>
        </w:rPr>
        <w:t>В</w:t>
      </w:r>
      <w:r>
        <w:rPr>
          <w:lang w:val="uk-UA"/>
        </w:rPr>
        <w:t>.</w:t>
      </w:r>
      <w:r w:rsidRPr="00170F12">
        <w:rPr>
          <w:lang w:val="uk-UA"/>
        </w:rPr>
        <w:t>, Хіміч</w:t>
      </w:r>
      <w:r>
        <w:rPr>
          <w:lang w:val="uk-UA"/>
        </w:rPr>
        <w:t> </w:t>
      </w:r>
      <w:r w:rsidRPr="00170F12">
        <w:rPr>
          <w:lang w:val="uk-UA"/>
        </w:rPr>
        <w:t>Т</w:t>
      </w:r>
      <w:r>
        <w:rPr>
          <w:lang w:val="uk-UA"/>
        </w:rPr>
        <w:t>.</w:t>
      </w:r>
      <w:r w:rsidRPr="00170F12">
        <w:rPr>
          <w:lang w:val="uk-UA"/>
        </w:rPr>
        <w:t>Ю</w:t>
      </w:r>
      <w:r>
        <w:rPr>
          <w:lang w:val="uk-UA"/>
        </w:rPr>
        <w:t>.</w:t>
      </w:r>
      <w:r w:rsidRPr="00170F12">
        <w:rPr>
          <w:lang w:val="uk-UA"/>
        </w:rPr>
        <w:t>, Блажко В</w:t>
      </w:r>
      <w:r>
        <w:rPr>
          <w:lang w:val="uk-UA"/>
        </w:rPr>
        <w:t>.</w:t>
      </w:r>
      <w:r w:rsidRPr="00170F12">
        <w:rPr>
          <w:lang w:val="uk-UA"/>
        </w:rPr>
        <w:t>І</w:t>
      </w:r>
      <w:r>
        <w:rPr>
          <w:lang w:val="uk-UA"/>
        </w:rPr>
        <w:t>.</w:t>
      </w:r>
      <w:r w:rsidRPr="00170F12">
        <w:rPr>
          <w:lang w:val="uk-UA"/>
        </w:rPr>
        <w:t>, Печерська А</w:t>
      </w:r>
      <w:r>
        <w:rPr>
          <w:lang w:val="uk-UA"/>
        </w:rPr>
        <w:t>.</w:t>
      </w:r>
      <w:r w:rsidRPr="00170F12">
        <w:rPr>
          <w:lang w:val="uk-UA"/>
        </w:rPr>
        <w:t>І</w:t>
      </w:r>
      <w:r>
        <w:rPr>
          <w:lang w:val="uk-UA"/>
        </w:rPr>
        <w:t>. (</w:t>
      </w:r>
      <w:r w:rsidRPr="00170F12">
        <w:rPr>
          <w:lang w:val="uk-UA"/>
        </w:rPr>
        <w:t>винахідники</w:t>
      </w:r>
      <w:r>
        <w:rPr>
          <w:lang w:val="uk-UA"/>
        </w:rPr>
        <w:t>).</w:t>
      </w:r>
      <w:r w:rsidRPr="00170F12">
        <w:rPr>
          <w:lang w:val="uk-UA"/>
        </w:rPr>
        <w:t xml:space="preserve"> Харківський національний університет радіоелектроніки</w:t>
      </w:r>
      <w:r>
        <w:rPr>
          <w:lang w:val="uk-UA"/>
        </w:rPr>
        <w:t xml:space="preserve"> (</w:t>
      </w:r>
      <w:r w:rsidRPr="00170F12">
        <w:rPr>
          <w:lang w:val="uk-UA"/>
        </w:rPr>
        <w:t>патентовласник</w:t>
      </w:r>
      <w:r>
        <w:rPr>
          <w:lang w:val="uk-UA"/>
        </w:rPr>
        <w:t>)</w:t>
      </w:r>
      <w:r w:rsidRPr="00170F12">
        <w:rPr>
          <w:lang w:val="uk-UA"/>
        </w:rPr>
        <w:t xml:space="preserve">. Спосіб визначення ризику прогресування бронхіальної астми у пацієнтів з бронхіальною астмою і цукровим діабетом другого типу. Патент України </w:t>
      </w:r>
      <w:r w:rsidRPr="0068604C">
        <w:t>UA</w:t>
      </w:r>
      <w:r w:rsidRPr="00170F12">
        <w:rPr>
          <w:lang w:val="uk-UA"/>
        </w:rPr>
        <w:t xml:space="preserve"> 117323. 2017 серпень 02. (</w:t>
      </w:r>
      <w:r w:rsidRPr="00170F12">
        <w:rPr>
          <w:i/>
          <w:lang w:val="uk-UA"/>
        </w:rPr>
        <w:t>Здобувачем сформовано ідею винаходу, проведено обстеження тематичних хворих, аналіз даних, розробку формули корисної моделі, підготовку опису корисної моделі для експертизи</w:t>
      </w:r>
      <w:r w:rsidRPr="00170F12">
        <w:rPr>
          <w:lang w:val="uk-UA"/>
        </w:rPr>
        <w:t>).</w:t>
      </w:r>
    </w:p>
    <w:p w:rsidR="004868FD" w:rsidRPr="00170F12" w:rsidRDefault="004868FD" w:rsidP="00CD5061">
      <w:pPr>
        <w:pStyle w:val="atextSpisLit"/>
        <w:numPr>
          <w:ilvl w:val="0"/>
          <w:numId w:val="22"/>
        </w:numPr>
        <w:spacing w:after="120" w:line="259" w:lineRule="auto"/>
        <w:ind w:left="709" w:hanging="357"/>
        <w:rPr>
          <w:i/>
          <w:lang w:val="uk-UA"/>
        </w:rPr>
      </w:pPr>
      <w:r w:rsidRPr="00170F12">
        <w:rPr>
          <w:lang w:val="uk-UA"/>
        </w:rPr>
        <w:t>Єрьоменко Г</w:t>
      </w:r>
      <w:r>
        <w:rPr>
          <w:lang w:val="uk-UA"/>
        </w:rPr>
        <w:t>.</w:t>
      </w:r>
      <w:r w:rsidRPr="00170F12">
        <w:rPr>
          <w:lang w:val="uk-UA"/>
        </w:rPr>
        <w:t>В</w:t>
      </w:r>
      <w:r>
        <w:rPr>
          <w:lang w:val="uk-UA"/>
        </w:rPr>
        <w:t>.</w:t>
      </w:r>
      <w:r w:rsidRPr="00170F12">
        <w:rPr>
          <w:lang w:val="uk-UA"/>
        </w:rPr>
        <w:t>, Висоцька О</w:t>
      </w:r>
      <w:r>
        <w:rPr>
          <w:lang w:val="uk-UA"/>
        </w:rPr>
        <w:t>.</w:t>
      </w:r>
      <w:r w:rsidRPr="00170F12">
        <w:rPr>
          <w:lang w:val="uk-UA"/>
        </w:rPr>
        <w:t>В</w:t>
      </w:r>
      <w:r>
        <w:rPr>
          <w:lang w:val="uk-UA"/>
        </w:rPr>
        <w:t>.</w:t>
      </w:r>
      <w:r w:rsidRPr="00170F12">
        <w:rPr>
          <w:lang w:val="uk-UA"/>
        </w:rPr>
        <w:t>, Оспанова Т</w:t>
      </w:r>
      <w:r>
        <w:rPr>
          <w:lang w:val="uk-UA"/>
        </w:rPr>
        <w:t>.</w:t>
      </w:r>
      <w:r w:rsidRPr="00170F12">
        <w:rPr>
          <w:lang w:val="uk-UA"/>
        </w:rPr>
        <w:t>С</w:t>
      </w:r>
      <w:r>
        <w:rPr>
          <w:lang w:val="uk-UA"/>
        </w:rPr>
        <w:t>.</w:t>
      </w:r>
      <w:r w:rsidRPr="00170F12">
        <w:rPr>
          <w:lang w:val="uk-UA"/>
        </w:rPr>
        <w:t>, Бездітко Т</w:t>
      </w:r>
      <w:r>
        <w:rPr>
          <w:lang w:val="uk-UA"/>
        </w:rPr>
        <w:t>.</w:t>
      </w:r>
      <w:r w:rsidRPr="00170F12">
        <w:rPr>
          <w:lang w:val="uk-UA"/>
        </w:rPr>
        <w:t>В</w:t>
      </w:r>
      <w:r>
        <w:rPr>
          <w:lang w:val="uk-UA"/>
        </w:rPr>
        <w:t>.</w:t>
      </w:r>
      <w:r w:rsidRPr="00170F12">
        <w:rPr>
          <w:lang w:val="uk-UA"/>
        </w:rPr>
        <w:t>, Хіміч</w:t>
      </w:r>
      <w:r>
        <w:rPr>
          <w:lang w:val="uk-UA"/>
        </w:rPr>
        <w:t> </w:t>
      </w:r>
      <w:r w:rsidRPr="00170F12">
        <w:rPr>
          <w:lang w:val="uk-UA"/>
        </w:rPr>
        <w:t>Т</w:t>
      </w:r>
      <w:r>
        <w:rPr>
          <w:lang w:val="uk-UA"/>
        </w:rPr>
        <w:t>.</w:t>
      </w:r>
      <w:r w:rsidRPr="00170F12">
        <w:rPr>
          <w:lang w:val="uk-UA"/>
        </w:rPr>
        <w:t>Ю</w:t>
      </w:r>
      <w:r>
        <w:rPr>
          <w:lang w:val="uk-UA"/>
        </w:rPr>
        <w:t>.</w:t>
      </w:r>
      <w:r w:rsidRPr="00170F12">
        <w:rPr>
          <w:lang w:val="uk-UA"/>
        </w:rPr>
        <w:t>, Блажко В</w:t>
      </w:r>
      <w:r>
        <w:rPr>
          <w:lang w:val="uk-UA"/>
        </w:rPr>
        <w:t>.</w:t>
      </w:r>
      <w:r w:rsidRPr="00170F12">
        <w:rPr>
          <w:lang w:val="uk-UA"/>
        </w:rPr>
        <w:t>І</w:t>
      </w:r>
      <w:r>
        <w:rPr>
          <w:lang w:val="uk-UA"/>
        </w:rPr>
        <w:t>.</w:t>
      </w:r>
      <w:r w:rsidRPr="00170F12">
        <w:rPr>
          <w:lang w:val="uk-UA"/>
        </w:rPr>
        <w:t>, Печерська А</w:t>
      </w:r>
      <w:r>
        <w:rPr>
          <w:lang w:val="uk-UA"/>
        </w:rPr>
        <w:t>.</w:t>
      </w:r>
      <w:r w:rsidRPr="00170F12">
        <w:rPr>
          <w:lang w:val="uk-UA"/>
        </w:rPr>
        <w:t>І</w:t>
      </w:r>
      <w:r>
        <w:rPr>
          <w:lang w:val="uk-UA"/>
        </w:rPr>
        <w:t>. (</w:t>
      </w:r>
      <w:r w:rsidRPr="00170F12">
        <w:rPr>
          <w:lang w:val="uk-UA"/>
        </w:rPr>
        <w:t>винахідники</w:t>
      </w:r>
      <w:r>
        <w:rPr>
          <w:lang w:val="uk-UA"/>
        </w:rPr>
        <w:t>).</w:t>
      </w:r>
      <w:r w:rsidRPr="00170F12">
        <w:rPr>
          <w:lang w:val="uk-UA"/>
        </w:rPr>
        <w:t xml:space="preserve"> Харківський національний університет радіоелектроніки</w:t>
      </w:r>
      <w:r>
        <w:rPr>
          <w:lang w:val="uk-UA"/>
        </w:rPr>
        <w:t xml:space="preserve"> (</w:t>
      </w:r>
      <w:r w:rsidRPr="00170F12">
        <w:rPr>
          <w:lang w:val="uk-UA"/>
        </w:rPr>
        <w:t>патентовласник</w:t>
      </w:r>
      <w:r>
        <w:rPr>
          <w:lang w:val="uk-UA"/>
        </w:rPr>
        <w:t>)</w:t>
      </w:r>
      <w:r w:rsidRPr="00170F12">
        <w:rPr>
          <w:lang w:val="uk-UA"/>
        </w:rPr>
        <w:t>. Спосіб визначення ризику прогресування бронхіальної астми у пацієнтів з бронхіальною астмою і</w:t>
      </w:r>
      <w:r>
        <w:rPr>
          <w:lang w:val="uk-UA"/>
        </w:rPr>
        <w:t> </w:t>
      </w:r>
      <w:r w:rsidRPr="00170F12">
        <w:rPr>
          <w:lang w:val="uk-UA"/>
        </w:rPr>
        <w:t xml:space="preserve">ожирінням. Патент </w:t>
      </w:r>
      <w:r w:rsidRPr="0068604C">
        <w:t>UA</w:t>
      </w:r>
      <w:r w:rsidRPr="00170F12">
        <w:rPr>
          <w:lang w:val="uk-UA"/>
        </w:rPr>
        <w:t xml:space="preserve"> 118314. 2017 серпень 02. (</w:t>
      </w:r>
      <w:r w:rsidRPr="0068604C">
        <w:rPr>
          <w:i/>
          <w:szCs w:val="28"/>
          <w:lang w:val="uk-UA"/>
        </w:rPr>
        <w:t xml:space="preserve">Здобувач здійснювала патентно-інформаційний пошук, обґрунтувала спосіб оцінки показників хворих на бронхіальну </w:t>
      </w:r>
      <w:r w:rsidRPr="00924510">
        <w:rPr>
          <w:i/>
          <w:szCs w:val="28"/>
          <w:lang w:val="uk-UA"/>
        </w:rPr>
        <w:t>астму з о</w:t>
      </w:r>
      <w:r w:rsidRPr="0068604C">
        <w:rPr>
          <w:i/>
          <w:szCs w:val="28"/>
          <w:lang w:val="uk-UA"/>
        </w:rPr>
        <w:t>жирінням, підготувала опис корисної моделі для експертизи</w:t>
      </w:r>
      <w:r w:rsidRPr="00170F12">
        <w:rPr>
          <w:i/>
          <w:lang w:val="uk-UA"/>
        </w:rPr>
        <w:t>).</w:t>
      </w:r>
    </w:p>
    <w:p w:rsidR="004868FD" w:rsidRPr="00D124D0" w:rsidRDefault="004868FD" w:rsidP="00CD5061">
      <w:pPr>
        <w:pStyle w:val="atextSpisLit"/>
        <w:numPr>
          <w:ilvl w:val="0"/>
          <w:numId w:val="22"/>
        </w:numPr>
        <w:spacing w:after="120" w:line="259" w:lineRule="auto"/>
        <w:ind w:left="709" w:hanging="357"/>
      </w:pPr>
      <w:r w:rsidRPr="00D124D0">
        <w:t>Еременко Г</w:t>
      </w:r>
      <w:r>
        <w:rPr>
          <w:lang w:val="uk-UA"/>
        </w:rPr>
        <w:t>.</w:t>
      </w:r>
      <w:r w:rsidRPr="00D124D0">
        <w:t>В</w:t>
      </w:r>
      <w:r>
        <w:rPr>
          <w:lang w:val="uk-UA"/>
        </w:rPr>
        <w:t>.</w:t>
      </w:r>
      <w:r w:rsidRPr="00D124D0">
        <w:t>, Бездетко Т</w:t>
      </w:r>
      <w:r>
        <w:rPr>
          <w:lang w:val="uk-UA"/>
        </w:rPr>
        <w:t>.</w:t>
      </w:r>
      <w:r w:rsidRPr="00D124D0">
        <w:t>В</w:t>
      </w:r>
      <w:r>
        <w:rPr>
          <w:lang w:val="uk-UA"/>
        </w:rPr>
        <w:t>.</w:t>
      </w:r>
      <w:r w:rsidRPr="00D124D0">
        <w:t>, Химич Т</w:t>
      </w:r>
      <w:r>
        <w:rPr>
          <w:lang w:val="uk-UA"/>
        </w:rPr>
        <w:t>.</w:t>
      </w:r>
      <w:r w:rsidRPr="00D124D0">
        <w:t>Ю</w:t>
      </w:r>
      <w:r>
        <w:rPr>
          <w:lang w:val="uk-UA"/>
        </w:rPr>
        <w:t>.</w:t>
      </w:r>
      <w:r w:rsidRPr="00D124D0">
        <w:t>, Овчаренко</w:t>
      </w:r>
      <w:r>
        <w:rPr>
          <w:lang w:val="uk-UA"/>
        </w:rPr>
        <w:t> </w:t>
      </w:r>
      <w:r w:rsidRPr="00D124D0">
        <w:t>Л</w:t>
      </w:r>
      <w:r>
        <w:rPr>
          <w:lang w:val="uk-UA"/>
        </w:rPr>
        <w:t>.</w:t>
      </w:r>
      <w:r w:rsidRPr="00D124D0">
        <w:t>А. Ретроспективный анализ типа «случай-контроль» бронхиальной астмы в</w:t>
      </w:r>
      <w:r w:rsidR="00A06383">
        <w:rPr>
          <w:lang w:val="uk-UA"/>
        </w:rPr>
        <w:t xml:space="preserve"> </w:t>
      </w:r>
      <w:r w:rsidRPr="00D124D0">
        <w:t xml:space="preserve">Харьковском регионе и некоторые факторы риска ее развития и обострения. </w:t>
      </w:r>
      <w:r w:rsidRPr="00D5061B">
        <w:rPr>
          <w:i/>
        </w:rPr>
        <w:t>Запорожский медицинский журнал</w:t>
      </w:r>
      <w:r w:rsidRPr="00D124D0">
        <w:t>. 20</w:t>
      </w:r>
      <w:r>
        <w:t>11; 2:</w:t>
      </w:r>
      <w:r w:rsidRPr="00D124D0">
        <w:t>73</w:t>
      </w:r>
      <w:r>
        <w:rPr>
          <w:lang w:val="uk-UA"/>
        </w:rPr>
        <w:t>–</w:t>
      </w:r>
      <w:r w:rsidRPr="00D124D0">
        <w:t>74. (</w:t>
      </w:r>
      <w:r w:rsidRPr="00D124D0">
        <w:rPr>
          <w:i/>
          <w:szCs w:val="28"/>
          <w:lang w:val="uk-UA"/>
        </w:rPr>
        <w:t>Особисто здобувачем проведе</w:t>
      </w:r>
      <w:r w:rsidRPr="00924510">
        <w:rPr>
          <w:i/>
          <w:szCs w:val="28"/>
          <w:lang w:val="uk-UA"/>
        </w:rPr>
        <w:t>но</w:t>
      </w:r>
      <w:r w:rsidRPr="00D124D0">
        <w:rPr>
          <w:i/>
          <w:szCs w:val="28"/>
          <w:lang w:val="uk-UA"/>
        </w:rPr>
        <w:t xml:space="preserve"> ретроспективний а</w:t>
      </w:r>
      <w:r>
        <w:rPr>
          <w:i/>
          <w:szCs w:val="28"/>
          <w:lang w:val="uk-UA"/>
        </w:rPr>
        <w:t>наліз історій хвороби, проведен</w:t>
      </w:r>
      <w:r w:rsidRPr="00D124D0">
        <w:rPr>
          <w:i/>
          <w:szCs w:val="28"/>
          <w:lang w:val="uk-UA"/>
        </w:rPr>
        <w:t>о функціональні методи дослідження, статистичну обробку отриманих даних, підготовку статті до друку</w:t>
      </w:r>
      <w:r w:rsidRPr="00D124D0">
        <w:t xml:space="preserve">). </w:t>
      </w:r>
    </w:p>
    <w:p w:rsidR="004868FD" w:rsidRPr="004D6464" w:rsidRDefault="004868FD" w:rsidP="00CD5061">
      <w:pPr>
        <w:pStyle w:val="atextSpisLit"/>
        <w:numPr>
          <w:ilvl w:val="0"/>
          <w:numId w:val="22"/>
        </w:numPr>
        <w:spacing w:after="120" w:line="259" w:lineRule="auto"/>
        <w:ind w:left="709" w:hanging="357"/>
      </w:pPr>
      <w:r w:rsidRPr="0068604C">
        <w:t>Ерёменко Г</w:t>
      </w:r>
      <w:r>
        <w:rPr>
          <w:lang w:val="uk-UA"/>
        </w:rPr>
        <w:t>.</w:t>
      </w:r>
      <w:r w:rsidRPr="0068604C">
        <w:t>В</w:t>
      </w:r>
      <w:r>
        <w:rPr>
          <w:lang w:val="uk-UA"/>
        </w:rPr>
        <w:t>.</w:t>
      </w:r>
      <w:r w:rsidRPr="0068604C">
        <w:t>, Оспанова Т</w:t>
      </w:r>
      <w:r>
        <w:rPr>
          <w:lang w:val="uk-UA"/>
        </w:rPr>
        <w:t>.</w:t>
      </w:r>
      <w:r w:rsidRPr="0068604C">
        <w:t>С</w:t>
      </w:r>
      <w:r>
        <w:rPr>
          <w:lang w:val="uk-UA"/>
        </w:rPr>
        <w:t>.</w:t>
      </w:r>
      <w:r w:rsidRPr="0068604C">
        <w:t>, Бездетко Т</w:t>
      </w:r>
      <w:r>
        <w:rPr>
          <w:lang w:val="uk-UA"/>
        </w:rPr>
        <w:t>.</w:t>
      </w:r>
      <w:r w:rsidRPr="0068604C">
        <w:t xml:space="preserve">В. Неспецифические адаптационные реакции организма у пациентов с бронхиальной астмой. </w:t>
      </w:r>
      <w:r w:rsidRPr="00D5061B">
        <w:rPr>
          <w:i/>
        </w:rPr>
        <w:t>Клінічна імунологія. Алергологія. Інфектологія</w:t>
      </w:r>
      <w:r w:rsidRPr="0068604C">
        <w:t>. 2013; 2, спецвипуск: 57</w:t>
      </w:r>
      <w:r>
        <w:rPr>
          <w:lang w:val="uk-UA"/>
        </w:rPr>
        <w:t>–</w:t>
      </w:r>
      <w:r w:rsidRPr="0068604C">
        <w:t>59.</w:t>
      </w:r>
      <w:r w:rsidRPr="0068604C">
        <w:rPr>
          <w:i/>
        </w:rPr>
        <w:t xml:space="preserve"> (</w:t>
      </w:r>
      <w:r w:rsidRPr="0068604C">
        <w:rPr>
          <w:bCs/>
          <w:i/>
        </w:rPr>
        <w:t>Особисто здобувачем проведено обстеження пацієнтів, оцінка порушень адаптаційних реакцій в осіб, хворих на БА, оформлення статті до друку</w:t>
      </w:r>
      <w:r w:rsidRPr="0068604C">
        <w:rPr>
          <w:i/>
        </w:rPr>
        <w:t>).</w:t>
      </w:r>
    </w:p>
    <w:p w:rsidR="004868FD" w:rsidRPr="0068604C" w:rsidRDefault="004868FD" w:rsidP="00CD5061">
      <w:pPr>
        <w:pStyle w:val="atextSpisLit"/>
        <w:numPr>
          <w:ilvl w:val="0"/>
          <w:numId w:val="22"/>
        </w:numPr>
        <w:spacing w:after="120" w:line="259" w:lineRule="auto"/>
        <w:ind w:left="709" w:hanging="357"/>
      </w:pPr>
      <w:r w:rsidRPr="0068604C">
        <w:t>Єрьоменко Г</w:t>
      </w:r>
      <w:r>
        <w:rPr>
          <w:lang w:val="uk-UA"/>
        </w:rPr>
        <w:t>.</w:t>
      </w:r>
      <w:r w:rsidRPr="0068604C">
        <w:t>В</w:t>
      </w:r>
      <w:r>
        <w:rPr>
          <w:lang w:val="uk-UA"/>
        </w:rPr>
        <w:t>.</w:t>
      </w:r>
      <w:r w:rsidRPr="0068604C">
        <w:t>, Ульванський Д</w:t>
      </w:r>
      <w:r>
        <w:rPr>
          <w:lang w:val="uk-UA"/>
        </w:rPr>
        <w:t>.</w:t>
      </w:r>
      <w:r w:rsidRPr="0068604C">
        <w:t xml:space="preserve">В. Роль освітніх програм в лікуванні бронхіальної астми. </w:t>
      </w:r>
      <w:r w:rsidRPr="00D5061B">
        <w:rPr>
          <w:i/>
        </w:rPr>
        <w:t>Медицина третього тисячоліття</w:t>
      </w:r>
      <w:r>
        <w:rPr>
          <w:lang w:val="uk-UA"/>
        </w:rPr>
        <w:t>:</w:t>
      </w:r>
      <w:r w:rsidRPr="0068604C">
        <w:t xml:space="preserve"> </w:t>
      </w:r>
      <w:r>
        <w:rPr>
          <w:lang w:val="uk-UA"/>
        </w:rPr>
        <w:t>м</w:t>
      </w:r>
      <w:r w:rsidRPr="0068604C">
        <w:t>атеріали науково-практичної конференції, ХНМУ</w:t>
      </w:r>
      <w:r>
        <w:rPr>
          <w:lang w:val="uk-UA"/>
        </w:rPr>
        <w:t xml:space="preserve"> (</w:t>
      </w:r>
      <w:r w:rsidRPr="0068604C">
        <w:t>Харків</w:t>
      </w:r>
      <w:r>
        <w:rPr>
          <w:lang w:val="uk-UA"/>
        </w:rPr>
        <w:t>,</w:t>
      </w:r>
      <w:r w:rsidRPr="0068604C">
        <w:t xml:space="preserve"> 15–16 січня 2013 р.</w:t>
      </w:r>
      <w:r>
        <w:rPr>
          <w:lang w:val="uk-UA"/>
        </w:rPr>
        <w:t>).</w:t>
      </w:r>
      <w:r w:rsidRPr="0068604C">
        <w:t xml:space="preserve"> Харків</w:t>
      </w:r>
      <w:r>
        <w:rPr>
          <w:lang w:val="uk-UA"/>
        </w:rPr>
        <w:t>,</w:t>
      </w:r>
      <w:r w:rsidRPr="0068604C">
        <w:t xml:space="preserve"> 2013</w:t>
      </w:r>
      <w:r>
        <w:rPr>
          <w:lang w:val="uk-UA"/>
        </w:rPr>
        <w:t>.</w:t>
      </w:r>
      <w:r w:rsidRPr="0068604C">
        <w:t xml:space="preserve"> </w:t>
      </w:r>
      <w:r>
        <w:rPr>
          <w:lang w:val="uk-UA"/>
        </w:rPr>
        <w:t>С</w:t>
      </w:r>
      <w:r w:rsidRPr="0068604C">
        <w:t>. 82.</w:t>
      </w:r>
      <w:r>
        <w:rPr>
          <w:lang w:val="uk-UA"/>
        </w:rPr>
        <w:t xml:space="preserve"> </w:t>
      </w:r>
      <w:r w:rsidRPr="00EF6068">
        <w:rPr>
          <w:i/>
          <w:szCs w:val="28"/>
          <w:lang w:val="uk-UA"/>
        </w:rPr>
        <w:t>(</w:t>
      </w:r>
      <w:r w:rsidRPr="00924510">
        <w:rPr>
          <w:i/>
          <w:szCs w:val="28"/>
          <w:lang w:val="uk-UA"/>
        </w:rPr>
        <w:t>Здобувачем систематизовано клінічні дані, підготовлено матеріал до друку, сформульовані висновки)</w:t>
      </w:r>
    </w:p>
    <w:p w:rsidR="004868FD" w:rsidRPr="0068604C" w:rsidRDefault="004868FD" w:rsidP="00CD5061">
      <w:pPr>
        <w:pStyle w:val="atextSpisLit"/>
        <w:numPr>
          <w:ilvl w:val="0"/>
          <w:numId w:val="22"/>
        </w:numPr>
        <w:spacing w:after="120" w:line="259" w:lineRule="auto"/>
        <w:ind w:left="709" w:hanging="357"/>
      </w:pPr>
      <w:r w:rsidRPr="0068604C">
        <w:t>Ерёменко Г</w:t>
      </w:r>
      <w:r>
        <w:rPr>
          <w:lang w:val="uk-UA"/>
        </w:rPr>
        <w:t>.</w:t>
      </w:r>
      <w:r w:rsidRPr="0068604C">
        <w:t xml:space="preserve">В. Иммунологические особенности адаптационных реакций организма у больных бронхиальной астмой. </w:t>
      </w:r>
      <w:r w:rsidRPr="000623EC">
        <w:rPr>
          <w:i/>
        </w:rPr>
        <w:t>Внесок молодих вчених у</w:t>
      </w:r>
      <w:r w:rsidRPr="000623EC">
        <w:rPr>
          <w:i/>
          <w:lang w:val="uk-UA"/>
        </w:rPr>
        <w:t> </w:t>
      </w:r>
      <w:r w:rsidRPr="000623EC">
        <w:rPr>
          <w:i/>
        </w:rPr>
        <w:t>розвиток медичної науки і практики: нові перспективи</w:t>
      </w:r>
      <w:r>
        <w:rPr>
          <w:lang w:val="uk-UA"/>
        </w:rPr>
        <w:t>:</w:t>
      </w:r>
      <w:r w:rsidRPr="0068604C">
        <w:t xml:space="preserve"> </w:t>
      </w:r>
      <w:r>
        <w:rPr>
          <w:lang w:val="uk-UA"/>
        </w:rPr>
        <w:t>м</w:t>
      </w:r>
      <w:r w:rsidRPr="0068604C">
        <w:t>атеріали</w:t>
      </w:r>
      <w:r>
        <w:t xml:space="preserve"> </w:t>
      </w:r>
      <w:r>
        <w:lastRenderedPageBreak/>
        <w:t>науково-практичної конференції</w:t>
      </w:r>
      <w:r w:rsidRPr="0068604C">
        <w:t xml:space="preserve"> ХНМУ </w:t>
      </w:r>
      <w:r>
        <w:rPr>
          <w:lang w:val="uk-UA"/>
        </w:rPr>
        <w:t>(</w:t>
      </w:r>
      <w:r w:rsidRPr="0068604C">
        <w:t>Харків</w:t>
      </w:r>
      <w:r>
        <w:rPr>
          <w:lang w:val="uk-UA"/>
        </w:rPr>
        <w:t>,</w:t>
      </w:r>
      <w:r w:rsidRPr="0068604C">
        <w:t xml:space="preserve"> 16 травня 2013 р.</w:t>
      </w:r>
      <w:r>
        <w:rPr>
          <w:lang w:val="uk-UA"/>
        </w:rPr>
        <w:t>).</w:t>
      </w:r>
      <w:r w:rsidRPr="0068604C">
        <w:t xml:space="preserve"> Харків</w:t>
      </w:r>
      <w:r>
        <w:rPr>
          <w:lang w:val="uk-UA"/>
        </w:rPr>
        <w:t>,</w:t>
      </w:r>
      <w:r w:rsidRPr="0068604C">
        <w:t xml:space="preserve"> 2013</w:t>
      </w:r>
      <w:r>
        <w:rPr>
          <w:lang w:val="uk-UA"/>
        </w:rPr>
        <w:t>.</w:t>
      </w:r>
      <w:r w:rsidRPr="0068604C">
        <w:t xml:space="preserve"> </w:t>
      </w:r>
      <w:r>
        <w:rPr>
          <w:lang w:val="uk-UA"/>
        </w:rPr>
        <w:t>С</w:t>
      </w:r>
      <w:r w:rsidRPr="0068604C">
        <w:t>. 86.</w:t>
      </w:r>
    </w:p>
    <w:p w:rsidR="004868FD" w:rsidRPr="0068604C" w:rsidRDefault="004868FD" w:rsidP="00CD5061">
      <w:pPr>
        <w:pStyle w:val="atextSpisLit"/>
        <w:numPr>
          <w:ilvl w:val="0"/>
          <w:numId w:val="22"/>
        </w:numPr>
        <w:spacing w:after="120" w:line="259" w:lineRule="auto"/>
        <w:ind w:left="709" w:hanging="357"/>
      </w:pPr>
      <w:r w:rsidRPr="00170F12">
        <w:rPr>
          <w:lang w:val="en-US"/>
        </w:rPr>
        <w:t>Yeryomenko G</w:t>
      </w:r>
      <w:r>
        <w:rPr>
          <w:lang w:val="uk-UA"/>
        </w:rPr>
        <w:t>.</w:t>
      </w:r>
      <w:r w:rsidRPr="00170F12">
        <w:rPr>
          <w:lang w:val="en-US"/>
        </w:rPr>
        <w:t xml:space="preserve">V. Nonspecific adaptive reactions in patients suffering from bronchial asthma. In: 7thInternational Scientific Interdisciplinary conference for medical students and young scientists. </w:t>
      </w:r>
      <w:r w:rsidRPr="0068604C">
        <w:t>Kharkiv, Abstract book. May 15th–16th, 2014. Kharkiv; 2014, 113</w:t>
      </w:r>
      <w:r>
        <w:rPr>
          <w:lang w:val="uk-UA"/>
        </w:rPr>
        <w:t>–</w:t>
      </w:r>
      <w:r w:rsidRPr="0068604C">
        <w:t>114.</w:t>
      </w:r>
    </w:p>
    <w:p w:rsidR="004868FD" w:rsidRPr="0068604C" w:rsidRDefault="004868FD" w:rsidP="00CD5061">
      <w:pPr>
        <w:pStyle w:val="atextSpisLit"/>
        <w:numPr>
          <w:ilvl w:val="0"/>
          <w:numId w:val="22"/>
        </w:numPr>
        <w:spacing w:after="120" w:line="259" w:lineRule="auto"/>
        <w:ind w:left="709" w:hanging="357"/>
      </w:pPr>
      <w:r w:rsidRPr="0068604C">
        <w:t>Ерёменко Г</w:t>
      </w:r>
      <w:r>
        <w:rPr>
          <w:lang w:val="uk-UA"/>
        </w:rPr>
        <w:t>.</w:t>
      </w:r>
      <w:r w:rsidRPr="0068604C">
        <w:t>В</w:t>
      </w:r>
      <w:r>
        <w:rPr>
          <w:lang w:val="uk-UA"/>
        </w:rPr>
        <w:t>.</w:t>
      </w:r>
      <w:r w:rsidRPr="0068604C">
        <w:t>, Михайская Е</w:t>
      </w:r>
      <w:r>
        <w:rPr>
          <w:lang w:val="uk-UA"/>
        </w:rPr>
        <w:t>.</w:t>
      </w:r>
      <w:r w:rsidRPr="0068604C">
        <w:t>Р</w:t>
      </w:r>
      <w:r>
        <w:rPr>
          <w:lang w:val="uk-UA"/>
        </w:rPr>
        <w:t>.</w:t>
      </w:r>
      <w:r w:rsidRPr="0068604C">
        <w:t>, Порадюк Е</w:t>
      </w:r>
      <w:r>
        <w:rPr>
          <w:lang w:val="uk-UA"/>
        </w:rPr>
        <w:t>.</w:t>
      </w:r>
      <w:r w:rsidRPr="0068604C">
        <w:t xml:space="preserve">В. Исследование характерологических особенностей больных бронхиальной астмой. </w:t>
      </w:r>
      <w:r w:rsidRPr="000623EC">
        <w:rPr>
          <w:i/>
        </w:rPr>
        <w:t>Медицина третього тисячоліття</w:t>
      </w:r>
      <w:r>
        <w:rPr>
          <w:i/>
          <w:lang w:val="uk-UA"/>
        </w:rPr>
        <w:t>:</w:t>
      </w:r>
      <w:r w:rsidRPr="0068604C">
        <w:t xml:space="preserve"> </w:t>
      </w:r>
      <w:r>
        <w:rPr>
          <w:lang w:val="uk-UA"/>
        </w:rPr>
        <w:t>м</w:t>
      </w:r>
      <w:r w:rsidRPr="0068604C">
        <w:t>атеріали</w:t>
      </w:r>
      <w:r>
        <w:t xml:space="preserve"> науково-практичної конференції</w:t>
      </w:r>
      <w:r w:rsidRPr="0068604C">
        <w:t xml:space="preserve"> </w:t>
      </w:r>
      <w:r>
        <w:rPr>
          <w:lang w:val="uk-UA"/>
        </w:rPr>
        <w:t>(</w:t>
      </w:r>
      <w:r w:rsidRPr="0068604C">
        <w:t>Харків</w:t>
      </w:r>
      <w:r>
        <w:rPr>
          <w:lang w:val="uk-UA"/>
        </w:rPr>
        <w:t>,</w:t>
      </w:r>
      <w:r w:rsidRPr="0068604C">
        <w:t xml:space="preserve"> 20</w:t>
      </w:r>
      <w:r>
        <w:rPr>
          <w:lang w:val="uk-UA"/>
        </w:rPr>
        <w:t> </w:t>
      </w:r>
      <w:r w:rsidRPr="0068604C">
        <w:t>січня 2015 р.</w:t>
      </w:r>
      <w:r>
        <w:rPr>
          <w:lang w:val="uk-UA"/>
        </w:rPr>
        <w:t>)</w:t>
      </w:r>
      <w:r w:rsidRPr="0068604C">
        <w:t xml:space="preserve"> Харків</w:t>
      </w:r>
      <w:r>
        <w:rPr>
          <w:lang w:val="uk-UA"/>
        </w:rPr>
        <w:t xml:space="preserve">, </w:t>
      </w:r>
      <w:r w:rsidRPr="0068604C">
        <w:t xml:space="preserve">2015. </w:t>
      </w:r>
      <w:r>
        <w:rPr>
          <w:lang w:val="uk-UA"/>
        </w:rPr>
        <w:t>С. </w:t>
      </w:r>
      <w:r w:rsidRPr="0068604C">
        <w:t>87.</w:t>
      </w:r>
      <w:r>
        <w:rPr>
          <w:lang w:val="uk-UA"/>
        </w:rPr>
        <w:t xml:space="preserve"> </w:t>
      </w:r>
      <w:r w:rsidRPr="00924510">
        <w:rPr>
          <w:i/>
          <w:szCs w:val="28"/>
          <w:lang w:val="uk-UA"/>
        </w:rPr>
        <w:t>(Здобувачем проаналізовано та систематизовано клінічний матеріал, підготовлено текст тез)</w:t>
      </w:r>
    </w:p>
    <w:p w:rsidR="004868FD" w:rsidRPr="00924510" w:rsidRDefault="004868FD" w:rsidP="00CD5061">
      <w:pPr>
        <w:pStyle w:val="atextSpisLit"/>
        <w:numPr>
          <w:ilvl w:val="0"/>
          <w:numId w:val="22"/>
        </w:numPr>
        <w:spacing w:after="120" w:line="259" w:lineRule="auto"/>
        <w:ind w:left="709" w:hanging="357"/>
      </w:pPr>
      <w:r w:rsidRPr="00547E73">
        <w:rPr>
          <w:lang w:val="en-US"/>
        </w:rPr>
        <w:t>Yeryomenko G</w:t>
      </w:r>
      <w:r>
        <w:rPr>
          <w:lang w:val="uk-UA"/>
        </w:rPr>
        <w:t>.</w:t>
      </w:r>
      <w:r w:rsidRPr="00547E73">
        <w:rPr>
          <w:lang w:val="en-US"/>
        </w:rPr>
        <w:t>, Ilyukha S</w:t>
      </w:r>
      <w:r>
        <w:rPr>
          <w:lang w:val="uk-UA"/>
        </w:rPr>
        <w:t>.</w:t>
      </w:r>
      <w:r w:rsidRPr="00547E73">
        <w:rPr>
          <w:lang w:val="en-US"/>
        </w:rPr>
        <w:t xml:space="preserve">, Taranenko A. A retrospective analysis of calls to emergency medical care to patients with allergy. In: The 8th International Scientific Interdisciplinary conference for medical students and young scientists Abstract book. </w:t>
      </w:r>
      <w:r w:rsidRPr="0068604C">
        <w:t>May 14th–15th 2015.</w:t>
      </w:r>
      <w:r>
        <w:rPr>
          <w:lang w:val="uk-UA"/>
        </w:rPr>
        <w:t xml:space="preserve"> </w:t>
      </w:r>
      <w:r w:rsidRPr="0068604C">
        <w:t>Kharkiv</w:t>
      </w:r>
      <w:r>
        <w:rPr>
          <w:lang w:val="uk-UA"/>
        </w:rPr>
        <w:t>,</w:t>
      </w:r>
      <w:r w:rsidRPr="0068604C">
        <w:t xml:space="preserve"> 2015</w:t>
      </w:r>
      <w:r>
        <w:rPr>
          <w:lang w:val="uk-UA"/>
        </w:rPr>
        <w:t>.</w:t>
      </w:r>
      <w:r w:rsidRPr="0068604C">
        <w:t xml:space="preserve"> Р. 76</w:t>
      </w:r>
      <w:r>
        <w:rPr>
          <w:lang w:val="uk-UA"/>
        </w:rPr>
        <w:t>–</w:t>
      </w:r>
      <w:r w:rsidRPr="0068604C">
        <w:t>77.</w:t>
      </w:r>
      <w:r>
        <w:rPr>
          <w:lang w:val="uk-UA"/>
        </w:rPr>
        <w:t xml:space="preserve"> </w:t>
      </w:r>
      <w:r w:rsidRPr="00924510">
        <w:rPr>
          <w:i/>
          <w:szCs w:val="28"/>
          <w:lang w:val="uk-UA"/>
        </w:rPr>
        <w:t>(Здобувачем систематизовано клінічні дані, підготовлено матеріал до друку, сформульовані висновки).</w:t>
      </w:r>
    </w:p>
    <w:p w:rsidR="004868FD" w:rsidRPr="0068604C" w:rsidRDefault="004868FD" w:rsidP="00CD5061">
      <w:pPr>
        <w:pStyle w:val="atextSpisLit"/>
        <w:numPr>
          <w:ilvl w:val="0"/>
          <w:numId w:val="22"/>
        </w:numPr>
        <w:spacing w:after="120" w:line="259" w:lineRule="auto"/>
        <w:ind w:left="709" w:hanging="357"/>
      </w:pPr>
      <w:r w:rsidRPr="00547E73">
        <w:rPr>
          <w:lang w:val="en-US"/>
        </w:rPr>
        <w:t>Yeryomenko G</w:t>
      </w:r>
      <w:r>
        <w:rPr>
          <w:lang w:val="uk-UA"/>
        </w:rPr>
        <w:t>.</w:t>
      </w:r>
      <w:r w:rsidRPr="00547E73">
        <w:rPr>
          <w:lang w:val="en-US"/>
        </w:rPr>
        <w:t xml:space="preserve">, Pasiyeshvili T. Characteristics of genotypes of ACE gene in obese patients with asthma. In: Abstract book 4th Congress of Immunology </w:t>
      </w:r>
      <w:r>
        <w:rPr>
          <w:lang w:val="uk-UA"/>
        </w:rPr>
        <w:t>(</w:t>
      </w:r>
      <w:r w:rsidRPr="00547E73">
        <w:rPr>
          <w:lang w:val="en-US"/>
        </w:rPr>
        <w:t>Vienna</w:t>
      </w:r>
      <w:r>
        <w:rPr>
          <w:lang w:val="uk-UA"/>
        </w:rPr>
        <w:t>,</w:t>
      </w:r>
      <w:r w:rsidRPr="00547E73">
        <w:rPr>
          <w:lang w:val="en-US"/>
        </w:rPr>
        <w:t xml:space="preserve"> 4–6 September 2015</w:t>
      </w:r>
      <w:r>
        <w:rPr>
          <w:lang w:val="uk-UA"/>
        </w:rPr>
        <w:t>)</w:t>
      </w:r>
      <w:r w:rsidRPr="00547E73">
        <w:rPr>
          <w:lang w:val="en-US"/>
        </w:rPr>
        <w:t>. Vienna</w:t>
      </w:r>
      <w:r>
        <w:rPr>
          <w:lang w:val="uk-UA"/>
        </w:rPr>
        <w:t>,</w:t>
      </w:r>
      <w:r w:rsidRPr="00547E73">
        <w:rPr>
          <w:lang w:val="en-US"/>
        </w:rPr>
        <w:t xml:space="preserve"> 2015</w:t>
      </w:r>
      <w:r>
        <w:rPr>
          <w:lang w:val="uk-UA"/>
        </w:rPr>
        <w:t>.</w:t>
      </w:r>
      <w:r w:rsidRPr="00547E73">
        <w:rPr>
          <w:lang w:val="en-US"/>
        </w:rPr>
        <w:t xml:space="preserve"> </w:t>
      </w:r>
      <w:r w:rsidRPr="0068604C">
        <w:t>Р. B.33.11.</w:t>
      </w:r>
      <w:r>
        <w:rPr>
          <w:lang w:val="uk-UA"/>
        </w:rPr>
        <w:t xml:space="preserve"> </w:t>
      </w:r>
      <w:r w:rsidRPr="00924510">
        <w:rPr>
          <w:i/>
          <w:szCs w:val="28"/>
          <w:lang w:val="uk-UA"/>
        </w:rPr>
        <w:t>(Здобувачем систематизовано клінічні дані, підготовлено матеріал до друку, сформульовані висновки)</w:t>
      </w:r>
      <w:r w:rsidRPr="00EF6068">
        <w:rPr>
          <w:i/>
          <w:szCs w:val="28"/>
          <w:lang w:val="uk-UA"/>
        </w:rPr>
        <w:t>.</w:t>
      </w:r>
    </w:p>
    <w:p w:rsidR="004868FD" w:rsidRPr="0068604C" w:rsidRDefault="004868FD" w:rsidP="00CD5061">
      <w:pPr>
        <w:pStyle w:val="atextSpisLit"/>
        <w:numPr>
          <w:ilvl w:val="0"/>
          <w:numId w:val="22"/>
        </w:numPr>
        <w:spacing w:after="120" w:line="259" w:lineRule="auto"/>
        <w:ind w:left="709" w:hanging="357"/>
      </w:pPr>
      <w:r w:rsidRPr="0068604C">
        <w:t>Ерёменко Г</w:t>
      </w:r>
      <w:r>
        <w:rPr>
          <w:lang w:val="uk-UA"/>
        </w:rPr>
        <w:t>.</w:t>
      </w:r>
      <w:r w:rsidRPr="0068604C">
        <w:t>В</w:t>
      </w:r>
      <w:r>
        <w:rPr>
          <w:lang w:val="uk-UA"/>
        </w:rPr>
        <w:t>.</w:t>
      </w:r>
      <w:r w:rsidRPr="0068604C">
        <w:t>, Илюха С</w:t>
      </w:r>
      <w:r>
        <w:rPr>
          <w:lang w:val="uk-UA"/>
        </w:rPr>
        <w:t>.</w:t>
      </w:r>
      <w:r w:rsidRPr="0068604C">
        <w:t xml:space="preserve">Э. Физическая активность </w:t>
      </w:r>
      <w:r>
        <w:t>–</w:t>
      </w:r>
      <w:r w:rsidRPr="0068604C">
        <w:t xml:space="preserve"> фактор снижения риска обострения бронхиальной астмы. </w:t>
      </w:r>
      <w:r w:rsidRPr="00043529">
        <w:rPr>
          <w:i/>
        </w:rPr>
        <w:t>Медицина третього тисячоліття</w:t>
      </w:r>
      <w:r>
        <w:rPr>
          <w:lang w:val="uk-UA"/>
        </w:rPr>
        <w:t>:</w:t>
      </w:r>
      <w:r w:rsidRPr="0068604C">
        <w:t xml:space="preserve"> </w:t>
      </w:r>
      <w:r>
        <w:rPr>
          <w:lang w:val="uk-UA"/>
        </w:rPr>
        <w:t>м</w:t>
      </w:r>
      <w:r w:rsidRPr="0068604C">
        <w:t>атеріали науково-практичної конференції молодих вчених</w:t>
      </w:r>
      <w:r>
        <w:rPr>
          <w:lang w:val="uk-UA"/>
        </w:rPr>
        <w:t xml:space="preserve"> (</w:t>
      </w:r>
      <w:r w:rsidRPr="0068604C">
        <w:t>Харків</w:t>
      </w:r>
      <w:r>
        <w:rPr>
          <w:lang w:val="uk-UA"/>
        </w:rPr>
        <w:t>,</w:t>
      </w:r>
      <w:r w:rsidRPr="0068604C">
        <w:t xml:space="preserve"> 19 січня 2016 р.</w:t>
      </w:r>
      <w:r>
        <w:rPr>
          <w:lang w:val="uk-UA"/>
        </w:rPr>
        <w:t>).</w:t>
      </w:r>
      <w:r w:rsidRPr="0068604C">
        <w:t xml:space="preserve"> Харків</w:t>
      </w:r>
      <w:r>
        <w:rPr>
          <w:lang w:val="uk-UA"/>
        </w:rPr>
        <w:t>,</w:t>
      </w:r>
      <w:r w:rsidRPr="0068604C">
        <w:t xml:space="preserve"> 2016</w:t>
      </w:r>
      <w:r>
        <w:rPr>
          <w:lang w:val="uk-UA"/>
        </w:rPr>
        <w:t>.</w:t>
      </w:r>
      <w:r w:rsidRPr="0068604C">
        <w:t xml:space="preserve"> </w:t>
      </w:r>
      <w:r>
        <w:rPr>
          <w:lang w:val="uk-UA"/>
        </w:rPr>
        <w:t>С</w:t>
      </w:r>
      <w:r w:rsidRPr="0068604C">
        <w:t>.</w:t>
      </w:r>
      <w:r>
        <w:rPr>
          <w:lang w:val="uk-UA"/>
        </w:rPr>
        <w:t> </w:t>
      </w:r>
      <w:r w:rsidRPr="0068604C">
        <w:t>111. (</w:t>
      </w:r>
      <w:r w:rsidRPr="0068604C">
        <w:rPr>
          <w:i/>
        </w:rPr>
        <w:t>Здобувачем проведено пошук та аналіз літератури, клінічне обстеження хворих на БА, статистичну обробку отриманих даних, оформлення та подання до друку</w:t>
      </w:r>
      <w:r w:rsidRPr="0068604C">
        <w:t>).</w:t>
      </w:r>
    </w:p>
    <w:p w:rsidR="004868FD" w:rsidRPr="0068604C" w:rsidRDefault="004868FD" w:rsidP="00CD5061">
      <w:pPr>
        <w:pStyle w:val="atextSpisLit"/>
        <w:numPr>
          <w:ilvl w:val="0"/>
          <w:numId w:val="22"/>
        </w:numPr>
        <w:spacing w:after="120" w:line="259" w:lineRule="auto"/>
        <w:ind w:left="709" w:hanging="357"/>
      </w:pPr>
      <w:r w:rsidRPr="0068604C">
        <w:t>Єрьоменко Г</w:t>
      </w:r>
      <w:r>
        <w:rPr>
          <w:lang w:val="uk-UA"/>
        </w:rPr>
        <w:t>.</w:t>
      </w:r>
      <w:r w:rsidRPr="0068604C">
        <w:t>В</w:t>
      </w:r>
      <w:r>
        <w:rPr>
          <w:lang w:val="uk-UA"/>
        </w:rPr>
        <w:t>.</w:t>
      </w:r>
      <w:r w:rsidRPr="0068604C">
        <w:t>, Бездітко Т</w:t>
      </w:r>
      <w:r>
        <w:rPr>
          <w:lang w:val="uk-UA"/>
        </w:rPr>
        <w:t>.</w:t>
      </w:r>
      <w:r w:rsidRPr="0068604C">
        <w:t>В</w:t>
      </w:r>
      <w:r>
        <w:rPr>
          <w:lang w:val="uk-UA"/>
        </w:rPr>
        <w:t>.</w:t>
      </w:r>
      <w:r w:rsidRPr="0068604C">
        <w:t>, Ілюха С</w:t>
      </w:r>
      <w:r>
        <w:rPr>
          <w:lang w:val="uk-UA"/>
        </w:rPr>
        <w:t>.</w:t>
      </w:r>
      <w:r w:rsidRPr="0068604C">
        <w:t xml:space="preserve">Е. Молекулярні чинники бронхіальної астми та полінозу. </w:t>
      </w:r>
      <w:r w:rsidRPr="00043529">
        <w:rPr>
          <w:i/>
        </w:rPr>
        <w:t>Актуальні питання лабораторної медицини</w:t>
      </w:r>
      <w:r>
        <w:rPr>
          <w:lang w:val="uk-UA"/>
        </w:rPr>
        <w:t>:</w:t>
      </w:r>
      <w:r w:rsidRPr="0068604C">
        <w:t xml:space="preserve"> Матеріали науково-практичної конференції за участю міжнародних спеціалістів (Харків, 20–21 листопада 2018 р.). Харків</w:t>
      </w:r>
      <w:r>
        <w:rPr>
          <w:lang w:val="uk-UA"/>
        </w:rPr>
        <w:t>,</w:t>
      </w:r>
      <w:r w:rsidRPr="0068604C">
        <w:t xml:space="preserve"> 2018</w:t>
      </w:r>
      <w:r>
        <w:rPr>
          <w:lang w:val="uk-UA"/>
        </w:rPr>
        <w:t>.</w:t>
      </w:r>
      <w:r w:rsidRPr="0068604C">
        <w:t xml:space="preserve"> </w:t>
      </w:r>
      <w:r>
        <w:rPr>
          <w:lang w:val="uk-UA"/>
        </w:rPr>
        <w:t>С</w:t>
      </w:r>
      <w:r w:rsidRPr="0068604C">
        <w:t>. 25–26. (</w:t>
      </w:r>
      <w:r w:rsidRPr="0068604C">
        <w:rPr>
          <w:i/>
        </w:rPr>
        <w:t>Здобувачем проведено огляд літератури, збір матеріалу, проаналізовано вплив полінозу на контроль бронхіальної астми</w:t>
      </w:r>
      <w:r w:rsidRPr="0068604C">
        <w:t>).</w:t>
      </w:r>
    </w:p>
    <w:p w:rsidR="00AD0F7C" w:rsidRDefault="00AD0F7C" w:rsidP="00A06383">
      <w:pPr>
        <w:pStyle w:val="arefZag"/>
        <w:spacing w:before="0" w:after="0"/>
        <w:ind w:left="709"/>
      </w:pPr>
    </w:p>
    <w:p w:rsidR="008266DC" w:rsidRPr="00CD5061" w:rsidRDefault="003B6D8A" w:rsidP="00386014">
      <w:pPr>
        <w:pStyle w:val="arefZag"/>
        <w:spacing w:before="0" w:after="0"/>
      </w:pPr>
      <w:r>
        <w:br w:type="page"/>
      </w:r>
      <w:r w:rsidR="00D74025" w:rsidRPr="0022453B">
        <w:lastRenderedPageBreak/>
        <w:t>АНОТАЦІЯ</w:t>
      </w:r>
    </w:p>
    <w:p w:rsidR="00A06383" w:rsidRPr="00CD5061" w:rsidRDefault="00A06383" w:rsidP="00386014">
      <w:pPr>
        <w:pStyle w:val="arefZag"/>
        <w:spacing w:before="0" w:after="0"/>
      </w:pPr>
    </w:p>
    <w:p w:rsidR="00CC68E4" w:rsidRPr="00CD5061" w:rsidRDefault="00CC68E4" w:rsidP="00A06383">
      <w:pPr>
        <w:pStyle w:val="annot"/>
        <w:spacing w:after="0"/>
        <w:ind w:firstLine="709"/>
        <w:jc w:val="both"/>
        <w:rPr>
          <w:b w:val="0"/>
        </w:rPr>
      </w:pPr>
      <w:r w:rsidRPr="00CD5061">
        <w:rPr>
          <w:i/>
        </w:rPr>
        <w:t>Єрьоменко Г.В.</w:t>
      </w:r>
      <w:r w:rsidRPr="00CD5061">
        <w:t xml:space="preserve"> </w:t>
      </w:r>
      <w:r w:rsidRPr="0022453B">
        <w:t>Патогенетичне обґрунтування діагностики та корекції пульморенальних та метаболічних порушень у хворих на бронхіальну астму з цукровим діабетом 2</w:t>
      </w:r>
      <w:r w:rsidR="00CE60CB">
        <w:t>-го</w:t>
      </w:r>
      <w:r w:rsidRPr="0022453B">
        <w:t xml:space="preserve"> типу та ожирінням.</w:t>
      </w:r>
      <w:r w:rsidR="005C3CCA" w:rsidRPr="0022453B">
        <w:t xml:space="preserve"> </w:t>
      </w:r>
      <w:r w:rsidR="00CD22CE" w:rsidRPr="00A06383">
        <w:rPr>
          <w:b w:val="0"/>
        </w:rPr>
        <w:t>–</w:t>
      </w:r>
      <w:r w:rsidRPr="00A06383">
        <w:rPr>
          <w:b w:val="0"/>
        </w:rPr>
        <w:t xml:space="preserve"> </w:t>
      </w:r>
      <w:r w:rsidR="0004504E" w:rsidRPr="00A06383">
        <w:rPr>
          <w:b w:val="0"/>
        </w:rPr>
        <w:t>Кваліфікаційна наукова праця на правах рукопису</w:t>
      </w:r>
      <w:r w:rsidR="003C50A9" w:rsidRPr="00CD5061">
        <w:rPr>
          <w:b w:val="0"/>
        </w:rPr>
        <w:t>.</w:t>
      </w:r>
    </w:p>
    <w:p w:rsidR="00CC68E4" w:rsidRPr="004868FD" w:rsidRDefault="00CC68E4" w:rsidP="00386014">
      <w:pPr>
        <w:pStyle w:val="atextRef"/>
        <w:spacing w:line="240" w:lineRule="auto"/>
      </w:pPr>
      <w:r w:rsidRPr="004868FD">
        <w:t xml:space="preserve">Дисертація на здобуття наукового ступеня доктора медичних наук за спеціальністю 14.01.02 </w:t>
      </w:r>
      <w:r w:rsidR="00CD22CE" w:rsidRPr="004868FD">
        <w:t>–</w:t>
      </w:r>
      <w:r w:rsidR="00BB719D" w:rsidRPr="004868FD">
        <w:t xml:space="preserve"> внутрішні хвороби.</w:t>
      </w:r>
      <w:r w:rsidRPr="004868FD">
        <w:t xml:space="preserve"> Харківський національний медичний університет</w:t>
      </w:r>
      <w:r w:rsidR="001A2E95" w:rsidRPr="004868FD">
        <w:t>,</w:t>
      </w:r>
      <w:r w:rsidR="00F3741D" w:rsidRPr="004868FD">
        <w:t xml:space="preserve"> МОЗ України.</w:t>
      </w:r>
      <w:r w:rsidRPr="004868FD">
        <w:t xml:space="preserve"> Харків, 2019.</w:t>
      </w:r>
    </w:p>
    <w:p w:rsidR="007211BC" w:rsidRPr="004868FD" w:rsidRDefault="00E532CB" w:rsidP="00A06383">
      <w:pPr>
        <w:pStyle w:val="atextRef"/>
        <w:spacing w:before="120" w:line="240" w:lineRule="auto"/>
      </w:pPr>
      <w:r w:rsidRPr="004868FD">
        <w:t>Проведене дослідження присвячене проблемі ранньої діагностики та прогресуванню перебігу, розробки лікувальної стратегії у хворих із коморбідним перебігом бронхіальної астми в поєднанні з цукровим діабетом 2</w:t>
      </w:r>
      <w:r w:rsidR="00AC4B51">
        <w:t>-го</w:t>
      </w:r>
      <w:r w:rsidRPr="004868FD">
        <w:t xml:space="preserve"> типу і</w:t>
      </w:r>
      <w:r w:rsidR="004868FD">
        <w:t> </w:t>
      </w:r>
      <w:r w:rsidRPr="004868FD">
        <w:t>ожирінням та їх впливу на формування пульморенальних розладів. Результати дослідження ґрунтуються на даних обстеження 252 пацієнтів, серед яких основна група склала 190 хворих на бронхіальну астму середньої тяжкості (105 хворих у</w:t>
      </w:r>
      <w:r w:rsidR="004868FD">
        <w:t> </w:t>
      </w:r>
      <w:r w:rsidRPr="004868FD">
        <w:t>поєднанні з цукровим діабетом 2</w:t>
      </w:r>
      <w:r w:rsidR="00AC4B51">
        <w:t>-го</w:t>
      </w:r>
      <w:r w:rsidRPr="004868FD">
        <w:t xml:space="preserve"> типу, 85 хворих </w:t>
      </w:r>
      <w:r w:rsidR="00CD22CE" w:rsidRPr="004868FD">
        <w:t>–</w:t>
      </w:r>
      <w:r w:rsidRPr="004868FD">
        <w:t xml:space="preserve"> з ожирінням) і група порівняння з бронхіальною астмою (БА) ізольованою </w:t>
      </w:r>
      <w:r w:rsidR="00CD22CE" w:rsidRPr="004868FD">
        <w:t>–</w:t>
      </w:r>
      <w:r w:rsidRPr="004868FD">
        <w:t xml:space="preserve"> 62 хворих. Контрольну групу склали 21 практично здоровий волонтер, у яких БА, цукровий діабет 2</w:t>
      </w:r>
      <w:r w:rsidR="00AC4B51">
        <w:t>-го</w:t>
      </w:r>
      <w:r w:rsidRPr="004868FD">
        <w:t xml:space="preserve"> типу (ЦД2Т) та ожиріння виключені на підставі комплексу клініко-інструментальних обстежень. Установлено, що БА у поєднанні з ЦД2Т та ожирінням супроводжуються каскадом метаболічних порушень. Специфічною ознакою бронхіальної астми на фоні цукрового діабету</w:t>
      </w:r>
      <w:r w:rsidR="0022453B" w:rsidRPr="004868FD">
        <w:t xml:space="preserve"> </w:t>
      </w:r>
      <w:r w:rsidRPr="004868FD">
        <w:t>є гіперінсулінемія, інсулінорезистентність, гіперглікемія, дисліпідемія, зниження рівня ХС ЛПВЩ та підвищення ХС ЛПНЩ</w:t>
      </w:r>
      <w:r w:rsidR="005822B0" w:rsidRPr="004868FD">
        <w:t xml:space="preserve">; </w:t>
      </w:r>
      <w:r w:rsidRPr="004868FD">
        <w:t xml:space="preserve">у хворих на бронхіальну астму в поєднанні з ожирінням </w:t>
      </w:r>
      <w:r w:rsidR="00CD22CE" w:rsidRPr="004868FD">
        <w:t>–</w:t>
      </w:r>
      <w:r w:rsidRPr="004868FD">
        <w:t xml:space="preserve"> абдомінальне ожиріння, гіперінсулінемія, інсулінорезистентність, дисліпідемія, зниження рівня ХС ЛПВЩ. У хворих на БА середньотяжкого перебігу пошкодження нирок розвивається у 15,4</w:t>
      </w:r>
      <w:r w:rsidR="0022453B" w:rsidRPr="004868FD">
        <w:t>%</w:t>
      </w:r>
      <w:r w:rsidRPr="004868FD">
        <w:t xml:space="preserve"> випадків, при поєднанні ожиріння частота пошкодження нирок підвищується і дорівнює 36,8</w:t>
      </w:r>
      <w:r w:rsidR="0022453B" w:rsidRPr="004868FD">
        <w:t>%</w:t>
      </w:r>
      <w:r w:rsidRPr="004868FD">
        <w:t>, а у хворих на БА у</w:t>
      </w:r>
      <w:r w:rsidR="004868FD">
        <w:t> </w:t>
      </w:r>
      <w:r w:rsidRPr="004868FD">
        <w:t xml:space="preserve">поєднанні з ЦД2Т </w:t>
      </w:r>
      <w:r w:rsidR="00CD22CE" w:rsidRPr="004868FD">
        <w:t>–</w:t>
      </w:r>
      <w:r w:rsidRPr="004868FD">
        <w:t xml:space="preserve"> до 63,56</w:t>
      </w:r>
      <w:r w:rsidR="0022453B" w:rsidRPr="004868FD">
        <w:t>%</w:t>
      </w:r>
      <w:r w:rsidRPr="004868FD">
        <w:t>. Пошкодження нирок виявляється розвитком мікроальбумінурії у хворих на БА у поєднанні з ЦД2Т (42,31</w:t>
      </w:r>
      <w:r w:rsidR="0022453B" w:rsidRPr="004868FD">
        <w:t>%</w:t>
      </w:r>
      <w:r w:rsidRPr="004868FD">
        <w:t>), у хворих на БА</w:t>
      </w:r>
      <w:r w:rsidR="004868FD">
        <w:t xml:space="preserve"> </w:t>
      </w:r>
      <w:r w:rsidRPr="004868FD">
        <w:t>у</w:t>
      </w:r>
      <w:r w:rsidR="004868FD">
        <w:t> </w:t>
      </w:r>
      <w:r w:rsidRPr="004868FD">
        <w:t>поєднанні з ожирінням (23,34</w:t>
      </w:r>
      <w:r w:rsidR="0022453B" w:rsidRPr="004868FD">
        <w:t>%</w:t>
      </w:r>
      <w:r w:rsidRPr="004868FD">
        <w:t>), порушенням фільтраційної функції нирок у</w:t>
      </w:r>
      <w:r w:rsidR="004868FD">
        <w:t> </w:t>
      </w:r>
      <w:r w:rsidRPr="004868FD">
        <w:t>всіх груп хворих. Виявлені зміни вазорегулюючої функції ендотелію при підвищенні ЕТ-1, ФВ, ФКУ та зниження S-нітрозотіолів. Визначено та доведено роль дисбалансу роботи системи фіброзу-фібринолізу з високою активністю фібротичного параметру МСР-1 та зниженням антифібротичної ММ</w:t>
      </w:r>
      <w:r w:rsidR="009E0EA6" w:rsidRPr="009E0EA6">
        <w:t>Р</w:t>
      </w:r>
      <w:r w:rsidRPr="004868FD">
        <w:t xml:space="preserve">-9 при ШКФ &lt; 60 мл/хв/1,73 м2. Виявлені ознаки імунного запалення, підвищення рівнів ІЛ-8 та ІЛ-12. Розроблені коефіцієнти ризику прогресування БА за регресійним рівнянням для хворих на БА у поєднанні з ожирінням (К </w:t>
      </w:r>
      <w:r w:rsidRPr="0086361E">
        <w:rPr>
          <w:vertAlign w:val="subscript"/>
        </w:rPr>
        <w:t>ризику</w:t>
      </w:r>
      <w:r w:rsidRPr="00AC4B51">
        <w:rPr>
          <w:vertAlign w:val="subscript"/>
        </w:rPr>
        <w:t>1</w:t>
      </w:r>
      <w:r w:rsidRPr="004868FD">
        <w:t xml:space="preserve">) і для хворих на БА у поєднанні з ЦД2Т (К </w:t>
      </w:r>
      <w:r w:rsidRPr="00A56617">
        <w:rPr>
          <w:vertAlign w:val="subscript"/>
        </w:rPr>
        <w:t>ризику</w:t>
      </w:r>
      <w:r w:rsidRPr="00AC4B51">
        <w:rPr>
          <w:vertAlign w:val="subscript"/>
        </w:rPr>
        <w:t>2</w:t>
      </w:r>
      <w:r w:rsidRPr="004868FD">
        <w:t xml:space="preserve">). Доведена ефективність запропонованої комплексної терапії хворих з поєднаним перебігом БА та ЦД2Т на тлі базисної терапії з додатковим використанням </w:t>
      </w:r>
      <w:r w:rsidR="00676D00">
        <w:rPr>
          <w:lang w:val="en-US"/>
        </w:rPr>
        <w:t>L</w:t>
      </w:r>
      <w:r w:rsidR="00676D00" w:rsidRPr="00355A86">
        <w:t>-</w:t>
      </w:r>
      <w:r w:rsidR="00676D00" w:rsidRPr="004E150F">
        <w:t xml:space="preserve">аргініну </w:t>
      </w:r>
      <w:r w:rsidR="00676D00">
        <w:t>аспартату</w:t>
      </w:r>
      <w:r w:rsidR="00676D00" w:rsidRPr="0022453B">
        <w:t xml:space="preserve"> </w:t>
      </w:r>
      <w:r w:rsidRPr="004868FD">
        <w:t xml:space="preserve">та тіотропію броміду. </w:t>
      </w:r>
    </w:p>
    <w:p w:rsidR="00D5147D" w:rsidRDefault="00D5147D" w:rsidP="00C033BA">
      <w:pPr>
        <w:pStyle w:val="atextRef"/>
        <w:spacing w:line="240" w:lineRule="auto"/>
        <w:rPr>
          <w:lang w:val="ru-RU"/>
        </w:rPr>
      </w:pPr>
      <w:r w:rsidRPr="004868FD">
        <w:rPr>
          <w:b/>
        </w:rPr>
        <w:t>Ключові слова:</w:t>
      </w:r>
      <w:r w:rsidRPr="004868FD">
        <w:t xml:space="preserve"> </w:t>
      </w:r>
      <w:r w:rsidR="00EF5A6D" w:rsidRPr="004868FD">
        <w:t>бронхіальна астма</w:t>
      </w:r>
      <w:r w:rsidRPr="004868FD">
        <w:t>, цукровий діабет 2</w:t>
      </w:r>
      <w:r w:rsidR="00170F12">
        <w:t>-го</w:t>
      </w:r>
      <w:r w:rsidRPr="004868FD">
        <w:t xml:space="preserve"> типу,</w:t>
      </w:r>
      <w:r w:rsidR="00387A1D" w:rsidRPr="004868FD">
        <w:t xml:space="preserve"> ожиріння,</w:t>
      </w:r>
      <w:r w:rsidRPr="004868FD">
        <w:t xml:space="preserve"> системне запалення, пульморенальні порушення, </w:t>
      </w:r>
      <w:r w:rsidR="00387A1D" w:rsidRPr="004868FD">
        <w:t>терапія.</w:t>
      </w:r>
    </w:p>
    <w:p w:rsidR="00F564B2" w:rsidRDefault="00D74025" w:rsidP="00C033BA">
      <w:pPr>
        <w:pStyle w:val="arefZag"/>
        <w:spacing w:before="0" w:after="0"/>
        <w:rPr>
          <w:lang w:val="ru-RU"/>
        </w:rPr>
      </w:pPr>
      <w:r w:rsidRPr="0022453B">
        <w:rPr>
          <w:lang w:val="ru-RU"/>
        </w:rPr>
        <w:lastRenderedPageBreak/>
        <w:t>АННОТАЦИЯ</w:t>
      </w:r>
    </w:p>
    <w:p w:rsidR="00C033BA" w:rsidRPr="0022453B" w:rsidRDefault="00C033BA" w:rsidP="00C033BA">
      <w:pPr>
        <w:pStyle w:val="arefZag"/>
        <w:spacing w:before="0" w:after="0"/>
        <w:rPr>
          <w:lang w:val="ru-RU"/>
        </w:rPr>
      </w:pPr>
    </w:p>
    <w:p w:rsidR="0004504E" w:rsidRPr="00A06383" w:rsidRDefault="00F709B2" w:rsidP="00C033BA">
      <w:pPr>
        <w:pStyle w:val="annot"/>
        <w:spacing w:after="0"/>
        <w:ind w:firstLine="709"/>
        <w:jc w:val="both"/>
        <w:rPr>
          <w:b w:val="0"/>
          <w:lang w:val="ru-RU"/>
        </w:rPr>
      </w:pPr>
      <w:r w:rsidRPr="00C033BA">
        <w:rPr>
          <w:i/>
          <w:lang w:val="ru-RU"/>
        </w:rPr>
        <w:t>Еременко Г.В.</w:t>
      </w:r>
      <w:r w:rsidRPr="0022453B">
        <w:rPr>
          <w:lang w:val="ru-RU"/>
        </w:rPr>
        <w:t xml:space="preserve"> </w:t>
      </w:r>
      <w:r w:rsidR="00F3741D" w:rsidRPr="0022453B">
        <w:rPr>
          <w:lang w:val="ru-RU"/>
        </w:rPr>
        <w:t>П</w:t>
      </w:r>
      <w:r w:rsidRPr="0022453B">
        <w:rPr>
          <w:lang w:val="ru-RU"/>
        </w:rPr>
        <w:t>атогенетическое обоснование диагностики и коррекции пульморенальных и метаболических нарушений у больных бронхиальной астмой с сахарным диабетом 2</w:t>
      </w:r>
      <w:r w:rsidR="00AC4B51">
        <w:rPr>
          <w:lang w:val="ru-RU"/>
        </w:rPr>
        <w:t>-го</w:t>
      </w:r>
      <w:r w:rsidRPr="0022453B">
        <w:rPr>
          <w:lang w:val="ru-RU"/>
        </w:rPr>
        <w:t xml:space="preserve"> типа и ожирением</w:t>
      </w:r>
      <w:r w:rsidR="00F3741D" w:rsidRPr="0022453B">
        <w:rPr>
          <w:lang w:val="ru-RU"/>
        </w:rPr>
        <w:t>.</w:t>
      </w:r>
      <w:r w:rsidR="005C3CCA" w:rsidRPr="0022453B">
        <w:rPr>
          <w:lang w:val="ru-RU"/>
        </w:rPr>
        <w:t xml:space="preserve"> </w:t>
      </w:r>
      <w:r w:rsidR="00CD22CE" w:rsidRPr="0022453B">
        <w:rPr>
          <w:lang w:val="ru-RU"/>
        </w:rPr>
        <w:t>–</w:t>
      </w:r>
      <w:r w:rsidR="00F3741D" w:rsidRPr="0022453B">
        <w:rPr>
          <w:lang w:val="ru-RU"/>
        </w:rPr>
        <w:t xml:space="preserve"> </w:t>
      </w:r>
      <w:r w:rsidR="0004504E" w:rsidRPr="00A06383">
        <w:rPr>
          <w:b w:val="0"/>
          <w:lang w:val="ru-RU"/>
        </w:rPr>
        <w:t>Квалификационная научная работа на правах рукописи.</w:t>
      </w:r>
    </w:p>
    <w:p w:rsidR="00F3741D" w:rsidRPr="0022453B" w:rsidRDefault="00F3741D" w:rsidP="005352FE">
      <w:pPr>
        <w:pStyle w:val="atextRef"/>
        <w:spacing w:after="120" w:line="240" w:lineRule="auto"/>
        <w:rPr>
          <w:lang w:val="ru-RU"/>
        </w:rPr>
      </w:pPr>
      <w:r w:rsidRPr="0022453B">
        <w:rPr>
          <w:lang w:val="ru-RU"/>
        </w:rPr>
        <w:t xml:space="preserve">Диссертация на соискание ученой степени доктора медицинских наук по специальности 14.01.02 </w:t>
      </w:r>
      <w:r w:rsidR="00CD22CE" w:rsidRPr="0022453B">
        <w:rPr>
          <w:lang w:val="ru-RU"/>
        </w:rPr>
        <w:t>–</w:t>
      </w:r>
      <w:r w:rsidR="00F34FC7" w:rsidRPr="0022453B">
        <w:rPr>
          <w:lang w:val="ru-RU"/>
        </w:rPr>
        <w:t xml:space="preserve"> </w:t>
      </w:r>
      <w:r w:rsidR="005822B0">
        <w:rPr>
          <w:lang w:val="ru-RU"/>
        </w:rPr>
        <w:t>«</w:t>
      </w:r>
      <w:r w:rsidR="00E82952" w:rsidRPr="0022453B">
        <w:rPr>
          <w:lang w:val="ru-RU"/>
        </w:rPr>
        <w:t>В</w:t>
      </w:r>
      <w:r w:rsidRPr="0022453B">
        <w:rPr>
          <w:lang w:val="ru-RU"/>
        </w:rPr>
        <w:t>нутренние болезни</w:t>
      </w:r>
      <w:r w:rsidR="005822B0">
        <w:rPr>
          <w:lang w:val="ru-RU"/>
        </w:rPr>
        <w:t>»</w:t>
      </w:r>
      <w:r w:rsidR="00F34FC7" w:rsidRPr="0022453B">
        <w:rPr>
          <w:lang w:val="ru-RU"/>
        </w:rPr>
        <w:t xml:space="preserve"> </w:t>
      </w:r>
      <w:r w:rsidR="00CD22CE" w:rsidRPr="0022453B">
        <w:rPr>
          <w:lang w:val="ru-RU"/>
        </w:rPr>
        <w:t>–</w:t>
      </w:r>
      <w:r w:rsidR="004868FD">
        <w:rPr>
          <w:lang w:val="ru-RU"/>
        </w:rPr>
        <w:t xml:space="preserve"> </w:t>
      </w:r>
      <w:r w:rsidRPr="0022453B">
        <w:rPr>
          <w:lang w:val="ru-RU"/>
        </w:rPr>
        <w:t xml:space="preserve">Харьковский национальный медицинский университет МЗ Украины, </w:t>
      </w:r>
      <w:r w:rsidR="00CE79CC" w:rsidRPr="0022453B">
        <w:rPr>
          <w:lang w:val="ru-RU"/>
        </w:rPr>
        <w:t xml:space="preserve">Харьков, </w:t>
      </w:r>
      <w:r w:rsidRPr="0022453B">
        <w:rPr>
          <w:lang w:val="ru-RU"/>
        </w:rPr>
        <w:t>2019.</w:t>
      </w:r>
    </w:p>
    <w:p w:rsidR="00D74025" w:rsidRPr="0022453B" w:rsidRDefault="00D74025" w:rsidP="00386014">
      <w:pPr>
        <w:pStyle w:val="atextRef"/>
        <w:spacing w:line="240" w:lineRule="auto"/>
        <w:rPr>
          <w:lang w:val="ru-RU"/>
        </w:rPr>
      </w:pPr>
      <w:r w:rsidRPr="0022453B">
        <w:rPr>
          <w:lang w:val="ru-RU"/>
        </w:rPr>
        <w:t>В работе представлено теоретическое обобщение результатов и достигнуто решение научной проблемы современной медицинской науки, а именно, построение патогенетической концепции формирования ранних осложнений, их диагностики и профилактики при коморбидном течении бронхиальной астмы (БА), сахарного диабета 2-го типа (СД 2-го типа) и ожирения. Основанием к</w:t>
      </w:r>
      <w:r w:rsidR="004868FD">
        <w:rPr>
          <w:lang w:val="ru-RU"/>
        </w:rPr>
        <w:t> </w:t>
      </w:r>
      <w:r w:rsidRPr="0022453B">
        <w:rPr>
          <w:lang w:val="ru-RU"/>
        </w:rPr>
        <w:t>решению данной задачи было изучение нарушений эндотелиальной функции, системного воспаления, хемокинов, показателей клеточного и гуморального звеньев иммунной системы, что позволило установить предикторы формирования пульморенальных нарушений.</w:t>
      </w:r>
    </w:p>
    <w:p w:rsidR="00D74025" w:rsidRPr="0022453B" w:rsidRDefault="00D74025" w:rsidP="00386014">
      <w:pPr>
        <w:pStyle w:val="atextRef"/>
        <w:spacing w:line="240" w:lineRule="auto"/>
        <w:rPr>
          <w:lang w:val="ru-RU"/>
        </w:rPr>
      </w:pPr>
      <w:r w:rsidRPr="0022453B">
        <w:rPr>
          <w:lang w:val="ru-RU"/>
        </w:rPr>
        <w:t>С целью решения поставленных задач было обследовано 252 пациента с</w:t>
      </w:r>
      <w:r w:rsidR="004868FD">
        <w:rPr>
          <w:lang w:val="ru-RU"/>
        </w:rPr>
        <w:t> </w:t>
      </w:r>
      <w:r w:rsidRPr="0022453B">
        <w:rPr>
          <w:lang w:val="ru-RU"/>
        </w:rPr>
        <w:t xml:space="preserve">бронхиальной астмой, из которых 105 в сочетании СД 2-го типа и 85 </w:t>
      </w:r>
      <w:r w:rsidR="00CD22CE" w:rsidRPr="0022453B">
        <w:rPr>
          <w:lang w:val="ru-RU"/>
        </w:rPr>
        <w:t>–</w:t>
      </w:r>
      <w:r w:rsidRPr="0022453B">
        <w:rPr>
          <w:lang w:val="ru-RU"/>
        </w:rPr>
        <w:t xml:space="preserve"> с</w:t>
      </w:r>
      <w:r w:rsidR="004868FD">
        <w:rPr>
          <w:lang w:val="ru-RU"/>
        </w:rPr>
        <w:t> </w:t>
      </w:r>
      <w:r w:rsidRPr="0022453B">
        <w:rPr>
          <w:lang w:val="ru-RU"/>
        </w:rPr>
        <w:t xml:space="preserve">ожирением. В 62 наблюдениях отмечалось изолированное течение БА </w:t>
      </w:r>
      <w:r w:rsidR="00CD22CE" w:rsidRPr="0022453B">
        <w:rPr>
          <w:lang w:val="ru-RU"/>
        </w:rPr>
        <w:t>–</w:t>
      </w:r>
      <w:r w:rsidRPr="0022453B">
        <w:rPr>
          <w:lang w:val="ru-RU"/>
        </w:rPr>
        <w:t xml:space="preserve"> группа сравнения. К</w:t>
      </w:r>
      <w:r w:rsidRPr="0022453B">
        <w:t>онтрольну</w:t>
      </w:r>
      <w:r w:rsidRPr="0022453B">
        <w:rPr>
          <w:lang w:val="ru-RU"/>
        </w:rPr>
        <w:t>ю</w:t>
      </w:r>
      <w:r w:rsidRPr="0022453B">
        <w:t xml:space="preserve"> груп</w:t>
      </w:r>
      <w:r w:rsidRPr="0022453B">
        <w:rPr>
          <w:lang w:val="ru-RU"/>
        </w:rPr>
        <w:t>п</w:t>
      </w:r>
      <w:r w:rsidRPr="0022453B">
        <w:t xml:space="preserve">у </w:t>
      </w:r>
      <w:r w:rsidRPr="0022453B">
        <w:rPr>
          <w:lang w:val="ru-RU"/>
        </w:rPr>
        <w:t>составили</w:t>
      </w:r>
      <w:r w:rsidRPr="0022453B">
        <w:t xml:space="preserve"> 21 практически здоровый волонт</w:t>
      </w:r>
      <w:r w:rsidRPr="0022453B">
        <w:rPr>
          <w:lang w:val="ru-RU"/>
        </w:rPr>
        <w:t>ё</w:t>
      </w:r>
      <w:r w:rsidRPr="0022453B">
        <w:t>р, у</w:t>
      </w:r>
      <w:r w:rsidR="004868FD">
        <w:t> </w:t>
      </w:r>
      <w:r w:rsidRPr="0022453B">
        <w:rPr>
          <w:lang w:val="ru-RU"/>
        </w:rPr>
        <w:t>которых</w:t>
      </w:r>
      <w:r w:rsidRPr="0022453B">
        <w:t xml:space="preserve"> БА, </w:t>
      </w:r>
      <w:r w:rsidRPr="0022453B">
        <w:rPr>
          <w:lang w:val="ru-RU"/>
        </w:rPr>
        <w:t>С</w:t>
      </w:r>
      <w:r w:rsidRPr="0022453B">
        <w:t>Д</w:t>
      </w:r>
      <w:r w:rsidRPr="0022453B">
        <w:rPr>
          <w:lang w:val="ru-RU"/>
        </w:rPr>
        <w:t xml:space="preserve"> </w:t>
      </w:r>
      <w:r w:rsidRPr="0022453B">
        <w:t>2</w:t>
      </w:r>
      <w:r w:rsidRPr="0022453B">
        <w:rPr>
          <w:lang w:val="ru-RU"/>
        </w:rPr>
        <w:t>-го типа</w:t>
      </w:r>
      <w:r w:rsidRPr="0022453B">
        <w:t xml:space="preserve"> </w:t>
      </w:r>
      <w:r w:rsidRPr="0022453B">
        <w:rPr>
          <w:lang w:val="ru-RU"/>
        </w:rPr>
        <w:t>и</w:t>
      </w:r>
      <w:r w:rsidRPr="0022453B">
        <w:t xml:space="preserve"> ожир</w:t>
      </w:r>
      <w:r w:rsidRPr="0022453B">
        <w:rPr>
          <w:lang w:val="ru-RU"/>
        </w:rPr>
        <w:t>ение</w:t>
      </w:r>
      <w:r w:rsidRPr="0022453B">
        <w:t xml:space="preserve"> б</w:t>
      </w:r>
      <w:r w:rsidRPr="0022453B">
        <w:rPr>
          <w:lang w:val="ru-RU"/>
        </w:rPr>
        <w:t>ыли исключены</w:t>
      </w:r>
      <w:r w:rsidRPr="0022453B">
        <w:t xml:space="preserve"> на </w:t>
      </w:r>
      <w:r w:rsidRPr="0022453B">
        <w:rPr>
          <w:lang w:val="ru-RU"/>
        </w:rPr>
        <w:t>основании</w:t>
      </w:r>
      <w:r w:rsidRPr="0022453B">
        <w:t xml:space="preserve"> комплекс</w:t>
      </w:r>
      <w:r w:rsidRPr="0022453B">
        <w:rPr>
          <w:lang w:val="ru-RU"/>
        </w:rPr>
        <w:t>а</w:t>
      </w:r>
      <w:r w:rsidRPr="0022453B">
        <w:t xml:space="preserve"> </w:t>
      </w:r>
      <w:r w:rsidRPr="0022453B">
        <w:rPr>
          <w:lang w:val="ru-RU"/>
        </w:rPr>
        <w:t xml:space="preserve">клинико-инструментальных исследований. Установлены механизмы реализации пульморенальных нарушений у пациентов с бронхиальной астмой средней </w:t>
      </w:r>
      <w:r w:rsidR="00780E33">
        <w:rPr>
          <w:lang w:val="ru-RU"/>
        </w:rPr>
        <w:t xml:space="preserve">степени </w:t>
      </w:r>
      <w:r w:rsidRPr="0022453B">
        <w:rPr>
          <w:lang w:val="ru-RU"/>
        </w:rPr>
        <w:t>тяжести в сочетании с СД 2-го типа и ожирением в аспекте клинических, иммунологических изменений, нарушения эндотелиальной функции, системного воспаления и нарушений функционального состояния легких и почек, и, как следствие, развитие фибропластических изменений в</w:t>
      </w:r>
      <w:r w:rsidR="004868FD">
        <w:rPr>
          <w:lang w:val="ru-RU"/>
        </w:rPr>
        <w:t> </w:t>
      </w:r>
      <w:r w:rsidR="00AC4B51">
        <w:rPr>
          <w:lang w:val="ru-RU"/>
        </w:rPr>
        <w:t>легких,</w:t>
      </w:r>
      <w:r w:rsidRPr="0022453B">
        <w:rPr>
          <w:lang w:val="ru-RU"/>
        </w:rPr>
        <w:t xml:space="preserve"> тубулоинтерстициальные изменения в почках.</w:t>
      </w:r>
    </w:p>
    <w:p w:rsidR="00D74025" w:rsidRPr="0022453B" w:rsidRDefault="00D74025" w:rsidP="00386014">
      <w:pPr>
        <w:pStyle w:val="atextRef"/>
        <w:spacing w:line="240" w:lineRule="auto"/>
        <w:rPr>
          <w:lang w:val="ru-RU"/>
        </w:rPr>
      </w:pPr>
      <w:r w:rsidRPr="0022453B">
        <w:rPr>
          <w:lang w:val="ru-RU"/>
        </w:rPr>
        <w:t>У больных бронхиальной астмой среднетяжелого течения повреждения почек развиваются в 15,4</w:t>
      </w:r>
      <w:r w:rsidR="0022453B">
        <w:rPr>
          <w:lang w:val="ru-RU"/>
        </w:rPr>
        <w:t>%</w:t>
      </w:r>
      <w:r w:rsidRPr="0022453B">
        <w:rPr>
          <w:lang w:val="ru-RU"/>
        </w:rPr>
        <w:t xml:space="preserve"> случаев, с присоединением ожирения частота поражения почек увеличивается до 36,8</w:t>
      </w:r>
      <w:r w:rsidR="0022453B">
        <w:rPr>
          <w:lang w:val="ru-RU"/>
        </w:rPr>
        <w:t>%</w:t>
      </w:r>
      <w:r w:rsidRPr="0022453B">
        <w:rPr>
          <w:lang w:val="ru-RU"/>
        </w:rPr>
        <w:t xml:space="preserve">, а СД 2-го типа </w:t>
      </w:r>
      <w:r w:rsidR="00CD22CE" w:rsidRPr="0022453B">
        <w:rPr>
          <w:lang w:val="ru-RU"/>
        </w:rPr>
        <w:t>–</w:t>
      </w:r>
      <w:r w:rsidRPr="0022453B">
        <w:rPr>
          <w:lang w:val="ru-RU"/>
        </w:rPr>
        <w:t xml:space="preserve"> до 63,56</w:t>
      </w:r>
      <w:r w:rsidR="0022453B">
        <w:rPr>
          <w:lang w:val="ru-RU"/>
        </w:rPr>
        <w:t>%</w:t>
      </w:r>
      <w:r w:rsidRPr="0022453B">
        <w:rPr>
          <w:lang w:val="ru-RU"/>
        </w:rPr>
        <w:t>.</w:t>
      </w:r>
    </w:p>
    <w:p w:rsidR="00D74025" w:rsidRPr="0022453B" w:rsidRDefault="00D74025" w:rsidP="00386014">
      <w:pPr>
        <w:pStyle w:val="atextRef"/>
        <w:spacing w:line="240" w:lineRule="auto"/>
        <w:rPr>
          <w:lang w:val="ru-RU"/>
        </w:rPr>
      </w:pPr>
      <w:r w:rsidRPr="0022453B">
        <w:rPr>
          <w:lang w:val="ru-RU"/>
        </w:rPr>
        <w:t>Доказана взаимосвязь прогрессирования бронхиальной обструкции и</w:t>
      </w:r>
      <w:r w:rsidR="004868FD">
        <w:rPr>
          <w:lang w:val="ru-RU"/>
        </w:rPr>
        <w:t> </w:t>
      </w:r>
      <w:r w:rsidRPr="0022453B">
        <w:rPr>
          <w:lang w:val="ru-RU"/>
        </w:rPr>
        <w:t xml:space="preserve">снижения скорости клубочковой фильтрации. Установлено нарушение эндотелиальной функции и его влияние на механизмы реализации пульморенальных изменений у больных с коморбидностью. Обоснована необходимость определения маркеров системного воспаления </w:t>
      </w:r>
      <w:r w:rsidR="00CD22CE" w:rsidRPr="0022453B">
        <w:rPr>
          <w:lang w:val="ru-RU"/>
        </w:rPr>
        <w:t>–</w:t>
      </w:r>
      <w:r w:rsidRPr="0022453B">
        <w:rPr>
          <w:lang w:val="ru-RU"/>
        </w:rPr>
        <w:t xml:space="preserve"> фракталкина, матриксной метилпротеиназы-9, моноцитарного хемоаттрактантного протеина-1 в</w:t>
      </w:r>
      <w:r w:rsidR="004868FD">
        <w:rPr>
          <w:lang w:val="ru-RU"/>
        </w:rPr>
        <w:t> </w:t>
      </w:r>
      <w:r w:rsidRPr="0022453B">
        <w:rPr>
          <w:lang w:val="ru-RU"/>
        </w:rPr>
        <w:t xml:space="preserve">прогрессировании патологического процесса у пациентов с коморбидностью. Продолжено исследование роли дисбаланса цитокинов ИЛ-8, ИЛ-12, которые ассоциируются с определением пути реализации гиперчувствительности по прямому или опосредованному типу. Показано, что </w:t>
      </w:r>
      <w:r w:rsidRPr="0022453B">
        <w:rPr>
          <w:lang w:val="ru-RU"/>
        </w:rPr>
        <w:lastRenderedPageBreak/>
        <w:t xml:space="preserve">сочетанное течение бронхиальной астмы с коморбидностью СД 2-го типа и ожирения сопровождается изменениям в показателях специфического и неспецифического иммунитета, что проявлялось изменениями иммуноглобулинов, ЦИК, угнетением </w:t>
      </w:r>
      <w:r w:rsidRPr="0022453B">
        <w:t>CD3, CD4, CD16, CD22</w:t>
      </w:r>
      <w:r w:rsidRPr="0022453B">
        <w:rPr>
          <w:lang w:val="ru-RU"/>
        </w:rPr>
        <w:t xml:space="preserve">, снижением иммунорегуляторного индекса, увеличением общего числа лимфоцитарных антител, что свидетельствует о формировании вторичного иммунодефицита. </w:t>
      </w:r>
      <w:r w:rsidRPr="0022453B">
        <w:rPr>
          <w:color w:val="212121"/>
          <w:lang w:val="ru-RU" w:eastAsia="ru-RU"/>
        </w:rPr>
        <w:t>Разработаны коэффициенты риска прогрессирования БА по регрессионным уравнениям для больных БА в сочетании с ожирением (</w:t>
      </w:r>
      <w:r w:rsidRPr="00AC4B51">
        <w:rPr>
          <w:color w:val="212121"/>
          <w:lang w:val="ru-RU" w:eastAsia="ru-RU"/>
        </w:rPr>
        <w:t xml:space="preserve">К риска </w:t>
      </w:r>
      <w:r w:rsidRPr="00AC4B51">
        <w:rPr>
          <w:color w:val="212121"/>
          <w:vertAlign w:val="subscript"/>
          <w:lang w:val="ru-RU" w:eastAsia="ru-RU"/>
        </w:rPr>
        <w:t>1</w:t>
      </w:r>
      <w:r w:rsidRPr="0022453B">
        <w:rPr>
          <w:color w:val="212121"/>
          <w:lang w:val="ru-RU" w:eastAsia="ru-RU"/>
        </w:rPr>
        <w:t>) и</w:t>
      </w:r>
      <w:r w:rsidR="004868FD">
        <w:rPr>
          <w:color w:val="212121"/>
          <w:lang w:val="ru-RU" w:eastAsia="ru-RU"/>
        </w:rPr>
        <w:t> </w:t>
      </w:r>
      <w:r w:rsidRPr="0022453B">
        <w:rPr>
          <w:color w:val="212121"/>
          <w:lang w:val="ru-RU" w:eastAsia="ru-RU"/>
        </w:rPr>
        <w:t>для больных БА в сочетании с СД 2-го типа (</w:t>
      </w:r>
      <w:r w:rsidRPr="00AC4B51">
        <w:rPr>
          <w:color w:val="212121"/>
          <w:lang w:val="ru-RU" w:eastAsia="ru-RU"/>
        </w:rPr>
        <w:t xml:space="preserve">К риска </w:t>
      </w:r>
      <w:r w:rsidRPr="00AC4B51">
        <w:rPr>
          <w:color w:val="212121"/>
          <w:vertAlign w:val="subscript"/>
          <w:lang w:val="ru-RU" w:eastAsia="ru-RU"/>
        </w:rPr>
        <w:t>2</w:t>
      </w:r>
      <w:r w:rsidRPr="0022453B">
        <w:rPr>
          <w:color w:val="212121"/>
          <w:lang w:val="ru-RU" w:eastAsia="ru-RU"/>
        </w:rPr>
        <w:t xml:space="preserve">). </w:t>
      </w:r>
      <w:r w:rsidRPr="0022453B">
        <w:rPr>
          <w:lang w:val="ru-RU"/>
        </w:rPr>
        <w:t>На основании полученных данных была сформирована диагностическая и терапевтическая стратегия, основной целью которой является коррекция причин отсутствия контроля у</w:t>
      </w:r>
      <w:r w:rsidR="004868FD">
        <w:rPr>
          <w:lang w:val="ru-RU"/>
        </w:rPr>
        <w:t> </w:t>
      </w:r>
      <w:r w:rsidRPr="0022453B">
        <w:rPr>
          <w:lang w:val="ru-RU"/>
        </w:rPr>
        <w:t xml:space="preserve">пациентов с бронхиальной астмой в сочетании с СД 2-го типа. В качестве таких препаратов был предложен </w:t>
      </w:r>
      <w:r w:rsidR="00C05D5E">
        <w:rPr>
          <w:lang w:val="en-US"/>
        </w:rPr>
        <w:t>L</w:t>
      </w:r>
      <w:r w:rsidR="00C05D5E" w:rsidRPr="00355A86">
        <w:t>-</w:t>
      </w:r>
      <w:r w:rsidR="00C05D5E" w:rsidRPr="004E150F">
        <w:t>арг</w:t>
      </w:r>
      <w:r w:rsidR="00C05D5E">
        <w:rPr>
          <w:lang w:val="ru-RU"/>
        </w:rPr>
        <w:t>и</w:t>
      </w:r>
      <w:r w:rsidR="00C05D5E" w:rsidRPr="004E150F">
        <w:t>н</w:t>
      </w:r>
      <w:r w:rsidR="00C05D5E">
        <w:rPr>
          <w:lang w:val="ru-RU"/>
        </w:rPr>
        <w:t>и</w:t>
      </w:r>
      <w:r w:rsidR="00C05D5E" w:rsidRPr="004E150F">
        <w:t xml:space="preserve">н </w:t>
      </w:r>
      <w:r w:rsidR="00C05D5E">
        <w:t>аспартат</w:t>
      </w:r>
      <w:r w:rsidR="00216473">
        <w:rPr>
          <w:lang w:val="ru-RU"/>
        </w:rPr>
        <w:t xml:space="preserve"> </w:t>
      </w:r>
      <w:r w:rsidRPr="0022453B">
        <w:rPr>
          <w:lang w:val="ru-RU"/>
        </w:rPr>
        <w:t>и тиотропиум бромид на фоне базисной терапии, которые позволили достигнуть контрол</w:t>
      </w:r>
      <w:r w:rsidR="00216473">
        <w:rPr>
          <w:lang w:val="ru-RU"/>
        </w:rPr>
        <w:t>ь</w:t>
      </w:r>
      <w:r w:rsidRPr="0022453B">
        <w:rPr>
          <w:lang w:val="ru-RU"/>
        </w:rPr>
        <w:t xml:space="preserve"> над симптомами заболевания, клинической ремиссии и достоверно более выраженной позитивной динамики в показателях системного воспаления, эндотелиальной функции, пульморенальных нарушений, что позволяет существенно улучшить прогноз у</w:t>
      </w:r>
      <w:r w:rsidR="004868FD">
        <w:rPr>
          <w:lang w:val="ru-RU"/>
        </w:rPr>
        <w:t> </w:t>
      </w:r>
      <w:r w:rsidRPr="0022453B">
        <w:rPr>
          <w:lang w:val="ru-RU"/>
        </w:rPr>
        <w:t>данной категории больных.</w:t>
      </w:r>
    </w:p>
    <w:p w:rsidR="00D74025" w:rsidRPr="0022453B" w:rsidRDefault="00D74025" w:rsidP="00386014">
      <w:pPr>
        <w:pStyle w:val="atextRef"/>
        <w:spacing w:line="240" w:lineRule="auto"/>
        <w:rPr>
          <w:lang w:val="ru-RU"/>
        </w:rPr>
      </w:pPr>
      <w:r w:rsidRPr="0022453B">
        <w:rPr>
          <w:b/>
          <w:lang w:val="ru-RU"/>
        </w:rPr>
        <w:t>Ключевые слова:</w:t>
      </w:r>
      <w:r w:rsidRPr="0022453B">
        <w:rPr>
          <w:lang w:val="ru-RU"/>
        </w:rPr>
        <w:t xml:space="preserve"> бронхиальная астма, сахарный диабет 2</w:t>
      </w:r>
      <w:r w:rsidR="00170F12">
        <w:rPr>
          <w:lang w:val="ru-RU"/>
        </w:rPr>
        <w:t>-го</w:t>
      </w:r>
      <w:r w:rsidRPr="0022453B">
        <w:rPr>
          <w:lang w:val="ru-RU"/>
        </w:rPr>
        <w:t xml:space="preserve"> типа, ожирение, системное воспаление, пульморенальные нарушения, терапия.</w:t>
      </w:r>
    </w:p>
    <w:p w:rsidR="00C033BA" w:rsidRDefault="00C033BA" w:rsidP="00386014">
      <w:pPr>
        <w:pStyle w:val="arefZag"/>
        <w:spacing w:before="0" w:after="0"/>
        <w:rPr>
          <w:lang w:val="ru-RU" w:eastAsia="ru-RU"/>
        </w:rPr>
      </w:pPr>
    </w:p>
    <w:p w:rsidR="00D74025" w:rsidRPr="00CD5061" w:rsidRDefault="00D74025" w:rsidP="00386014">
      <w:pPr>
        <w:pStyle w:val="arefZag"/>
        <w:spacing w:before="0" w:after="0"/>
        <w:rPr>
          <w:lang w:val="en-US" w:eastAsia="ru-RU"/>
        </w:rPr>
      </w:pPr>
      <w:r w:rsidRPr="0022453B">
        <w:rPr>
          <w:lang w:val="en" w:eastAsia="ru-RU"/>
        </w:rPr>
        <w:t>ANNOTATION</w:t>
      </w:r>
    </w:p>
    <w:p w:rsidR="00C033BA" w:rsidRPr="00CD5061" w:rsidRDefault="00C033BA" w:rsidP="00386014">
      <w:pPr>
        <w:pStyle w:val="arefZag"/>
        <w:spacing w:before="0" w:after="0"/>
        <w:rPr>
          <w:lang w:val="en-US" w:eastAsia="ru-RU"/>
        </w:rPr>
      </w:pPr>
    </w:p>
    <w:p w:rsidR="0004504E" w:rsidRPr="0022453B" w:rsidRDefault="0004504E" w:rsidP="00C033BA">
      <w:pPr>
        <w:pStyle w:val="annot"/>
        <w:spacing w:after="0"/>
        <w:ind w:firstLine="709"/>
        <w:jc w:val="both"/>
        <w:rPr>
          <w:lang w:val="en-US" w:eastAsia="ru-RU"/>
        </w:rPr>
      </w:pPr>
      <w:r w:rsidRPr="00C033BA">
        <w:rPr>
          <w:i/>
          <w:lang w:val="en" w:eastAsia="ru-RU"/>
        </w:rPr>
        <w:t>Yeryomenko G.V</w:t>
      </w:r>
      <w:r w:rsidRPr="00C033BA">
        <w:rPr>
          <w:i/>
          <w:lang w:eastAsia="ru-RU"/>
        </w:rPr>
        <w:t>.</w:t>
      </w:r>
      <w:r w:rsidRPr="0022453B">
        <w:rPr>
          <w:lang w:eastAsia="ru-RU"/>
        </w:rPr>
        <w:t xml:space="preserve"> </w:t>
      </w:r>
      <w:r w:rsidR="00A46ED3" w:rsidRPr="0022453B">
        <w:rPr>
          <w:lang w:val="en-US"/>
        </w:rPr>
        <w:t xml:space="preserve">Pathogenetic substantiation for diagnosis and correction of pulmonary-renal and metabolic disorders in </w:t>
      </w:r>
      <w:r w:rsidR="003B5F22" w:rsidRPr="0022453B">
        <w:rPr>
          <w:lang w:val="en-US"/>
        </w:rPr>
        <w:t xml:space="preserve">asthma </w:t>
      </w:r>
      <w:r w:rsidR="00A46ED3" w:rsidRPr="0022453B">
        <w:rPr>
          <w:lang w:val="en-US"/>
        </w:rPr>
        <w:t>patients with diabetes mellitus type 2 and obesity.</w:t>
      </w:r>
      <w:r w:rsidRPr="0022453B">
        <w:rPr>
          <w:lang w:val="en" w:eastAsia="ru-RU"/>
        </w:rPr>
        <w:t xml:space="preserve"> </w:t>
      </w:r>
      <w:r w:rsidR="00CD22CE" w:rsidRPr="0022453B">
        <w:rPr>
          <w:lang w:eastAsia="ru-RU"/>
        </w:rPr>
        <w:t>–</w:t>
      </w:r>
      <w:r w:rsidRPr="0022453B">
        <w:rPr>
          <w:lang w:val="en-US" w:eastAsia="ru-RU"/>
        </w:rPr>
        <w:t xml:space="preserve"> The Manuscript.</w:t>
      </w:r>
    </w:p>
    <w:p w:rsidR="00BB719D" w:rsidRPr="0022453B" w:rsidRDefault="00BB719D" w:rsidP="00386014">
      <w:pPr>
        <w:pStyle w:val="atextRef"/>
        <w:spacing w:line="240" w:lineRule="auto"/>
        <w:rPr>
          <w:lang w:val="en-US"/>
        </w:rPr>
      </w:pPr>
      <w:r w:rsidRPr="0022453B">
        <w:rPr>
          <w:lang w:val="en-US"/>
        </w:rPr>
        <w:t>Thesis competing for a scientific degree of Doctor of Medical Science in speciality 14.01.02 –</w:t>
      </w:r>
      <w:r w:rsidR="00CD5061">
        <w:t xml:space="preserve"> </w:t>
      </w:r>
      <w:r w:rsidRPr="0022453B">
        <w:rPr>
          <w:lang w:val="en-US" w:eastAsia="uk-UA"/>
        </w:rPr>
        <w:t>internal diseases.</w:t>
      </w:r>
      <w:r w:rsidRPr="0022453B">
        <w:rPr>
          <w:lang w:val="en-US"/>
        </w:rPr>
        <w:t>– Kharkiv National Medical University of the Ministry of Health of Ukraine, Kharkiv, 2019.</w:t>
      </w:r>
    </w:p>
    <w:p w:rsidR="00C033BA" w:rsidRPr="00CD5061" w:rsidRDefault="00C033BA" w:rsidP="00386014">
      <w:pPr>
        <w:pStyle w:val="atextRef"/>
        <w:spacing w:line="240" w:lineRule="auto"/>
        <w:rPr>
          <w:lang w:val="en-US"/>
        </w:rPr>
      </w:pPr>
    </w:p>
    <w:p w:rsidR="00D74025" w:rsidRPr="0022453B" w:rsidRDefault="00D74025" w:rsidP="00386014">
      <w:pPr>
        <w:pStyle w:val="atextRef"/>
        <w:spacing w:line="240" w:lineRule="auto"/>
        <w:rPr>
          <w:lang w:val="en-US"/>
        </w:rPr>
      </w:pPr>
      <w:r w:rsidRPr="0022453B">
        <w:rPr>
          <w:lang w:val="en-US"/>
        </w:rPr>
        <w:t>The paper presents theoretical substantiation of findings with achievement of the solution of a scientific problem of the modern medical science, namely formulation of the concept of formation of early complications, their diagnosis and prevention in the comorbid course of asthma, diabetes mellitus type 2 and obesity. The solution of the above task was based on the study of endothelial dysfunctions, systemic inflammation, chemokines and indices of the cellular and humoral components of the immune system, thereby making it possible to reveal predictors of the formation of pulmonary-renal disorders.</w:t>
      </w:r>
    </w:p>
    <w:p w:rsidR="00D74025" w:rsidRPr="0022453B" w:rsidRDefault="00D74025" w:rsidP="00386014">
      <w:pPr>
        <w:pStyle w:val="atextRef"/>
        <w:spacing w:line="240" w:lineRule="auto"/>
        <w:rPr>
          <w:lang w:val="en-US" w:eastAsia="ru-RU"/>
        </w:rPr>
      </w:pPr>
      <w:r w:rsidRPr="0022453B">
        <w:rPr>
          <w:lang w:val="en-US" w:eastAsia="ru-RU"/>
        </w:rPr>
        <w:t>In order to solve the above tasks, 252 patients with asthma (As) were examined, of them there were 105 cases combined with diabetes mellitus type 2 (DM2) and 85 patients with obesity (Ob)</w:t>
      </w:r>
      <w:r w:rsidR="005822B0">
        <w:rPr>
          <w:lang w:val="en-US" w:eastAsia="ru-RU"/>
        </w:rPr>
        <w:t xml:space="preserve">; </w:t>
      </w:r>
      <w:r w:rsidRPr="0022453B">
        <w:rPr>
          <w:lang w:val="en-US" w:eastAsia="ru-RU"/>
        </w:rPr>
        <w:t xml:space="preserve">62 cases with an isolated course of As comprised the comparison group. The control group consisted of 21 apparently healthy volunteers, in whom As, DM2T and Ob were excluded on the basis of a complex of clinical and instrumental examinations. Mechanisms of realization of </w:t>
      </w:r>
      <w:r w:rsidRPr="0022453B">
        <w:rPr>
          <w:lang w:val="en-US" w:eastAsia="ru-RU"/>
        </w:rPr>
        <w:lastRenderedPageBreak/>
        <w:t>pulmonary-renal disorders in patients having moderate As combined with DM2 and Ob as regards clinical and immunological changes, endothelial dysfunction, systemic inflammation and disturbances in the functional state of the lungs and kidneys with the resultant development of fibroplastic changes in the lungs and tubulointerstitial changes in the kidneys were revealed.</w:t>
      </w:r>
    </w:p>
    <w:p w:rsidR="00D74025" w:rsidRPr="0022453B" w:rsidRDefault="00D74025" w:rsidP="00386014">
      <w:pPr>
        <w:pStyle w:val="atextRef"/>
        <w:spacing w:line="240" w:lineRule="auto"/>
        <w:rPr>
          <w:lang w:val="en-US" w:eastAsia="ru-RU"/>
        </w:rPr>
      </w:pPr>
      <w:r w:rsidRPr="0022453B">
        <w:rPr>
          <w:lang w:val="en-US" w:eastAsia="ru-RU"/>
        </w:rPr>
        <w:t>Patients with moderate As developed renal damages in 15.4</w:t>
      </w:r>
      <w:r w:rsidR="0022453B">
        <w:rPr>
          <w:lang w:val="en-US" w:eastAsia="ru-RU"/>
        </w:rPr>
        <w:t>%</w:t>
      </w:r>
      <w:r w:rsidRPr="0022453B">
        <w:rPr>
          <w:lang w:val="en-US" w:eastAsia="ru-RU"/>
        </w:rPr>
        <w:t xml:space="preserve"> of cases, the rate of renal involvement increasing up to 36.8</w:t>
      </w:r>
      <w:r w:rsidR="0022453B">
        <w:rPr>
          <w:lang w:val="en-US" w:eastAsia="ru-RU"/>
        </w:rPr>
        <w:t>%</w:t>
      </w:r>
      <w:r w:rsidRPr="0022453B">
        <w:rPr>
          <w:lang w:val="en-US" w:eastAsia="ru-RU"/>
        </w:rPr>
        <w:t xml:space="preserve"> when combined with Ob and up to 63.56</w:t>
      </w:r>
      <w:r w:rsidR="0022453B">
        <w:rPr>
          <w:lang w:val="en-US" w:eastAsia="ru-RU"/>
        </w:rPr>
        <w:t>%</w:t>
      </w:r>
      <w:r w:rsidRPr="0022453B">
        <w:rPr>
          <w:lang w:val="en-US" w:eastAsia="ru-RU"/>
        </w:rPr>
        <w:t xml:space="preserve"> in combination with DM2. </w:t>
      </w:r>
    </w:p>
    <w:p w:rsidR="00F07B0E" w:rsidRDefault="00D74025" w:rsidP="00F07B0E">
      <w:pPr>
        <w:pStyle w:val="atextRef"/>
        <w:spacing w:line="240" w:lineRule="auto"/>
        <w:ind w:firstLine="0"/>
        <w:rPr>
          <w:lang w:val="en-US" w:eastAsia="ru-RU"/>
        </w:rPr>
      </w:pPr>
      <w:r w:rsidRPr="0022453B">
        <w:rPr>
          <w:lang w:val="en-US" w:eastAsia="ru-RU"/>
        </w:rPr>
        <w:t xml:space="preserve">A relationship between progression of bronchial obstruction and reduction of glomerular filtration rate was proved. Endothelial dysfunction and its influence on the mechanisms of realization of pulmonary-renal changes in patients with the comorbidity were revealed. </w:t>
      </w:r>
      <w:r w:rsidR="00F07B0E">
        <w:rPr>
          <w:lang w:val="en-US" w:eastAsia="ru-RU"/>
        </w:rPr>
        <w:t xml:space="preserve"> </w:t>
      </w:r>
      <w:r w:rsidRPr="0022453B">
        <w:rPr>
          <w:lang w:val="en-US" w:eastAsia="ru-RU"/>
        </w:rPr>
        <w:t>The necessity of determination of systemic inflammation markers</w:t>
      </w:r>
      <w:r w:rsidR="00F07B0E">
        <w:rPr>
          <w:lang w:val="en-US" w:eastAsia="ru-RU"/>
        </w:rPr>
        <w:t xml:space="preserve"> </w:t>
      </w:r>
      <w:r w:rsidRPr="0022453B">
        <w:rPr>
          <w:lang w:val="en-US" w:eastAsia="ru-RU"/>
        </w:rPr>
        <w:t xml:space="preserve"> – fractalkine, matrix </w:t>
      </w:r>
      <w:r w:rsidR="00F07B0E">
        <w:rPr>
          <w:lang w:val="en-US" w:eastAsia="ru-RU"/>
        </w:rPr>
        <w:t xml:space="preserve">  </w:t>
      </w:r>
      <w:r w:rsidRPr="0022453B">
        <w:rPr>
          <w:lang w:val="en-US" w:eastAsia="ru-RU"/>
        </w:rPr>
        <w:t xml:space="preserve">methylproteinase-9, </w:t>
      </w:r>
      <w:r w:rsidR="00F07B0E">
        <w:rPr>
          <w:lang w:val="en-US" w:eastAsia="ru-RU"/>
        </w:rPr>
        <w:t xml:space="preserve">  </w:t>
      </w:r>
      <w:r w:rsidRPr="0022453B">
        <w:rPr>
          <w:lang w:val="en-US" w:eastAsia="ru-RU"/>
        </w:rPr>
        <w:t xml:space="preserve">monocyte </w:t>
      </w:r>
      <w:r w:rsidR="00F07B0E">
        <w:rPr>
          <w:lang w:val="en-US" w:eastAsia="ru-RU"/>
        </w:rPr>
        <w:t xml:space="preserve">  chemoattractant </w:t>
      </w:r>
    </w:p>
    <w:p w:rsidR="00D74025" w:rsidRPr="0022453B" w:rsidRDefault="00D74025" w:rsidP="00F07B0E">
      <w:pPr>
        <w:pStyle w:val="atextRef"/>
        <w:spacing w:line="240" w:lineRule="auto"/>
        <w:ind w:firstLine="0"/>
        <w:rPr>
          <w:lang w:val="en-US" w:eastAsia="ru-RU"/>
        </w:rPr>
      </w:pPr>
      <w:r w:rsidRPr="0022453B">
        <w:rPr>
          <w:lang w:val="en-US" w:eastAsia="ru-RU"/>
        </w:rPr>
        <w:t>protein-1 – in the progression of a pathological process in patients with the comorbidity was substantiated.</w:t>
      </w:r>
    </w:p>
    <w:p w:rsidR="00D74025" w:rsidRPr="00877251" w:rsidRDefault="00D74025" w:rsidP="00C033BA">
      <w:pPr>
        <w:pStyle w:val="HTML"/>
        <w:shd w:val="clear" w:color="auto" w:fill="FFFFFF"/>
        <w:spacing w:after="0" w:line="240" w:lineRule="auto"/>
        <w:ind w:firstLine="680"/>
        <w:jc w:val="both"/>
        <w:rPr>
          <w:rFonts w:ascii="Times New Roman" w:hAnsi="Times New Roman"/>
          <w:color w:val="212121"/>
          <w:sz w:val="28"/>
          <w:szCs w:val="28"/>
          <w:lang w:eastAsia="ru-RU"/>
        </w:rPr>
      </w:pPr>
      <w:r w:rsidRPr="00877251">
        <w:rPr>
          <w:rFonts w:ascii="Times New Roman" w:hAnsi="Times New Roman"/>
          <w:sz w:val="28"/>
          <w:szCs w:val="28"/>
          <w:lang w:val="en-US" w:eastAsia="ru-RU"/>
        </w:rPr>
        <w:t xml:space="preserve">The study of the role of an imbalance of cytokines IL-8 and IL-12, associated with determination of the way of realization of hypersensitivity by the direct or indirect type, was continued. The combined course of As with comorbidity of DM2 and Ob was shown to be accompanied by changes in indices of specific and nonspecific immunity. This fact manifested itself by changes in immunoglobulins, circulating immune complexes, inhibition of CD3, CD4, CD16 and CD22, reduction of the immunoregulatory index and increase of the total count of antibodies against lymphocytes, thereby demonstrating formation of secondary immunodeficiency. </w:t>
      </w:r>
      <w:r w:rsidRPr="00877251">
        <w:rPr>
          <w:rFonts w:ascii="Times New Roman" w:hAnsi="Times New Roman"/>
          <w:color w:val="212121"/>
          <w:sz w:val="28"/>
          <w:szCs w:val="28"/>
          <w:lang w:val="en" w:eastAsia="ru-RU"/>
        </w:rPr>
        <w:t>Risk coefficients of As progression were developed according to regression equations for patients with As in combination with obesity (K risk</w:t>
      </w:r>
      <w:r w:rsidRPr="00877251">
        <w:rPr>
          <w:rFonts w:ascii="Times New Roman" w:hAnsi="Times New Roman"/>
          <w:color w:val="212121"/>
          <w:sz w:val="28"/>
          <w:szCs w:val="28"/>
          <w:vertAlign w:val="subscript"/>
          <w:lang w:val="en" w:eastAsia="ru-RU"/>
        </w:rPr>
        <w:t xml:space="preserve"> 1</w:t>
      </w:r>
      <w:r w:rsidRPr="00877251">
        <w:rPr>
          <w:rFonts w:ascii="Times New Roman" w:hAnsi="Times New Roman"/>
          <w:color w:val="212121"/>
          <w:sz w:val="28"/>
          <w:szCs w:val="28"/>
          <w:lang w:val="en" w:eastAsia="ru-RU"/>
        </w:rPr>
        <w:t>) and for patients with BA in combination with DM2 (K risk</w:t>
      </w:r>
      <w:r w:rsidRPr="00877251">
        <w:rPr>
          <w:rFonts w:ascii="Times New Roman" w:hAnsi="Times New Roman"/>
          <w:color w:val="212121"/>
          <w:sz w:val="28"/>
          <w:szCs w:val="28"/>
          <w:vertAlign w:val="subscript"/>
          <w:lang w:val="en" w:eastAsia="ru-RU"/>
        </w:rPr>
        <w:t xml:space="preserve"> 2</w:t>
      </w:r>
      <w:r w:rsidRPr="00877251">
        <w:rPr>
          <w:rFonts w:ascii="Times New Roman" w:hAnsi="Times New Roman"/>
          <w:color w:val="212121"/>
          <w:sz w:val="28"/>
          <w:szCs w:val="28"/>
          <w:lang w:val="en" w:eastAsia="ru-RU"/>
        </w:rPr>
        <w:t xml:space="preserve">). </w:t>
      </w:r>
      <w:r w:rsidRPr="00877251">
        <w:rPr>
          <w:rFonts w:ascii="Times New Roman" w:hAnsi="Times New Roman"/>
          <w:sz w:val="28"/>
          <w:szCs w:val="28"/>
          <w:lang w:val="en-US" w:eastAsia="ru-RU"/>
        </w:rPr>
        <w:t xml:space="preserve">On the basis of the obtained results, a diagnostic and therapeutic strategy was developed, whose main objective consists in correction of causes of absence of control in patients having As combined with DM2. For the above purpose, </w:t>
      </w:r>
      <w:r w:rsidR="00877251" w:rsidRPr="00877251">
        <w:rPr>
          <w:rFonts w:ascii="Times New Roman" w:hAnsi="Times New Roman"/>
          <w:color w:val="212121"/>
          <w:sz w:val="28"/>
          <w:szCs w:val="28"/>
          <w:lang w:val="en" w:eastAsia="ru-RU"/>
        </w:rPr>
        <w:t xml:space="preserve">arginine </w:t>
      </w:r>
      <w:r w:rsidRPr="00877251">
        <w:rPr>
          <w:rFonts w:ascii="Times New Roman" w:hAnsi="Times New Roman"/>
          <w:sz w:val="28"/>
          <w:szCs w:val="28"/>
          <w:lang w:val="en-US"/>
        </w:rPr>
        <w:t xml:space="preserve">and tiotropium bromide against a background of the basic therapy were suggested and made it possible to control signs of the disease and clinical remission as well as to achieve reliably more marked positive dynamics in indices of systemic inflammation, endothelial function and </w:t>
      </w:r>
      <w:r w:rsidRPr="00877251">
        <w:rPr>
          <w:rFonts w:ascii="Times New Roman" w:hAnsi="Times New Roman"/>
          <w:sz w:val="28"/>
          <w:szCs w:val="28"/>
          <w:lang w:val="en-US" w:eastAsia="ru-RU"/>
        </w:rPr>
        <w:t>pulmonary-renal disorders, thereby significantly improving prognosis in this category of patients.</w:t>
      </w:r>
    </w:p>
    <w:p w:rsidR="0004504E" w:rsidRPr="0022453B" w:rsidRDefault="00D74025" w:rsidP="00386014">
      <w:pPr>
        <w:pStyle w:val="atextRef"/>
        <w:spacing w:line="240" w:lineRule="auto"/>
        <w:rPr>
          <w:rFonts w:cs="Times New Roman"/>
          <w:color w:val="212121"/>
          <w:lang w:val="en-US" w:eastAsia="ru-RU"/>
        </w:rPr>
      </w:pPr>
      <w:r w:rsidRPr="0022453B">
        <w:rPr>
          <w:b/>
          <w:lang w:val="en-US" w:eastAsia="ru-RU"/>
        </w:rPr>
        <w:t>Key words</w:t>
      </w:r>
      <w:r w:rsidRPr="0022453B">
        <w:rPr>
          <w:lang w:val="en-US" w:eastAsia="ru-RU"/>
        </w:rPr>
        <w:t xml:space="preserve">: asthma, diabetes mellitus type 2, obesity, systemic inflammation, pulmonary-renal disorders, therapy. </w:t>
      </w:r>
    </w:p>
    <w:p w:rsidR="00A00925" w:rsidRPr="0022453B" w:rsidRDefault="00A00925" w:rsidP="00386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lang w:val="en" w:eastAsia="ru-RU"/>
        </w:rPr>
      </w:pPr>
    </w:p>
    <w:p w:rsidR="008266DC" w:rsidRDefault="008266DC" w:rsidP="00386014">
      <w:pPr>
        <w:pStyle w:val="arefZag"/>
        <w:spacing w:before="0" w:after="0"/>
      </w:pPr>
      <w:r w:rsidRPr="0022453B">
        <w:t>ПЕРЕЛІК УМОВНИХ ПОЗНАЧЕНЬ ТА СКОРОЧЕНЬ</w:t>
      </w:r>
    </w:p>
    <w:p w:rsidR="00D36EA2" w:rsidRPr="0022453B" w:rsidRDefault="00D36EA2" w:rsidP="00386014">
      <w:pPr>
        <w:pStyle w:val="arefZag"/>
        <w:spacing w:before="0" w:after="0"/>
      </w:pPr>
    </w:p>
    <w:tbl>
      <w:tblPr>
        <w:tblW w:w="0" w:type="auto"/>
        <w:tblLook w:val="04A0" w:firstRow="1" w:lastRow="0" w:firstColumn="1" w:lastColumn="0" w:noHBand="0" w:noVBand="1"/>
      </w:tblPr>
      <w:tblGrid>
        <w:gridCol w:w="1242"/>
        <w:gridCol w:w="8505"/>
      </w:tblGrid>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АСQ-5</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опитувальник контролю над астмою (Asthma Control Questionnaire</w:t>
            </w:r>
            <w:r w:rsidR="002D37F1" w:rsidRPr="00BA2739">
              <w:rPr>
                <w:sz w:val="27"/>
                <w:szCs w:val="27"/>
              </w:rPr>
              <w:t xml:space="preserve">  </w:t>
            </w:r>
            <w:r w:rsidR="00A856CC" w:rsidRPr="00BA2739">
              <w:rPr>
                <w:sz w:val="27"/>
                <w:szCs w:val="27"/>
              </w:rPr>
              <w:t>)</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napToGrid w:val="0"/>
                <w:sz w:val="27"/>
                <w:szCs w:val="27"/>
              </w:rPr>
              <w:t>HbA1c</w:t>
            </w:r>
          </w:p>
        </w:tc>
        <w:tc>
          <w:tcPr>
            <w:tcW w:w="8505" w:type="dxa"/>
          </w:tcPr>
          <w:p w:rsidR="00A856CC" w:rsidRPr="00BA2739" w:rsidRDefault="00CD22CE" w:rsidP="00BA2739">
            <w:pPr>
              <w:pStyle w:val="aTableText2"/>
              <w:spacing w:line="245" w:lineRule="auto"/>
              <w:rPr>
                <w:sz w:val="27"/>
                <w:szCs w:val="27"/>
              </w:rPr>
            </w:pPr>
            <w:r w:rsidRPr="00BA2739">
              <w:rPr>
                <w:snapToGrid w:val="0"/>
                <w:sz w:val="27"/>
                <w:szCs w:val="27"/>
              </w:rPr>
              <w:t>–</w:t>
            </w:r>
            <w:r w:rsidR="00A856CC" w:rsidRPr="00BA2739">
              <w:rPr>
                <w:snapToGrid w:val="0"/>
                <w:sz w:val="27"/>
                <w:szCs w:val="27"/>
              </w:rPr>
              <w:t xml:space="preserve"> глікований гемоглобін</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lang w:val="en-US"/>
              </w:rPr>
              <w:t>IgA</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імуноглобулін А</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lang w:val="en-US"/>
              </w:rPr>
              <w:t>IgE</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імуноглобулін Е</w:t>
            </w:r>
          </w:p>
        </w:tc>
      </w:tr>
      <w:tr w:rsidR="00A856CC" w:rsidRPr="00BA2739" w:rsidTr="00347B4C">
        <w:tc>
          <w:tcPr>
            <w:tcW w:w="1242" w:type="dxa"/>
          </w:tcPr>
          <w:p w:rsidR="00A856CC" w:rsidRPr="00BA2739" w:rsidRDefault="00A856CC" w:rsidP="00BA2739">
            <w:pPr>
              <w:pStyle w:val="aTableText2"/>
              <w:spacing w:line="245" w:lineRule="auto"/>
              <w:rPr>
                <w:sz w:val="27"/>
                <w:szCs w:val="27"/>
                <w:lang w:val="en-US"/>
              </w:rPr>
            </w:pPr>
            <w:r w:rsidRPr="00BA2739">
              <w:rPr>
                <w:sz w:val="27"/>
                <w:szCs w:val="27"/>
                <w:lang w:val="en-US"/>
              </w:rPr>
              <w:t>IgG</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імуноглобулін </w:t>
            </w:r>
            <w:r w:rsidR="00A856CC" w:rsidRPr="00BA2739">
              <w:rPr>
                <w:sz w:val="27"/>
                <w:szCs w:val="27"/>
                <w:lang w:val="en-US"/>
              </w:rPr>
              <w:t>G</w:t>
            </w:r>
          </w:p>
        </w:tc>
      </w:tr>
      <w:tr w:rsidR="00A856CC" w:rsidRPr="00BA2739" w:rsidTr="00347B4C">
        <w:tc>
          <w:tcPr>
            <w:tcW w:w="1242" w:type="dxa"/>
          </w:tcPr>
          <w:p w:rsidR="00A856CC" w:rsidRPr="00BA2739" w:rsidRDefault="00A856CC" w:rsidP="00BA2739">
            <w:pPr>
              <w:pStyle w:val="aTableText2"/>
              <w:spacing w:line="245" w:lineRule="auto"/>
              <w:rPr>
                <w:sz w:val="27"/>
                <w:szCs w:val="27"/>
                <w:lang w:val="en-US"/>
              </w:rPr>
            </w:pPr>
            <w:r w:rsidRPr="00BA2739">
              <w:rPr>
                <w:sz w:val="27"/>
                <w:szCs w:val="27"/>
                <w:lang w:val="en-US"/>
              </w:rPr>
              <w:t>IgM</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імуноглобулін М</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lang w:val="en-US"/>
              </w:rPr>
              <w:lastRenderedPageBreak/>
              <w:t>Lq</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нижній квартиль</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lang w:val="en-US"/>
              </w:rPr>
              <w:t>S-</w:t>
            </w:r>
            <w:r w:rsidRPr="00BA2739">
              <w:rPr>
                <w:sz w:val="27"/>
                <w:szCs w:val="27"/>
              </w:rPr>
              <w:t>НТ</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w:t>
            </w:r>
            <w:r w:rsidR="00A856CC" w:rsidRPr="00BA2739">
              <w:rPr>
                <w:sz w:val="27"/>
                <w:szCs w:val="27"/>
                <w:lang w:val="en-US"/>
              </w:rPr>
              <w:t>S</w:t>
            </w:r>
            <w:r w:rsidR="00A856CC" w:rsidRPr="00BA2739">
              <w:rPr>
                <w:sz w:val="27"/>
                <w:szCs w:val="27"/>
                <w:lang w:val="ru-RU"/>
              </w:rPr>
              <w:t>-</w:t>
            </w:r>
            <w:r w:rsidR="00A856CC" w:rsidRPr="00BA2739">
              <w:rPr>
                <w:sz w:val="27"/>
                <w:szCs w:val="27"/>
              </w:rPr>
              <w:t xml:space="preserve">нітрозотіоли </w:t>
            </w:r>
            <w:r w:rsidRPr="00BA2739">
              <w:rPr>
                <w:sz w:val="27"/>
                <w:szCs w:val="27"/>
              </w:rPr>
              <w:t>–</w:t>
            </w:r>
            <w:r w:rsidR="00A856CC" w:rsidRPr="00BA2739">
              <w:rPr>
                <w:sz w:val="27"/>
                <w:szCs w:val="27"/>
              </w:rPr>
              <w:t xml:space="preserve"> метаболіти оксиду азот</w:t>
            </w:r>
            <w:r w:rsidR="004915ED" w:rsidRPr="00BA2739">
              <w:rPr>
                <w:sz w:val="27"/>
                <w:szCs w:val="27"/>
              </w:rPr>
              <w:t>у</w:t>
            </w:r>
          </w:p>
        </w:tc>
      </w:tr>
      <w:tr w:rsidR="00A856CC" w:rsidRPr="00BA2739" w:rsidTr="00347B4C">
        <w:tc>
          <w:tcPr>
            <w:tcW w:w="1242" w:type="dxa"/>
          </w:tcPr>
          <w:p w:rsidR="00A856CC" w:rsidRPr="00BA2739" w:rsidRDefault="00A856CC" w:rsidP="00BA2739">
            <w:pPr>
              <w:pStyle w:val="aTableText2"/>
              <w:spacing w:line="245" w:lineRule="auto"/>
              <w:rPr>
                <w:sz w:val="27"/>
                <w:szCs w:val="27"/>
                <w:lang w:val="en-US"/>
              </w:rPr>
            </w:pPr>
            <w:r w:rsidRPr="00BA2739">
              <w:rPr>
                <w:sz w:val="27"/>
                <w:szCs w:val="27"/>
                <w:lang w:val="en-US"/>
              </w:rPr>
              <w:t>Uq</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верхній квартиль</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АР</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алергічний риніт</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БА</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бронхіальна астма</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ЕТ-1</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ендотелін-1</w:t>
            </w:r>
          </w:p>
        </w:tc>
      </w:tr>
      <w:tr w:rsidR="00A856CC" w:rsidRPr="00BA2739" w:rsidTr="00347B4C">
        <w:tc>
          <w:tcPr>
            <w:tcW w:w="1242" w:type="dxa"/>
          </w:tcPr>
          <w:p w:rsidR="00A856CC" w:rsidRPr="00BA2739" w:rsidRDefault="00A856CC" w:rsidP="00BA2739">
            <w:pPr>
              <w:pStyle w:val="aTableText2"/>
              <w:spacing w:line="245" w:lineRule="auto"/>
              <w:rPr>
                <w:snapToGrid w:val="0"/>
                <w:sz w:val="27"/>
                <w:szCs w:val="27"/>
              </w:rPr>
            </w:pPr>
            <w:r w:rsidRPr="00BA2739">
              <w:rPr>
                <w:sz w:val="27"/>
                <w:szCs w:val="27"/>
              </w:rPr>
              <w:t>ЖЄЛ</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життєва ємність легень </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ЖЗ</w:t>
            </w:r>
          </w:p>
        </w:tc>
        <w:tc>
          <w:tcPr>
            <w:tcW w:w="8505" w:type="dxa"/>
          </w:tcPr>
          <w:p w:rsidR="00A856CC" w:rsidRPr="00BA2739" w:rsidRDefault="00BC62F5" w:rsidP="00BA2739">
            <w:pPr>
              <w:pStyle w:val="aTableText2"/>
              <w:spacing w:line="245" w:lineRule="auto"/>
              <w:rPr>
                <w:sz w:val="27"/>
                <w:szCs w:val="27"/>
              </w:rPr>
            </w:pPr>
            <w:r w:rsidRPr="00BA2739">
              <w:rPr>
                <w:sz w:val="27"/>
                <w:szCs w:val="27"/>
                <w:lang w:val="en-US"/>
              </w:rPr>
              <w:softHyphen/>
            </w:r>
            <w:r w:rsidRPr="00BA2739">
              <w:rPr>
                <w:sz w:val="27"/>
                <w:szCs w:val="27"/>
                <w:lang w:val="en-US"/>
              </w:rPr>
              <w:softHyphen/>
            </w:r>
            <w:r w:rsidR="002D37F1" w:rsidRPr="00BA2739">
              <w:rPr>
                <w:sz w:val="27"/>
                <w:szCs w:val="27"/>
              </w:rPr>
              <w:t>–</w:t>
            </w:r>
            <w:r w:rsidRPr="00BA2739">
              <w:rPr>
                <w:sz w:val="27"/>
                <w:szCs w:val="27"/>
                <w:lang w:val="en-US"/>
              </w:rPr>
              <w:t xml:space="preserve"> </w:t>
            </w:r>
            <w:r w:rsidR="00A856CC" w:rsidRPr="00BA2739">
              <w:rPr>
                <w:sz w:val="27"/>
                <w:szCs w:val="27"/>
              </w:rPr>
              <w:t>життєздатність</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ЗСЗ</w:t>
            </w:r>
          </w:p>
        </w:tc>
        <w:tc>
          <w:tcPr>
            <w:tcW w:w="8505" w:type="dxa"/>
          </w:tcPr>
          <w:p w:rsidR="00A856CC"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A856CC" w:rsidRPr="00BA2739">
              <w:rPr>
                <w:sz w:val="27"/>
                <w:szCs w:val="27"/>
              </w:rPr>
              <w:t>загальний стан здоров</w:t>
            </w:r>
            <w:r w:rsidR="00AF5C51" w:rsidRPr="00BA2739">
              <w:rPr>
                <w:sz w:val="27"/>
                <w:szCs w:val="27"/>
              </w:rPr>
              <w:t>’</w:t>
            </w:r>
            <w:r w:rsidR="00A856CC" w:rsidRPr="00BA2739">
              <w:rPr>
                <w:sz w:val="27"/>
                <w:szCs w:val="27"/>
              </w:rPr>
              <w:t>я</w:t>
            </w:r>
          </w:p>
        </w:tc>
      </w:tr>
      <w:tr w:rsidR="00A856CC" w:rsidRPr="00BA2739" w:rsidTr="00347B4C">
        <w:tc>
          <w:tcPr>
            <w:tcW w:w="1242" w:type="dxa"/>
          </w:tcPr>
          <w:p w:rsidR="00A856CC" w:rsidRPr="00BA2739" w:rsidRDefault="00A856CC" w:rsidP="00BA2739">
            <w:pPr>
              <w:pStyle w:val="aTableText2"/>
              <w:spacing w:line="245" w:lineRule="auto"/>
              <w:rPr>
                <w:snapToGrid w:val="0"/>
                <w:sz w:val="27"/>
                <w:szCs w:val="27"/>
              </w:rPr>
            </w:pPr>
            <w:r w:rsidRPr="00BA2739">
              <w:rPr>
                <w:snapToGrid w:val="0"/>
                <w:sz w:val="27"/>
                <w:szCs w:val="27"/>
              </w:rPr>
              <w:t>ЗХС</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загальний холестерин</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ІБ</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інтенсивність болю</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ІГКС</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інгаляційний глюкокортикостероїд</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ІЛ</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інтерлейкін</w:t>
            </w:r>
          </w:p>
        </w:tc>
      </w:tr>
      <w:tr w:rsidR="008800DF" w:rsidRPr="00BA2739" w:rsidTr="00347B4C">
        <w:tc>
          <w:tcPr>
            <w:tcW w:w="1242" w:type="dxa"/>
          </w:tcPr>
          <w:p w:rsidR="008800DF" w:rsidRPr="00BA2739" w:rsidRDefault="008800DF" w:rsidP="00BA2739">
            <w:pPr>
              <w:pStyle w:val="aTableText2"/>
              <w:spacing w:line="245" w:lineRule="auto"/>
              <w:rPr>
                <w:sz w:val="27"/>
                <w:szCs w:val="27"/>
                <w:lang w:val="en-US"/>
              </w:rPr>
            </w:pPr>
            <w:r w:rsidRPr="00BA2739">
              <w:rPr>
                <w:snapToGrid w:val="0"/>
                <w:sz w:val="27"/>
                <w:szCs w:val="27"/>
              </w:rPr>
              <w:t>ІМТ</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napToGrid w:val="0"/>
                <w:sz w:val="27"/>
                <w:szCs w:val="27"/>
              </w:rPr>
              <w:t xml:space="preserve"> індекс маси тіла</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ІРІ</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lang w:val="ru-RU"/>
              </w:rPr>
              <w:t xml:space="preserve"> </w:t>
            </w:r>
            <w:r w:rsidR="008800DF" w:rsidRPr="00BA2739">
              <w:rPr>
                <w:sz w:val="27"/>
                <w:szCs w:val="27"/>
              </w:rPr>
              <w:t>імунорегуляторний індекс (С</w:t>
            </w:r>
            <w:r w:rsidR="008800DF" w:rsidRPr="00BA2739">
              <w:rPr>
                <w:sz w:val="27"/>
                <w:szCs w:val="27"/>
                <w:lang w:val="en-US"/>
              </w:rPr>
              <w:t>D</w:t>
            </w:r>
            <w:r w:rsidR="008800DF" w:rsidRPr="00BA2739">
              <w:rPr>
                <w:sz w:val="27"/>
                <w:szCs w:val="27"/>
              </w:rPr>
              <w:t>4/ С</w:t>
            </w:r>
            <w:r w:rsidR="008800DF" w:rsidRPr="00BA2739">
              <w:rPr>
                <w:sz w:val="27"/>
                <w:szCs w:val="27"/>
                <w:lang w:val="en-US"/>
              </w:rPr>
              <w:t>D</w:t>
            </w:r>
            <w:r w:rsidR="008800DF" w:rsidRPr="00BA2739">
              <w:rPr>
                <w:sz w:val="27"/>
                <w:szCs w:val="27"/>
              </w:rPr>
              <w:t>8)</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ЛПВЩ</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ліпопротеїди високої щільності</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ЛПНЩ</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ліпопротеїди низької щільності</w:t>
            </w:r>
          </w:p>
        </w:tc>
      </w:tr>
      <w:tr w:rsidR="001511D0" w:rsidRPr="00BA2739" w:rsidTr="00347B4C">
        <w:tc>
          <w:tcPr>
            <w:tcW w:w="1242" w:type="dxa"/>
          </w:tcPr>
          <w:p w:rsidR="001511D0" w:rsidRPr="00BA2739" w:rsidRDefault="001511D0" w:rsidP="00BA2739">
            <w:pPr>
              <w:pStyle w:val="aTableText2"/>
              <w:spacing w:line="245" w:lineRule="auto"/>
              <w:rPr>
                <w:sz w:val="27"/>
                <w:szCs w:val="27"/>
              </w:rPr>
            </w:pPr>
            <w:r w:rsidRPr="00BA2739">
              <w:rPr>
                <w:sz w:val="27"/>
                <w:szCs w:val="27"/>
              </w:rPr>
              <w:t>ФЗД</w:t>
            </w:r>
          </w:p>
        </w:tc>
        <w:tc>
          <w:tcPr>
            <w:tcW w:w="8505" w:type="dxa"/>
          </w:tcPr>
          <w:p w:rsidR="001511D0" w:rsidRPr="00BA2739" w:rsidRDefault="00CD22CE" w:rsidP="00BA2739">
            <w:pPr>
              <w:pStyle w:val="aTableText2"/>
              <w:spacing w:line="245" w:lineRule="auto"/>
              <w:rPr>
                <w:sz w:val="27"/>
                <w:szCs w:val="27"/>
              </w:rPr>
            </w:pPr>
            <w:r w:rsidRPr="00BA2739">
              <w:rPr>
                <w:sz w:val="27"/>
                <w:szCs w:val="27"/>
              </w:rPr>
              <w:t>–</w:t>
            </w:r>
            <w:r w:rsidR="001511D0" w:rsidRPr="00BA2739">
              <w:rPr>
                <w:sz w:val="27"/>
                <w:szCs w:val="27"/>
              </w:rPr>
              <w:t xml:space="preserve"> функція зовнішнього дихання </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МАУ</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мікроальбумінурія</w:t>
            </w:r>
          </w:p>
        </w:tc>
      </w:tr>
      <w:tr w:rsidR="008800DF" w:rsidRPr="00BA2739" w:rsidTr="00347B4C">
        <w:tc>
          <w:tcPr>
            <w:tcW w:w="1242" w:type="dxa"/>
          </w:tcPr>
          <w:p w:rsidR="008800DF" w:rsidRPr="00BA2739" w:rsidRDefault="008800DF" w:rsidP="00BA2739">
            <w:pPr>
              <w:pStyle w:val="aTableText2"/>
              <w:spacing w:line="245" w:lineRule="auto"/>
              <w:rPr>
                <w:sz w:val="27"/>
                <w:szCs w:val="27"/>
                <w:lang w:val="en-US"/>
              </w:rPr>
            </w:pPr>
            <w:r w:rsidRPr="00BA2739">
              <w:rPr>
                <w:sz w:val="27"/>
                <w:szCs w:val="27"/>
              </w:rPr>
              <w:t>Ме</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медіан</w:t>
            </w:r>
            <w:r w:rsidR="001734C3" w:rsidRPr="00BA2739">
              <w:rPr>
                <w:sz w:val="27"/>
                <w:szCs w:val="27"/>
              </w:rPr>
              <w:t>а</w:t>
            </w:r>
          </w:p>
        </w:tc>
      </w:tr>
      <w:tr w:rsidR="008800DF" w:rsidRPr="00BA2739" w:rsidTr="00347B4C">
        <w:tc>
          <w:tcPr>
            <w:tcW w:w="1242" w:type="dxa"/>
          </w:tcPr>
          <w:p w:rsidR="008800DF" w:rsidRPr="00BA2739" w:rsidRDefault="008800DF" w:rsidP="00BA2739">
            <w:pPr>
              <w:pStyle w:val="aTableText2"/>
              <w:spacing w:line="245" w:lineRule="auto"/>
              <w:rPr>
                <w:sz w:val="27"/>
                <w:szCs w:val="27"/>
                <w:lang w:val="en-US"/>
              </w:rPr>
            </w:pPr>
            <w:r w:rsidRPr="00BA2739">
              <w:rPr>
                <w:sz w:val="27"/>
                <w:szCs w:val="27"/>
              </w:rPr>
              <w:t>ММР-9</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матрична металопротеїназа-9</w:t>
            </w:r>
          </w:p>
        </w:tc>
      </w:tr>
      <w:tr w:rsidR="008800DF" w:rsidRPr="00BA2739" w:rsidTr="00347B4C">
        <w:tc>
          <w:tcPr>
            <w:tcW w:w="1242" w:type="dxa"/>
          </w:tcPr>
          <w:p w:rsidR="008800DF" w:rsidRPr="00BA2739" w:rsidRDefault="008800DF" w:rsidP="00BA2739">
            <w:pPr>
              <w:pStyle w:val="aTableText2"/>
              <w:spacing w:line="245" w:lineRule="auto"/>
              <w:rPr>
                <w:sz w:val="27"/>
                <w:szCs w:val="27"/>
                <w:lang w:val="en-US"/>
              </w:rPr>
            </w:pPr>
            <w:r w:rsidRPr="00BA2739">
              <w:rPr>
                <w:sz w:val="27"/>
                <w:szCs w:val="27"/>
              </w:rPr>
              <w:t>МСР-1</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моноцитарний хемоатрактантний протеїн-1</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О</w:t>
            </w:r>
            <w:r w:rsidR="006A721C" w:rsidRPr="00BA2739">
              <w:rPr>
                <w:sz w:val="27"/>
                <w:szCs w:val="27"/>
              </w:rPr>
              <w:t>ж</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ожиріння</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ОФВ</w:t>
            </w:r>
            <w:r w:rsidRPr="00BA2739">
              <w:rPr>
                <w:sz w:val="27"/>
                <w:szCs w:val="27"/>
                <w:vertAlign w:val="subscript"/>
              </w:rPr>
              <w:t>1</w:t>
            </w:r>
          </w:p>
        </w:tc>
        <w:tc>
          <w:tcPr>
            <w:tcW w:w="8505" w:type="dxa"/>
          </w:tcPr>
          <w:p w:rsidR="008800DF" w:rsidRPr="00BA2739" w:rsidRDefault="00CD22CE" w:rsidP="00BA2739">
            <w:pPr>
              <w:pStyle w:val="aTableText2"/>
              <w:spacing w:line="245" w:lineRule="auto"/>
              <w:rPr>
                <w:sz w:val="27"/>
                <w:szCs w:val="27"/>
              </w:rPr>
            </w:pPr>
            <w:r w:rsidRPr="00BA2739">
              <w:rPr>
                <w:sz w:val="27"/>
                <w:szCs w:val="27"/>
              </w:rPr>
              <w:t>–</w:t>
            </w:r>
            <w:r w:rsidR="008800DF" w:rsidRPr="00BA2739">
              <w:rPr>
                <w:sz w:val="27"/>
                <w:szCs w:val="27"/>
              </w:rPr>
              <w:t xml:space="preserve"> </w:t>
            </w:r>
            <w:r w:rsidR="008800DF" w:rsidRPr="00BA2739">
              <w:rPr>
                <w:rFonts w:eastAsia="TimesNewRomanPSMT"/>
                <w:sz w:val="27"/>
                <w:szCs w:val="27"/>
              </w:rPr>
              <w:t>об</w:t>
            </w:r>
            <w:r w:rsidR="00AF5C51" w:rsidRPr="00BA2739">
              <w:rPr>
                <w:rFonts w:eastAsia="TimesNewRomanPSMT"/>
                <w:sz w:val="27"/>
                <w:szCs w:val="27"/>
              </w:rPr>
              <w:t>’</w:t>
            </w:r>
            <w:r w:rsidR="008800DF" w:rsidRPr="00BA2739">
              <w:rPr>
                <w:rFonts w:eastAsia="TimesNewRomanPSMT"/>
                <w:sz w:val="27"/>
                <w:szCs w:val="27"/>
              </w:rPr>
              <w:t>єм форсованого видиху за 1 с</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ПЗ</w:t>
            </w:r>
          </w:p>
        </w:tc>
        <w:tc>
          <w:tcPr>
            <w:tcW w:w="8505" w:type="dxa"/>
          </w:tcPr>
          <w:p w:rsidR="008800DF" w:rsidRPr="00BA2739" w:rsidRDefault="002D37F1" w:rsidP="00AE502E">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психічне здоров</w:t>
            </w:r>
            <w:r w:rsidR="00AF5C51" w:rsidRPr="00BA2739">
              <w:rPr>
                <w:sz w:val="27"/>
                <w:szCs w:val="27"/>
              </w:rPr>
              <w:t>’</w:t>
            </w:r>
            <w:r w:rsidR="008800DF" w:rsidRPr="00BA2739">
              <w:rPr>
                <w:sz w:val="27"/>
                <w:szCs w:val="27"/>
              </w:rPr>
              <w:t>я</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ПКЗ</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психічний компонент здоров</w:t>
            </w:r>
            <w:r w:rsidR="00AF5C51" w:rsidRPr="00BA2739">
              <w:rPr>
                <w:sz w:val="27"/>
                <w:szCs w:val="27"/>
              </w:rPr>
              <w:t>’</w:t>
            </w:r>
            <w:r w:rsidR="008800DF" w:rsidRPr="00BA2739">
              <w:rPr>
                <w:sz w:val="27"/>
                <w:szCs w:val="27"/>
              </w:rPr>
              <w:t>я</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РЕФ</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рольове емоційне функціонування</w:t>
            </w:r>
          </w:p>
        </w:tc>
      </w:tr>
      <w:tr w:rsidR="008800DF" w:rsidRPr="00BA2739" w:rsidTr="00347B4C">
        <w:tc>
          <w:tcPr>
            <w:tcW w:w="1242" w:type="dxa"/>
          </w:tcPr>
          <w:p w:rsidR="008800DF" w:rsidRPr="00BA2739" w:rsidRDefault="008800DF" w:rsidP="00BA2739">
            <w:pPr>
              <w:pStyle w:val="aTableText2"/>
              <w:spacing w:line="245" w:lineRule="auto"/>
              <w:rPr>
                <w:sz w:val="27"/>
                <w:szCs w:val="27"/>
              </w:rPr>
            </w:pPr>
            <w:r w:rsidRPr="00BA2739">
              <w:rPr>
                <w:sz w:val="27"/>
                <w:szCs w:val="27"/>
              </w:rPr>
              <w:t>РФФ</w:t>
            </w:r>
          </w:p>
        </w:tc>
        <w:tc>
          <w:tcPr>
            <w:tcW w:w="8505" w:type="dxa"/>
          </w:tcPr>
          <w:p w:rsidR="008800DF"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8800DF" w:rsidRPr="00BA2739">
              <w:rPr>
                <w:sz w:val="27"/>
                <w:szCs w:val="27"/>
              </w:rPr>
              <w:t>рольове фізичне функціонування</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СФ</w:t>
            </w:r>
          </w:p>
        </w:tc>
        <w:tc>
          <w:tcPr>
            <w:tcW w:w="8505" w:type="dxa"/>
          </w:tcPr>
          <w:p w:rsidR="00A856CC"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A856CC" w:rsidRPr="00BA2739">
              <w:rPr>
                <w:sz w:val="27"/>
                <w:szCs w:val="27"/>
              </w:rPr>
              <w:t>соціальне функціонування</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ТГ</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тригліцериди</w:t>
            </w:r>
          </w:p>
        </w:tc>
      </w:tr>
      <w:tr w:rsidR="00A856CC" w:rsidRPr="00BA2739" w:rsidTr="00347B4C">
        <w:tc>
          <w:tcPr>
            <w:tcW w:w="1242" w:type="dxa"/>
          </w:tcPr>
          <w:p w:rsidR="00A856CC" w:rsidRPr="00BA2739" w:rsidRDefault="00A856CC" w:rsidP="00BA2739">
            <w:pPr>
              <w:pStyle w:val="aTableText2"/>
              <w:spacing w:line="245" w:lineRule="auto"/>
              <w:rPr>
                <w:sz w:val="27"/>
                <w:szCs w:val="27"/>
              </w:rPr>
            </w:pPr>
            <w:r w:rsidRPr="00BA2739">
              <w:rPr>
                <w:sz w:val="27"/>
                <w:szCs w:val="27"/>
              </w:rPr>
              <w:t>ФВ</w:t>
            </w:r>
          </w:p>
        </w:tc>
        <w:tc>
          <w:tcPr>
            <w:tcW w:w="8505" w:type="dxa"/>
          </w:tcPr>
          <w:p w:rsidR="00A856CC" w:rsidRPr="00BA2739" w:rsidRDefault="00CD22CE" w:rsidP="00BA2739">
            <w:pPr>
              <w:pStyle w:val="aTableText2"/>
              <w:spacing w:line="245" w:lineRule="auto"/>
              <w:rPr>
                <w:sz w:val="27"/>
                <w:szCs w:val="27"/>
              </w:rPr>
            </w:pPr>
            <w:r w:rsidRPr="00BA2739">
              <w:rPr>
                <w:sz w:val="27"/>
                <w:szCs w:val="27"/>
              </w:rPr>
              <w:t>–</w:t>
            </w:r>
            <w:r w:rsidR="00A856CC" w:rsidRPr="00BA2739">
              <w:rPr>
                <w:sz w:val="27"/>
                <w:szCs w:val="27"/>
              </w:rPr>
              <w:t xml:space="preserve"> фактор Віллебранда</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ФЗД</w:t>
            </w:r>
          </w:p>
        </w:tc>
        <w:tc>
          <w:tcPr>
            <w:tcW w:w="8505" w:type="dxa"/>
          </w:tcPr>
          <w:p w:rsidR="000F232E"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141B0B" w:rsidRPr="00BA2739">
              <w:rPr>
                <w:sz w:val="27"/>
                <w:szCs w:val="27"/>
              </w:rPr>
              <w:t>функція зовнішнього дихання</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ФЖЄЛ</w:t>
            </w:r>
          </w:p>
        </w:tc>
        <w:tc>
          <w:tcPr>
            <w:tcW w:w="8505" w:type="dxa"/>
          </w:tcPr>
          <w:p w:rsidR="000F232E" w:rsidRPr="00BA2739" w:rsidRDefault="00CD22CE" w:rsidP="00BA2739">
            <w:pPr>
              <w:pStyle w:val="aTableText2"/>
              <w:spacing w:line="245" w:lineRule="auto"/>
              <w:rPr>
                <w:sz w:val="27"/>
                <w:szCs w:val="27"/>
              </w:rPr>
            </w:pPr>
            <w:r w:rsidRPr="00BA2739">
              <w:rPr>
                <w:sz w:val="27"/>
                <w:szCs w:val="27"/>
              </w:rPr>
              <w:t>–</w:t>
            </w:r>
            <w:r w:rsidR="000F232E" w:rsidRPr="00BA2739">
              <w:rPr>
                <w:sz w:val="27"/>
                <w:szCs w:val="27"/>
              </w:rPr>
              <w:t xml:space="preserve"> форсована життєва ємність легень</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ФКЗ</w:t>
            </w:r>
          </w:p>
        </w:tc>
        <w:tc>
          <w:tcPr>
            <w:tcW w:w="8505" w:type="dxa"/>
          </w:tcPr>
          <w:p w:rsidR="000F232E"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0F232E" w:rsidRPr="00BA2739">
              <w:rPr>
                <w:sz w:val="27"/>
                <w:szCs w:val="27"/>
              </w:rPr>
              <w:t>фізичний компонент здоров</w:t>
            </w:r>
            <w:r w:rsidR="00AF5C51" w:rsidRPr="00BA2739">
              <w:rPr>
                <w:sz w:val="27"/>
                <w:szCs w:val="27"/>
              </w:rPr>
              <w:t>’</w:t>
            </w:r>
            <w:r w:rsidR="000F232E" w:rsidRPr="00BA2739">
              <w:rPr>
                <w:sz w:val="27"/>
                <w:szCs w:val="27"/>
              </w:rPr>
              <w:t>я</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ФКУ</w:t>
            </w:r>
          </w:p>
        </w:tc>
        <w:tc>
          <w:tcPr>
            <w:tcW w:w="8505" w:type="dxa"/>
          </w:tcPr>
          <w:p w:rsidR="000F232E" w:rsidRPr="00BA2739" w:rsidRDefault="00CD22CE" w:rsidP="00BA2739">
            <w:pPr>
              <w:pStyle w:val="aTableText2"/>
              <w:spacing w:line="245" w:lineRule="auto"/>
              <w:rPr>
                <w:sz w:val="27"/>
                <w:szCs w:val="27"/>
              </w:rPr>
            </w:pPr>
            <w:r w:rsidRPr="00BA2739">
              <w:rPr>
                <w:sz w:val="27"/>
                <w:szCs w:val="27"/>
              </w:rPr>
              <w:t>–</w:t>
            </w:r>
            <w:r w:rsidR="000F232E" w:rsidRPr="00BA2739">
              <w:rPr>
                <w:sz w:val="27"/>
                <w:szCs w:val="27"/>
              </w:rPr>
              <w:t xml:space="preserve"> фракталкін (CX3CL1)</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ФФ</w:t>
            </w:r>
          </w:p>
        </w:tc>
        <w:tc>
          <w:tcPr>
            <w:tcW w:w="8505" w:type="dxa"/>
          </w:tcPr>
          <w:p w:rsidR="000F232E"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0F232E" w:rsidRPr="00BA2739">
              <w:rPr>
                <w:sz w:val="27"/>
                <w:szCs w:val="27"/>
              </w:rPr>
              <w:t>фізичне функціонування</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ФШВ</w:t>
            </w:r>
            <w:r w:rsidRPr="00BA2739">
              <w:rPr>
                <w:sz w:val="27"/>
                <w:szCs w:val="27"/>
                <w:vertAlign w:val="subscript"/>
              </w:rPr>
              <w:t>25</w:t>
            </w:r>
          </w:p>
        </w:tc>
        <w:tc>
          <w:tcPr>
            <w:tcW w:w="8505" w:type="dxa"/>
          </w:tcPr>
          <w:p w:rsidR="000F232E" w:rsidRPr="00BA2739" w:rsidRDefault="00CD22CE"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0F232E" w:rsidRPr="00BA2739">
              <w:rPr>
                <w:sz w:val="27"/>
                <w:szCs w:val="27"/>
              </w:rPr>
              <w:t>форсована швидкість видиху при 25</w:t>
            </w:r>
            <w:r w:rsidR="0022453B" w:rsidRPr="00BA2739">
              <w:rPr>
                <w:sz w:val="27"/>
                <w:szCs w:val="27"/>
              </w:rPr>
              <w:t>%</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ФШВ</w:t>
            </w:r>
            <w:r w:rsidRPr="00BA2739">
              <w:rPr>
                <w:sz w:val="27"/>
                <w:szCs w:val="27"/>
                <w:vertAlign w:val="subscript"/>
              </w:rPr>
              <w:t>50</w:t>
            </w:r>
          </w:p>
        </w:tc>
        <w:tc>
          <w:tcPr>
            <w:tcW w:w="8505" w:type="dxa"/>
          </w:tcPr>
          <w:p w:rsidR="000F232E" w:rsidRPr="00BA2739" w:rsidRDefault="00CD22CE" w:rsidP="00BA2739">
            <w:pPr>
              <w:pStyle w:val="aTableText2"/>
              <w:spacing w:line="245" w:lineRule="auto"/>
              <w:rPr>
                <w:sz w:val="27"/>
                <w:szCs w:val="27"/>
                <w:lang w:val="en-US"/>
              </w:rPr>
            </w:pPr>
            <w:r w:rsidRPr="00BA2739">
              <w:rPr>
                <w:sz w:val="27"/>
                <w:szCs w:val="27"/>
              </w:rPr>
              <w:t>–</w:t>
            </w:r>
            <w:r w:rsidR="000F232E" w:rsidRPr="00BA2739">
              <w:rPr>
                <w:sz w:val="27"/>
                <w:szCs w:val="27"/>
              </w:rPr>
              <w:t xml:space="preserve"> форсована швидкість видиху при 50</w:t>
            </w:r>
            <w:r w:rsidR="0022453B" w:rsidRPr="00BA2739">
              <w:rPr>
                <w:sz w:val="27"/>
                <w:szCs w:val="27"/>
              </w:rPr>
              <w:t>%</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ФШВ</w:t>
            </w:r>
            <w:r w:rsidRPr="00BA2739">
              <w:rPr>
                <w:sz w:val="27"/>
                <w:szCs w:val="27"/>
                <w:vertAlign w:val="subscript"/>
              </w:rPr>
              <w:t>75</w:t>
            </w:r>
          </w:p>
        </w:tc>
        <w:tc>
          <w:tcPr>
            <w:tcW w:w="8505" w:type="dxa"/>
          </w:tcPr>
          <w:p w:rsidR="000F232E" w:rsidRPr="00BA2739" w:rsidRDefault="00CD22CE" w:rsidP="00BA2739">
            <w:pPr>
              <w:pStyle w:val="aTableText2"/>
              <w:spacing w:line="245" w:lineRule="auto"/>
              <w:rPr>
                <w:sz w:val="27"/>
                <w:szCs w:val="27"/>
                <w:lang w:val="en-US"/>
              </w:rPr>
            </w:pPr>
            <w:r w:rsidRPr="00BA2739">
              <w:rPr>
                <w:sz w:val="27"/>
                <w:szCs w:val="27"/>
              </w:rPr>
              <w:t>–</w:t>
            </w:r>
            <w:r w:rsidR="000F232E" w:rsidRPr="00BA2739">
              <w:rPr>
                <w:sz w:val="27"/>
                <w:szCs w:val="27"/>
              </w:rPr>
              <w:t xml:space="preserve"> форсована швидкість видиху при 75</w:t>
            </w:r>
            <w:r w:rsidR="0022453B" w:rsidRPr="00BA2739">
              <w:rPr>
                <w:sz w:val="27"/>
                <w:szCs w:val="27"/>
              </w:rPr>
              <w:t>%</w:t>
            </w:r>
          </w:p>
        </w:tc>
      </w:tr>
      <w:tr w:rsidR="000F232E" w:rsidRPr="00BA2739" w:rsidTr="00347B4C">
        <w:tc>
          <w:tcPr>
            <w:tcW w:w="1242" w:type="dxa"/>
          </w:tcPr>
          <w:p w:rsidR="000F232E" w:rsidRPr="00BA2739" w:rsidRDefault="00EE1915" w:rsidP="00BA2739">
            <w:pPr>
              <w:pStyle w:val="aTableText2"/>
              <w:spacing w:line="245" w:lineRule="auto"/>
              <w:rPr>
                <w:sz w:val="27"/>
                <w:szCs w:val="27"/>
              </w:rPr>
            </w:pPr>
            <w:r w:rsidRPr="00BA2739">
              <w:rPr>
                <w:sz w:val="27"/>
                <w:szCs w:val="27"/>
              </w:rPr>
              <w:t>З</w:t>
            </w:r>
            <w:r w:rsidR="000F232E" w:rsidRPr="00BA2739">
              <w:rPr>
                <w:sz w:val="27"/>
                <w:szCs w:val="27"/>
              </w:rPr>
              <w:t>ХС</w:t>
            </w:r>
          </w:p>
        </w:tc>
        <w:tc>
          <w:tcPr>
            <w:tcW w:w="8505" w:type="dxa"/>
          </w:tcPr>
          <w:p w:rsidR="000F232E"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EE1915" w:rsidRPr="00BA2739">
              <w:rPr>
                <w:sz w:val="27"/>
                <w:szCs w:val="27"/>
              </w:rPr>
              <w:t xml:space="preserve">загальний </w:t>
            </w:r>
            <w:r w:rsidR="000F232E" w:rsidRPr="00BA2739">
              <w:rPr>
                <w:sz w:val="27"/>
                <w:szCs w:val="27"/>
              </w:rPr>
              <w:t>холестерин</w:t>
            </w:r>
          </w:p>
        </w:tc>
      </w:tr>
      <w:tr w:rsidR="000F232E" w:rsidRPr="00BA2739" w:rsidTr="00347B4C">
        <w:tc>
          <w:tcPr>
            <w:tcW w:w="1242" w:type="dxa"/>
          </w:tcPr>
          <w:p w:rsidR="000F232E" w:rsidRPr="00BA2739" w:rsidRDefault="000F232E" w:rsidP="00BA2739">
            <w:pPr>
              <w:pStyle w:val="aTableText2"/>
              <w:spacing w:line="245" w:lineRule="auto"/>
              <w:rPr>
                <w:sz w:val="27"/>
                <w:szCs w:val="27"/>
                <w:lang w:val="en-US"/>
              </w:rPr>
            </w:pPr>
            <w:r w:rsidRPr="00BA2739">
              <w:rPr>
                <w:snapToGrid w:val="0"/>
                <w:sz w:val="27"/>
                <w:szCs w:val="27"/>
              </w:rPr>
              <w:t>ЦД2Т</w:t>
            </w:r>
          </w:p>
        </w:tc>
        <w:tc>
          <w:tcPr>
            <w:tcW w:w="8505" w:type="dxa"/>
          </w:tcPr>
          <w:p w:rsidR="000F232E" w:rsidRPr="00BA2739" w:rsidRDefault="00CD22CE" w:rsidP="00BA2739">
            <w:pPr>
              <w:pStyle w:val="aTableText2"/>
              <w:spacing w:line="245" w:lineRule="auto"/>
              <w:rPr>
                <w:sz w:val="27"/>
                <w:szCs w:val="27"/>
              </w:rPr>
            </w:pPr>
            <w:r w:rsidRPr="00BA2739">
              <w:rPr>
                <w:sz w:val="27"/>
                <w:szCs w:val="27"/>
              </w:rPr>
              <w:t>–</w:t>
            </w:r>
            <w:r w:rsidR="000F232E" w:rsidRPr="00BA2739">
              <w:rPr>
                <w:snapToGrid w:val="0"/>
                <w:sz w:val="27"/>
                <w:szCs w:val="27"/>
              </w:rPr>
              <w:t xml:space="preserve"> цукровий діабет 2</w:t>
            </w:r>
            <w:r w:rsidR="005F7931" w:rsidRPr="00BA2739">
              <w:rPr>
                <w:snapToGrid w:val="0"/>
                <w:sz w:val="27"/>
                <w:szCs w:val="27"/>
              </w:rPr>
              <w:t>-го</w:t>
            </w:r>
            <w:r w:rsidR="000F232E" w:rsidRPr="00BA2739">
              <w:rPr>
                <w:snapToGrid w:val="0"/>
                <w:sz w:val="27"/>
                <w:szCs w:val="27"/>
              </w:rPr>
              <w:t xml:space="preserve"> типу</w:t>
            </w:r>
          </w:p>
        </w:tc>
      </w:tr>
      <w:tr w:rsidR="000F232E" w:rsidRPr="00BA2739" w:rsidTr="00347B4C">
        <w:tc>
          <w:tcPr>
            <w:tcW w:w="1242" w:type="dxa"/>
          </w:tcPr>
          <w:p w:rsidR="000F232E" w:rsidRPr="00BA2739" w:rsidRDefault="000F232E" w:rsidP="00BA2739">
            <w:pPr>
              <w:pStyle w:val="aTableText2"/>
              <w:spacing w:line="245" w:lineRule="auto"/>
              <w:rPr>
                <w:snapToGrid w:val="0"/>
                <w:sz w:val="27"/>
                <w:szCs w:val="27"/>
              </w:rPr>
            </w:pPr>
            <w:r w:rsidRPr="00BA2739">
              <w:rPr>
                <w:snapToGrid w:val="0"/>
                <w:sz w:val="27"/>
                <w:szCs w:val="27"/>
              </w:rPr>
              <w:t>ЦІК</w:t>
            </w:r>
          </w:p>
        </w:tc>
        <w:tc>
          <w:tcPr>
            <w:tcW w:w="8505" w:type="dxa"/>
          </w:tcPr>
          <w:p w:rsidR="000F232E"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0F232E" w:rsidRPr="00BA2739">
              <w:rPr>
                <w:sz w:val="27"/>
                <w:szCs w:val="27"/>
              </w:rPr>
              <w:t>циркулюючі імунні комплекси</w:t>
            </w:r>
          </w:p>
        </w:tc>
      </w:tr>
      <w:tr w:rsidR="000F232E" w:rsidRPr="00BA2739" w:rsidTr="00347B4C">
        <w:tc>
          <w:tcPr>
            <w:tcW w:w="1242" w:type="dxa"/>
          </w:tcPr>
          <w:p w:rsidR="000F232E" w:rsidRPr="00BA2739" w:rsidRDefault="000F232E" w:rsidP="00BA2739">
            <w:pPr>
              <w:pStyle w:val="aTableText2"/>
              <w:spacing w:line="245" w:lineRule="auto"/>
              <w:rPr>
                <w:sz w:val="27"/>
                <w:szCs w:val="27"/>
                <w:lang w:val="en-US"/>
              </w:rPr>
            </w:pPr>
            <w:r w:rsidRPr="00BA2739">
              <w:rPr>
                <w:sz w:val="27"/>
                <w:szCs w:val="27"/>
              </w:rPr>
              <w:t>ШКФ</w:t>
            </w:r>
          </w:p>
        </w:tc>
        <w:tc>
          <w:tcPr>
            <w:tcW w:w="8505" w:type="dxa"/>
          </w:tcPr>
          <w:p w:rsidR="000F232E" w:rsidRPr="00BA2739" w:rsidRDefault="00CD22CE" w:rsidP="00BA2739">
            <w:pPr>
              <w:pStyle w:val="aTableText2"/>
              <w:spacing w:line="245" w:lineRule="auto"/>
              <w:rPr>
                <w:sz w:val="27"/>
                <w:szCs w:val="27"/>
              </w:rPr>
            </w:pPr>
            <w:r w:rsidRPr="00BA2739">
              <w:rPr>
                <w:sz w:val="27"/>
                <w:szCs w:val="27"/>
              </w:rPr>
              <w:t>–</w:t>
            </w:r>
            <w:r w:rsidR="000F232E" w:rsidRPr="00BA2739">
              <w:rPr>
                <w:sz w:val="27"/>
                <w:szCs w:val="27"/>
              </w:rPr>
              <w:t xml:space="preserve"> швидкість клубочкової фільтрації</w:t>
            </w:r>
          </w:p>
        </w:tc>
      </w:tr>
      <w:tr w:rsidR="000F232E" w:rsidRPr="00BA2739" w:rsidTr="00347B4C">
        <w:tc>
          <w:tcPr>
            <w:tcW w:w="1242" w:type="dxa"/>
          </w:tcPr>
          <w:p w:rsidR="000F232E" w:rsidRPr="00BA2739" w:rsidRDefault="000F232E" w:rsidP="00BA2739">
            <w:pPr>
              <w:pStyle w:val="aTableText2"/>
              <w:spacing w:line="245" w:lineRule="auto"/>
              <w:rPr>
                <w:sz w:val="27"/>
                <w:szCs w:val="27"/>
              </w:rPr>
            </w:pPr>
            <w:r w:rsidRPr="00BA2739">
              <w:rPr>
                <w:sz w:val="27"/>
                <w:szCs w:val="27"/>
              </w:rPr>
              <w:t>ЯЖ</w:t>
            </w:r>
          </w:p>
        </w:tc>
        <w:tc>
          <w:tcPr>
            <w:tcW w:w="8505" w:type="dxa"/>
          </w:tcPr>
          <w:p w:rsidR="000F232E" w:rsidRPr="00BA2739" w:rsidRDefault="002D37F1" w:rsidP="00BA2739">
            <w:pPr>
              <w:pStyle w:val="aTableText2"/>
              <w:spacing w:line="245" w:lineRule="auto"/>
              <w:rPr>
                <w:sz w:val="27"/>
                <w:szCs w:val="27"/>
              </w:rPr>
            </w:pPr>
            <w:r w:rsidRPr="00BA2739">
              <w:rPr>
                <w:sz w:val="27"/>
                <w:szCs w:val="27"/>
              </w:rPr>
              <w:t>–</w:t>
            </w:r>
            <w:r w:rsidR="00121862" w:rsidRPr="00BA2739">
              <w:rPr>
                <w:sz w:val="27"/>
                <w:szCs w:val="27"/>
                <w:lang w:val="ru-RU"/>
              </w:rPr>
              <w:t xml:space="preserve"> </w:t>
            </w:r>
            <w:r w:rsidR="000F232E" w:rsidRPr="00BA2739">
              <w:rPr>
                <w:sz w:val="27"/>
                <w:szCs w:val="27"/>
              </w:rPr>
              <w:t>якість життя</w:t>
            </w:r>
          </w:p>
        </w:tc>
      </w:tr>
    </w:tbl>
    <w:p w:rsidR="000F1103" w:rsidRPr="00347B4C" w:rsidRDefault="000F1103" w:rsidP="00347B4C">
      <w:pPr>
        <w:spacing w:after="0" w:line="240" w:lineRule="auto"/>
        <w:jc w:val="both"/>
        <w:rPr>
          <w:rFonts w:ascii="Times New Roman" w:hAnsi="Times New Roman"/>
          <w:b/>
          <w:sz w:val="28"/>
          <w:szCs w:val="28"/>
        </w:rPr>
      </w:pPr>
    </w:p>
    <w:sectPr w:rsidR="000F1103" w:rsidRPr="00347B4C" w:rsidSect="002460F0">
      <w:headerReference w:type="default" r:id="rId15"/>
      <w:pgSz w:w="11906" w:h="16838"/>
      <w:pgMar w:top="1134" w:right="1134" w:bottom="1134" w:left="1134" w:header="851"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95" w:rsidRDefault="00697C95" w:rsidP="007A362A">
      <w:pPr>
        <w:spacing w:after="0" w:line="240" w:lineRule="auto"/>
      </w:pPr>
      <w:r>
        <w:separator/>
      </w:r>
    </w:p>
  </w:endnote>
  <w:endnote w:type="continuationSeparator" w:id="0">
    <w:p w:rsidR="00697C95" w:rsidRDefault="00697C95" w:rsidP="007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95" w:rsidRDefault="00697C95" w:rsidP="007A362A">
      <w:pPr>
        <w:spacing w:after="0" w:line="240" w:lineRule="auto"/>
      </w:pPr>
      <w:r>
        <w:separator/>
      </w:r>
    </w:p>
  </w:footnote>
  <w:footnote w:type="continuationSeparator" w:id="0">
    <w:p w:rsidR="00697C95" w:rsidRDefault="00697C95" w:rsidP="007A3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B0" w:rsidRDefault="005822B0" w:rsidP="006233F9">
    <w:pPr>
      <w:pStyle w:val="af1"/>
      <w:jc w:val="center"/>
    </w:pPr>
    <w:r>
      <w:fldChar w:fldCharType="begin"/>
    </w:r>
    <w:r>
      <w:instrText>PAGE   \* MERGEFORMAT</w:instrText>
    </w:r>
    <w:r>
      <w:fldChar w:fldCharType="separate"/>
    </w:r>
    <w:r w:rsidRPr="00B54E3E">
      <w:rPr>
        <w:noProof/>
        <w:lang w:val="ru-RU"/>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B0" w:rsidRDefault="005822B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B0" w:rsidRPr="00386014" w:rsidRDefault="005822B0" w:rsidP="008602FB">
    <w:pPr>
      <w:pStyle w:val="af1"/>
      <w:spacing w:after="240"/>
      <w:jc w:val="center"/>
      <w:rPr>
        <w:rFonts w:ascii="Times New Roman" w:hAnsi="Times New Roman"/>
        <w:sz w:val="24"/>
        <w:szCs w:val="24"/>
      </w:rPr>
    </w:pPr>
    <w:r w:rsidRPr="00386014">
      <w:rPr>
        <w:rFonts w:ascii="Times New Roman" w:hAnsi="Times New Roman"/>
        <w:sz w:val="24"/>
        <w:szCs w:val="24"/>
      </w:rPr>
      <w:fldChar w:fldCharType="begin"/>
    </w:r>
    <w:r w:rsidRPr="00386014">
      <w:rPr>
        <w:rFonts w:ascii="Times New Roman" w:hAnsi="Times New Roman"/>
        <w:sz w:val="24"/>
        <w:szCs w:val="24"/>
      </w:rPr>
      <w:instrText>PAGE   \* MERGEFORMAT</w:instrText>
    </w:r>
    <w:r w:rsidRPr="00386014">
      <w:rPr>
        <w:rFonts w:ascii="Times New Roman" w:hAnsi="Times New Roman"/>
        <w:sz w:val="24"/>
        <w:szCs w:val="24"/>
      </w:rPr>
      <w:fldChar w:fldCharType="separate"/>
    </w:r>
    <w:r w:rsidR="009A442D" w:rsidRPr="009A442D">
      <w:rPr>
        <w:rFonts w:ascii="Times New Roman" w:hAnsi="Times New Roman"/>
        <w:noProof/>
        <w:sz w:val="24"/>
        <w:szCs w:val="24"/>
        <w:lang w:val="ru-RU"/>
      </w:rPr>
      <w:t>40</w:t>
    </w:r>
    <w:r w:rsidRPr="0038601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282"/>
    <w:multiLevelType w:val="hybridMultilevel"/>
    <w:tmpl w:val="F7948A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5C75948"/>
    <w:multiLevelType w:val="hybridMultilevel"/>
    <w:tmpl w:val="FFB6B6A6"/>
    <w:lvl w:ilvl="0" w:tplc="3CC25DCE">
      <w:numFmt w:val="bullet"/>
      <w:lvlText w:val="—"/>
      <w:lvlJc w:val="left"/>
      <w:pPr>
        <w:ind w:left="386" w:hanging="360"/>
      </w:pPr>
      <w:rPr>
        <w:rFonts w:ascii="Times New Roman" w:eastAsia="Times New Roman" w:hAnsi="Times New Roman" w:hint="default"/>
      </w:rPr>
    </w:lvl>
    <w:lvl w:ilvl="1" w:tplc="04190003" w:tentative="1">
      <w:start w:val="1"/>
      <w:numFmt w:val="bullet"/>
      <w:lvlText w:val="o"/>
      <w:lvlJc w:val="left"/>
      <w:pPr>
        <w:ind w:left="1106" w:hanging="360"/>
      </w:pPr>
      <w:rPr>
        <w:rFonts w:ascii="Courier New" w:hAnsi="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hint="default"/>
      </w:rPr>
    </w:lvl>
    <w:lvl w:ilvl="8" w:tplc="04190005" w:tentative="1">
      <w:start w:val="1"/>
      <w:numFmt w:val="bullet"/>
      <w:lvlText w:val=""/>
      <w:lvlJc w:val="left"/>
      <w:pPr>
        <w:ind w:left="6146" w:hanging="360"/>
      </w:pPr>
      <w:rPr>
        <w:rFonts w:ascii="Wingdings" w:hAnsi="Wingdings" w:hint="default"/>
      </w:rPr>
    </w:lvl>
  </w:abstractNum>
  <w:abstractNum w:abstractNumId="2" w15:restartNumberingAfterBreak="0">
    <w:nsid w:val="0ED0025D"/>
    <w:multiLevelType w:val="hybridMultilevel"/>
    <w:tmpl w:val="91DC20D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7901831"/>
    <w:multiLevelType w:val="hybridMultilevel"/>
    <w:tmpl w:val="ACD04AF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1E217AA"/>
    <w:multiLevelType w:val="hybridMultilevel"/>
    <w:tmpl w:val="447461B6"/>
    <w:lvl w:ilvl="0" w:tplc="02666B7E">
      <w:start w:val="19"/>
      <w:numFmt w:val="bullet"/>
      <w:lvlText w:val="—"/>
      <w:lvlJc w:val="left"/>
      <w:pPr>
        <w:ind w:left="434" w:hanging="360"/>
      </w:pPr>
      <w:rPr>
        <w:rFonts w:ascii="Arial" w:eastAsia="Times New Roman" w:hAnsi="Arial" w:hint="default"/>
        <w:color w:val="222222"/>
        <w:sz w:val="20"/>
      </w:rPr>
    </w:lvl>
    <w:lvl w:ilvl="1" w:tplc="04190003" w:tentative="1">
      <w:start w:val="1"/>
      <w:numFmt w:val="bullet"/>
      <w:lvlText w:val="o"/>
      <w:lvlJc w:val="left"/>
      <w:pPr>
        <w:ind w:left="1154" w:hanging="360"/>
      </w:pPr>
      <w:rPr>
        <w:rFonts w:ascii="Courier New" w:hAnsi="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5" w15:restartNumberingAfterBreak="0">
    <w:nsid w:val="32C858F4"/>
    <w:multiLevelType w:val="hybridMultilevel"/>
    <w:tmpl w:val="244E0E5A"/>
    <w:lvl w:ilvl="0" w:tplc="7C180266">
      <w:start w:val="1"/>
      <w:numFmt w:val="decimal"/>
      <w:lvlText w:val="%1."/>
      <w:lvlJc w:val="left"/>
      <w:pPr>
        <w:ind w:left="644" w:hanging="360"/>
      </w:pPr>
      <w:rPr>
        <w:rFonts w:cs="Times New Roman"/>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37631303"/>
    <w:multiLevelType w:val="hybridMultilevel"/>
    <w:tmpl w:val="0FC441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7E444A"/>
    <w:multiLevelType w:val="hybridMultilevel"/>
    <w:tmpl w:val="0E0E9B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8F243A"/>
    <w:multiLevelType w:val="hybridMultilevel"/>
    <w:tmpl w:val="028C03AA"/>
    <w:lvl w:ilvl="0" w:tplc="0419000F">
      <w:start w:val="1"/>
      <w:numFmt w:val="decimal"/>
      <w:lvlText w:val="%1."/>
      <w:lvlJc w:val="left"/>
      <w:pPr>
        <w:ind w:left="999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45D54B5"/>
    <w:multiLevelType w:val="hybridMultilevel"/>
    <w:tmpl w:val="BBBA3DA6"/>
    <w:lvl w:ilvl="0" w:tplc="2B54B6D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0C77DD"/>
    <w:multiLevelType w:val="hybridMultilevel"/>
    <w:tmpl w:val="1F6CF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E67133"/>
    <w:multiLevelType w:val="hybridMultilevel"/>
    <w:tmpl w:val="6B82F23C"/>
    <w:lvl w:ilvl="0" w:tplc="B094C814">
      <w:start w:val="1"/>
      <w:numFmt w:val="decimal"/>
      <w:lvlText w:val="%1."/>
      <w:lvlJc w:val="left"/>
      <w:pPr>
        <w:ind w:left="644" w:hanging="360"/>
      </w:pPr>
      <w:rPr>
        <w:rFonts w:cs="Times New Roman"/>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C616A06"/>
    <w:multiLevelType w:val="hybridMultilevel"/>
    <w:tmpl w:val="83B067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515D31B4"/>
    <w:multiLevelType w:val="hybridMultilevel"/>
    <w:tmpl w:val="13FE7B8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5880573"/>
    <w:multiLevelType w:val="hybridMultilevel"/>
    <w:tmpl w:val="D944B24C"/>
    <w:lvl w:ilvl="0" w:tplc="679E8586">
      <w:start w:val="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34CCA"/>
    <w:multiLevelType w:val="hybridMultilevel"/>
    <w:tmpl w:val="2834DE68"/>
    <w:lvl w:ilvl="0" w:tplc="C7860932">
      <w:start w:val="1"/>
      <w:numFmt w:val="decimal"/>
      <w:pStyle w:val="atextSpisLit"/>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6" w15:restartNumberingAfterBreak="0">
    <w:nsid w:val="5DC64B37"/>
    <w:multiLevelType w:val="hybridMultilevel"/>
    <w:tmpl w:val="72AA53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62373139"/>
    <w:multiLevelType w:val="hybridMultilevel"/>
    <w:tmpl w:val="4F4221DE"/>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64363534"/>
    <w:multiLevelType w:val="hybridMultilevel"/>
    <w:tmpl w:val="174882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66587D71"/>
    <w:multiLevelType w:val="hybridMultilevel"/>
    <w:tmpl w:val="6ABC4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3B7B38"/>
    <w:multiLevelType w:val="hybridMultilevel"/>
    <w:tmpl w:val="F1BEBDA0"/>
    <w:lvl w:ilvl="0" w:tplc="F5428722">
      <w:start w:val="1"/>
      <w:numFmt w:val="decimal"/>
      <w:lvlText w:val="%1."/>
      <w:lvlJc w:val="left"/>
      <w:pPr>
        <w:ind w:left="644"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C76278C"/>
    <w:multiLevelType w:val="hybridMultilevel"/>
    <w:tmpl w:val="028C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73B000F9"/>
    <w:multiLevelType w:val="hybridMultilevel"/>
    <w:tmpl w:val="6AE66850"/>
    <w:lvl w:ilvl="0" w:tplc="32100F8C">
      <w:start w:val="1"/>
      <w:numFmt w:val="decimal"/>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215"/>
        </w:tabs>
        <w:ind w:left="1215" w:hanging="360"/>
      </w:pPr>
      <w:rPr>
        <w:rFonts w:cs="Times New Roman"/>
      </w:rPr>
    </w:lvl>
    <w:lvl w:ilvl="2" w:tplc="0419001B" w:tentative="1">
      <w:start w:val="1"/>
      <w:numFmt w:val="lowerRoman"/>
      <w:lvlText w:val="%3."/>
      <w:lvlJc w:val="right"/>
      <w:pPr>
        <w:tabs>
          <w:tab w:val="num" w:pos="1935"/>
        </w:tabs>
        <w:ind w:left="1935" w:hanging="180"/>
      </w:pPr>
      <w:rPr>
        <w:rFonts w:cs="Times New Roman"/>
      </w:rPr>
    </w:lvl>
    <w:lvl w:ilvl="3" w:tplc="0419000F" w:tentative="1">
      <w:start w:val="1"/>
      <w:numFmt w:val="decimal"/>
      <w:lvlText w:val="%4."/>
      <w:lvlJc w:val="left"/>
      <w:pPr>
        <w:tabs>
          <w:tab w:val="num" w:pos="2655"/>
        </w:tabs>
        <w:ind w:left="2655" w:hanging="360"/>
      </w:pPr>
      <w:rPr>
        <w:rFonts w:cs="Times New Roman"/>
      </w:rPr>
    </w:lvl>
    <w:lvl w:ilvl="4" w:tplc="04190019" w:tentative="1">
      <w:start w:val="1"/>
      <w:numFmt w:val="lowerLetter"/>
      <w:lvlText w:val="%5."/>
      <w:lvlJc w:val="left"/>
      <w:pPr>
        <w:tabs>
          <w:tab w:val="num" w:pos="3375"/>
        </w:tabs>
        <w:ind w:left="3375" w:hanging="360"/>
      </w:pPr>
      <w:rPr>
        <w:rFonts w:cs="Times New Roman"/>
      </w:rPr>
    </w:lvl>
    <w:lvl w:ilvl="5" w:tplc="0419001B" w:tentative="1">
      <w:start w:val="1"/>
      <w:numFmt w:val="lowerRoman"/>
      <w:lvlText w:val="%6."/>
      <w:lvlJc w:val="right"/>
      <w:pPr>
        <w:tabs>
          <w:tab w:val="num" w:pos="4095"/>
        </w:tabs>
        <w:ind w:left="4095" w:hanging="180"/>
      </w:pPr>
      <w:rPr>
        <w:rFonts w:cs="Times New Roman"/>
      </w:rPr>
    </w:lvl>
    <w:lvl w:ilvl="6" w:tplc="0419000F" w:tentative="1">
      <w:start w:val="1"/>
      <w:numFmt w:val="decimal"/>
      <w:lvlText w:val="%7."/>
      <w:lvlJc w:val="left"/>
      <w:pPr>
        <w:tabs>
          <w:tab w:val="num" w:pos="4815"/>
        </w:tabs>
        <w:ind w:left="4815" w:hanging="360"/>
      </w:pPr>
      <w:rPr>
        <w:rFonts w:cs="Times New Roman"/>
      </w:rPr>
    </w:lvl>
    <w:lvl w:ilvl="7" w:tplc="04190019" w:tentative="1">
      <w:start w:val="1"/>
      <w:numFmt w:val="lowerLetter"/>
      <w:lvlText w:val="%8."/>
      <w:lvlJc w:val="left"/>
      <w:pPr>
        <w:tabs>
          <w:tab w:val="num" w:pos="5535"/>
        </w:tabs>
        <w:ind w:left="5535" w:hanging="360"/>
      </w:pPr>
      <w:rPr>
        <w:rFonts w:cs="Times New Roman"/>
      </w:rPr>
    </w:lvl>
    <w:lvl w:ilvl="8" w:tplc="0419001B" w:tentative="1">
      <w:start w:val="1"/>
      <w:numFmt w:val="lowerRoman"/>
      <w:lvlText w:val="%9."/>
      <w:lvlJc w:val="right"/>
      <w:pPr>
        <w:tabs>
          <w:tab w:val="num" w:pos="6255"/>
        </w:tabs>
        <w:ind w:left="6255" w:hanging="180"/>
      </w:pPr>
      <w:rPr>
        <w:rFonts w:cs="Times New Roman"/>
      </w:rPr>
    </w:lvl>
  </w:abstractNum>
  <w:num w:numId="1">
    <w:abstractNumId w:val="10"/>
  </w:num>
  <w:num w:numId="2">
    <w:abstractNumId w:val="12"/>
  </w:num>
  <w:num w:numId="3">
    <w:abstractNumId w:val="22"/>
  </w:num>
  <w:num w:numId="4">
    <w:abstractNumId w:val="16"/>
  </w:num>
  <w:num w:numId="5">
    <w:abstractNumId w:val="17"/>
  </w:num>
  <w:num w:numId="6">
    <w:abstractNumId w:val="20"/>
  </w:num>
  <w:num w:numId="7">
    <w:abstractNumId w:val="6"/>
  </w:num>
  <w:num w:numId="8">
    <w:abstractNumId w:val="0"/>
  </w:num>
  <w:num w:numId="9">
    <w:abstractNumId w:val="3"/>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4"/>
  </w:num>
  <w:num w:numId="15">
    <w:abstractNumId w:val="5"/>
  </w:num>
  <w:num w:numId="16">
    <w:abstractNumId w:val="7"/>
  </w:num>
  <w:num w:numId="17">
    <w:abstractNumId w:val="18"/>
  </w:num>
  <w:num w:numId="18">
    <w:abstractNumId w:val="21"/>
  </w:num>
  <w:num w:numId="19">
    <w:abstractNumId w:val="9"/>
  </w:num>
  <w:num w:numId="20">
    <w:abstractNumId w:val="15"/>
  </w:num>
  <w:num w:numId="21">
    <w:abstractNumId w:val="2"/>
  </w:num>
  <w:num w:numId="22">
    <w:abstractNumId w:val="8"/>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72"/>
    <w:rsid w:val="000030CE"/>
    <w:rsid w:val="00003506"/>
    <w:rsid w:val="000060AE"/>
    <w:rsid w:val="00006344"/>
    <w:rsid w:val="00007552"/>
    <w:rsid w:val="00010E59"/>
    <w:rsid w:val="000116F2"/>
    <w:rsid w:val="000126C8"/>
    <w:rsid w:val="00014489"/>
    <w:rsid w:val="00014F48"/>
    <w:rsid w:val="00015229"/>
    <w:rsid w:val="00020309"/>
    <w:rsid w:val="00020471"/>
    <w:rsid w:val="000212E1"/>
    <w:rsid w:val="00021D36"/>
    <w:rsid w:val="0002377D"/>
    <w:rsid w:val="0002439A"/>
    <w:rsid w:val="000251B9"/>
    <w:rsid w:val="00027D67"/>
    <w:rsid w:val="00031F3E"/>
    <w:rsid w:val="00033656"/>
    <w:rsid w:val="00035A1B"/>
    <w:rsid w:val="000366A6"/>
    <w:rsid w:val="00036D90"/>
    <w:rsid w:val="0003765C"/>
    <w:rsid w:val="00037BE6"/>
    <w:rsid w:val="00041F70"/>
    <w:rsid w:val="00042265"/>
    <w:rsid w:val="00042739"/>
    <w:rsid w:val="00043529"/>
    <w:rsid w:val="00044605"/>
    <w:rsid w:val="00044E89"/>
    <w:rsid w:val="0004504E"/>
    <w:rsid w:val="0004613E"/>
    <w:rsid w:val="00046841"/>
    <w:rsid w:val="00047242"/>
    <w:rsid w:val="00047BF2"/>
    <w:rsid w:val="00047C73"/>
    <w:rsid w:val="00047CCD"/>
    <w:rsid w:val="000513DF"/>
    <w:rsid w:val="00055167"/>
    <w:rsid w:val="00055BF3"/>
    <w:rsid w:val="00057F58"/>
    <w:rsid w:val="00060B33"/>
    <w:rsid w:val="000623EC"/>
    <w:rsid w:val="00062C5E"/>
    <w:rsid w:val="00063D02"/>
    <w:rsid w:val="00064964"/>
    <w:rsid w:val="00064F81"/>
    <w:rsid w:val="00065473"/>
    <w:rsid w:val="00066F40"/>
    <w:rsid w:val="00070366"/>
    <w:rsid w:val="000704AD"/>
    <w:rsid w:val="00071BB8"/>
    <w:rsid w:val="000721D0"/>
    <w:rsid w:val="00075202"/>
    <w:rsid w:val="00076675"/>
    <w:rsid w:val="00076C82"/>
    <w:rsid w:val="00081AC3"/>
    <w:rsid w:val="000822FE"/>
    <w:rsid w:val="000824C5"/>
    <w:rsid w:val="00082977"/>
    <w:rsid w:val="00082A2B"/>
    <w:rsid w:val="000838AD"/>
    <w:rsid w:val="000843C6"/>
    <w:rsid w:val="00084D16"/>
    <w:rsid w:val="0008773D"/>
    <w:rsid w:val="00091094"/>
    <w:rsid w:val="000921C4"/>
    <w:rsid w:val="000933FB"/>
    <w:rsid w:val="00094E83"/>
    <w:rsid w:val="000965A9"/>
    <w:rsid w:val="000A07AE"/>
    <w:rsid w:val="000A0F79"/>
    <w:rsid w:val="000A170A"/>
    <w:rsid w:val="000A2376"/>
    <w:rsid w:val="000A4936"/>
    <w:rsid w:val="000A558D"/>
    <w:rsid w:val="000A5ABA"/>
    <w:rsid w:val="000A7A99"/>
    <w:rsid w:val="000B18A0"/>
    <w:rsid w:val="000B2EDD"/>
    <w:rsid w:val="000B3BC8"/>
    <w:rsid w:val="000B5FAA"/>
    <w:rsid w:val="000B6739"/>
    <w:rsid w:val="000B77BB"/>
    <w:rsid w:val="000B7C42"/>
    <w:rsid w:val="000C0A4C"/>
    <w:rsid w:val="000C0A84"/>
    <w:rsid w:val="000C17A8"/>
    <w:rsid w:val="000C2CD8"/>
    <w:rsid w:val="000C3049"/>
    <w:rsid w:val="000C3F0D"/>
    <w:rsid w:val="000C6261"/>
    <w:rsid w:val="000D04DD"/>
    <w:rsid w:val="000D19A3"/>
    <w:rsid w:val="000D2784"/>
    <w:rsid w:val="000D300E"/>
    <w:rsid w:val="000E0BE1"/>
    <w:rsid w:val="000E3501"/>
    <w:rsid w:val="000E69EB"/>
    <w:rsid w:val="000E6C31"/>
    <w:rsid w:val="000E7B73"/>
    <w:rsid w:val="000E7F96"/>
    <w:rsid w:val="000F0625"/>
    <w:rsid w:val="000F1103"/>
    <w:rsid w:val="000F11D8"/>
    <w:rsid w:val="000F232E"/>
    <w:rsid w:val="000F3438"/>
    <w:rsid w:val="000F4039"/>
    <w:rsid w:val="000F48E5"/>
    <w:rsid w:val="000F4B88"/>
    <w:rsid w:val="000F738E"/>
    <w:rsid w:val="0010201B"/>
    <w:rsid w:val="00104590"/>
    <w:rsid w:val="001050E6"/>
    <w:rsid w:val="00106806"/>
    <w:rsid w:val="00106FE1"/>
    <w:rsid w:val="001076DE"/>
    <w:rsid w:val="00111274"/>
    <w:rsid w:val="00111299"/>
    <w:rsid w:val="00111362"/>
    <w:rsid w:val="00114042"/>
    <w:rsid w:val="0011499F"/>
    <w:rsid w:val="001158A6"/>
    <w:rsid w:val="001159F9"/>
    <w:rsid w:val="00117BA5"/>
    <w:rsid w:val="0012042D"/>
    <w:rsid w:val="001204FF"/>
    <w:rsid w:val="00120502"/>
    <w:rsid w:val="00121862"/>
    <w:rsid w:val="00122151"/>
    <w:rsid w:val="0012473B"/>
    <w:rsid w:val="00124F3E"/>
    <w:rsid w:val="00125828"/>
    <w:rsid w:val="001266BB"/>
    <w:rsid w:val="00127B39"/>
    <w:rsid w:val="00127C80"/>
    <w:rsid w:val="00127FB4"/>
    <w:rsid w:val="00127FBC"/>
    <w:rsid w:val="00130CC1"/>
    <w:rsid w:val="00131B96"/>
    <w:rsid w:val="00131F8E"/>
    <w:rsid w:val="00134060"/>
    <w:rsid w:val="00134180"/>
    <w:rsid w:val="00134E62"/>
    <w:rsid w:val="001358B0"/>
    <w:rsid w:val="0013622E"/>
    <w:rsid w:val="00136E45"/>
    <w:rsid w:val="0013721D"/>
    <w:rsid w:val="00137743"/>
    <w:rsid w:val="0014027E"/>
    <w:rsid w:val="001413C8"/>
    <w:rsid w:val="0014141C"/>
    <w:rsid w:val="00141B0B"/>
    <w:rsid w:val="001420EF"/>
    <w:rsid w:val="00142ED7"/>
    <w:rsid w:val="00143066"/>
    <w:rsid w:val="00143473"/>
    <w:rsid w:val="00143A50"/>
    <w:rsid w:val="00143DD1"/>
    <w:rsid w:val="0014405F"/>
    <w:rsid w:val="00147BF7"/>
    <w:rsid w:val="001500C8"/>
    <w:rsid w:val="001511D0"/>
    <w:rsid w:val="0015178A"/>
    <w:rsid w:val="001523E2"/>
    <w:rsid w:val="001526BF"/>
    <w:rsid w:val="00153E2B"/>
    <w:rsid w:val="0015406A"/>
    <w:rsid w:val="0015648B"/>
    <w:rsid w:val="0015700B"/>
    <w:rsid w:val="001575B3"/>
    <w:rsid w:val="00160344"/>
    <w:rsid w:val="00160AB9"/>
    <w:rsid w:val="001622EA"/>
    <w:rsid w:val="00162314"/>
    <w:rsid w:val="00162576"/>
    <w:rsid w:val="00162E68"/>
    <w:rsid w:val="00162FEF"/>
    <w:rsid w:val="0016544A"/>
    <w:rsid w:val="00166D91"/>
    <w:rsid w:val="00167EAA"/>
    <w:rsid w:val="00170BEC"/>
    <w:rsid w:val="00170F12"/>
    <w:rsid w:val="001717ED"/>
    <w:rsid w:val="00171BED"/>
    <w:rsid w:val="001734C3"/>
    <w:rsid w:val="0017363F"/>
    <w:rsid w:val="001768D5"/>
    <w:rsid w:val="001769A7"/>
    <w:rsid w:val="00177761"/>
    <w:rsid w:val="00177919"/>
    <w:rsid w:val="00177D2C"/>
    <w:rsid w:val="00181878"/>
    <w:rsid w:val="00183DA7"/>
    <w:rsid w:val="00183FA8"/>
    <w:rsid w:val="0018411A"/>
    <w:rsid w:val="00184CB6"/>
    <w:rsid w:val="0018595E"/>
    <w:rsid w:val="001867AE"/>
    <w:rsid w:val="00190C54"/>
    <w:rsid w:val="00190E1A"/>
    <w:rsid w:val="00191BB1"/>
    <w:rsid w:val="001923DF"/>
    <w:rsid w:val="00192662"/>
    <w:rsid w:val="00194A9F"/>
    <w:rsid w:val="001A1A8F"/>
    <w:rsid w:val="001A1B01"/>
    <w:rsid w:val="001A23CD"/>
    <w:rsid w:val="001A2E95"/>
    <w:rsid w:val="001A5130"/>
    <w:rsid w:val="001A58C5"/>
    <w:rsid w:val="001A6494"/>
    <w:rsid w:val="001A6DC8"/>
    <w:rsid w:val="001B0CF2"/>
    <w:rsid w:val="001B0EEA"/>
    <w:rsid w:val="001B1C5E"/>
    <w:rsid w:val="001B2ABD"/>
    <w:rsid w:val="001B33F8"/>
    <w:rsid w:val="001B4D2C"/>
    <w:rsid w:val="001B5416"/>
    <w:rsid w:val="001B54E9"/>
    <w:rsid w:val="001B5AC6"/>
    <w:rsid w:val="001C0FF2"/>
    <w:rsid w:val="001C1271"/>
    <w:rsid w:val="001C1CF6"/>
    <w:rsid w:val="001C2E20"/>
    <w:rsid w:val="001C35F0"/>
    <w:rsid w:val="001C3D0F"/>
    <w:rsid w:val="001C3DD4"/>
    <w:rsid w:val="001D0473"/>
    <w:rsid w:val="001D05E6"/>
    <w:rsid w:val="001D0E4C"/>
    <w:rsid w:val="001D1534"/>
    <w:rsid w:val="001D163C"/>
    <w:rsid w:val="001D19E8"/>
    <w:rsid w:val="001D1AF5"/>
    <w:rsid w:val="001D1C20"/>
    <w:rsid w:val="001D2DB5"/>
    <w:rsid w:val="001D307D"/>
    <w:rsid w:val="001D37F1"/>
    <w:rsid w:val="001E0B0C"/>
    <w:rsid w:val="001E12FE"/>
    <w:rsid w:val="001E2267"/>
    <w:rsid w:val="001E3630"/>
    <w:rsid w:val="001E47E4"/>
    <w:rsid w:val="001E493E"/>
    <w:rsid w:val="001E505A"/>
    <w:rsid w:val="001E5754"/>
    <w:rsid w:val="001E641F"/>
    <w:rsid w:val="001E7EE5"/>
    <w:rsid w:val="001F059A"/>
    <w:rsid w:val="001F1C95"/>
    <w:rsid w:val="001F3BED"/>
    <w:rsid w:val="001F41FE"/>
    <w:rsid w:val="001F5586"/>
    <w:rsid w:val="002009E6"/>
    <w:rsid w:val="002016C3"/>
    <w:rsid w:val="00202D71"/>
    <w:rsid w:val="002039F7"/>
    <w:rsid w:val="002059B5"/>
    <w:rsid w:val="0020662D"/>
    <w:rsid w:val="00207048"/>
    <w:rsid w:val="002071D5"/>
    <w:rsid w:val="00207A6F"/>
    <w:rsid w:val="0021066B"/>
    <w:rsid w:val="00211348"/>
    <w:rsid w:val="00211741"/>
    <w:rsid w:val="00215391"/>
    <w:rsid w:val="00215416"/>
    <w:rsid w:val="00216473"/>
    <w:rsid w:val="00216D40"/>
    <w:rsid w:val="00220BEF"/>
    <w:rsid w:val="00221586"/>
    <w:rsid w:val="0022292B"/>
    <w:rsid w:val="0022453B"/>
    <w:rsid w:val="00224B90"/>
    <w:rsid w:val="00224CA3"/>
    <w:rsid w:val="00224F8E"/>
    <w:rsid w:val="00227E2A"/>
    <w:rsid w:val="0023205B"/>
    <w:rsid w:val="00232C2F"/>
    <w:rsid w:val="0023309A"/>
    <w:rsid w:val="0024033D"/>
    <w:rsid w:val="00240DD6"/>
    <w:rsid w:val="00241479"/>
    <w:rsid w:val="00242062"/>
    <w:rsid w:val="00242AFD"/>
    <w:rsid w:val="00242E92"/>
    <w:rsid w:val="00242ED8"/>
    <w:rsid w:val="002433E5"/>
    <w:rsid w:val="0024340B"/>
    <w:rsid w:val="0024362E"/>
    <w:rsid w:val="00243680"/>
    <w:rsid w:val="0024372A"/>
    <w:rsid w:val="00244193"/>
    <w:rsid w:val="002447FE"/>
    <w:rsid w:val="002456F5"/>
    <w:rsid w:val="002460F0"/>
    <w:rsid w:val="0024640B"/>
    <w:rsid w:val="002468FE"/>
    <w:rsid w:val="00246BAB"/>
    <w:rsid w:val="0024776F"/>
    <w:rsid w:val="00247AEC"/>
    <w:rsid w:val="00251105"/>
    <w:rsid w:val="00251A4E"/>
    <w:rsid w:val="002527D0"/>
    <w:rsid w:val="002535B1"/>
    <w:rsid w:val="0025397A"/>
    <w:rsid w:val="002545A6"/>
    <w:rsid w:val="00254BDF"/>
    <w:rsid w:val="00257F8D"/>
    <w:rsid w:val="0026139A"/>
    <w:rsid w:val="00262562"/>
    <w:rsid w:val="00262C6D"/>
    <w:rsid w:val="00262E10"/>
    <w:rsid w:val="0026322D"/>
    <w:rsid w:val="002637CE"/>
    <w:rsid w:val="002637DB"/>
    <w:rsid w:val="00263A4D"/>
    <w:rsid w:val="002641CE"/>
    <w:rsid w:val="00264FB2"/>
    <w:rsid w:val="00265DD7"/>
    <w:rsid w:val="00266884"/>
    <w:rsid w:val="00266C5F"/>
    <w:rsid w:val="00267F6E"/>
    <w:rsid w:val="002717C1"/>
    <w:rsid w:val="00275999"/>
    <w:rsid w:val="00277454"/>
    <w:rsid w:val="002818F8"/>
    <w:rsid w:val="00282D26"/>
    <w:rsid w:val="00282D3A"/>
    <w:rsid w:val="00284572"/>
    <w:rsid w:val="00284C03"/>
    <w:rsid w:val="00284D0F"/>
    <w:rsid w:val="00285A26"/>
    <w:rsid w:val="002862D5"/>
    <w:rsid w:val="00286D3A"/>
    <w:rsid w:val="00287006"/>
    <w:rsid w:val="00291F51"/>
    <w:rsid w:val="002925FA"/>
    <w:rsid w:val="00292FC7"/>
    <w:rsid w:val="0029334C"/>
    <w:rsid w:val="00294E45"/>
    <w:rsid w:val="00295D92"/>
    <w:rsid w:val="00296101"/>
    <w:rsid w:val="0029630B"/>
    <w:rsid w:val="00296AFB"/>
    <w:rsid w:val="00296BC9"/>
    <w:rsid w:val="00297422"/>
    <w:rsid w:val="002A0D2F"/>
    <w:rsid w:val="002A1AE8"/>
    <w:rsid w:val="002A4FDD"/>
    <w:rsid w:val="002A7626"/>
    <w:rsid w:val="002B0C70"/>
    <w:rsid w:val="002B2D78"/>
    <w:rsid w:val="002B396B"/>
    <w:rsid w:val="002B483E"/>
    <w:rsid w:val="002B5930"/>
    <w:rsid w:val="002B5DEF"/>
    <w:rsid w:val="002C01ED"/>
    <w:rsid w:val="002C02C0"/>
    <w:rsid w:val="002C19A2"/>
    <w:rsid w:val="002C3D91"/>
    <w:rsid w:val="002C3DF4"/>
    <w:rsid w:val="002C6BAC"/>
    <w:rsid w:val="002C770F"/>
    <w:rsid w:val="002D0593"/>
    <w:rsid w:val="002D1028"/>
    <w:rsid w:val="002D171E"/>
    <w:rsid w:val="002D245B"/>
    <w:rsid w:val="002D2C64"/>
    <w:rsid w:val="002D37F1"/>
    <w:rsid w:val="002D422D"/>
    <w:rsid w:val="002D42F4"/>
    <w:rsid w:val="002D4A34"/>
    <w:rsid w:val="002D4CBB"/>
    <w:rsid w:val="002D767E"/>
    <w:rsid w:val="002D7715"/>
    <w:rsid w:val="002D78C4"/>
    <w:rsid w:val="002E13DC"/>
    <w:rsid w:val="002E1F25"/>
    <w:rsid w:val="002E3347"/>
    <w:rsid w:val="002E4048"/>
    <w:rsid w:val="002E47DA"/>
    <w:rsid w:val="002E67A3"/>
    <w:rsid w:val="002E709E"/>
    <w:rsid w:val="002E7224"/>
    <w:rsid w:val="002E72C5"/>
    <w:rsid w:val="002E7474"/>
    <w:rsid w:val="002E7E77"/>
    <w:rsid w:val="002F26B7"/>
    <w:rsid w:val="002F319F"/>
    <w:rsid w:val="002F40E1"/>
    <w:rsid w:val="002F4717"/>
    <w:rsid w:val="002F4CEE"/>
    <w:rsid w:val="002F4FDB"/>
    <w:rsid w:val="002F57BF"/>
    <w:rsid w:val="00300D4A"/>
    <w:rsid w:val="00300E51"/>
    <w:rsid w:val="00305EFC"/>
    <w:rsid w:val="003125B6"/>
    <w:rsid w:val="003131EB"/>
    <w:rsid w:val="00314BB2"/>
    <w:rsid w:val="00315CB5"/>
    <w:rsid w:val="0031717F"/>
    <w:rsid w:val="00320560"/>
    <w:rsid w:val="00320897"/>
    <w:rsid w:val="00322086"/>
    <w:rsid w:val="00322CBE"/>
    <w:rsid w:val="00323089"/>
    <w:rsid w:val="00324077"/>
    <w:rsid w:val="0032589F"/>
    <w:rsid w:val="00326127"/>
    <w:rsid w:val="00326818"/>
    <w:rsid w:val="00331B70"/>
    <w:rsid w:val="00331B9A"/>
    <w:rsid w:val="003338A5"/>
    <w:rsid w:val="00333A51"/>
    <w:rsid w:val="00334A6F"/>
    <w:rsid w:val="00334D03"/>
    <w:rsid w:val="00334DBA"/>
    <w:rsid w:val="0033545D"/>
    <w:rsid w:val="0033569F"/>
    <w:rsid w:val="00335D5A"/>
    <w:rsid w:val="0033652E"/>
    <w:rsid w:val="00336AA9"/>
    <w:rsid w:val="00337AA5"/>
    <w:rsid w:val="00340797"/>
    <w:rsid w:val="00342135"/>
    <w:rsid w:val="00342FEB"/>
    <w:rsid w:val="00344C88"/>
    <w:rsid w:val="00345876"/>
    <w:rsid w:val="00346FC3"/>
    <w:rsid w:val="00347B4C"/>
    <w:rsid w:val="003507F7"/>
    <w:rsid w:val="00351533"/>
    <w:rsid w:val="00351612"/>
    <w:rsid w:val="0035239A"/>
    <w:rsid w:val="00352F45"/>
    <w:rsid w:val="00355A86"/>
    <w:rsid w:val="00356925"/>
    <w:rsid w:val="00360603"/>
    <w:rsid w:val="003610F6"/>
    <w:rsid w:val="00361BC6"/>
    <w:rsid w:val="003633F8"/>
    <w:rsid w:val="00365CDF"/>
    <w:rsid w:val="00365E02"/>
    <w:rsid w:val="00365F9F"/>
    <w:rsid w:val="00366B12"/>
    <w:rsid w:val="00372EC7"/>
    <w:rsid w:val="00373170"/>
    <w:rsid w:val="003745BD"/>
    <w:rsid w:val="003755D2"/>
    <w:rsid w:val="00375909"/>
    <w:rsid w:val="00376418"/>
    <w:rsid w:val="0038225C"/>
    <w:rsid w:val="00383EF6"/>
    <w:rsid w:val="00384B4F"/>
    <w:rsid w:val="00385070"/>
    <w:rsid w:val="00386014"/>
    <w:rsid w:val="003865AD"/>
    <w:rsid w:val="00386FE1"/>
    <w:rsid w:val="00387963"/>
    <w:rsid w:val="00387A1D"/>
    <w:rsid w:val="00390A8F"/>
    <w:rsid w:val="00391F30"/>
    <w:rsid w:val="00392012"/>
    <w:rsid w:val="0039211A"/>
    <w:rsid w:val="003951D4"/>
    <w:rsid w:val="00395686"/>
    <w:rsid w:val="003A1920"/>
    <w:rsid w:val="003A481D"/>
    <w:rsid w:val="003A4C7F"/>
    <w:rsid w:val="003A513F"/>
    <w:rsid w:val="003A698C"/>
    <w:rsid w:val="003A7994"/>
    <w:rsid w:val="003B1AE1"/>
    <w:rsid w:val="003B3681"/>
    <w:rsid w:val="003B38C6"/>
    <w:rsid w:val="003B3AC5"/>
    <w:rsid w:val="003B3D62"/>
    <w:rsid w:val="003B5F22"/>
    <w:rsid w:val="003B6496"/>
    <w:rsid w:val="003B6D8A"/>
    <w:rsid w:val="003C1050"/>
    <w:rsid w:val="003C1187"/>
    <w:rsid w:val="003C13EA"/>
    <w:rsid w:val="003C1B8C"/>
    <w:rsid w:val="003C287E"/>
    <w:rsid w:val="003C2B54"/>
    <w:rsid w:val="003C2E76"/>
    <w:rsid w:val="003C323F"/>
    <w:rsid w:val="003C36D7"/>
    <w:rsid w:val="003C50A9"/>
    <w:rsid w:val="003C61A0"/>
    <w:rsid w:val="003D174C"/>
    <w:rsid w:val="003D3740"/>
    <w:rsid w:val="003D6EAA"/>
    <w:rsid w:val="003D7497"/>
    <w:rsid w:val="003E0147"/>
    <w:rsid w:val="003E0F4C"/>
    <w:rsid w:val="003E26A7"/>
    <w:rsid w:val="003E2C7D"/>
    <w:rsid w:val="003E4376"/>
    <w:rsid w:val="003E4BC3"/>
    <w:rsid w:val="003E516F"/>
    <w:rsid w:val="003E6137"/>
    <w:rsid w:val="003F0AD0"/>
    <w:rsid w:val="003F0CF0"/>
    <w:rsid w:val="003F0E30"/>
    <w:rsid w:val="003F1570"/>
    <w:rsid w:val="003F560A"/>
    <w:rsid w:val="003F5942"/>
    <w:rsid w:val="003F6B6E"/>
    <w:rsid w:val="00400332"/>
    <w:rsid w:val="0040065E"/>
    <w:rsid w:val="00401D4C"/>
    <w:rsid w:val="00401D96"/>
    <w:rsid w:val="00402230"/>
    <w:rsid w:val="00402F79"/>
    <w:rsid w:val="004061AF"/>
    <w:rsid w:val="00407AE9"/>
    <w:rsid w:val="00407DDA"/>
    <w:rsid w:val="0041014E"/>
    <w:rsid w:val="00412DA8"/>
    <w:rsid w:val="00412E91"/>
    <w:rsid w:val="00414604"/>
    <w:rsid w:val="0041525C"/>
    <w:rsid w:val="00420E1C"/>
    <w:rsid w:val="0042130C"/>
    <w:rsid w:val="0042373D"/>
    <w:rsid w:val="0042520F"/>
    <w:rsid w:val="0043063B"/>
    <w:rsid w:val="0043174B"/>
    <w:rsid w:val="004359EB"/>
    <w:rsid w:val="00436158"/>
    <w:rsid w:val="0043618C"/>
    <w:rsid w:val="00436A42"/>
    <w:rsid w:val="00436DAB"/>
    <w:rsid w:val="004372B6"/>
    <w:rsid w:val="00440DB1"/>
    <w:rsid w:val="004416A1"/>
    <w:rsid w:val="0044205A"/>
    <w:rsid w:val="00442398"/>
    <w:rsid w:val="00442FD8"/>
    <w:rsid w:val="004434FA"/>
    <w:rsid w:val="00443A21"/>
    <w:rsid w:val="00444C2B"/>
    <w:rsid w:val="00444C6A"/>
    <w:rsid w:val="00445083"/>
    <w:rsid w:val="00445B57"/>
    <w:rsid w:val="00446452"/>
    <w:rsid w:val="004469C0"/>
    <w:rsid w:val="00451028"/>
    <w:rsid w:val="00451B90"/>
    <w:rsid w:val="00453576"/>
    <w:rsid w:val="00455CE6"/>
    <w:rsid w:val="0045720A"/>
    <w:rsid w:val="0045738B"/>
    <w:rsid w:val="004574BE"/>
    <w:rsid w:val="004618D2"/>
    <w:rsid w:val="00461F25"/>
    <w:rsid w:val="004622C8"/>
    <w:rsid w:val="00462FF2"/>
    <w:rsid w:val="00470A49"/>
    <w:rsid w:val="0047110E"/>
    <w:rsid w:val="004711E9"/>
    <w:rsid w:val="004727A2"/>
    <w:rsid w:val="004730AF"/>
    <w:rsid w:val="0047344A"/>
    <w:rsid w:val="0047501C"/>
    <w:rsid w:val="00475083"/>
    <w:rsid w:val="00476A31"/>
    <w:rsid w:val="00476E76"/>
    <w:rsid w:val="004802EC"/>
    <w:rsid w:val="00480A5E"/>
    <w:rsid w:val="004814B5"/>
    <w:rsid w:val="0048684C"/>
    <w:rsid w:val="004868FD"/>
    <w:rsid w:val="004913DD"/>
    <w:rsid w:val="004915ED"/>
    <w:rsid w:val="00492720"/>
    <w:rsid w:val="00492D27"/>
    <w:rsid w:val="00493278"/>
    <w:rsid w:val="00494297"/>
    <w:rsid w:val="0049511E"/>
    <w:rsid w:val="004951B1"/>
    <w:rsid w:val="00495250"/>
    <w:rsid w:val="004960AB"/>
    <w:rsid w:val="004A00C7"/>
    <w:rsid w:val="004A07C1"/>
    <w:rsid w:val="004A09AD"/>
    <w:rsid w:val="004A16E1"/>
    <w:rsid w:val="004A181C"/>
    <w:rsid w:val="004A1CB4"/>
    <w:rsid w:val="004A350A"/>
    <w:rsid w:val="004A3C87"/>
    <w:rsid w:val="004A5115"/>
    <w:rsid w:val="004A5589"/>
    <w:rsid w:val="004A5C2F"/>
    <w:rsid w:val="004A65A5"/>
    <w:rsid w:val="004A700F"/>
    <w:rsid w:val="004A7C4B"/>
    <w:rsid w:val="004B0186"/>
    <w:rsid w:val="004B0CEC"/>
    <w:rsid w:val="004B1016"/>
    <w:rsid w:val="004B20AE"/>
    <w:rsid w:val="004B268D"/>
    <w:rsid w:val="004B2FEF"/>
    <w:rsid w:val="004B301E"/>
    <w:rsid w:val="004B310B"/>
    <w:rsid w:val="004B34C3"/>
    <w:rsid w:val="004B4D9E"/>
    <w:rsid w:val="004B6690"/>
    <w:rsid w:val="004B761A"/>
    <w:rsid w:val="004B7747"/>
    <w:rsid w:val="004C0B88"/>
    <w:rsid w:val="004C0B8B"/>
    <w:rsid w:val="004C0CD4"/>
    <w:rsid w:val="004C32F6"/>
    <w:rsid w:val="004C408F"/>
    <w:rsid w:val="004D0D02"/>
    <w:rsid w:val="004D216A"/>
    <w:rsid w:val="004D3056"/>
    <w:rsid w:val="004D35E3"/>
    <w:rsid w:val="004D5673"/>
    <w:rsid w:val="004D5AE7"/>
    <w:rsid w:val="004D62A2"/>
    <w:rsid w:val="004D6464"/>
    <w:rsid w:val="004D7888"/>
    <w:rsid w:val="004D7A85"/>
    <w:rsid w:val="004D7DAA"/>
    <w:rsid w:val="004E0F13"/>
    <w:rsid w:val="004E150F"/>
    <w:rsid w:val="004E1898"/>
    <w:rsid w:val="004E292C"/>
    <w:rsid w:val="004E4160"/>
    <w:rsid w:val="004E4306"/>
    <w:rsid w:val="004E59C9"/>
    <w:rsid w:val="004E7C91"/>
    <w:rsid w:val="004F14E9"/>
    <w:rsid w:val="004F2E0D"/>
    <w:rsid w:val="004F2FD6"/>
    <w:rsid w:val="004F30A7"/>
    <w:rsid w:val="004F7EFB"/>
    <w:rsid w:val="005035B5"/>
    <w:rsid w:val="005035CD"/>
    <w:rsid w:val="0050616D"/>
    <w:rsid w:val="005076D4"/>
    <w:rsid w:val="00510961"/>
    <w:rsid w:val="00512E98"/>
    <w:rsid w:val="00514C02"/>
    <w:rsid w:val="00514E0E"/>
    <w:rsid w:val="00515838"/>
    <w:rsid w:val="00517391"/>
    <w:rsid w:val="005219A4"/>
    <w:rsid w:val="00521C64"/>
    <w:rsid w:val="00521D1E"/>
    <w:rsid w:val="00523121"/>
    <w:rsid w:val="00523B0D"/>
    <w:rsid w:val="0052555D"/>
    <w:rsid w:val="00525780"/>
    <w:rsid w:val="00525952"/>
    <w:rsid w:val="00526439"/>
    <w:rsid w:val="00527DB9"/>
    <w:rsid w:val="005300E0"/>
    <w:rsid w:val="005301B3"/>
    <w:rsid w:val="0053144C"/>
    <w:rsid w:val="00531B80"/>
    <w:rsid w:val="005323E1"/>
    <w:rsid w:val="0053260D"/>
    <w:rsid w:val="00533666"/>
    <w:rsid w:val="005352FE"/>
    <w:rsid w:val="0053555C"/>
    <w:rsid w:val="00536C44"/>
    <w:rsid w:val="00537B43"/>
    <w:rsid w:val="00540D31"/>
    <w:rsid w:val="00540EBA"/>
    <w:rsid w:val="00541BBD"/>
    <w:rsid w:val="0054236E"/>
    <w:rsid w:val="00542F51"/>
    <w:rsid w:val="0054539F"/>
    <w:rsid w:val="00545B47"/>
    <w:rsid w:val="0054650B"/>
    <w:rsid w:val="00546E71"/>
    <w:rsid w:val="00547E73"/>
    <w:rsid w:val="005527A2"/>
    <w:rsid w:val="00552B23"/>
    <w:rsid w:val="0055348B"/>
    <w:rsid w:val="00553534"/>
    <w:rsid w:val="00554B0F"/>
    <w:rsid w:val="00556DEA"/>
    <w:rsid w:val="00556F35"/>
    <w:rsid w:val="00557386"/>
    <w:rsid w:val="00560F0F"/>
    <w:rsid w:val="005610C2"/>
    <w:rsid w:val="00561A7E"/>
    <w:rsid w:val="005626C0"/>
    <w:rsid w:val="00562D38"/>
    <w:rsid w:val="005642F1"/>
    <w:rsid w:val="005649D8"/>
    <w:rsid w:val="00564A8C"/>
    <w:rsid w:val="005654F1"/>
    <w:rsid w:val="00566245"/>
    <w:rsid w:val="00567A13"/>
    <w:rsid w:val="00567FC3"/>
    <w:rsid w:val="00570B38"/>
    <w:rsid w:val="005712BA"/>
    <w:rsid w:val="00571C49"/>
    <w:rsid w:val="005727C8"/>
    <w:rsid w:val="00572AC8"/>
    <w:rsid w:val="005737B7"/>
    <w:rsid w:val="005737D2"/>
    <w:rsid w:val="005756FF"/>
    <w:rsid w:val="005763FA"/>
    <w:rsid w:val="00580C00"/>
    <w:rsid w:val="005812C4"/>
    <w:rsid w:val="005822B0"/>
    <w:rsid w:val="00582926"/>
    <w:rsid w:val="0058422B"/>
    <w:rsid w:val="005865BA"/>
    <w:rsid w:val="00591608"/>
    <w:rsid w:val="00591EE6"/>
    <w:rsid w:val="00592A5D"/>
    <w:rsid w:val="00592F87"/>
    <w:rsid w:val="005930FC"/>
    <w:rsid w:val="0059470B"/>
    <w:rsid w:val="00594E5F"/>
    <w:rsid w:val="005958A3"/>
    <w:rsid w:val="00595942"/>
    <w:rsid w:val="00596E5F"/>
    <w:rsid w:val="005977E0"/>
    <w:rsid w:val="005A0359"/>
    <w:rsid w:val="005A11D7"/>
    <w:rsid w:val="005A2561"/>
    <w:rsid w:val="005A2645"/>
    <w:rsid w:val="005A37AD"/>
    <w:rsid w:val="005A4343"/>
    <w:rsid w:val="005A4AD7"/>
    <w:rsid w:val="005A6925"/>
    <w:rsid w:val="005B04E7"/>
    <w:rsid w:val="005B11AE"/>
    <w:rsid w:val="005B1C91"/>
    <w:rsid w:val="005B3C24"/>
    <w:rsid w:val="005B40E6"/>
    <w:rsid w:val="005B4A63"/>
    <w:rsid w:val="005B6A68"/>
    <w:rsid w:val="005B745C"/>
    <w:rsid w:val="005B779D"/>
    <w:rsid w:val="005B7A97"/>
    <w:rsid w:val="005B7D37"/>
    <w:rsid w:val="005C0990"/>
    <w:rsid w:val="005C123F"/>
    <w:rsid w:val="005C2163"/>
    <w:rsid w:val="005C3476"/>
    <w:rsid w:val="005C3CCA"/>
    <w:rsid w:val="005C4B64"/>
    <w:rsid w:val="005C4E10"/>
    <w:rsid w:val="005C581D"/>
    <w:rsid w:val="005C5C5B"/>
    <w:rsid w:val="005C6841"/>
    <w:rsid w:val="005C7721"/>
    <w:rsid w:val="005D19B4"/>
    <w:rsid w:val="005D26D7"/>
    <w:rsid w:val="005D35F9"/>
    <w:rsid w:val="005D7B13"/>
    <w:rsid w:val="005E0EA3"/>
    <w:rsid w:val="005E11E1"/>
    <w:rsid w:val="005E14DE"/>
    <w:rsid w:val="005E23B9"/>
    <w:rsid w:val="005E2D61"/>
    <w:rsid w:val="005E31A7"/>
    <w:rsid w:val="005E4025"/>
    <w:rsid w:val="005E55A4"/>
    <w:rsid w:val="005E6A80"/>
    <w:rsid w:val="005E6C30"/>
    <w:rsid w:val="005F04AF"/>
    <w:rsid w:val="005F08A7"/>
    <w:rsid w:val="005F127F"/>
    <w:rsid w:val="005F1A68"/>
    <w:rsid w:val="005F2494"/>
    <w:rsid w:val="005F28E0"/>
    <w:rsid w:val="005F42D2"/>
    <w:rsid w:val="005F5F2A"/>
    <w:rsid w:val="005F6E83"/>
    <w:rsid w:val="005F7931"/>
    <w:rsid w:val="0060010E"/>
    <w:rsid w:val="00603C33"/>
    <w:rsid w:val="00604D67"/>
    <w:rsid w:val="00606F27"/>
    <w:rsid w:val="00607341"/>
    <w:rsid w:val="00611F03"/>
    <w:rsid w:val="00612258"/>
    <w:rsid w:val="006139E4"/>
    <w:rsid w:val="00614E9E"/>
    <w:rsid w:val="006159BC"/>
    <w:rsid w:val="00620946"/>
    <w:rsid w:val="006230E6"/>
    <w:rsid w:val="006233F9"/>
    <w:rsid w:val="0062700C"/>
    <w:rsid w:val="00627C70"/>
    <w:rsid w:val="00627EBE"/>
    <w:rsid w:val="00630035"/>
    <w:rsid w:val="0063072C"/>
    <w:rsid w:val="00631686"/>
    <w:rsid w:val="00632C17"/>
    <w:rsid w:val="00632F0A"/>
    <w:rsid w:val="006337E0"/>
    <w:rsid w:val="00635251"/>
    <w:rsid w:val="00635E84"/>
    <w:rsid w:val="006369D2"/>
    <w:rsid w:val="0064064E"/>
    <w:rsid w:val="006424B1"/>
    <w:rsid w:val="0064304A"/>
    <w:rsid w:val="0064386D"/>
    <w:rsid w:val="006439F6"/>
    <w:rsid w:val="00645238"/>
    <w:rsid w:val="0064524B"/>
    <w:rsid w:val="00645CC0"/>
    <w:rsid w:val="00650338"/>
    <w:rsid w:val="006507B7"/>
    <w:rsid w:val="00650CAB"/>
    <w:rsid w:val="00651615"/>
    <w:rsid w:val="00652355"/>
    <w:rsid w:val="0065297A"/>
    <w:rsid w:val="006548AB"/>
    <w:rsid w:val="00654969"/>
    <w:rsid w:val="00656AA8"/>
    <w:rsid w:val="00656B4D"/>
    <w:rsid w:val="00656E31"/>
    <w:rsid w:val="00656E5C"/>
    <w:rsid w:val="006573DD"/>
    <w:rsid w:val="00657C9A"/>
    <w:rsid w:val="00660415"/>
    <w:rsid w:val="00660603"/>
    <w:rsid w:val="00660A85"/>
    <w:rsid w:val="00660F18"/>
    <w:rsid w:val="00661AE8"/>
    <w:rsid w:val="00661D17"/>
    <w:rsid w:val="006622B9"/>
    <w:rsid w:val="00662556"/>
    <w:rsid w:val="00664648"/>
    <w:rsid w:val="006664B3"/>
    <w:rsid w:val="006710F7"/>
    <w:rsid w:val="00671C0D"/>
    <w:rsid w:val="00672137"/>
    <w:rsid w:val="00672A7A"/>
    <w:rsid w:val="006734BA"/>
    <w:rsid w:val="00674BDB"/>
    <w:rsid w:val="00674DC5"/>
    <w:rsid w:val="00676D00"/>
    <w:rsid w:val="00680C5A"/>
    <w:rsid w:val="00680F89"/>
    <w:rsid w:val="00684249"/>
    <w:rsid w:val="00684997"/>
    <w:rsid w:val="00684FA4"/>
    <w:rsid w:val="0068604C"/>
    <w:rsid w:val="00686758"/>
    <w:rsid w:val="006908E6"/>
    <w:rsid w:val="00690962"/>
    <w:rsid w:val="00691C73"/>
    <w:rsid w:val="00692734"/>
    <w:rsid w:val="006930B2"/>
    <w:rsid w:val="00693F85"/>
    <w:rsid w:val="00694819"/>
    <w:rsid w:val="00694C2A"/>
    <w:rsid w:val="00694F74"/>
    <w:rsid w:val="0069685F"/>
    <w:rsid w:val="006977E2"/>
    <w:rsid w:val="00697C95"/>
    <w:rsid w:val="00697E78"/>
    <w:rsid w:val="00697E9B"/>
    <w:rsid w:val="006A1557"/>
    <w:rsid w:val="006A2E54"/>
    <w:rsid w:val="006A4ACA"/>
    <w:rsid w:val="006A721C"/>
    <w:rsid w:val="006A7238"/>
    <w:rsid w:val="006B0950"/>
    <w:rsid w:val="006B20D3"/>
    <w:rsid w:val="006B3099"/>
    <w:rsid w:val="006B367B"/>
    <w:rsid w:val="006B460D"/>
    <w:rsid w:val="006B5DD9"/>
    <w:rsid w:val="006B76C5"/>
    <w:rsid w:val="006C2065"/>
    <w:rsid w:val="006C2435"/>
    <w:rsid w:val="006C26AE"/>
    <w:rsid w:val="006C34FD"/>
    <w:rsid w:val="006C5FF3"/>
    <w:rsid w:val="006D0742"/>
    <w:rsid w:val="006D1DC1"/>
    <w:rsid w:val="006D2908"/>
    <w:rsid w:val="006D2A19"/>
    <w:rsid w:val="006D61F8"/>
    <w:rsid w:val="006D6B32"/>
    <w:rsid w:val="006D7056"/>
    <w:rsid w:val="006E0698"/>
    <w:rsid w:val="006E2A5B"/>
    <w:rsid w:val="006E2D20"/>
    <w:rsid w:val="006E3383"/>
    <w:rsid w:val="006E59C4"/>
    <w:rsid w:val="006E7ABD"/>
    <w:rsid w:val="006F266A"/>
    <w:rsid w:val="006F2D41"/>
    <w:rsid w:val="006F353E"/>
    <w:rsid w:val="006F4CFA"/>
    <w:rsid w:val="006F5E57"/>
    <w:rsid w:val="006F622C"/>
    <w:rsid w:val="006F66C1"/>
    <w:rsid w:val="006F70A5"/>
    <w:rsid w:val="00700E00"/>
    <w:rsid w:val="00701885"/>
    <w:rsid w:val="00702BF2"/>
    <w:rsid w:val="00704490"/>
    <w:rsid w:val="0070568A"/>
    <w:rsid w:val="00710355"/>
    <w:rsid w:val="007114DF"/>
    <w:rsid w:val="0071196E"/>
    <w:rsid w:val="00712896"/>
    <w:rsid w:val="007129DE"/>
    <w:rsid w:val="007131AC"/>
    <w:rsid w:val="007139FD"/>
    <w:rsid w:val="00715161"/>
    <w:rsid w:val="00715C05"/>
    <w:rsid w:val="007160BB"/>
    <w:rsid w:val="00716498"/>
    <w:rsid w:val="00717AA9"/>
    <w:rsid w:val="00720443"/>
    <w:rsid w:val="00721007"/>
    <w:rsid w:val="007211BC"/>
    <w:rsid w:val="007216C8"/>
    <w:rsid w:val="007221A2"/>
    <w:rsid w:val="0072368E"/>
    <w:rsid w:val="007241B7"/>
    <w:rsid w:val="00725464"/>
    <w:rsid w:val="0072549B"/>
    <w:rsid w:val="00726738"/>
    <w:rsid w:val="007268D7"/>
    <w:rsid w:val="00727E6F"/>
    <w:rsid w:val="00730EB8"/>
    <w:rsid w:val="007317D1"/>
    <w:rsid w:val="0073225F"/>
    <w:rsid w:val="00733AF4"/>
    <w:rsid w:val="00735B6D"/>
    <w:rsid w:val="00736BCF"/>
    <w:rsid w:val="00737EE0"/>
    <w:rsid w:val="00740889"/>
    <w:rsid w:val="00740BFF"/>
    <w:rsid w:val="00744D27"/>
    <w:rsid w:val="00745999"/>
    <w:rsid w:val="00746B94"/>
    <w:rsid w:val="00750345"/>
    <w:rsid w:val="0075060F"/>
    <w:rsid w:val="007509A1"/>
    <w:rsid w:val="0075215D"/>
    <w:rsid w:val="00752F28"/>
    <w:rsid w:val="0075304F"/>
    <w:rsid w:val="00753782"/>
    <w:rsid w:val="00753EE4"/>
    <w:rsid w:val="00754142"/>
    <w:rsid w:val="00754206"/>
    <w:rsid w:val="00755909"/>
    <w:rsid w:val="00755A65"/>
    <w:rsid w:val="00756605"/>
    <w:rsid w:val="00756B63"/>
    <w:rsid w:val="00757E5E"/>
    <w:rsid w:val="007602A0"/>
    <w:rsid w:val="00761471"/>
    <w:rsid w:val="0076271B"/>
    <w:rsid w:val="007629B3"/>
    <w:rsid w:val="00762C72"/>
    <w:rsid w:val="00762E47"/>
    <w:rsid w:val="007633EB"/>
    <w:rsid w:val="00763699"/>
    <w:rsid w:val="00763A18"/>
    <w:rsid w:val="00764270"/>
    <w:rsid w:val="007646BD"/>
    <w:rsid w:val="00765158"/>
    <w:rsid w:val="00770AD1"/>
    <w:rsid w:val="007710CE"/>
    <w:rsid w:val="007713F0"/>
    <w:rsid w:val="0077219E"/>
    <w:rsid w:val="007727B6"/>
    <w:rsid w:val="00772E5C"/>
    <w:rsid w:val="00773082"/>
    <w:rsid w:val="00773E9A"/>
    <w:rsid w:val="00774F3B"/>
    <w:rsid w:val="00775055"/>
    <w:rsid w:val="007753B5"/>
    <w:rsid w:val="00775BCC"/>
    <w:rsid w:val="0077610B"/>
    <w:rsid w:val="00780771"/>
    <w:rsid w:val="00780E33"/>
    <w:rsid w:val="0078124E"/>
    <w:rsid w:val="00781CA4"/>
    <w:rsid w:val="00781D24"/>
    <w:rsid w:val="00781D39"/>
    <w:rsid w:val="007822EE"/>
    <w:rsid w:val="007823F0"/>
    <w:rsid w:val="00782491"/>
    <w:rsid w:val="00782BD0"/>
    <w:rsid w:val="00783218"/>
    <w:rsid w:val="00783748"/>
    <w:rsid w:val="00784539"/>
    <w:rsid w:val="00786D83"/>
    <w:rsid w:val="0078701B"/>
    <w:rsid w:val="00787E2F"/>
    <w:rsid w:val="00790F59"/>
    <w:rsid w:val="00791A31"/>
    <w:rsid w:val="0079275C"/>
    <w:rsid w:val="00792915"/>
    <w:rsid w:val="007934FB"/>
    <w:rsid w:val="007944D8"/>
    <w:rsid w:val="00795F25"/>
    <w:rsid w:val="00796F7F"/>
    <w:rsid w:val="00797E00"/>
    <w:rsid w:val="007A05A6"/>
    <w:rsid w:val="007A2369"/>
    <w:rsid w:val="007A27A3"/>
    <w:rsid w:val="007A33D7"/>
    <w:rsid w:val="007A3538"/>
    <w:rsid w:val="007A362A"/>
    <w:rsid w:val="007A42AC"/>
    <w:rsid w:val="007B0B03"/>
    <w:rsid w:val="007B196F"/>
    <w:rsid w:val="007B2E80"/>
    <w:rsid w:val="007B2F33"/>
    <w:rsid w:val="007B36C9"/>
    <w:rsid w:val="007B546B"/>
    <w:rsid w:val="007B57AC"/>
    <w:rsid w:val="007B7D62"/>
    <w:rsid w:val="007C00B4"/>
    <w:rsid w:val="007C0370"/>
    <w:rsid w:val="007C0AAD"/>
    <w:rsid w:val="007C349F"/>
    <w:rsid w:val="007C695F"/>
    <w:rsid w:val="007C700C"/>
    <w:rsid w:val="007C7AA9"/>
    <w:rsid w:val="007D2AA3"/>
    <w:rsid w:val="007D3DDB"/>
    <w:rsid w:val="007D3F35"/>
    <w:rsid w:val="007D6070"/>
    <w:rsid w:val="007D6496"/>
    <w:rsid w:val="007D6A90"/>
    <w:rsid w:val="007E0C46"/>
    <w:rsid w:val="007E2DDA"/>
    <w:rsid w:val="007E3D04"/>
    <w:rsid w:val="007E5AD9"/>
    <w:rsid w:val="007E7EB3"/>
    <w:rsid w:val="007F185C"/>
    <w:rsid w:val="007F1F99"/>
    <w:rsid w:val="007F2322"/>
    <w:rsid w:val="007F282E"/>
    <w:rsid w:val="007F305B"/>
    <w:rsid w:val="007F3E86"/>
    <w:rsid w:val="007F4863"/>
    <w:rsid w:val="007F4DC9"/>
    <w:rsid w:val="007F72ED"/>
    <w:rsid w:val="007F73ED"/>
    <w:rsid w:val="0080210C"/>
    <w:rsid w:val="0080211C"/>
    <w:rsid w:val="00803746"/>
    <w:rsid w:val="00803CE2"/>
    <w:rsid w:val="008040DF"/>
    <w:rsid w:val="00804933"/>
    <w:rsid w:val="00804946"/>
    <w:rsid w:val="00805CBE"/>
    <w:rsid w:val="00806839"/>
    <w:rsid w:val="00806B3A"/>
    <w:rsid w:val="0081146A"/>
    <w:rsid w:val="008132FC"/>
    <w:rsid w:val="00813FBA"/>
    <w:rsid w:val="00815A5E"/>
    <w:rsid w:val="00815CBE"/>
    <w:rsid w:val="008218B0"/>
    <w:rsid w:val="008218C9"/>
    <w:rsid w:val="008218F3"/>
    <w:rsid w:val="00823A40"/>
    <w:rsid w:val="00824708"/>
    <w:rsid w:val="008266DC"/>
    <w:rsid w:val="0082707B"/>
    <w:rsid w:val="00827234"/>
    <w:rsid w:val="0083008F"/>
    <w:rsid w:val="00831F62"/>
    <w:rsid w:val="008323E0"/>
    <w:rsid w:val="00834737"/>
    <w:rsid w:val="008358C4"/>
    <w:rsid w:val="00835B60"/>
    <w:rsid w:val="00836BF4"/>
    <w:rsid w:val="0083739E"/>
    <w:rsid w:val="0083790B"/>
    <w:rsid w:val="008422A9"/>
    <w:rsid w:val="00842B45"/>
    <w:rsid w:val="008435A7"/>
    <w:rsid w:val="008440B4"/>
    <w:rsid w:val="00844574"/>
    <w:rsid w:val="00850491"/>
    <w:rsid w:val="0085235D"/>
    <w:rsid w:val="00853FD2"/>
    <w:rsid w:val="008549F6"/>
    <w:rsid w:val="0085584A"/>
    <w:rsid w:val="00857A6A"/>
    <w:rsid w:val="00857B19"/>
    <w:rsid w:val="008602FB"/>
    <w:rsid w:val="00860A99"/>
    <w:rsid w:val="00861D29"/>
    <w:rsid w:val="0086361E"/>
    <w:rsid w:val="00864F8B"/>
    <w:rsid w:val="00865DED"/>
    <w:rsid w:val="008666D9"/>
    <w:rsid w:val="00867A4C"/>
    <w:rsid w:val="00867D88"/>
    <w:rsid w:val="00870215"/>
    <w:rsid w:val="0087131F"/>
    <w:rsid w:val="008714F4"/>
    <w:rsid w:val="0087184C"/>
    <w:rsid w:val="00871ED9"/>
    <w:rsid w:val="00873C4A"/>
    <w:rsid w:val="00877251"/>
    <w:rsid w:val="00877747"/>
    <w:rsid w:val="00877938"/>
    <w:rsid w:val="008800DF"/>
    <w:rsid w:val="0088081B"/>
    <w:rsid w:val="00881186"/>
    <w:rsid w:val="008837CE"/>
    <w:rsid w:val="00883809"/>
    <w:rsid w:val="0088416E"/>
    <w:rsid w:val="00884A7E"/>
    <w:rsid w:val="00885257"/>
    <w:rsid w:val="00886C68"/>
    <w:rsid w:val="008877F3"/>
    <w:rsid w:val="0089008F"/>
    <w:rsid w:val="00890810"/>
    <w:rsid w:val="00891CDA"/>
    <w:rsid w:val="00891D98"/>
    <w:rsid w:val="00892A4B"/>
    <w:rsid w:val="00893C7A"/>
    <w:rsid w:val="00895083"/>
    <w:rsid w:val="00895C35"/>
    <w:rsid w:val="00896A79"/>
    <w:rsid w:val="0089761F"/>
    <w:rsid w:val="008A0D2F"/>
    <w:rsid w:val="008A1231"/>
    <w:rsid w:val="008A12D2"/>
    <w:rsid w:val="008A30EF"/>
    <w:rsid w:val="008A6922"/>
    <w:rsid w:val="008A6D6C"/>
    <w:rsid w:val="008B10B2"/>
    <w:rsid w:val="008B119D"/>
    <w:rsid w:val="008B1268"/>
    <w:rsid w:val="008B3B79"/>
    <w:rsid w:val="008B4F79"/>
    <w:rsid w:val="008B5C93"/>
    <w:rsid w:val="008B7A45"/>
    <w:rsid w:val="008C0CB9"/>
    <w:rsid w:val="008C11DC"/>
    <w:rsid w:val="008C38A0"/>
    <w:rsid w:val="008C45DE"/>
    <w:rsid w:val="008C5CF8"/>
    <w:rsid w:val="008C60B7"/>
    <w:rsid w:val="008C6581"/>
    <w:rsid w:val="008D154B"/>
    <w:rsid w:val="008D1A79"/>
    <w:rsid w:val="008D286E"/>
    <w:rsid w:val="008D2BD6"/>
    <w:rsid w:val="008D398A"/>
    <w:rsid w:val="008D3BEE"/>
    <w:rsid w:val="008D3CE8"/>
    <w:rsid w:val="008D4E17"/>
    <w:rsid w:val="008D54C3"/>
    <w:rsid w:val="008D561F"/>
    <w:rsid w:val="008D5D1F"/>
    <w:rsid w:val="008D5E7A"/>
    <w:rsid w:val="008D65E2"/>
    <w:rsid w:val="008D6CB3"/>
    <w:rsid w:val="008D7C87"/>
    <w:rsid w:val="008E2725"/>
    <w:rsid w:val="008E4870"/>
    <w:rsid w:val="008E5295"/>
    <w:rsid w:val="008E54C9"/>
    <w:rsid w:val="008E5C3D"/>
    <w:rsid w:val="008F0198"/>
    <w:rsid w:val="008F0D0A"/>
    <w:rsid w:val="008F520B"/>
    <w:rsid w:val="008F7A3B"/>
    <w:rsid w:val="00900168"/>
    <w:rsid w:val="00900AF5"/>
    <w:rsid w:val="00901087"/>
    <w:rsid w:val="009014EA"/>
    <w:rsid w:val="00901E42"/>
    <w:rsid w:val="009027D9"/>
    <w:rsid w:val="009027F1"/>
    <w:rsid w:val="009030C2"/>
    <w:rsid w:val="009038E2"/>
    <w:rsid w:val="00903928"/>
    <w:rsid w:val="00903F47"/>
    <w:rsid w:val="00904417"/>
    <w:rsid w:val="00905374"/>
    <w:rsid w:val="00907C97"/>
    <w:rsid w:val="00907F62"/>
    <w:rsid w:val="009104E5"/>
    <w:rsid w:val="00912D1C"/>
    <w:rsid w:val="00914259"/>
    <w:rsid w:val="00916F4C"/>
    <w:rsid w:val="00920C03"/>
    <w:rsid w:val="009216B8"/>
    <w:rsid w:val="00922381"/>
    <w:rsid w:val="00924510"/>
    <w:rsid w:val="00924759"/>
    <w:rsid w:val="00924894"/>
    <w:rsid w:val="00925BFC"/>
    <w:rsid w:val="00927516"/>
    <w:rsid w:val="009301EF"/>
    <w:rsid w:val="00930335"/>
    <w:rsid w:val="0093053D"/>
    <w:rsid w:val="00930D63"/>
    <w:rsid w:val="009350CE"/>
    <w:rsid w:val="00935CD1"/>
    <w:rsid w:val="00936773"/>
    <w:rsid w:val="0093784F"/>
    <w:rsid w:val="00937DD4"/>
    <w:rsid w:val="00937FF2"/>
    <w:rsid w:val="00941B80"/>
    <w:rsid w:val="00946A0E"/>
    <w:rsid w:val="00947132"/>
    <w:rsid w:val="00950ED1"/>
    <w:rsid w:val="00951B4F"/>
    <w:rsid w:val="00952067"/>
    <w:rsid w:val="00955BAD"/>
    <w:rsid w:val="00956F88"/>
    <w:rsid w:val="009570F9"/>
    <w:rsid w:val="00957A0B"/>
    <w:rsid w:val="00960268"/>
    <w:rsid w:val="00960CC7"/>
    <w:rsid w:val="0096176C"/>
    <w:rsid w:val="00962AFA"/>
    <w:rsid w:val="00972988"/>
    <w:rsid w:val="00973023"/>
    <w:rsid w:val="00973D21"/>
    <w:rsid w:val="00973F34"/>
    <w:rsid w:val="009776AE"/>
    <w:rsid w:val="0098043B"/>
    <w:rsid w:val="0098088F"/>
    <w:rsid w:val="009810EF"/>
    <w:rsid w:val="00981449"/>
    <w:rsid w:val="00981F5A"/>
    <w:rsid w:val="00982A59"/>
    <w:rsid w:val="0098370C"/>
    <w:rsid w:val="00983EB4"/>
    <w:rsid w:val="00984D5D"/>
    <w:rsid w:val="0098712D"/>
    <w:rsid w:val="00991F32"/>
    <w:rsid w:val="00994911"/>
    <w:rsid w:val="00994AE5"/>
    <w:rsid w:val="00994DA7"/>
    <w:rsid w:val="009956A6"/>
    <w:rsid w:val="00995AB1"/>
    <w:rsid w:val="009972EB"/>
    <w:rsid w:val="009973B5"/>
    <w:rsid w:val="00997EA1"/>
    <w:rsid w:val="009A17C4"/>
    <w:rsid w:val="009A19B1"/>
    <w:rsid w:val="009A2542"/>
    <w:rsid w:val="009A341B"/>
    <w:rsid w:val="009A442D"/>
    <w:rsid w:val="009A6AAA"/>
    <w:rsid w:val="009A7224"/>
    <w:rsid w:val="009A7C25"/>
    <w:rsid w:val="009B01E1"/>
    <w:rsid w:val="009B04ED"/>
    <w:rsid w:val="009B0A81"/>
    <w:rsid w:val="009B0CDA"/>
    <w:rsid w:val="009B1000"/>
    <w:rsid w:val="009B3491"/>
    <w:rsid w:val="009B4FE0"/>
    <w:rsid w:val="009C5918"/>
    <w:rsid w:val="009C6208"/>
    <w:rsid w:val="009C6918"/>
    <w:rsid w:val="009C7309"/>
    <w:rsid w:val="009C7BDD"/>
    <w:rsid w:val="009C7FB1"/>
    <w:rsid w:val="009D087C"/>
    <w:rsid w:val="009D099D"/>
    <w:rsid w:val="009D28C0"/>
    <w:rsid w:val="009D295D"/>
    <w:rsid w:val="009D2B2B"/>
    <w:rsid w:val="009D301B"/>
    <w:rsid w:val="009D3E27"/>
    <w:rsid w:val="009D5269"/>
    <w:rsid w:val="009D6FFF"/>
    <w:rsid w:val="009D73AF"/>
    <w:rsid w:val="009D7829"/>
    <w:rsid w:val="009E0837"/>
    <w:rsid w:val="009E0EA6"/>
    <w:rsid w:val="009E1C75"/>
    <w:rsid w:val="009E336F"/>
    <w:rsid w:val="009E5973"/>
    <w:rsid w:val="009E68E5"/>
    <w:rsid w:val="009E7473"/>
    <w:rsid w:val="009E7B60"/>
    <w:rsid w:val="009E7ECE"/>
    <w:rsid w:val="009F1314"/>
    <w:rsid w:val="009F3189"/>
    <w:rsid w:val="009F3D12"/>
    <w:rsid w:val="009F4D9A"/>
    <w:rsid w:val="009F6E4A"/>
    <w:rsid w:val="009F7C3B"/>
    <w:rsid w:val="00A00925"/>
    <w:rsid w:val="00A0206A"/>
    <w:rsid w:val="00A025ED"/>
    <w:rsid w:val="00A02ADA"/>
    <w:rsid w:val="00A03749"/>
    <w:rsid w:val="00A05412"/>
    <w:rsid w:val="00A06383"/>
    <w:rsid w:val="00A07753"/>
    <w:rsid w:val="00A102A7"/>
    <w:rsid w:val="00A104B4"/>
    <w:rsid w:val="00A108AE"/>
    <w:rsid w:val="00A10E00"/>
    <w:rsid w:val="00A1107F"/>
    <w:rsid w:val="00A11941"/>
    <w:rsid w:val="00A11FC6"/>
    <w:rsid w:val="00A127EB"/>
    <w:rsid w:val="00A135D1"/>
    <w:rsid w:val="00A141D6"/>
    <w:rsid w:val="00A15B4A"/>
    <w:rsid w:val="00A169F0"/>
    <w:rsid w:val="00A1722B"/>
    <w:rsid w:val="00A21A4F"/>
    <w:rsid w:val="00A21FA4"/>
    <w:rsid w:val="00A23C05"/>
    <w:rsid w:val="00A2473E"/>
    <w:rsid w:val="00A257F3"/>
    <w:rsid w:val="00A26EB4"/>
    <w:rsid w:val="00A316CB"/>
    <w:rsid w:val="00A3586D"/>
    <w:rsid w:val="00A402AC"/>
    <w:rsid w:val="00A40329"/>
    <w:rsid w:val="00A409C9"/>
    <w:rsid w:val="00A40A9F"/>
    <w:rsid w:val="00A40C0A"/>
    <w:rsid w:val="00A40F62"/>
    <w:rsid w:val="00A442D3"/>
    <w:rsid w:val="00A44F0C"/>
    <w:rsid w:val="00A46ED3"/>
    <w:rsid w:val="00A474C8"/>
    <w:rsid w:val="00A52B5A"/>
    <w:rsid w:val="00A543CB"/>
    <w:rsid w:val="00A54F3B"/>
    <w:rsid w:val="00A56617"/>
    <w:rsid w:val="00A613D3"/>
    <w:rsid w:val="00A61430"/>
    <w:rsid w:val="00A62457"/>
    <w:rsid w:val="00A62DBC"/>
    <w:rsid w:val="00A64105"/>
    <w:rsid w:val="00A6488B"/>
    <w:rsid w:val="00A70D40"/>
    <w:rsid w:val="00A720C4"/>
    <w:rsid w:val="00A72B0E"/>
    <w:rsid w:val="00A74CDE"/>
    <w:rsid w:val="00A75E5E"/>
    <w:rsid w:val="00A76627"/>
    <w:rsid w:val="00A76A81"/>
    <w:rsid w:val="00A822CE"/>
    <w:rsid w:val="00A847F2"/>
    <w:rsid w:val="00A84F45"/>
    <w:rsid w:val="00A856CC"/>
    <w:rsid w:val="00A865C3"/>
    <w:rsid w:val="00A86AB7"/>
    <w:rsid w:val="00A87096"/>
    <w:rsid w:val="00A871AE"/>
    <w:rsid w:val="00A87432"/>
    <w:rsid w:val="00A910BC"/>
    <w:rsid w:val="00A9149C"/>
    <w:rsid w:val="00A94DB9"/>
    <w:rsid w:val="00A95103"/>
    <w:rsid w:val="00A95B7C"/>
    <w:rsid w:val="00A96FD5"/>
    <w:rsid w:val="00AA1446"/>
    <w:rsid w:val="00AA27F8"/>
    <w:rsid w:val="00AA3794"/>
    <w:rsid w:val="00AA449E"/>
    <w:rsid w:val="00AA4C7D"/>
    <w:rsid w:val="00AA54E1"/>
    <w:rsid w:val="00AA7973"/>
    <w:rsid w:val="00AA7987"/>
    <w:rsid w:val="00AB0772"/>
    <w:rsid w:val="00AB2290"/>
    <w:rsid w:val="00AB2727"/>
    <w:rsid w:val="00AB2A10"/>
    <w:rsid w:val="00AB5424"/>
    <w:rsid w:val="00AB7891"/>
    <w:rsid w:val="00AC2F4E"/>
    <w:rsid w:val="00AC335E"/>
    <w:rsid w:val="00AC361D"/>
    <w:rsid w:val="00AC4B51"/>
    <w:rsid w:val="00AD0311"/>
    <w:rsid w:val="00AD0A3C"/>
    <w:rsid w:val="00AD0F7C"/>
    <w:rsid w:val="00AD3784"/>
    <w:rsid w:val="00AD469E"/>
    <w:rsid w:val="00AD4B5C"/>
    <w:rsid w:val="00AE2ECB"/>
    <w:rsid w:val="00AE502E"/>
    <w:rsid w:val="00AE505B"/>
    <w:rsid w:val="00AE65D3"/>
    <w:rsid w:val="00AE7B02"/>
    <w:rsid w:val="00AE7E06"/>
    <w:rsid w:val="00AF1A1E"/>
    <w:rsid w:val="00AF26B2"/>
    <w:rsid w:val="00AF40F6"/>
    <w:rsid w:val="00AF572E"/>
    <w:rsid w:val="00AF5C51"/>
    <w:rsid w:val="00AF69AD"/>
    <w:rsid w:val="00AF6FAA"/>
    <w:rsid w:val="00AF731B"/>
    <w:rsid w:val="00B0210B"/>
    <w:rsid w:val="00B024C5"/>
    <w:rsid w:val="00B02501"/>
    <w:rsid w:val="00B031C5"/>
    <w:rsid w:val="00B04773"/>
    <w:rsid w:val="00B04D6E"/>
    <w:rsid w:val="00B070CA"/>
    <w:rsid w:val="00B071A8"/>
    <w:rsid w:val="00B11857"/>
    <w:rsid w:val="00B134A8"/>
    <w:rsid w:val="00B14DEE"/>
    <w:rsid w:val="00B16D15"/>
    <w:rsid w:val="00B17836"/>
    <w:rsid w:val="00B17D54"/>
    <w:rsid w:val="00B2055F"/>
    <w:rsid w:val="00B21257"/>
    <w:rsid w:val="00B22E4F"/>
    <w:rsid w:val="00B23EAD"/>
    <w:rsid w:val="00B247B1"/>
    <w:rsid w:val="00B26196"/>
    <w:rsid w:val="00B31315"/>
    <w:rsid w:val="00B3420D"/>
    <w:rsid w:val="00B3479F"/>
    <w:rsid w:val="00B37DD5"/>
    <w:rsid w:val="00B37E6F"/>
    <w:rsid w:val="00B40861"/>
    <w:rsid w:val="00B40E05"/>
    <w:rsid w:val="00B42820"/>
    <w:rsid w:val="00B42DFF"/>
    <w:rsid w:val="00B4363C"/>
    <w:rsid w:val="00B4391A"/>
    <w:rsid w:val="00B43F05"/>
    <w:rsid w:val="00B44740"/>
    <w:rsid w:val="00B44B97"/>
    <w:rsid w:val="00B4560E"/>
    <w:rsid w:val="00B45FD0"/>
    <w:rsid w:val="00B4618F"/>
    <w:rsid w:val="00B51001"/>
    <w:rsid w:val="00B51157"/>
    <w:rsid w:val="00B51D2A"/>
    <w:rsid w:val="00B51FB9"/>
    <w:rsid w:val="00B520E8"/>
    <w:rsid w:val="00B52149"/>
    <w:rsid w:val="00B530DF"/>
    <w:rsid w:val="00B53580"/>
    <w:rsid w:val="00B5479B"/>
    <w:rsid w:val="00B54E3E"/>
    <w:rsid w:val="00B56AD6"/>
    <w:rsid w:val="00B60C3C"/>
    <w:rsid w:val="00B614AE"/>
    <w:rsid w:val="00B6195A"/>
    <w:rsid w:val="00B63316"/>
    <w:rsid w:val="00B63C3C"/>
    <w:rsid w:val="00B644C5"/>
    <w:rsid w:val="00B65AAA"/>
    <w:rsid w:val="00B65EEC"/>
    <w:rsid w:val="00B67415"/>
    <w:rsid w:val="00B710BD"/>
    <w:rsid w:val="00B713E8"/>
    <w:rsid w:val="00B715A7"/>
    <w:rsid w:val="00B71628"/>
    <w:rsid w:val="00B716B6"/>
    <w:rsid w:val="00B72F25"/>
    <w:rsid w:val="00B732E0"/>
    <w:rsid w:val="00B73BC1"/>
    <w:rsid w:val="00B7435E"/>
    <w:rsid w:val="00B75FD4"/>
    <w:rsid w:val="00B7662D"/>
    <w:rsid w:val="00B80A18"/>
    <w:rsid w:val="00B81A69"/>
    <w:rsid w:val="00B81A6D"/>
    <w:rsid w:val="00B82651"/>
    <w:rsid w:val="00B82859"/>
    <w:rsid w:val="00B85C90"/>
    <w:rsid w:val="00B87D8F"/>
    <w:rsid w:val="00B87E0C"/>
    <w:rsid w:val="00B90A54"/>
    <w:rsid w:val="00B916C3"/>
    <w:rsid w:val="00B918DD"/>
    <w:rsid w:val="00B926EA"/>
    <w:rsid w:val="00B95CD7"/>
    <w:rsid w:val="00B96FA5"/>
    <w:rsid w:val="00BA0CFD"/>
    <w:rsid w:val="00BA2739"/>
    <w:rsid w:val="00BA4366"/>
    <w:rsid w:val="00BA5035"/>
    <w:rsid w:val="00BA5B79"/>
    <w:rsid w:val="00BA6114"/>
    <w:rsid w:val="00BB0985"/>
    <w:rsid w:val="00BB0DEA"/>
    <w:rsid w:val="00BB1262"/>
    <w:rsid w:val="00BB1337"/>
    <w:rsid w:val="00BB1438"/>
    <w:rsid w:val="00BB1925"/>
    <w:rsid w:val="00BB3D43"/>
    <w:rsid w:val="00BB719D"/>
    <w:rsid w:val="00BB71E7"/>
    <w:rsid w:val="00BB73F0"/>
    <w:rsid w:val="00BC1BF5"/>
    <w:rsid w:val="00BC2CFC"/>
    <w:rsid w:val="00BC2DF2"/>
    <w:rsid w:val="00BC4489"/>
    <w:rsid w:val="00BC5503"/>
    <w:rsid w:val="00BC5992"/>
    <w:rsid w:val="00BC5D62"/>
    <w:rsid w:val="00BC62F5"/>
    <w:rsid w:val="00BD092A"/>
    <w:rsid w:val="00BD0CC7"/>
    <w:rsid w:val="00BD0D9A"/>
    <w:rsid w:val="00BD1260"/>
    <w:rsid w:val="00BD2C92"/>
    <w:rsid w:val="00BD53DE"/>
    <w:rsid w:val="00BD6F8E"/>
    <w:rsid w:val="00BE0BD5"/>
    <w:rsid w:val="00BE1766"/>
    <w:rsid w:val="00BE2D0B"/>
    <w:rsid w:val="00BE3F9E"/>
    <w:rsid w:val="00BE4843"/>
    <w:rsid w:val="00BE76D2"/>
    <w:rsid w:val="00BE7706"/>
    <w:rsid w:val="00BF1101"/>
    <w:rsid w:val="00BF20DF"/>
    <w:rsid w:val="00BF280A"/>
    <w:rsid w:val="00BF35DB"/>
    <w:rsid w:val="00BF4A48"/>
    <w:rsid w:val="00BF4C70"/>
    <w:rsid w:val="00BF4E0D"/>
    <w:rsid w:val="00BF57F8"/>
    <w:rsid w:val="00BF6096"/>
    <w:rsid w:val="00C00F22"/>
    <w:rsid w:val="00C01AB0"/>
    <w:rsid w:val="00C0269D"/>
    <w:rsid w:val="00C027D1"/>
    <w:rsid w:val="00C033BA"/>
    <w:rsid w:val="00C047B5"/>
    <w:rsid w:val="00C04893"/>
    <w:rsid w:val="00C0513B"/>
    <w:rsid w:val="00C05D5E"/>
    <w:rsid w:val="00C0655D"/>
    <w:rsid w:val="00C078AA"/>
    <w:rsid w:val="00C07D30"/>
    <w:rsid w:val="00C11743"/>
    <w:rsid w:val="00C11D82"/>
    <w:rsid w:val="00C12B77"/>
    <w:rsid w:val="00C12F62"/>
    <w:rsid w:val="00C13799"/>
    <w:rsid w:val="00C141BC"/>
    <w:rsid w:val="00C14D3F"/>
    <w:rsid w:val="00C14FED"/>
    <w:rsid w:val="00C161FB"/>
    <w:rsid w:val="00C16531"/>
    <w:rsid w:val="00C169E9"/>
    <w:rsid w:val="00C16AB8"/>
    <w:rsid w:val="00C16DB3"/>
    <w:rsid w:val="00C2070F"/>
    <w:rsid w:val="00C22C7C"/>
    <w:rsid w:val="00C25A6C"/>
    <w:rsid w:val="00C25F84"/>
    <w:rsid w:val="00C31F22"/>
    <w:rsid w:val="00C32703"/>
    <w:rsid w:val="00C33319"/>
    <w:rsid w:val="00C34D72"/>
    <w:rsid w:val="00C35749"/>
    <w:rsid w:val="00C35919"/>
    <w:rsid w:val="00C35A55"/>
    <w:rsid w:val="00C35B8C"/>
    <w:rsid w:val="00C36E72"/>
    <w:rsid w:val="00C36EF6"/>
    <w:rsid w:val="00C379C0"/>
    <w:rsid w:val="00C403EC"/>
    <w:rsid w:val="00C45DC8"/>
    <w:rsid w:val="00C46A42"/>
    <w:rsid w:val="00C50520"/>
    <w:rsid w:val="00C50B29"/>
    <w:rsid w:val="00C517A8"/>
    <w:rsid w:val="00C549BE"/>
    <w:rsid w:val="00C55011"/>
    <w:rsid w:val="00C55111"/>
    <w:rsid w:val="00C57079"/>
    <w:rsid w:val="00C57AEA"/>
    <w:rsid w:val="00C608CB"/>
    <w:rsid w:val="00C60C6F"/>
    <w:rsid w:val="00C60EEB"/>
    <w:rsid w:val="00C6408C"/>
    <w:rsid w:val="00C64896"/>
    <w:rsid w:val="00C6774C"/>
    <w:rsid w:val="00C67E0F"/>
    <w:rsid w:val="00C70618"/>
    <w:rsid w:val="00C70ECC"/>
    <w:rsid w:val="00C7212B"/>
    <w:rsid w:val="00C729FD"/>
    <w:rsid w:val="00C735B0"/>
    <w:rsid w:val="00C73D19"/>
    <w:rsid w:val="00C73F63"/>
    <w:rsid w:val="00C74296"/>
    <w:rsid w:val="00C75D75"/>
    <w:rsid w:val="00C75EAC"/>
    <w:rsid w:val="00C75FBF"/>
    <w:rsid w:val="00C775CF"/>
    <w:rsid w:val="00C81531"/>
    <w:rsid w:val="00C817FC"/>
    <w:rsid w:val="00C831C7"/>
    <w:rsid w:val="00C837D8"/>
    <w:rsid w:val="00C83839"/>
    <w:rsid w:val="00C84231"/>
    <w:rsid w:val="00C875A9"/>
    <w:rsid w:val="00C87D69"/>
    <w:rsid w:val="00C92CB2"/>
    <w:rsid w:val="00C93500"/>
    <w:rsid w:val="00C93627"/>
    <w:rsid w:val="00C94666"/>
    <w:rsid w:val="00C958A1"/>
    <w:rsid w:val="00C961A4"/>
    <w:rsid w:val="00C962A1"/>
    <w:rsid w:val="00C96998"/>
    <w:rsid w:val="00C96EEA"/>
    <w:rsid w:val="00CA0556"/>
    <w:rsid w:val="00CA07A1"/>
    <w:rsid w:val="00CA1D99"/>
    <w:rsid w:val="00CA250D"/>
    <w:rsid w:val="00CA7001"/>
    <w:rsid w:val="00CA7275"/>
    <w:rsid w:val="00CB0533"/>
    <w:rsid w:val="00CB21A9"/>
    <w:rsid w:val="00CB2E03"/>
    <w:rsid w:val="00CB3C19"/>
    <w:rsid w:val="00CB3DFA"/>
    <w:rsid w:val="00CB707F"/>
    <w:rsid w:val="00CC1F04"/>
    <w:rsid w:val="00CC2465"/>
    <w:rsid w:val="00CC27D1"/>
    <w:rsid w:val="00CC3AD9"/>
    <w:rsid w:val="00CC430B"/>
    <w:rsid w:val="00CC68E4"/>
    <w:rsid w:val="00CC763E"/>
    <w:rsid w:val="00CD1FAF"/>
    <w:rsid w:val="00CD2239"/>
    <w:rsid w:val="00CD22CE"/>
    <w:rsid w:val="00CD26D7"/>
    <w:rsid w:val="00CD3BE2"/>
    <w:rsid w:val="00CD4AE5"/>
    <w:rsid w:val="00CD5061"/>
    <w:rsid w:val="00CD6D1C"/>
    <w:rsid w:val="00CD7626"/>
    <w:rsid w:val="00CD78C5"/>
    <w:rsid w:val="00CE0B03"/>
    <w:rsid w:val="00CE16B9"/>
    <w:rsid w:val="00CE1CA7"/>
    <w:rsid w:val="00CE2B9E"/>
    <w:rsid w:val="00CE314E"/>
    <w:rsid w:val="00CE3A61"/>
    <w:rsid w:val="00CE433C"/>
    <w:rsid w:val="00CE47B0"/>
    <w:rsid w:val="00CE4938"/>
    <w:rsid w:val="00CE60CB"/>
    <w:rsid w:val="00CE79CC"/>
    <w:rsid w:val="00CF335C"/>
    <w:rsid w:val="00CF446B"/>
    <w:rsid w:val="00CF4B56"/>
    <w:rsid w:val="00CF7B39"/>
    <w:rsid w:val="00CF7BFD"/>
    <w:rsid w:val="00D0009F"/>
    <w:rsid w:val="00D00838"/>
    <w:rsid w:val="00D025D9"/>
    <w:rsid w:val="00D02868"/>
    <w:rsid w:val="00D03BF0"/>
    <w:rsid w:val="00D03CB9"/>
    <w:rsid w:val="00D05512"/>
    <w:rsid w:val="00D059B3"/>
    <w:rsid w:val="00D124D0"/>
    <w:rsid w:val="00D12933"/>
    <w:rsid w:val="00D137D0"/>
    <w:rsid w:val="00D13C2C"/>
    <w:rsid w:val="00D14758"/>
    <w:rsid w:val="00D167D7"/>
    <w:rsid w:val="00D17493"/>
    <w:rsid w:val="00D17C96"/>
    <w:rsid w:val="00D21E62"/>
    <w:rsid w:val="00D221DF"/>
    <w:rsid w:val="00D22E2A"/>
    <w:rsid w:val="00D22FFE"/>
    <w:rsid w:val="00D232C5"/>
    <w:rsid w:val="00D274E7"/>
    <w:rsid w:val="00D27D62"/>
    <w:rsid w:val="00D301F6"/>
    <w:rsid w:val="00D324DB"/>
    <w:rsid w:val="00D32CCE"/>
    <w:rsid w:val="00D3397D"/>
    <w:rsid w:val="00D35227"/>
    <w:rsid w:val="00D353D1"/>
    <w:rsid w:val="00D36A51"/>
    <w:rsid w:val="00D36EA2"/>
    <w:rsid w:val="00D43AD4"/>
    <w:rsid w:val="00D44145"/>
    <w:rsid w:val="00D50579"/>
    <w:rsid w:val="00D5061B"/>
    <w:rsid w:val="00D50A9E"/>
    <w:rsid w:val="00D5125A"/>
    <w:rsid w:val="00D5147D"/>
    <w:rsid w:val="00D520BB"/>
    <w:rsid w:val="00D53A61"/>
    <w:rsid w:val="00D53A7D"/>
    <w:rsid w:val="00D54351"/>
    <w:rsid w:val="00D55306"/>
    <w:rsid w:val="00D56060"/>
    <w:rsid w:val="00D56D97"/>
    <w:rsid w:val="00D57B5E"/>
    <w:rsid w:val="00D604D0"/>
    <w:rsid w:val="00D60784"/>
    <w:rsid w:val="00D6175D"/>
    <w:rsid w:val="00D6200E"/>
    <w:rsid w:val="00D63A02"/>
    <w:rsid w:val="00D65B50"/>
    <w:rsid w:val="00D67945"/>
    <w:rsid w:val="00D67B14"/>
    <w:rsid w:val="00D701B7"/>
    <w:rsid w:val="00D70E30"/>
    <w:rsid w:val="00D70F66"/>
    <w:rsid w:val="00D722D6"/>
    <w:rsid w:val="00D72EDA"/>
    <w:rsid w:val="00D731CC"/>
    <w:rsid w:val="00D7382D"/>
    <w:rsid w:val="00D74025"/>
    <w:rsid w:val="00D74116"/>
    <w:rsid w:val="00D74FC8"/>
    <w:rsid w:val="00D77244"/>
    <w:rsid w:val="00D8032A"/>
    <w:rsid w:val="00D8140E"/>
    <w:rsid w:val="00D81AFB"/>
    <w:rsid w:val="00D821BC"/>
    <w:rsid w:val="00D82F23"/>
    <w:rsid w:val="00D83394"/>
    <w:rsid w:val="00D87C5F"/>
    <w:rsid w:val="00D909D3"/>
    <w:rsid w:val="00D91CF1"/>
    <w:rsid w:val="00D9291E"/>
    <w:rsid w:val="00D953FE"/>
    <w:rsid w:val="00D95FFA"/>
    <w:rsid w:val="00D96B5B"/>
    <w:rsid w:val="00D976F3"/>
    <w:rsid w:val="00DA0A61"/>
    <w:rsid w:val="00DA215A"/>
    <w:rsid w:val="00DA3C3F"/>
    <w:rsid w:val="00DA4298"/>
    <w:rsid w:val="00DA5AAE"/>
    <w:rsid w:val="00DB4C17"/>
    <w:rsid w:val="00DB541B"/>
    <w:rsid w:val="00DB58AD"/>
    <w:rsid w:val="00DB627B"/>
    <w:rsid w:val="00DB67AD"/>
    <w:rsid w:val="00DB7C93"/>
    <w:rsid w:val="00DC0636"/>
    <w:rsid w:val="00DC0952"/>
    <w:rsid w:val="00DC0972"/>
    <w:rsid w:val="00DC0EC4"/>
    <w:rsid w:val="00DC3038"/>
    <w:rsid w:val="00DC3B83"/>
    <w:rsid w:val="00DC6703"/>
    <w:rsid w:val="00DC719C"/>
    <w:rsid w:val="00DC7AF0"/>
    <w:rsid w:val="00DC7FA8"/>
    <w:rsid w:val="00DD4877"/>
    <w:rsid w:val="00DD5646"/>
    <w:rsid w:val="00DD65CB"/>
    <w:rsid w:val="00DD6A30"/>
    <w:rsid w:val="00DD6D44"/>
    <w:rsid w:val="00DD6EA4"/>
    <w:rsid w:val="00DD7E17"/>
    <w:rsid w:val="00DE2E7D"/>
    <w:rsid w:val="00DE400D"/>
    <w:rsid w:val="00DE4567"/>
    <w:rsid w:val="00DE4E15"/>
    <w:rsid w:val="00DE60D3"/>
    <w:rsid w:val="00DE6307"/>
    <w:rsid w:val="00DE6B90"/>
    <w:rsid w:val="00DF0C57"/>
    <w:rsid w:val="00DF0EE9"/>
    <w:rsid w:val="00DF1B65"/>
    <w:rsid w:val="00DF3074"/>
    <w:rsid w:val="00DF341D"/>
    <w:rsid w:val="00DF3462"/>
    <w:rsid w:val="00DF398A"/>
    <w:rsid w:val="00DF43E2"/>
    <w:rsid w:val="00DF4921"/>
    <w:rsid w:val="00DF57DD"/>
    <w:rsid w:val="00DF6D3D"/>
    <w:rsid w:val="00DF73E5"/>
    <w:rsid w:val="00E016E4"/>
    <w:rsid w:val="00E01774"/>
    <w:rsid w:val="00E017AE"/>
    <w:rsid w:val="00E017CC"/>
    <w:rsid w:val="00E025B1"/>
    <w:rsid w:val="00E025BA"/>
    <w:rsid w:val="00E02963"/>
    <w:rsid w:val="00E02E91"/>
    <w:rsid w:val="00E02EA3"/>
    <w:rsid w:val="00E0313B"/>
    <w:rsid w:val="00E035D1"/>
    <w:rsid w:val="00E06C2B"/>
    <w:rsid w:val="00E116E2"/>
    <w:rsid w:val="00E12CB8"/>
    <w:rsid w:val="00E130C9"/>
    <w:rsid w:val="00E13346"/>
    <w:rsid w:val="00E14296"/>
    <w:rsid w:val="00E1493B"/>
    <w:rsid w:val="00E16494"/>
    <w:rsid w:val="00E17CCA"/>
    <w:rsid w:val="00E20184"/>
    <w:rsid w:val="00E202D7"/>
    <w:rsid w:val="00E20FF6"/>
    <w:rsid w:val="00E21BEA"/>
    <w:rsid w:val="00E220DD"/>
    <w:rsid w:val="00E225D8"/>
    <w:rsid w:val="00E226D1"/>
    <w:rsid w:val="00E2317D"/>
    <w:rsid w:val="00E237F9"/>
    <w:rsid w:val="00E268BC"/>
    <w:rsid w:val="00E30ABA"/>
    <w:rsid w:val="00E3501F"/>
    <w:rsid w:val="00E379B1"/>
    <w:rsid w:val="00E37E1A"/>
    <w:rsid w:val="00E40595"/>
    <w:rsid w:val="00E43522"/>
    <w:rsid w:val="00E45A5F"/>
    <w:rsid w:val="00E46643"/>
    <w:rsid w:val="00E5083F"/>
    <w:rsid w:val="00E51CD4"/>
    <w:rsid w:val="00E51ED1"/>
    <w:rsid w:val="00E52F25"/>
    <w:rsid w:val="00E532CB"/>
    <w:rsid w:val="00E5438F"/>
    <w:rsid w:val="00E548F3"/>
    <w:rsid w:val="00E54B2F"/>
    <w:rsid w:val="00E555F1"/>
    <w:rsid w:val="00E55B1D"/>
    <w:rsid w:val="00E56180"/>
    <w:rsid w:val="00E563E7"/>
    <w:rsid w:val="00E569F2"/>
    <w:rsid w:val="00E56C97"/>
    <w:rsid w:val="00E56D93"/>
    <w:rsid w:val="00E5705C"/>
    <w:rsid w:val="00E570FF"/>
    <w:rsid w:val="00E57E0B"/>
    <w:rsid w:val="00E6003F"/>
    <w:rsid w:val="00E61AB7"/>
    <w:rsid w:val="00E628FF"/>
    <w:rsid w:val="00E6368E"/>
    <w:rsid w:val="00E63ECE"/>
    <w:rsid w:val="00E6500F"/>
    <w:rsid w:val="00E702B9"/>
    <w:rsid w:val="00E72406"/>
    <w:rsid w:val="00E7278A"/>
    <w:rsid w:val="00E72F80"/>
    <w:rsid w:val="00E73048"/>
    <w:rsid w:val="00E75B6B"/>
    <w:rsid w:val="00E77691"/>
    <w:rsid w:val="00E77A60"/>
    <w:rsid w:val="00E77FC2"/>
    <w:rsid w:val="00E80723"/>
    <w:rsid w:val="00E81375"/>
    <w:rsid w:val="00E81A19"/>
    <w:rsid w:val="00E82952"/>
    <w:rsid w:val="00E84082"/>
    <w:rsid w:val="00E851C2"/>
    <w:rsid w:val="00E86DA3"/>
    <w:rsid w:val="00E87EE2"/>
    <w:rsid w:val="00E93D18"/>
    <w:rsid w:val="00E95237"/>
    <w:rsid w:val="00E95BFF"/>
    <w:rsid w:val="00E97403"/>
    <w:rsid w:val="00E97713"/>
    <w:rsid w:val="00E97AB1"/>
    <w:rsid w:val="00EA0DB9"/>
    <w:rsid w:val="00EA190B"/>
    <w:rsid w:val="00EA19A3"/>
    <w:rsid w:val="00EA2729"/>
    <w:rsid w:val="00EA3EB7"/>
    <w:rsid w:val="00EA721B"/>
    <w:rsid w:val="00EB03EC"/>
    <w:rsid w:val="00EB064A"/>
    <w:rsid w:val="00EB5E81"/>
    <w:rsid w:val="00EB7037"/>
    <w:rsid w:val="00EB76BC"/>
    <w:rsid w:val="00EB7BA1"/>
    <w:rsid w:val="00EB7F3A"/>
    <w:rsid w:val="00EC0958"/>
    <w:rsid w:val="00EC0B3A"/>
    <w:rsid w:val="00EC226A"/>
    <w:rsid w:val="00EC2CC4"/>
    <w:rsid w:val="00EC2CEA"/>
    <w:rsid w:val="00EC2F8C"/>
    <w:rsid w:val="00EC33F5"/>
    <w:rsid w:val="00EC4218"/>
    <w:rsid w:val="00EC4A08"/>
    <w:rsid w:val="00EC5DEA"/>
    <w:rsid w:val="00EC5E4F"/>
    <w:rsid w:val="00ED0D10"/>
    <w:rsid w:val="00ED1C60"/>
    <w:rsid w:val="00ED2285"/>
    <w:rsid w:val="00ED31BD"/>
    <w:rsid w:val="00ED4147"/>
    <w:rsid w:val="00ED7748"/>
    <w:rsid w:val="00ED7C8E"/>
    <w:rsid w:val="00EE0809"/>
    <w:rsid w:val="00EE1915"/>
    <w:rsid w:val="00EE3BC8"/>
    <w:rsid w:val="00EE3E58"/>
    <w:rsid w:val="00EE4028"/>
    <w:rsid w:val="00EE403B"/>
    <w:rsid w:val="00EE41E0"/>
    <w:rsid w:val="00EE58CC"/>
    <w:rsid w:val="00EE5D59"/>
    <w:rsid w:val="00EE5FDA"/>
    <w:rsid w:val="00EE76D8"/>
    <w:rsid w:val="00EE7F1D"/>
    <w:rsid w:val="00EF0D79"/>
    <w:rsid w:val="00EF132C"/>
    <w:rsid w:val="00EF2AE8"/>
    <w:rsid w:val="00EF4933"/>
    <w:rsid w:val="00EF4FD4"/>
    <w:rsid w:val="00EF5A6D"/>
    <w:rsid w:val="00EF6068"/>
    <w:rsid w:val="00F03794"/>
    <w:rsid w:val="00F04D6F"/>
    <w:rsid w:val="00F04EEB"/>
    <w:rsid w:val="00F059D1"/>
    <w:rsid w:val="00F061D6"/>
    <w:rsid w:val="00F06411"/>
    <w:rsid w:val="00F07B0E"/>
    <w:rsid w:val="00F10826"/>
    <w:rsid w:val="00F12F10"/>
    <w:rsid w:val="00F1407B"/>
    <w:rsid w:val="00F15440"/>
    <w:rsid w:val="00F163CB"/>
    <w:rsid w:val="00F16822"/>
    <w:rsid w:val="00F1759B"/>
    <w:rsid w:val="00F20199"/>
    <w:rsid w:val="00F20A8F"/>
    <w:rsid w:val="00F214F4"/>
    <w:rsid w:val="00F24786"/>
    <w:rsid w:val="00F24BBF"/>
    <w:rsid w:val="00F24EE8"/>
    <w:rsid w:val="00F2613B"/>
    <w:rsid w:val="00F26EA5"/>
    <w:rsid w:val="00F27EAA"/>
    <w:rsid w:val="00F321EB"/>
    <w:rsid w:val="00F3221C"/>
    <w:rsid w:val="00F32360"/>
    <w:rsid w:val="00F32596"/>
    <w:rsid w:val="00F336C9"/>
    <w:rsid w:val="00F34551"/>
    <w:rsid w:val="00F34FC7"/>
    <w:rsid w:val="00F369F3"/>
    <w:rsid w:val="00F36DA2"/>
    <w:rsid w:val="00F3741D"/>
    <w:rsid w:val="00F4078C"/>
    <w:rsid w:val="00F40F08"/>
    <w:rsid w:val="00F41165"/>
    <w:rsid w:val="00F4223D"/>
    <w:rsid w:val="00F437BF"/>
    <w:rsid w:val="00F43FF4"/>
    <w:rsid w:val="00F45D65"/>
    <w:rsid w:val="00F46982"/>
    <w:rsid w:val="00F471BD"/>
    <w:rsid w:val="00F475E8"/>
    <w:rsid w:val="00F50101"/>
    <w:rsid w:val="00F50616"/>
    <w:rsid w:val="00F50A59"/>
    <w:rsid w:val="00F5271E"/>
    <w:rsid w:val="00F538A4"/>
    <w:rsid w:val="00F538EF"/>
    <w:rsid w:val="00F564B2"/>
    <w:rsid w:val="00F57677"/>
    <w:rsid w:val="00F61E2D"/>
    <w:rsid w:val="00F63320"/>
    <w:rsid w:val="00F63385"/>
    <w:rsid w:val="00F6348D"/>
    <w:rsid w:val="00F65064"/>
    <w:rsid w:val="00F652B4"/>
    <w:rsid w:val="00F6679C"/>
    <w:rsid w:val="00F66BC5"/>
    <w:rsid w:val="00F676F5"/>
    <w:rsid w:val="00F6796C"/>
    <w:rsid w:val="00F7029E"/>
    <w:rsid w:val="00F703D3"/>
    <w:rsid w:val="00F7059C"/>
    <w:rsid w:val="00F709B2"/>
    <w:rsid w:val="00F7354A"/>
    <w:rsid w:val="00F736FA"/>
    <w:rsid w:val="00F7706C"/>
    <w:rsid w:val="00F8096A"/>
    <w:rsid w:val="00F8141E"/>
    <w:rsid w:val="00F8199E"/>
    <w:rsid w:val="00F820E3"/>
    <w:rsid w:val="00F82638"/>
    <w:rsid w:val="00F84704"/>
    <w:rsid w:val="00F84B08"/>
    <w:rsid w:val="00F85E4E"/>
    <w:rsid w:val="00F85E7B"/>
    <w:rsid w:val="00F86CBC"/>
    <w:rsid w:val="00F8766F"/>
    <w:rsid w:val="00F87A98"/>
    <w:rsid w:val="00F90435"/>
    <w:rsid w:val="00F90E49"/>
    <w:rsid w:val="00F91013"/>
    <w:rsid w:val="00F910B9"/>
    <w:rsid w:val="00F91961"/>
    <w:rsid w:val="00F919D7"/>
    <w:rsid w:val="00F9509D"/>
    <w:rsid w:val="00F955A6"/>
    <w:rsid w:val="00F95668"/>
    <w:rsid w:val="00F96906"/>
    <w:rsid w:val="00F97A98"/>
    <w:rsid w:val="00FA077D"/>
    <w:rsid w:val="00FA280D"/>
    <w:rsid w:val="00FA2EB7"/>
    <w:rsid w:val="00FA3DCF"/>
    <w:rsid w:val="00FA51B3"/>
    <w:rsid w:val="00FA59A5"/>
    <w:rsid w:val="00FA5C98"/>
    <w:rsid w:val="00FA6004"/>
    <w:rsid w:val="00FA6BF8"/>
    <w:rsid w:val="00FA6D29"/>
    <w:rsid w:val="00FA7009"/>
    <w:rsid w:val="00FA77F2"/>
    <w:rsid w:val="00FB074A"/>
    <w:rsid w:val="00FB0840"/>
    <w:rsid w:val="00FB6AFA"/>
    <w:rsid w:val="00FC0307"/>
    <w:rsid w:val="00FC08CA"/>
    <w:rsid w:val="00FC0E48"/>
    <w:rsid w:val="00FC1A6F"/>
    <w:rsid w:val="00FC28C9"/>
    <w:rsid w:val="00FC34CF"/>
    <w:rsid w:val="00FC4B8D"/>
    <w:rsid w:val="00FC5101"/>
    <w:rsid w:val="00FC5818"/>
    <w:rsid w:val="00FC5877"/>
    <w:rsid w:val="00FC7CDC"/>
    <w:rsid w:val="00FD26CB"/>
    <w:rsid w:val="00FD3009"/>
    <w:rsid w:val="00FD41F5"/>
    <w:rsid w:val="00FD4A52"/>
    <w:rsid w:val="00FD6876"/>
    <w:rsid w:val="00FD7998"/>
    <w:rsid w:val="00FD7BFB"/>
    <w:rsid w:val="00FE39F7"/>
    <w:rsid w:val="00FE605E"/>
    <w:rsid w:val="00FE765B"/>
    <w:rsid w:val="00FE795C"/>
    <w:rsid w:val="00FF284C"/>
    <w:rsid w:val="00FF502C"/>
    <w:rsid w:val="00FF5C35"/>
    <w:rsid w:val="00FF5D8C"/>
    <w:rsid w:val="00FF6996"/>
    <w:rsid w:val="00FF6DFE"/>
    <w:rsid w:val="00FF6F1D"/>
    <w:rsid w:val="00FF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8B81586-87D1-46D4-BF03-44CAFB5B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D83"/>
    <w:pPr>
      <w:spacing w:after="200" w:line="276" w:lineRule="auto"/>
    </w:pPr>
    <w:rPr>
      <w:rFonts w:cs="Times New Roman"/>
      <w:sz w:val="22"/>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551"/>
    <w:pPr>
      <w:ind w:left="720"/>
      <w:contextualSpacing/>
    </w:pPr>
    <w:rPr>
      <w:lang w:val="ru-RU"/>
    </w:rPr>
  </w:style>
  <w:style w:type="character" w:styleId="a4">
    <w:name w:val="Emphasis"/>
    <w:basedOn w:val="a0"/>
    <w:uiPriority w:val="20"/>
    <w:qFormat/>
    <w:rsid w:val="00F34551"/>
    <w:rPr>
      <w:rFonts w:cs="Times New Roman"/>
      <w:i/>
    </w:rPr>
  </w:style>
  <w:style w:type="paragraph" w:customStyle="1" w:styleId="Default">
    <w:name w:val="Default"/>
    <w:rsid w:val="00B4560E"/>
    <w:pPr>
      <w:autoSpaceDE w:val="0"/>
      <w:autoSpaceDN w:val="0"/>
      <w:adjustRightInd w:val="0"/>
    </w:pPr>
    <w:rPr>
      <w:rFonts w:ascii="Arial" w:hAnsi="Arial" w:cs="Arial"/>
      <w:color w:val="000000"/>
      <w:sz w:val="24"/>
      <w:szCs w:val="24"/>
      <w:lang w:val="uk-UA" w:eastAsia="en-US"/>
    </w:rPr>
  </w:style>
  <w:style w:type="character" w:styleId="a5">
    <w:name w:val="Hyperlink"/>
    <w:basedOn w:val="a0"/>
    <w:uiPriority w:val="99"/>
    <w:semiHidden/>
    <w:unhideWhenUsed/>
    <w:rsid w:val="00A26EB4"/>
    <w:rPr>
      <w:rFonts w:cs="Times New Roman"/>
      <w:color w:val="0000FF"/>
      <w:u w:val="single"/>
    </w:rPr>
  </w:style>
  <w:style w:type="paragraph" w:styleId="a6">
    <w:name w:val="Body Text"/>
    <w:basedOn w:val="a"/>
    <w:link w:val="a7"/>
    <w:uiPriority w:val="99"/>
    <w:qFormat/>
    <w:rsid w:val="002D1028"/>
    <w:pPr>
      <w:widowControl w:val="0"/>
      <w:spacing w:after="0" w:line="240" w:lineRule="auto"/>
      <w:ind w:left="112"/>
      <w:jc w:val="both"/>
    </w:pPr>
    <w:rPr>
      <w:rFonts w:ascii="Times New Roman" w:hAnsi="Times New Roman"/>
      <w:sz w:val="28"/>
      <w:szCs w:val="28"/>
      <w:lang w:val="en-US" w:eastAsia="ru-RU"/>
    </w:rPr>
  </w:style>
  <w:style w:type="character" w:customStyle="1" w:styleId="a7">
    <w:name w:val="Основной текст Знак"/>
    <w:basedOn w:val="a0"/>
    <w:link w:val="a6"/>
    <w:uiPriority w:val="99"/>
    <w:locked/>
    <w:rsid w:val="002D1028"/>
    <w:rPr>
      <w:rFonts w:ascii="Times New Roman" w:hAnsi="Times New Roman" w:cs="Times New Roman"/>
      <w:sz w:val="28"/>
      <w:lang w:val="en-US" w:eastAsia="x-none"/>
    </w:rPr>
  </w:style>
  <w:style w:type="paragraph" w:customStyle="1" w:styleId="Pa01">
    <w:name w:val="Pa0+1"/>
    <w:basedOn w:val="a"/>
    <w:next w:val="a"/>
    <w:uiPriority w:val="99"/>
    <w:rsid w:val="00387963"/>
    <w:pPr>
      <w:autoSpaceDE w:val="0"/>
      <w:autoSpaceDN w:val="0"/>
      <w:adjustRightInd w:val="0"/>
      <w:spacing w:after="0" w:line="241" w:lineRule="atLeast"/>
    </w:pPr>
    <w:rPr>
      <w:rFonts w:ascii="Times New Roman" w:hAnsi="Times New Roman"/>
      <w:sz w:val="24"/>
      <w:szCs w:val="24"/>
    </w:rPr>
  </w:style>
  <w:style w:type="character" w:customStyle="1" w:styleId="A31">
    <w:name w:val="A3+1"/>
    <w:uiPriority w:val="99"/>
    <w:rsid w:val="00387963"/>
    <w:rPr>
      <w:color w:val="000000"/>
      <w:sz w:val="18"/>
    </w:rPr>
  </w:style>
  <w:style w:type="paragraph" w:customStyle="1" w:styleId="Pa02">
    <w:name w:val="Pa0+2"/>
    <w:basedOn w:val="a"/>
    <w:next w:val="a"/>
    <w:uiPriority w:val="99"/>
    <w:rsid w:val="00387963"/>
    <w:pPr>
      <w:autoSpaceDE w:val="0"/>
      <w:autoSpaceDN w:val="0"/>
      <w:adjustRightInd w:val="0"/>
      <w:spacing w:after="0" w:line="241" w:lineRule="atLeast"/>
    </w:pPr>
    <w:rPr>
      <w:rFonts w:ascii="Garamond" w:hAnsi="Garamond"/>
      <w:sz w:val="24"/>
      <w:szCs w:val="24"/>
    </w:rPr>
  </w:style>
  <w:style w:type="character" w:customStyle="1" w:styleId="A32">
    <w:name w:val="A3+2"/>
    <w:uiPriority w:val="99"/>
    <w:rsid w:val="00387963"/>
    <w:rPr>
      <w:b/>
      <w:color w:val="000000"/>
      <w:sz w:val="120"/>
    </w:rPr>
  </w:style>
  <w:style w:type="character" w:customStyle="1" w:styleId="apple-converted-space">
    <w:name w:val="apple-converted-space"/>
    <w:basedOn w:val="a0"/>
    <w:rsid w:val="0015178A"/>
    <w:rPr>
      <w:rFonts w:cs="Times New Roman"/>
    </w:rPr>
  </w:style>
  <w:style w:type="character" w:customStyle="1" w:styleId="rvts12">
    <w:name w:val="rvts12"/>
    <w:basedOn w:val="a0"/>
    <w:rsid w:val="0015178A"/>
    <w:rPr>
      <w:rFonts w:cs="Times New Roman"/>
    </w:rPr>
  </w:style>
  <w:style w:type="character" w:customStyle="1" w:styleId="rvts13">
    <w:name w:val="rvts13"/>
    <w:basedOn w:val="a0"/>
    <w:rsid w:val="0015178A"/>
    <w:rPr>
      <w:rFonts w:cs="Times New Roman"/>
    </w:rPr>
  </w:style>
  <w:style w:type="character" w:customStyle="1" w:styleId="rvts8">
    <w:name w:val="rvts8"/>
    <w:basedOn w:val="a0"/>
    <w:rsid w:val="0015178A"/>
    <w:rPr>
      <w:rFonts w:cs="Times New Roman"/>
    </w:rPr>
  </w:style>
  <w:style w:type="paragraph" w:styleId="a8">
    <w:name w:val="endnote text"/>
    <w:basedOn w:val="a"/>
    <w:link w:val="a9"/>
    <w:uiPriority w:val="99"/>
    <w:semiHidden/>
    <w:unhideWhenUsed/>
    <w:rsid w:val="007A362A"/>
    <w:pPr>
      <w:spacing w:after="0" w:line="240" w:lineRule="auto"/>
    </w:pPr>
    <w:rPr>
      <w:sz w:val="20"/>
      <w:szCs w:val="20"/>
      <w:lang w:val="ru-RU" w:eastAsia="ru-RU"/>
    </w:rPr>
  </w:style>
  <w:style w:type="character" w:customStyle="1" w:styleId="a9">
    <w:name w:val="Текст концевой сноски Знак"/>
    <w:basedOn w:val="a0"/>
    <w:link w:val="a8"/>
    <w:uiPriority w:val="99"/>
    <w:semiHidden/>
    <w:locked/>
    <w:rsid w:val="007A362A"/>
    <w:rPr>
      <w:rFonts w:cs="Times New Roman"/>
      <w:sz w:val="20"/>
    </w:rPr>
  </w:style>
  <w:style w:type="character" w:styleId="aa">
    <w:name w:val="endnote reference"/>
    <w:basedOn w:val="a0"/>
    <w:uiPriority w:val="99"/>
    <w:semiHidden/>
    <w:unhideWhenUsed/>
    <w:rsid w:val="007A362A"/>
    <w:rPr>
      <w:rFonts w:cs="Times New Roman"/>
      <w:vertAlign w:val="superscript"/>
    </w:rPr>
  </w:style>
  <w:style w:type="character" w:styleId="ab">
    <w:name w:val="Strong"/>
    <w:basedOn w:val="a0"/>
    <w:uiPriority w:val="22"/>
    <w:qFormat/>
    <w:rsid w:val="00A402AC"/>
    <w:rPr>
      <w:rFonts w:cs="Times New Roman"/>
      <w:b/>
    </w:rPr>
  </w:style>
  <w:style w:type="paragraph" w:styleId="ac">
    <w:name w:val="Body Text Indent"/>
    <w:basedOn w:val="a"/>
    <w:link w:val="ad"/>
    <w:uiPriority w:val="99"/>
    <w:unhideWhenUsed/>
    <w:rsid w:val="00287006"/>
    <w:pPr>
      <w:spacing w:after="120"/>
      <w:ind w:left="283"/>
    </w:pPr>
  </w:style>
  <w:style w:type="character" w:customStyle="1" w:styleId="ad">
    <w:name w:val="Основной текст с отступом Знак"/>
    <w:basedOn w:val="a0"/>
    <w:link w:val="ac"/>
    <w:uiPriority w:val="99"/>
    <w:locked/>
    <w:rsid w:val="00287006"/>
    <w:rPr>
      <w:rFonts w:cs="Times New Roman"/>
    </w:rPr>
  </w:style>
  <w:style w:type="paragraph" w:styleId="ae">
    <w:name w:val="No Spacing"/>
    <w:link w:val="af"/>
    <w:uiPriority w:val="99"/>
    <w:qFormat/>
    <w:rsid w:val="00287006"/>
    <w:rPr>
      <w:rFonts w:cs="Times New Roman"/>
      <w:lang w:eastAsia="uk-UA"/>
    </w:rPr>
  </w:style>
  <w:style w:type="character" w:customStyle="1" w:styleId="af">
    <w:name w:val="Без интервала Знак"/>
    <w:link w:val="ae"/>
    <w:uiPriority w:val="99"/>
    <w:locked/>
    <w:rsid w:val="00287006"/>
    <w:rPr>
      <w:lang w:val="ru-RU" w:eastAsia="uk-UA"/>
    </w:rPr>
  </w:style>
  <w:style w:type="character" w:customStyle="1" w:styleId="hps">
    <w:name w:val="hps"/>
    <w:uiPriority w:val="99"/>
    <w:rsid w:val="006908E6"/>
  </w:style>
  <w:style w:type="paragraph" w:customStyle="1" w:styleId="rvps2">
    <w:name w:val="rvps2"/>
    <w:basedOn w:val="a"/>
    <w:rsid w:val="00AC335E"/>
    <w:pPr>
      <w:spacing w:before="100" w:beforeAutospacing="1" w:after="100" w:afterAutospacing="1" w:line="240" w:lineRule="auto"/>
    </w:pPr>
    <w:rPr>
      <w:rFonts w:ascii="Times New Roman" w:hAnsi="Times New Roman"/>
      <w:sz w:val="24"/>
      <w:szCs w:val="24"/>
      <w:lang w:val="ru-RU" w:eastAsia="ru-RU"/>
    </w:rPr>
  </w:style>
  <w:style w:type="table" w:styleId="af0">
    <w:name w:val="Table Grid"/>
    <w:basedOn w:val="a1"/>
    <w:uiPriority w:val="59"/>
    <w:rsid w:val="008266D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420E1C"/>
    <w:pPr>
      <w:tabs>
        <w:tab w:val="center" w:pos="4819"/>
        <w:tab w:val="right" w:pos="9639"/>
      </w:tabs>
      <w:spacing w:after="0" w:line="240" w:lineRule="auto"/>
    </w:pPr>
  </w:style>
  <w:style w:type="character" w:customStyle="1" w:styleId="af2">
    <w:name w:val="Верхний колонтитул Знак"/>
    <w:basedOn w:val="a0"/>
    <w:link w:val="af1"/>
    <w:uiPriority w:val="99"/>
    <w:locked/>
    <w:rsid w:val="00420E1C"/>
    <w:rPr>
      <w:rFonts w:cs="Times New Roman"/>
    </w:rPr>
  </w:style>
  <w:style w:type="paragraph" w:styleId="af3">
    <w:name w:val="footer"/>
    <w:basedOn w:val="a"/>
    <w:link w:val="af4"/>
    <w:uiPriority w:val="99"/>
    <w:unhideWhenUsed/>
    <w:rsid w:val="00420E1C"/>
    <w:pPr>
      <w:tabs>
        <w:tab w:val="center" w:pos="4819"/>
        <w:tab w:val="right" w:pos="9639"/>
      </w:tabs>
      <w:spacing w:after="0" w:line="240" w:lineRule="auto"/>
    </w:pPr>
  </w:style>
  <w:style w:type="character" w:customStyle="1" w:styleId="af4">
    <w:name w:val="Нижний колонтитул Знак"/>
    <w:basedOn w:val="a0"/>
    <w:link w:val="af3"/>
    <w:uiPriority w:val="99"/>
    <w:locked/>
    <w:rsid w:val="00420E1C"/>
    <w:rPr>
      <w:rFonts w:cs="Times New Roman"/>
    </w:rPr>
  </w:style>
  <w:style w:type="paragraph" w:styleId="af5">
    <w:name w:val="Balloon Text"/>
    <w:basedOn w:val="a"/>
    <w:link w:val="af6"/>
    <w:uiPriority w:val="99"/>
    <w:semiHidden/>
    <w:unhideWhenUsed/>
    <w:rsid w:val="00A21A4F"/>
    <w:pPr>
      <w:spacing w:after="0" w:line="240" w:lineRule="auto"/>
    </w:pPr>
    <w:rPr>
      <w:rFonts w:ascii="Tahoma" w:hAnsi="Tahoma"/>
      <w:sz w:val="16"/>
      <w:szCs w:val="16"/>
      <w:lang w:val="ru-RU" w:eastAsia="ru-RU"/>
    </w:rPr>
  </w:style>
  <w:style w:type="character" w:customStyle="1" w:styleId="af6">
    <w:name w:val="Текст выноски Знак"/>
    <w:basedOn w:val="a0"/>
    <w:link w:val="af5"/>
    <w:uiPriority w:val="99"/>
    <w:semiHidden/>
    <w:locked/>
    <w:rsid w:val="00A21A4F"/>
    <w:rPr>
      <w:rFonts w:ascii="Tahoma" w:hAnsi="Tahoma" w:cs="Times New Roman"/>
      <w:sz w:val="16"/>
    </w:rPr>
  </w:style>
  <w:style w:type="paragraph" w:styleId="af7">
    <w:name w:val="Normal (Web)"/>
    <w:basedOn w:val="a"/>
    <w:uiPriority w:val="99"/>
    <w:rsid w:val="00047242"/>
    <w:pPr>
      <w:spacing w:before="100" w:beforeAutospacing="1" w:after="100" w:afterAutospacing="1" w:line="240" w:lineRule="auto"/>
    </w:pPr>
    <w:rPr>
      <w:rFonts w:ascii="Times New Roman" w:hAnsi="Times New Roman"/>
      <w:sz w:val="24"/>
      <w:szCs w:val="24"/>
      <w:lang w:eastAsia="uk-UA"/>
    </w:rPr>
  </w:style>
  <w:style w:type="paragraph" w:styleId="af8">
    <w:name w:val="Plain Text"/>
    <w:basedOn w:val="a"/>
    <w:link w:val="af9"/>
    <w:uiPriority w:val="99"/>
    <w:rsid w:val="004727A2"/>
    <w:pPr>
      <w:widowControl w:val="0"/>
      <w:spacing w:after="0" w:line="240" w:lineRule="auto"/>
    </w:pPr>
    <w:rPr>
      <w:rFonts w:ascii="Courier New" w:hAnsi="Courier New"/>
      <w:sz w:val="20"/>
      <w:szCs w:val="20"/>
      <w:lang w:val="ru-RU" w:eastAsia="ru-RU"/>
    </w:rPr>
  </w:style>
  <w:style w:type="character" w:customStyle="1" w:styleId="af9">
    <w:name w:val="Текст Знак"/>
    <w:basedOn w:val="a0"/>
    <w:link w:val="af8"/>
    <w:uiPriority w:val="99"/>
    <w:locked/>
    <w:rsid w:val="004727A2"/>
    <w:rPr>
      <w:rFonts w:ascii="Courier New" w:hAnsi="Courier New" w:cs="Times New Roman"/>
      <w:lang w:val="ru-RU" w:eastAsia="ru-RU"/>
    </w:rPr>
  </w:style>
  <w:style w:type="character" w:customStyle="1" w:styleId="jrnl">
    <w:name w:val="jrnl"/>
    <w:rsid w:val="00B02501"/>
  </w:style>
  <w:style w:type="paragraph" w:styleId="HTML">
    <w:name w:val="HTML Preformatted"/>
    <w:basedOn w:val="a"/>
    <w:link w:val="HTML0"/>
    <w:uiPriority w:val="99"/>
    <w:unhideWhenUsed/>
    <w:rsid w:val="007D6A90"/>
    <w:rPr>
      <w:rFonts w:ascii="Courier New" w:hAnsi="Courier New"/>
      <w:sz w:val="20"/>
      <w:szCs w:val="20"/>
    </w:rPr>
  </w:style>
  <w:style w:type="character" w:customStyle="1" w:styleId="HTML0">
    <w:name w:val="Стандартный HTML Знак"/>
    <w:basedOn w:val="a0"/>
    <w:link w:val="HTML"/>
    <w:uiPriority w:val="99"/>
    <w:locked/>
    <w:rsid w:val="007D6A90"/>
    <w:rPr>
      <w:rFonts w:ascii="Courier New" w:hAnsi="Courier New" w:cs="Times New Roman"/>
      <w:lang w:val="uk-UA" w:eastAsia="en-US"/>
    </w:rPr>
  </w:style>
  <w:style w:type="paragraph" w:customStyle="1" w:styleId="atextRef">
    <w:name w:val="atextRef"/>
    <w:basedOn w:val="Default"/>
    <w:rsid w:val="00804933"/>
    <w:pPr>
      <w:spacing w:line="264" w:lineRule="auto"/>
      <w:ind w:firstLine="680"/>
      <w:jc w:val="both"/>
    </w:pPr>
    <w:rPr>
      <w:rFonts w:ascii="Times New Roman" w:hAnsi="Times New Roman"/>
      <w:color w:val="auto"/>
      <w:sz w:val="28"/>
      <w:szCs w:val="28"/>
    </w:rPr>
  </w:style>
  <w:style w:type="paragraph" w:customStyle="1" w:styleId="arefZag">
    <w:name w:val="arefZag"/>
    <w:basedOn w:val="a"/>
    <w:rsid w:val="00804933"/>
    <w:pPr>
      <w:spacing w:before="480" w:after="120" w:line="240" w:lineRule="auto"/>
      <w:jc w:val="center"/>
    </w:pPr>
    <w:rPr>
      <w:rFonts w:ascii="Times New Roman" w:hAnsi="Times New Roman"/>
      <w:b/>
      <w:sz w:val="28"/>
      <w:szCs w:val="28"/>
    </w:rPr>
  </w:style>
  <w:style w:type="paragraph" w:customStyle="1" w:styleId="aTablNumber">
    <w:name w:val="aTablNumber"/>
    <w:basedOn w:val="a"/>
    <w:rsid w:val="005822B0"/>
    <w:pPr>
      <w:spacing w:after="0" w:line="240" w:lineRule="auto"/>
      <w:ind w:firstLine="709"/>
      <w:jc w:val="right"/>
    </w:pPr>
    <w:rPr>
      <w:rFonts w:ascii="Times New Roman" w:hAnsi="Times New Roman"/>
      <w:i/>
      <w:sz w:val="28"/>
      <w:szCs w:val="28"/>
    </w:rPr>
  </w:style>
  <w:style w:type="paragraph" w:customStyle="1" w:styleId="aTablName">
    <w:name w:val="aTablName"/>
    <w:basedOn w:val="a"/>
    <w:qFormat/>
    <w:rsid w:val="005822B0"/>
    <w:pPr>
      <w:spacing w:after="0" w:line="240" w:lineRule="auto"/>
      <w:jc w:val="center"/>
    </w:pPr>
    <w:rPr>
      <w:rFonts w:ascii="Times New Roman" w:hAnsi="Times New Roman"/>
      <w:b/>
      <w:sz w:val="28"/>
      <w:szCs w:val="28"/>
    </w:rPr>
  </w:style>
  <w:style w:type="paragraph" w:customStyle="1" w:styleId="aTableText">
    <w:name w:val="aTableText"/>
    <w:basedOn w:val="a"/>
    <w:rsid w:val="005822B0"/>
    <w:pPr>
      <w:autoSpaceDE w:val="0"/>
      <w:autoSpaceDN w:val="0"/>
      <w:adjustRightInd w:val="0"/>
      <w:spacing w:after="0" w:line="240" w:lineRule="auto"/>
      <w:jc w:val="center"/>
    </w:pPr>
    <w:rPr>
      <w:rFonts w:ascii="Times New Roman" w:hAnsi="Times New Roman"/>
      <w:sz w:val="28"/>
      <w:szCs w:val="28"/>
    </w:rPr>
  </w:style>
  <w:style w:type="paragraph" w:customStyle="1" w:styleId="annot">
    <w:name w:val="annot"/>
    <w:basedOn w:val="a"/>
    <w:next w:val="a"/>
    <w:rsid w:val="004868FD"/>
    <w:pPr>
      <w:spacing w:after="240" w:line="240" w:lineRule="auto"/>
      <w:jc w:val="center"/>
    </w:pPr>
    <w:rPr>
      <w:rFonts w:ascii="Times New Roman" w:hAnsi="Times New Roman"/>
      <w:b/>
      <w:sz w:val="28"/>
      <w:szCs w:val="28"/>
    </w:rPr>
  </w:style>
  <w:style w:type="paragraph" w:customStyle="1" w:styleId="atextSpisLit">
    <w:name w:val="a_textSpisLit"/>
    <w:basedOn w:val="a"/>
    <w:rsid w:val="004868FD"/>
    <w:pPr>
      <w:numPr>
        <w:numId w:val="20"/>
      </w:numPr>
      <w:spacing w:after="0" w:line="264" w:lineRule="auto"/>
      <w:ind w:firstLine="680"/>
      <w:jc w:val="both"/>
    </w:pPr>
    <w:rPr>
      <w:rFonts w:ascii="Times New Roman" w:hAnsi="Times New Roman"/>
      <w:iCs/>
      <w:sz w:val="28"/>
      <w:szCs w:val="20"/>
      <w:lang w:val="ru-RU" w:eastAsia="ru-RU"/>
    </w:rPr>
  </w:style>
  <w:style w:type="paragraph" w:customStyle="1" w:styleId="aTableText2">
    <w:name w:val="aTableText2"/>
    <w:basedOn w:val="aTableText"/>
    <w:rsid w:val="004868FD"/>
    <w:pPr>
      <w:spacing w:line="264"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98559">
      <w:marLeft w:val="0"/>
      <w:marRight w:val="0"/>
      <w:marTop w:val="0"/>
      <w:marBottom w:val="0"/>
      <w:divBdr>
        <w:top w:val="none" w:sz="0" w:space="0" w:color="auto"/>
        <w:left w:val="none" w:sz="0" w:space="0" w:color="auto"/>
        <w:bottom w:val="none" w:sz="0" w:space="0" w:color="auto"/>
        <w:right w:val="none" w:sz="0" w:space="0" w:color="auto"/>
      </w:divBdr>
    </w:div>
    <w:div w:id="1192298560">
      <w:marLeft w:val="0"/>
      <w:marRight w:val="0"/>
      <w:marTop w:val="0"/>
      <w:marBottom w:val="0"/>
      <w:divBdr>
        <w:top w:val="none" w:sz="0" w:space="0" w:color="auto"/>
        <w:left w:val="none" w:sz="0" w:space="0" w:color="auto"/>
        <w:bottom w:val="none" w:sz="0" w:space="0" w:color="auto"/>
        <w:right w:val="none" w:sz="0" w:space="0" w:color="auto"/>
      </w:divBdr>
    </w:div>
    <w:div w:id="1192298561">
      <w:marLeft w:val="0"/>
      <w:marRight w:val="0"/>
      <w:marTop w:val="0"/>
      <w:marBottom w:val="0"/>
      <w:divBdr>
        <w:top w:val="none" w:sz="0" w:space="0" w:color="auto"/>
        <w:left w:val="none" w:sz="0" w:space="0" w:color="auto"/>
        <w:bottom w:val="none" w:sz="0" w:space="0" w:color="auto"/>
        <w:right w:val="none" w:sz="0" w:space="0" w:color="auto"/>
      </w:divBdr>
    </w:div>
    <w:div w:id="1192298562">
      <w:marLeft w:val="0"/>
      <w:marRight w:val="0"/>
      <w:marTop w:val="0"/>
      <w:marBottom w:val="0"/>
      <w:divBdr>
        <w:top w:val="none" w:sz="0" w:space="0" w:color="auto"/>
        <w:left w:val="none" w:sz="0" w:space="0" w:color="auto"/>
        <w:bottom w:val="none" w:sz="0" w:space="0" w:color="auto"/>
        <w:right w:val="none" w:sz="0" w:space="0" w:color="auto"/>
      </w:divBdr>
    </w:div>
    <w:div w:id="1192298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544F-7C45-4131-96F1-3A73146F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15171</Words>
  <Characters>86480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dc:description/>
  <cp:lastModifiedBy>User</cp:lastModifiedBy>
  <cp:revision>2</cp:revision>
  <cp:lastPrinted>2019-04-21T19:24:00Z</cp:lastPrinted>
  <dcterms:created xsi:type="dcterms:W3CDTF">2019-11-21T14:53:00Z</dcterms:created>
  <dcterms:modified xsi:type="dcterms:W3CDTF">2019-11-21T14:53:00Z</dcterms:modified>
</cp:coreProperties>
</file>