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3" w:rsidRPr="00ED1215" w:rsidRDefault="00F70D73" w:rsidP="00F70D73">
      <w:pPr>
        <w:jc w:val="center"/>
        <w:rPr>
          <w:bCs/>
          <w:i/>
          <w:lang w:val="uk-UA"/>
        </w:rPr>
      </w:pPr>
      <w:r w:rsidRPr="00ED1215">
        <w:rPr>
          <w:b/>
          <w:bCs/>
          <w:lang w:val="uk-UA"/>
        </w:rPr>
        <w:t>ТРУДНОЩІ ДІАГНОСТИКИ МНОЖИННОЇ МІЄЛОМИ У ПАЦІЄНТКИ У ПІСЛЯТРАНСПЛАНТАЦІЙНОМУ ПЕРІОДІ:  КЛІНІЧНИЙ ВИПАДОК</w:t>
      </w:r>
      <w:r w:rsidRPr="00ED1215">
        <w:rPr>
          <w:bCs/>
          <w:i/>
          <w:lang w:val="uk-UA"/>
        </w:rPr>
        <w:t xml:space="preserve"> </w:t>
      </w:r>
    </w:p>
    <w:p w:rsidR="00F70D73" w:rsidRPr="006D41E4" w:rsidRDefault="00F70D73" w:rsidP="00F70D73">
      <w:pPr>
        <w:jc w:val="center"/>
        <w:rPr>
          <w:bCs/>
          <w:i/>
          <w:vertAlign w:val="superscript"/>
          <w:lang w:val="uk-UA"/>
        </w:rPr>
      </w:pPr>
      <w:proofErr w:type="spellStart"/>
      <w:r w:rsidRPr="00ED1215">
        <w:rPr>
          <w:bCs/>
          <w:i/>
          <w:lang w:val="uk-UA"/>
        </w:rPr>
        <w:t>Андон’єва</w:t>
      </w:r>
      <w:proofErr w:type="spellEnd"/>
      <w:r w:rsidRPr="00ED1215">
        <w:rPr>
          <w:bCs/>
          <w:i/>
          <w:lang w:val="uk-UA"/>
        </w:rPr>
        <w:t xml:space="preserve"> Н. М.</w:t>
      </w:r>
      <w:r w:rsidRPr="00ED1215">
        <w:rPr>
          <w:bCs/>
          <w:i/>
          <w:vertAlign w:val="superscript"/>
          <w:lang w:val="uk-UA"/>
        </w:rPr>
        <w:t xml:space="preserve"> 1,2</w:t>
      </w:r>
      <w:r w:rsidRPr="00ED1215">
        <w:rPr>
          <w:bCs/>
          <w:i/>
          <w:lang w:val="uk-UA"/>
        </w:rPr>
        <w:t xml:space="preserve">, </w:t>
      </w:r>
      <w:proofErr w:type="spellStart"/>
      <w:r w:rsidR="00575A8E" w:rsidRPr="00ED1215">
        <w:rPr>
          <w:bCs/>
          <w:i/>
          <w:lang w:val="uk-UA"/>
        </w:rPr>
        <w:t>Желєзнікова</w:t>
      </w:r>
      <w:proofErr w:type="spellEnd"/>
      <w:r w:rsidR="00575A8E" w:rsidRPr="00ED1215">
        <w:rPr>
          <w:bCs/>
          <w:i/>
          <w:lang w:val="uk-UA"/>
        </w:rPr>
        <w:t xml:space="preserve"> М. О.</w:t>
      </w:r>
      <w:r w:rsidR="00575A8E" w:rsidRPr="00ED1215">
        <w:rPr>
          <w:bCs/>
          <w:i/>
          <w:vertAlign w:val="superscript"/>
          <w:lang w:val="uk-UA"/>
        </w:rPr>
        <w:t>1,2</w:t>
      </w:r>
      <w:r w:rsidR="00575A8E">
        <w:rPr>
          <w:bCs/>
          <w:i/>
          <w:lang w:val="uk-UA"/>
        </w:rPr>
        <w:t xml:space="preserve">, </w:t>
      </w:r>
      <w:r w:rsidRPr="00ED1215">
        <w:rPr>
          <w:bCs/>
          <w:i/>
          <w:lang w:val="uk-UA"/>
        </w:rPr>
        <w:t>Лісова Г. В.</w:t>
      </w:r>
      <w:r w:rsidRPr="00ED1215">
        <w:rPr>
          <w:bCs/>
          <w:i/>
          <w:vertAlign w:val="superscript"/>
          <w:lang w:val="uk-UA"/>
        </w:rPr>
        <w:t xml:space="preserve"> 1</w:t>
      </w:r>
    </w:p>
    <w:p w:rsidR="00F70D73" w:rsidRPr="00ED1215" w:rsidRDefault="00F70D73" w:rsidP="00F70D73">
      <w:pPr>
        <w:jc w:val="center"/>
        <w:rPr>
          <w:bCs/>
          <w:lang w:val="uk-UA"/>
        </w:rPr>
      </w:pPr>
      <w:r w:rsidRPr="00ED1215">
        <w:rPr>
          <w:bCs/>
          <w:i/>
          <w:vertAlign w:val="superscript"/>
          <w:lang w:val="uk-UA"/>
        </w:rPr>
        <w:t>1</w:t>
      </w:r>
      <w:r w:rsidRPr="00ED1215">
        <w:rPr>
          <w:bCs/>
          <w:lang w:val="uk-UA"/>
        </w:rPr>
        <w:t>Харківський національний медичний університет</w:t>
      </w:r>
    </w:p>
    <w:p w:rsidR="00F70D73" w:rsidRPr="00ED1215" w:rsidRDefault="00F70D73" w:rsidP="00F70D73">
      <w:pPr>
        <w:jc w:val="center"/>
        <w:rPr>
          <w:bCs/>
          <w:lang w:val="uk-UA"/>
        </w:rPr>
      </w:pPr>
      <w:r w:rsidRPr="00ED1215">
        <w:rPr>
          <w:bCs/>
          <w:i/>
          <w:vertAlign w:val="superscript"/>
          <w:lang w:val="uk-UA"/>
        </w:rPr>
        <w:t>2</w:t>
      </w:r>
      <w:r w:rsidRPr="00ED1215">
        <w:rPr>
          <w:bCs/>
          <w:lang w:val="uk-UA"/>
        </w:rPr>
        <w:t>Обласний медичний клінічний центр урології, нефрології ім. В. І. Шаповала, м. Харків</w:t>
      </w:r>
    </w:p>
    <w:p w:rsidR="00F70D73" w:rsidRPr="00ED1215" w:rsidRDefault="00F70D73" w:rsidP="00F70D73">
      <w:pPr>
        <w:ind w:firstLine="709"/>
        <w:rPr>
          <w:lang w:val="uk-UA"/>
        </w:rPr>
      </w:pPr>
    </w:p>
    <w:p w:rsidR="0096635B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Мієломна хвороба (МХ, хвороба </w:t>
      </w:r>
      <w:proofErr w:type="spellStart"/>
      <w:r w:rsidRPr="00ED1215">
        <w:rPr>
          <w:lang w:val="uk-UA"/>
        </w:rPr>
        <w:t>Рустицького-Калера</w:t>
      </w:r>
      <w:proofErr w:type="spellEnd"/>
      <w:r w:rsidRPr="00ED1215">
        <w:rPr>
          <w:lang w:val="uk-UA"/>
        </w:rPr>
        <w:t xml:space="preserve">, множинна мієлома, </w:t>
      </w:r>
      <w:proofErr w:type="spellStart"/>
      <w:r w:rsidRPr="00ED1215">
        <w:rPr>
          <w:lang w:val="uk-UA"/>
        </w:rPr>
        <w:t>плазмоцитома</w:t>
      </w:r>
      <w:proofErr w:type="spellEnd"/>
      <w:r w:rsidRPr="00ED1215">
        <w:rPr>
          <w:lang w:val="uk-UA"/>
        </w:rPr>
        <w:t xml:space="preserve">) – це </w:t>
      </w:r>
      <w:proofErr w:type="spellStart"/>
      <w:r w:rsidRPr="00ED1215">
        <w:rPr>
          <w:lang w:val="uk-UA"/>
        </w:rPr>
        <w:t>клональне</w:t>
      </w:r>
      <w:proofErr w:type="spellEnd"/>
      <w:r w:rsidRPr="00ED1215">
        <w:rPr>
          <w:lang w:val="uk-UA"/>
        </w:rPr>
        <w:t xml:space="preserve"> злоякісне </w:t>
      </w:r>
      <w:proofErr w:type="spellStart"/>
      <w:r w:rsidRPr="00ED1215">
        <w:rPr>
          <w:lang w:val="uk-UA"/>
        </w:rPr>
        <w:t>лімфопроліферативне</w:t>
      </w:r>
      <w:proofErr w:type="spellEnd"/>
      <w:r w:rsidRPr="00ED1215">
        <w:rPr>
          <w:lang w:val="uk-UA"/>
        </w:rPr>
        <w:t xml:space="preserve"> захворювання, що характеризується неконтрольованою проліферацією та накопиченням плазматичних клітин і В-лімфоцитів у крові та кістковому мозку, які здатні продукувати значну кількість моноклональних імуноглобулінів і/або їх фрагментів , і </w:t>
      </w:r>
      <w:proofErr w:type="spellStart"/>
      <w:r w:rsidRPr="00ED1215">
        <w:rPr>
          <w:lang w:val="uk-UA"/>
        </w:rPr>
        <w:t>остеолітичними</w:t>
      </w:r>
      <w:proofErr w:type="spellEnd"/>
      <w:r w:rsidRPr="00ED1215">
        <w:rPr>
          <w:lang w:val="uk-UA"/>
        </w:rPr>
        <w:t xml:space="preserve"> ураженнями кісток.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Множинна мієлома – сама часта пухлина з групи Ig- </w:t>
      </w:r>
      <w:proofErr w:type="spellStart"/>
      <w:r w:rsidRPr="00ED1215">
        <w:rPr>
          <w:lang w:val="uk-UA"/>
        </w:rPr>
        <w:t>секретуючих</w:t>
      </w:r>
      <w:proofErr w:type="spellEnd"/>
      <w:r w:rsidRPr="00ED1215">
        <w:rPr>
          <w:lang w:val="uk-UA"/>
        </w:rPr>
        <w:t xml:space="preserve"> лімфом. Становить 1 % всіх </w:t>
      </w:r>
      <w:proofErr w:type="spellStart"/>
      <w:r w:rsidRPr="00ED1215">
        <w:rPr>
          <w:lang w:val="uk-UA"/>
        </w:rPr>
        <w:t>онкозахворювань</w:t>
      </w:r>
      <w:proofErr w:type="spellEnd"/>
      <w:r w:rsidRPr="00ED1215">
        <w:rPr>
          <w:lang w:val="uk-UA"/>
        </w:rPr>
        <w:t xml:space="preserve"> та 5% всіх </w:t>
      </w:r>
      <w:proofErr w:type="spellStart"/>
      <w:r w:rsidRPr="00ED1215">
        <w:rPr>
          <w:lang w:val="uk-UA"/>
        </w:rPr>
        <w:t>гемобластозів</w:t>
      </w:r>
      <w:proofErr w:type="spellEnd"/>
      <w:r w:rsidRPr="00ED1215">
        <w:rPr>
          <w:lang w:val="uk-UA"/>
        </w:rPr>
        <w:t>, частота ММ в Європі – 3-5 на 100000 населення на рік, чоловіки і жінки хворіють однаково часто, переважний вік хворих- 50-70 років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За оцінками експертів, приблизно у 25 % пацієнтів із множинною мієломою впродовж 5 років від моменту виникнення розвивається ниркова недостатність. Ураження нирок при цьому є наслідком надлишкової продукції моноклональних легких ланцюгів імуноглобулінів </w:t>
      </w:r>
      <w:proofErr w:type="spellStart"/>
      <w:r w:rsidRPr="00ED1215">
        <w:rPr>
          <w:lang w:val="uk-UA"/>
        </w:rPr>
        <w:t>швидкопроліферуючим</w:t>
      </w:r>
      <w:proofErr w:type="spellEnd"/>
      <w:r w:rsidRPr="00ED1215">
        <w:rPr>
          <w:lang w:val="uk-UA"/>
        </w:rPr>
        <w:t xml:space="preserve"> клоном плазматичних клітин. Ці аномальні білки легко фільтруються клубочками нирок і викликають інтенсивне ураження канальців, що призводить до прогресування хронічної ниркової недостатності.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 Клінічні симптоми: виникають внаслідок проліферації пухлинних плазмоцитів та секреції ними моноклональних (патологічних) білків і </w:t>
      </w:r>
      <w:proofErr w:type="spellStart"/>
      <w:r w:rsidRPr="00ED1215">
        <w:rPr>
          <w:lang w:val="uk-UA"/>
        </w:rPr>
        <w:t>цитокінів</w:t>
      </w:r>
      <w:proofErr w:type="spellEnd"/>
      <w:r w:rsidRPr="00ED1215">
        <w:rPr>
          <w:lang w:val="uk-UA"/>
        </w:rPr>
        <w:t>: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>1)</w:t>
      </w:r>
      <w:proofErr w:type="spellStart"/>
      <w:r w:rsidRPr="00ED1215">
        <w:rPr>
          <w:lang w:val="uk-UA"/>
        </w:rPr>
        <w:t> загальні cимптоми —</w:t>
      </w:r>
      <w:proofErr w:type="spellEnd"/>
      <w:r w:rsidRPr="00ED1215">
        <w:rPr>
          <w:lang w:val="uk-UA"/>
        </w:rPr>
        <w:t> слабкість і втрата маси тіла;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lastRenderedPageBreak/>
        <w:t>2)</w:t>
      </w:r>
      <w:proofErr w:type="spellStart"/>
      <w:r w:rsidRPr="00ED1215">
        <w:rPr>
          <w:lang w:val="uk-UA"/>
        </w:rPr>
        <w:t> оссалгі</w:t>
      </w:r>
      <w:proofErr w:type="spellEnd"/>
      <w:r w:rsidRPr="00ED1215">
        <w:rPr>
          <w:lang w:val="uk-UA"/>
        </w:rPr>
        <w:t>я (найчастіший прояв)</w:t>
      </w:r>
      <w:proofErr w:type="spellStart"/>
      <w:r w:rsidRPr="00ED1215">
        <w:rPr>
          <w:lang w:val="uk-UA"/>
        </w:rPr>
        <w:t> </w:t>
      </w:r>
      <w:r w:rsidR="001319D1">
        <w:rPr>
          <w:lang w:val="uk-UA"/>
        </w:rPr>
        <w:t>–</w:t>
      </w:r>
      <w:r w:rsidRPr="00ED1215">
        <w:rPr>
          <w:lang w:val="uk-UA"/>
        </w:rPr>
        <w:t> локалізуєтьс</w:t>
      </w:r>
      <w:proofErr w:type="spellEnd"/>
      <w:r w:rsidRPr="00ED1215">
        <w:rPr>
          <w:lang w:val="uk-UA"/>
        </w:rPr>
        <w:t xml:space="preserve">я в поперековому відділі хребта, кістках тазу, ребрах, рідше в черепі та трубчастих кістках,  зумовлена </w:t>
      </w:r>
      <w:proofErr w:type="spellStart"/>
      <w:r w:rsidRPr="00ED1215">
        <w:rPr>
          <w:lang w:val="uk-UA"/>
        </w:rPr>
        <w:t>остеолітичними</w:t>
      </w:r>
      <w:proofErr w:type="spellEnd"/>
      <w:r w:rsidRPr="00ED1215">
        <w:rPr>
          <w:lang w:val="uk-UA"/>
        </w:rPr>
        <w:t xml:space="preserve"> змінами та патологічними переломами кісток (напр., компресійними переломами хребців);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3) неврологічні симптоми — внаслідок компресії або ушкодження спинного мозку, спинномозкових корінців або черепних нервів патологічними переломами (напр. хребців) або безпосередньо пухлиною: найчастіше </w:t>
      </w:r>
      <w:proofErr w:type="spellStart"/>
      <w:r w:rsidRPr="00ED1215">
        <w:rPr>
          <w:lang w:val="uk-UA"/>
        </w:rPr>
        <w:t>радикулопатія</w:t>
      </w:r>
      <w:proofErr w:type="spellEnd"/>
      <w:r w:rsidRPr="00ED1215">
        <w:rPr>
          <w:lang w:val="uk-UA"/>
        </w:rPr>
        <w:t xml:space="preserve">, іноді парези, паралічі кінцівок, нетримання сечі або калу; сенсорна або </w:t>
      </w:r>
      <w:proofErr w:type="spellStart"/>
      <w:r w:rsidRPr="00ED1215">
        <w:rPr>
          <w:lang w:val="uk-UA"/>
        </w:rPr>
        <w:t>сенсомоторна</w:t>
      </w:r>
      <w:proofErr w:type="spellEnd"/>
      <w:r w:rsidRPr="00ED1215">
        <w:rPr>
          <w:lang w:val="uk-UA"/>
        </w:rPr>
        <w:t xml:space="preserve"> периферична </w:t>
      </w:r>
      <w:proofErr w:type="spellStart"/>
      <w:r w:rsidRPr="00ED1215">
        <w:rPr>
          <w:lang w:val="uk-UA"/>
        </w:rPr>
        <w:t>нейропатія</w:t>
      </w:r>
      <w:proofErr w:type="spellEnd"/>
      <w:r w:rsidRPr="00ED1215">
        <w:rPr>
          <w:lang w:val="uk-UA"/>
        </w:rPr>
        <w:t xml:space="preserve">, симетрична і дистальна, рідко на момент  діагностування захворювання, частіша у хворих із супутнім амілоїдозом легких ланцюгів імуноглобулінів та при POEMS-синдромі, а також у хворих, які отримують </w:t>
      </w:r>
      <w:proofErr w:type="spellStart"/>
      <w:r w:rsidRPr="00ED1215">
        <w:rPr>
          <w:lang w:val="uk-UA"/>
        </w:rPr>
        <w:t>нейротоксичні</w:t>
      </w:r>
      <w:proofErr w:type="spellEnd"/>
      <w:r w:rsidRPr="00ED1215">
        <w:rPr>
          <w:lang w:val="uk-UA"/>
        </w:rPr>
        <w:t xml:space="preserve"> ЛЗ (</w:t>
      </w:r>
      <w:proofErr w:type="spellStart"/>
      <w:r w:rsidRPr="00ED1215">
        <w:rPr>
          <w:lang w:val="uk-UA"/>
        </w:rPr>
        <w:t>талідомід</w:t>
      </w:r>
      <w:proofErr w:type="spellEnd"/>
      <w:r w:rsidRPr="00ED1215">
        <w:rPr>
          <w:lang w:val="uk-UA"/>
        </w:rPr>
        <w:t>, бортезоміб);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>4) симптоми анемії (≈70 %)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5) прояви </w:t>
      </w:r>
      <w:proofErr w:type="spellStart"/>
      <w:r w:rsidRPr="00ED1215">
        <w:rPr>
          <w:lang w:val="uk-UA"/>
        </w:rPr>
        <w:t>гіперкальціємії</w:t>
      </w:r>
      <w:proofErr w:type="spellEnd"/>
      <w:r w:rsidRPr="00ED1215">
        <w:rPr>
          <w:lang w:val="uk-UA"/>
        </w:rPr>
        <w:t xml:space="preserve"> та її наслідків.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6) повторні бактеріальні інфекції дихальної та сечовидільної систем, а також вірусні інфекції (грип, оперізуючий </w:t>
      </w:r>
      <w:proofErr w:type="spellStart"/>
      <w:r w:rsidRPr="00ED1215">
        <w:rPr>
          <w:lang w:val="uk-UA"/>
        </w:rPr>
        <w:t>герпес</w:t>
      </w:r>
      <w:proofErr w:type="spellEnd"/>
      <w:r w:rsidRPr="00ED1215">
        <w:rPr>
          <w:lang w:val="uk-UA"/>
        </w:rPr>
        <w:t>);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7) симптоми ниркової недостатності — у ≈30 % хворих на момент встановлення діагнозу ММ; найчастіше це </w:t>
      </w:r>
      <w:proofErr w:type="spellStart"/>
      <w:r w:rsidRPr="00ED1215">
        <w:rPr>
          <w:lang w:val="uk-UA"/>
        </w:rPr>
        <w:t>тубуло-інтерстиціальний</w:t>
      </w:r>
      <w:proofErr w:type="spellEnd"/>
      <w:r w:rsidRPr="00ED1215">
        <w:rPr>
          <w:lang w:val="uk-UA"/>
        </w:rPr>
        <w:t xml:space="preserve"> нефрит, спричинений </w:t>
      </w:r>
      <w:proofErr w:type="spellStart"/>
      <w:r w:rsidRPr="00ED1215">
        <w:rPr>
          <w:lang w:val="uk-UA"/>
        </w:rPr>
        <w:t>інтратубулярними</w:t>
      </w:r>
      <w:proofErr w:type="spellEnd"/>
      <w:r w:rsidRPr="00ED1215">
        <w:rPr>
          <w:lang w:val="uk-UA"/>
        </w:rPr>
        <w:t xml:space="preserve"> циліндрами, які сформувались із легких ланцюгів у сечі;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>8) прояви синдрому підвищеної в’язкості крові (у &lt;10 % хворих): найчастіше геморагічний діатез (кровотечі з носа і ясен, пурпура), погіршення гостроти зору, прояви з боку ЦНС (біль голови, раптова глухота, запаморочення, атаксія, ністагм, розлади свідомості), загострення серцевої недостатності;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9) рідше – </w:t>
      </w:r>
      <w:proofErr w:type="spellStart"/>
      <w:r w:rsidRPr="00ED1215">
        <w:rPr>
          <w:lang w:val="uk-UA"/>
        </w:rPr>
        <w:t>екстрамедулярні</w:t>
      </w:r>
      <w:proofErr w:type="spellEnd"/>
      <w:r w:rsidRPr="00ED1215">
        <w:rPr>
          <w:lang w:val="uk-UA"/>
        </w:rPr>
        <w:t xml:space="preserve"> </w:t>
      </w:r>
      <w:proofErr w:type="spellStart"/>
      <w:r w:rsidRPr="00ED1215">
        <w:rPr>
          <w:lang w:val="uk-UA"/>
        </w:rPr>
        <w:t>плазмоцитоми</w:t>
      </w:r>
      <w:proofErr w:type="spellEnd"/>
      <w:r w:rsidRPr="00ED1215">
        <w:rPr>
          <w:lang w:val="uk-UA"/>
        </w:rPr>
        <w:t xml:space="preserve">, симптоми супутнього AL-амілоїдозу, </w:t>
      </w:r>
      <w:proofErr w:type="spellStart"/>
      <w:r w:rsidRPr="00ED1215">
        <w:rPr>
          <w:lang w:val="uk-UA"/>
        </w:rPr>
        <w:t>гепатомегалія</w:t>
      </w:r>
      <w:proofErr w:type="spellEnd"/>
      <w:r w:rsidRPr="00ED1215">
        <w:rPr>
          <w:lang w:val="uk-UA"/>
        </w:rPr>
        <w:t xml:space="preserve">, збільшення периферичних лімфовузлів та селезінки, сидром де </w:t>
      </w:r>
      <w:proofErr w:type="spellStart"/>
      <w:r w:rsidRPr="00ED1215">
        <w:rPr>
          <w:lang w:val="uk-UA"/>
        </w:rPr>
        <w:t>Тоні-Дебре-Фанконі</w:t>
      </w:r>
      <w:proofErr w:type="spellEnd"/>
      <w:r w:rsidRPr="00ED1215">
        <w:rPr>
          <w:lang w:val="uk-UA"/>
        </w:rPr>
        <w:t>.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lastRenderedPageBreak/>
        <w:t xml:space="preserve">Далі надаємо клінічне спостереження хворої на множинну мієлому, </w:t>
      </w:r>
      <w:r w:rsidR="00ED1215" w:rsidRPr="00ED1215">
        <w:rPr>
          <w:lang w:val="uk-UA"/>
        </w:rPr>
        <w:t xml:space="preserve">що </w:t>
      </w:r>
      <w:r w:rsidRPr="00ED1215">
        <w:rPr>
          <w:lang w:val="uk-UA"/>
        </w:rPr>
        <w:t xml:space="preserve">призвела до вторинного системного амілоїдозу, </w:t>
      </w:r>
      <w:proofErr w:type="spellStart"/>
      <w:r w:rsidRPr="00ED1215">
        <w:rPr>
          <w:lang w:val="uk-UA"/>
        </w:rPr>
        <w:t>поліорганної</w:t>
      </w:r>
      <w:proofErr w:type="spellEnd"/>
      <w:r w:rsidRPr="00ED1215">
        <w:rPr>
          <w:lang w:val="uk-UA"/>
        </w:rPr>
        <w:t xml:space="preserve"> недостатності та загибелі хворої</w:t>
      </w:r>
      <w:r w:rsidR="00ED1215" w:rsidRPr="00ED1215">
        <w:rPr>
          <w:lang w:val="uk-UA"/>
        </w:rPr>
        <w:t xml:space="preserve"> у </w:t>
      </w:r>
      <w:proofErr w:type="spellStart"/>
      <w:r w:rsidR="00ED1215" w:rsidRPr="00ED1215">
        <w:rPr>
          <w:lang w:val="uk-UA"/>
        </w:rPr>
        <w:t>посттрансплантаційному</w:t>
      </w:r>
      <w:proofErr w:type="spellEnd"/>
      <w:r w:rsidR="00ED1215" w:rsidRPr="00ED1215">
        <w:rPr>
          <w:lang w:val="uk-UA"/>
        </w:rPr>
        <w:t xml:space="preserve"> періоді.</w:t>
      </w:r>
    </w:p>
    <w:p w:rsidR="00F70D73" w:rsidRPr="00ED1215" w:rsidRDefault="003E65D6" w:rsidP="00ED1215">
      <w:pPr>
        <w:ind w:firstLine="709"/>
        <w:rPr>
          <w:lang w:val="uk-UA"/>
        </w:rPr>
      </w:pPr>
      <w:r w:rsidRPr="003E65D6">
        <w:rPr>
          <w:b/>
          <w:lang w:val="uk-UA"/>
        </w:rPr>
        <w:t>Клінічне спостереження.</w:t>
      </w:r>
      <w:r>
        <w:rPr>
          <w:lang w:val="uk-UA"/>
        </w:rPr>
        <w:t xml:space="preserve"> </w:t>
      </w:r>
      <w:r w:rsidR="00F70D73" w:rsidRPr="00ED1215">
        <w:rPr>
          <w:lang w:val="uk-UA"/>
        </w:rPr>
        <w:t xml:space="preserve">Хвора 1961 </w:t>
      </w:r>
      <w:proofErr w:type="spellStart"/>
      <w:r w:rsidR="00F70D73" w:rsidRPr="00ED1215">
        <w:rPr>
          <w:lang w:val="uk-UA"/>
        </w:rPr>
        <w:t>р.н</w:t>
      </w:r>
      <w:proofErr w:type="spellEnd"/>
      <w:r w:rsidR="00F70D73" w:rsidRPr="00ED1215">
        <w:rPr>
          <w:lang w:val="uk-UA"/>
        </w:rPr>
        <w:t>., госпіталізована в обласний центр урології та нефрології зі скаргами на загальну слабкість</w:t>
      </w:r>
      <w:r w:rsidR="00ED1215" w:rsidRPr="00ED1215">
        <w:rPr>
          <w:lang w:val="uk-UA"/>
        </w:rPr>
        <w:t xml:space="preserve">, головні болі, втому, нудоту. </w:t>
      </w:r>
      <w:r w:rsidR="00F70D73" w:rsidRPr="00ED1215">
        <w:rPr>
          <w:lang w:val="uk-UA"/>
        </w:rPr>
        <w:t xml:space="preserve">З анамнезу відомо, що захворювання нирок у жінки виявлено у 2011 році, У лютому 2011р. Пацієнтка відмітила підвищення температури тіла до 38,5 С0 з ознобом, збільшенням слинних залоз, </w:t>
      </w:r>
      <w:proofErr w:type="spellStart"/>
      <w:r w:rsidR="00F70D73" w:rsidRPr="00ED1215">
        <w:rPr>
          <w:lang w:val="uk-UA"/>
        </w:rPr>
        <w:t>макуло-папульозним</w:t>
      </w:r>
      <w:proofErr w:type="spellEnd"/>
      <w:r w:rsidR="00F70D73" w:rsidRPr="00ED1215">
        <w:rPr>
          <w:lang w:val="uk-UA"/>
        </w:rPr>
        <w:t xml:space="preserve"> висипом на шкірі. Знаходилась на лікуванні у хірургічному відділенні ХМКЛСНМД №4 протягом тижня, виписана з покращенням. Однак наступного дня відмітила погіршення стану, після чого проходила лікування в ОКІЛ з діагнозом: </w:t>
      </w:r>
      <w:proofErr w:type="spellStart"/>
      <w:r w:rsidR="00F70D73" w:rsidRPr="00ED1215">
        <w:rPr>
          <w:lang w:val="uk-UA"/>
        </w:rPr>
        <w:t>генералізована</w:t>
      </w:r>
      <w:proofErr w:type="spellEnd"/>
      <w:r w:rsidR="00F70D73" w:rsidRPr="00ED1215">
        <w:rPr>
          <w:lang w:val="uk-UA"/>
        </w:rPr>
        <w:t xml:space="preserve"> форма </w:t>
      </w:r>
      <w:proofErr w:type="spellStart"/>
      <w:r w:rsidR="00F70D73" w:rsidRPr="00ED1215">
        <w:rPr>
          <w:lang w:val="uk-UA"/>
        </w:rPr>
        <w:t>цитомегаловірусної</w:t>
      </w:r>
      <w:proofErr w:type="spellEnd"/>
      <w:r w:rsidR="00F70D73" w:rsidRPr="00ED1215">
        <w:rPr>
          <w:lang w:val="uk-UA"/>
        </w:rPr>
        <w:t xml:space="preserve"> інфекції.</w:t>
      </w:r>
    </w:p>
    <w:p w:rsidR="00F70D73" w:rsidRPr="00ED1215" w:rsidRDefault="00F70D73" w:rsidP="00F70D73">
      <w:pPr>
        <w:ind w:firstLine="709"/>
        <w:rPr>
          <w:lang w:val="uk-UA"/>
        </w:rPr>
      </w:pPr>
      <w:r w:rsidRPr="00ED1215">
        <w:rPr>
          <w:lang w:val="uk-UA"/>
        </w:rPr>
        <w:t xml:space="preserve">У листопаді 2011р. Повторно госпіталізована в ОКІЛ  з діагнозом: </w:t>
      </w:r>
      <w:proofErr w:type="spellStart"/>
      <w:r w:rsidRPr="00ED1215">
        <w:rPr>
          <w:lang w:val="uk-UA"/>
        </w:rPr>
        <w:t>реактивація</w:t>
      </w:r>
      <w:proofErr w:type="spellEnd"/>
      <w:r w:rsidRPr="00ED1215">
        <w:rPr>
          <w:lang w:val="uk-UA"/>
        </w:rPr>
        <w:t xml:space="preserve"> хронічної </w:t>
      </w:r>
      <w:proofErr w:type="spellStart"/>
      <w:r w:rsidRPr="00ED1215">
        <w:rPr>
          <w:lang w:val="uk-UA"/>
        </w:rPr>
        <w:t>цитомегаловірусної</w:t>
      </w:r>
      <w:proofErr w:type="spellEnd"/>
      <w:r w:rsidRPr="00ED1215">
        <w:rPr>
          <w:lang w:val="uk-UA"/>
        </w:rPr>
        <w:t xml:space="preserve"> : </w:t>
      </w:r>
      <w:proofErr w:type="spellStart"/>
      <w:r w:rsidRPr="00ED1215">
        <w:rPr>
          <w:lang w:val="uk-UA"/>
        </w:rPr>
        <w:t>сіалоаденит</w:t>
      </w:r>
      <w:proofErr w:type="spellEnd"/>
      <w:r w:rsidRPr="00ED1215">
        <w:rPr>
          <w:lang w:val="uk-UA"/>
        </w:rPr>
        <w:t xml:space="preserve">, фарингіт, кон’юнктивіт, вульгарні </w:t>
      </w:r>
      <w:proofErr w:type="spellStart"/>
      <w:r w:rsidRPr="00ED1215">
        <w:rPr>
          <w:lang w:val="uk-UA"/>
        </w:rPr>
        <w:t>ектіми</w:t>
      </w:r>
      <w:proofErr w:type="spellEnd"/>
      <w:r w:rsidRPr="00ED1215">
        <w:rPr>
          <w:lang w:val="uk-UA"/>
        </w:rPr>
        <w:t>.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Лабораторні обстеження: -Клінічний аналіз крові 22.11.18р: </w:t>
      </w:r>
      <w:proofErr w:type="spellStart"/>
      <w:r w:rsidRPr="00ED1215">
        <w:rPr>
          <w:lang w:val="uk-UA"/>
        </w:rPr>
        <w:t>Эр</w:t>
      </w:r>
      <w:proofErr w:type="spellEnd"/>
      <w:r w:rsidRPr="00ED1215">
        <w:rPr>
          <w:lang w:val="uk-UA"/>
        </w:rPr>
        <w:t xml:space="preserve">. – 4,0 х 10*12 /л, </w:t>
      </w:r>
      <w:proofErr w:type="spellStart"/>
      <w:r w:rsidRPr="00ED1215">
        <w:rPr>
          <w:lang w:val="uk-UA"/>
        </w:rPr>
        <w:t>Нв</w:t>
      </w:r>
      <w:proofErr w:type="spellEnd"/>
      <w:r w:rsidRPr="00ED1215">
        <w:rPr>
          <w:lang w:val="uk-UA"/>
        </w:rPr>
        <w:t xml:space="preserve"> - 132 г/л, </w:t>
      </w:r>
      <w:proofErr w:type="spellStart"/>
      <w:r w:rsidRPr="00ED1215">
        <w:rPr>
          <w:lang w:val="uk-UA"/>
        </w:rPr>
        <w:t>кол</w:t>
      </w:r>
      <w:proofErr w:type="spellEnd"/>
      <w:r w:rsidRPr="00ED1215">
        <w:rPr>
          <w:lang w:val="uk-UA"/>
        </w:rPr>
        <w:t xml:space="preserve">. </w:t>
      </w:r>
      <w:proofErr w:type="spellStart"/>
      <w:r w:rsidRPr="00ED1215">
        <w:rPr>
          <w:lang w:val="uk-UA"/>
        </w:rPr>
        <w:t>пок</w:t>
      </w:r>
      <w:proofErr w:type="spellEnd"/>
      <w:r w:rsidRPr="00ED1215">
        <w:rPr>
          <w:lang w:val="uk-UA"/>
        </w:rPr>
        <w:t xml:space="preserve">. – 0,9; Л – 6,8 х10*9 /л, </w:t>
      </w:r>
      <w:proofErr w:type="spellStart"/>
      <w:r w:rsidRPr="00ED1215">
        <w:rPr>
          <w:lang w:val="uk-UA"/>
        </w:rPr>
        <w:t>еоз</w:t>
      </w:r>
      <w:proofErr w:type="spellEnd"/>
      <w:r w:rsidRPr="00ED1215">
        <w:rPr>
          <w:lang w:val="uk-UA"/>
        </w:rPr>
        <w:t xml:space="preserve">. - 1 %, п/я - 1 %, с/я – 61 %, лімф – 30 %, </w:t>
      </w:r>
      <w:proofErr w:type="spellStart"/>
      <w:r w:rsidRPr="00ED1215">
        <w:rPr>
          <w:lang w:val="uk-UA"/>
        </w:rPr>
        <w:t>Мон</w:t>
      </w:r>
      <w:proofErr w:type="spellEnd"/>
      <w:r w:rsidRPr="00ED1215">
        <w:rPr>
          <w:lang w:val="uk-UA"/>
        </w:rPr>
        <w:t xml:space="preserve"> – 4 %, </w:t>
      </w:r>
      <w:proofErr w:type="spellStart"/>
      <w:r w:rsidRPr="00ED1215">
        <w:rPr>
          <w:lang w:val="uk-UA"/>
        </w:rPr>
        <w:t>тр-ти-</w:t>
      </w:r>
      <w:proofErr w:type="spellEnd"/>
      <w:r w:rsidRPr="00ED1215">
        <w:rPr>
          <w:lang w:val="uk-UA"/>
        </w:rPr>
        <w:t xml:space="preserve"> 160,0 х10*9 /л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Клінічний аналіз сечі 22.11.18р: </w:t>
      </w:r>
      <w:proofErr w:type="spellStart"/>
      <w:r w:rsidRPr="00ED1215">
        <w:rPr>
          <w:lang w:val="uk-UA"/>
        </w:rPr>
        <w:t>Кол</w:t>
      </w:r>
      <w:proofErr w:type="spellEnd"/>
      <w:r w:rsidRPr="00ED1215">
        <w:rPr>
          <w:lang w:val="uk-UA"/>
        </w:rPr>
        <w:t xml:space="preserve">. – св. </w:t>
      </w:r>
      <w:proofErr w:type="spellStart"/>
      <w:r w:rsidRPr="00ED1215">
        <w:rPr>
          <w:lang w:val="uk-UA"/>
        </w:rPr>
        <w:t>жовт</w:t>
      </w:r>
      <w:proofErr w:type="spellEnd"/>
      <w:r w:rsidRPr="00ED1215">
        <w:rPr>
          <w:lang w:val="uk-UA"/>
        </w:rPr>
        <w:t xml:space="preserve">., проз. – задов.,питома </w:t>
      </w:r>
      <w:proofErr w:type="spellStart"/>
      <w:r w:rsidRPr="00ED1215">
        <w:rPr>
          <w:lang w:val="uk-UA"/>
        </w:rPr>
        <w:t>вага–</w:t>
      </w:r>
      <w:proofErr w:type="spellEnd"/>
      <w:r w:rsidRPr="00ED1215">
        <w:rPr>
          <w:lang w:val="uk-UA"/>
        </w:rPr>
        <w:t xml:space="preserve"> 1006, </w:t>
      </w:r>
      <w:proofErr w:type="spellStart"/>
      <w:r w:rsidRPr="00ED1215">
        <w:rPr>
          <w:lang w:val="uk-UA"/>
        </w:rPr>
        <w:t>рН</w:t>
      </w:r>
      <w:proofErr w:type="spellEnd"/>
      <w:r w:rsidRPr="00ED1215">
        <w:rPr>
          <w:lang w:val="uk-UA"/>
        </w:rPr>
        <w:t xml:space="preserve"> – 6,0, білок –0,73 г/л, глюкоза – немає, </w:t>
      </w:r>
      <w:proofErr w:type="spellStart"/>
      <w:r w:rsidRPr="00ED1215">
        <w:rPr>
          <w:lang w:val="uk-UA"/>
        </w:rPr>
        <w:t>эр</w:t>
      </w:r>
      <w:proofErr w:type="spellEnd"/>
      <w:r w:rsidRPr="00ED1215">
        <w:rPr>
          <w:lang w:val="uk-UA"/>
        </w:rPr>
        <w:t>. – 3-4 в п/</w:t>
      </w:r>
      <w:proofErr w:type="spellStart"/>
      <w:r w:rsidRPr="00ED1215">
        <w:rPr>
          <w:lang w:val="uk-UA"/>
        </w:rPr>
        <w:t>зр</w:t>
      </w:r>
      <w:proofErr w:type="spellEnd"/>
      <w:r w:rsidRPr="00ED1215">
        <w:rPr>
          <w:lang w:val="uk-UA"/>
        </w:rPr>
        <w:t xml:space="preserve"> змінені; л –6-8 в п/</w:t>
      </w:r>
      <w:proofErr w:type="spellStart"/>
      <w:r w:rsidRPr="00ED1215">
        <w:rPr>
          <w:lang w:val="uk-UA"/>
        </w:rPr>
        <w:t>зр</w:t>
      </w:r>
      <w:proofErr w:type="spellEnd"/>
      <w:r w:rsidRPr="00ED1215">
        <w:rPr>
          <w:lang w:val="uk-UA"/>
        </w:rPr>
        <w:t xml:space="preserve">, </w:t>
      </w:r>
      <w:proofErr w:type="spellStart"/>
      <w:r w:rsidRPr="00ED1215">
        <w:rPr>
          <w:lang w:val="uk-UA"/>
        </w:rPr>
        <w:t>эпіт</w:t>
      </w:r>
      <w:proofErr w:type="spellEnd"/>
      <w:r w:rsidRPr="00ED1215">
        <w:rPr>
          <w:lang w:val="uk-UA"/>
        </w:rPr>
        <w:t xml:space="preserve">. </w:t>
      </w:r>
      <w:proofErr w:type="spellStart"/>
      <w:r w:rsidRPr="00ED1215">
        <w:rPr>
          <w:lang w:val="uk-UA"/>
        </w:rPr>
        <w:t>перех</w:t>
      </w:r>
      <w:proofErr w:type="spellEnd"/>
      <w:r w:rsidRPr="00ED1215">
        <w:rPr>
          <w:lang w:val="uk-UA"/>
        </w:rPr>
        <w:t xml:space="preserve">. – місцями, </w:t>
      </w:r>
      <w:proofErr w:type="spellStart"/>
      <w:r w:rsidRPr="00ED1215">
        <w:rPr>
          <w:lang w:val="uk-UA"/>
        </w:rPr>
        <w:t>епіт</w:t>
      </w:r>
      <w:proofErr w:type="spellEnd"/>
      <w:r w:rsidRPr="00ED1215">
        <w:rPr>
          <w:lang w:val="uk-UA"/>
        </w:rPr>
        <w:t xml:space="preserve">. </w:t>
      </w:r>
      <w:proofErr w:type="spellStart"/>
      <w:r w:rsidRPr="00ED1215">
        <w:rPr>
          <w:lang w:val="uk-UA"/>
        </w:rPr>
        <w:t>нирк</w:t>
      </w:r>
      <w:proofErr w:type="spellEnd"/>
      <w:r w:rsidRPr="00ED1215">
        <w:rPr>
          <w:lang w:val="uk-UA"/>
        </w:rPr>
        <w:t xml:space="preserve">. – місцями; слиз –помірна кількість, солі – немає, циліндри </w:t>
      </w:r>
      <w:proofErr w:type="spellStart"/>
      <w:r w:rsidRPr="00ED1215">
        <w:rPr>
          <w:lang w:val="uk-UA"/>
        </w:rPr>
        <w:t>гіалінові-</w:t>
      </w:r>
      <w:proofErr w:type="spellEnd"/>
      <w:r w:rsidRPr="00ED1215">
        <w:rPr>
          <w:lang w:val="uk-UA"/>
        </w:rPr>
        <w:t xml:space="preserve"> 1-2 в п/</w:t>
      </w:r>
      <w:proofErr w:type="spellStart"/>
      <w:r w:rsidRPr="00ED1215">
        <w:rPr>
          <w:lang w:val="uk-UA"/>
        </w:rPr>
        <w:t>зр</w:t>
      </w:r>
      <w:proofErr w:type="spellEnd"/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Біохімічний аналіз крові 24.11.18р : </w:t>
      </w:r>
      <w:proofErr w:type="spellStart"/>
      <w:r w:rsidRPr="00ED1215">
        <w:rPr>
          <w:lang w:val="uk-UA"/>
        </w:rPr>
        <w:t>сечовина–</w:t>
      </w:r>
      <w:proofErr w:type="spellEnd"/>
      <w:r w:rsidRPr="00ED1215">
        <w:rPr>
          <w:lang w:val="uk-UA"/>
        </w:rPr>
        <w:t xml:space="preserve"> 11,2 ммоль/л, </w:t>
      </w:r>
      <w:proofErr w:type="spellStart"/>
      <w:r w:rsidRPr="00ED1215">
        <w:rPr>
          <w:lang w:val="uk-UA"/>
        </w:rPr>
        <w:t>креатинін</w:t>
      </w:r>
      <w:proofErr w:type="spellEnd"/>
      <w:r w:rsidRPr="00ED1215">
        <w:rPr>
          <w:lang w:val="uk-UA"/>
        </w:rPr>
        <w:t xml:space="preserve"> – 165,0 мкмоль/л, глюкоза – 5,4 ммоль/л, загальний білірубін – 16,5 мкмоль/л, прямий білірубін – 2,3 мкмоль/л. 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Пацієнтка проходила обстеження та лікування у нефрологічному відділенні з приводу ХХН III-IV </w:t>
      </w:r>
      <w:proofErr w:type="spellStart"/>
      <w:r w:rsidRPr="00ED1215">
        <w:rPr>
          <w:lang w:val="uk-UA"/>
        </w:rPr>
        <w:t>cт</w:t>
      </w:r>
      <w:proofErr w:type="spellEnd"/>
      <w:r w:rsidRPr="00ED1215">
        <w:rPr>
          <w:lang w:val="uk-UA"/>
        </w:rPr>
        <w:t xml:space="preserve">., де проводилась диференціальна діагностика патологічного сечового синдром, у т.ч. з приводу множинної мієломи. Пацієнтка також знаходилась під спостереженням інфекціоніста з </w:t>
      </w:r>
      <w:r w:rsidRPr="00ED1215">
        <w:rPr>
          <w:lang w:val="uk-UA"/>
        </w:rPr>
        <w:lastRenderedPageBreak/>
        <w:t xml:space="preserve">приводу хронічної рецидивуючої мікст-інфекції </w:t>
      </w:r>
      <w:proofErr w:type="spellStart"/>
      <w:r w:rsidRPr="00ED1215">
        <w:rPr>
          <w:lang w:val="uk-UA"/>
        </w:rPr>
        <w:t>герпес-вірусної</w:t>
      </w:r>
      <w:proofErr w:type="spellEnd"/>
      <w:r w:rsidRPr="00ED1215">
        <w:rPr>
          <w:lang w:val="uk-UA"/>
        </w:rPr>
        <w:t xml:space="preserve"> етіології, періодично приймала противірусну терапію.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Однак у зв’язку з прогресуванням хронічної ниркової недостатності хвора ( ШКФ- 14 </w:t>
      </w:r>
      <w:proofErr w:type="spellStart"/>
      <w:r w:rsidRPr="00ED1215">
        <w:rPr>
          <w:lang w:val="uk-UA"/>
        </w:rPr>
        <w:t>мл</w:t>
      </w:r>
      <w:proofErr w:type="spellEnd"/>
      <w:r w:rsidRPr="00ED1215">
        <w:rPr>
          <w:lang w:val="uk-UA"/>
        </w:rPr>
        <w:t>/</w:t>
      </w:r>
      <w:proofErr w:type="spellStart"/>
      <w:r w:rsidRPr="00ED1215">
        <w:rPr>
          <w:lang w:val="uk-UA"/>
        </w:rPr>
        <w:t>хв</w:t>
      </w:r>
      <w:proofErr w:type="spellEnd"/>
      <w:r w:rsidRPr="00ED1215">
        <w:rPr>
          <w:lang w:val="uk-UA"/>
        </w:rPr>
        <w:t xml:space="preserve">) госпіталізована до </w:t>
      </w:r>
      <w:proofErr w:type="spellStart"/>
      <w:r w:rsidRPr="00ED1215">
        <w:rPr>
          <w:lang w:val="uk-UA"/>
        </w:rPr>
        <w:t>нефро-урологічного</w:t>
      </w:r>
      <w:proofErr w:type="spellEnd"/>
      <w:r w:rsidRPr="00ED1215">
        <w:rPr>
          <w:lang w:val="uk-UA"/>
        </w:rPr>
        <w:t xml:space="preserve"> центру з метою вибору замісної ниркової терапії. Після всебічного обстеження 15</w:t>
      </w:r>
      <w:r w:rsidR="00087CD0">
        <w:rPr>
          <w:lang w:val="uk-UA"/>
        </w:rPr>
        <w:t>.04.14</w:t>
      </w:r>
      <w:r w:rsidRPr="00ED1215">
        <w:rPr>
          <w:lang w:val="uk-UA"/>
        </w:rPr>
        <w:t xml:space="preserve"> </w:t>
      </w:r>
      <w:r w:rsidR="00087CD0">
        <w:rPr>
          <w:lang w:val="uk-UA"/>
        </w:rPr>
        <w:t>х</w:t>
      </w:r>
      <w:r w:rsidRPr="00ED1215">
        <w:rPr>
          <w:lang w:val="uk-UA"/>
        </w:rPr>
        <w:t>ворій проведена родинна трансплантація нирки. Оперативне втручання без ускладнень, функція трансплантату негайна.</w:t>
      </w:r>
      <w:r w:rsidR="00087CD0">
        <w:rPr>
          <w:lang w:val="uk-UA"/>
        </w:rPr>
        <w:t xml:space="preserve"> </w:t>
      </w:r>
      <w:r w:rsidRPr="00ED1215">
        <w:rPr>
          <w:lang w:val="uk-UA"/>
        </w:rPr>
        <w:t xml:space="preserve">Отримувала трьохкомпонентну </w:t>
      </w:r>
      <w:proofErr w:type="spellStart"/>
      <w:r w:rsidRPr="00ED1215">
        <w:rPr>
          <w:lang w:val="uk-UA"/>
        </w:rPr>
        <w:t>імуносупресивну</w:t>
      </w:r>
      <w:proofErr w:type="spellEnd"/>
      <w:r w:rsidRPr="00ED1215">
        <w:rPr>
          <w:lang w:val="uk-UA"/>
        </w:rPr>
        <w:t xml:space="preserve"> терапію, яку переносила добре. 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Погіршення самопочуття хвора відмітила з січня 2015р, коли з’явились болі у суглобах, м’язах, </w:t>
      </w:r>
      <w:proofErr w:type="spellStart"/>
      <w:r w:rsidRPr="00ED1215">
        <w:rPr>
          <w:lang w:val="uk-UA"/>
        </w:rPr>
        <w:t>субфебрильна</w:t>
      </w:r>
      <w:proofErr w:type="spellEnd"/>
      <w:r w:rsidRPr="00ED1215">
        <w:rPr>
          <w:lang w:val="uk-UA"/>
        </w:rPr>
        <w:t xml:space="preserve"> температура. Виявлена </w:t>
      </w:r>
      <w:proofErr w:type="spellStart"/>
      <w:r w:rsidRPr="00ED1215">
        <w:rPr>
          <w:lang w:val="uk-UA"/>
        </w:rPr>
        <w:t>реактивація</w:t>
      </w:r>
      <w:proofErr w:type="spellEnd"/>
      <w:r w:rsidRPr="00ED1215">
        <w:rPr>
          <w:lang w:val="uk-UA"/>
        </w:rPr>
        <w:t xml:space="preserve"> герпесвірусної інфекції, з приводу чого отримувала противірусне лікування. Тоді ж виявлено підвищення рівня загального білка крові до 89 г/л. Запідозрена множинна мієлома, з приводу чого консультована гематологом – даних за мієломну хворобу не виявлено (</w:t>
      </w:r>
      <w:proofErr w:type="spellStart"/>
      <w:r w:rsidRPr="00ED1215">
        <w:rPr>
          <w:lang w:val="uk-UA"/>
        </w:rPr>
        <w:t>стернальна</w:t>
      </w:r>
      <w:proofErr w:type="spellEnd"/>
      <w:r w:rsidRPr="00ED1215">
        <w:rPr>
          <w:lang w:val="uk-UA"/>
        </w:rPr>
        <w:t xml:space="preserve"> пункція від 26.02.15 р, аналіз сечі на білок </w:t>
      </w:r>
      <w:proofErr w:type="spellStart"/>
      <w:r w:rsidRPr="00ED1215">
        <w:rPr>
          <w:lang w:val="uk-UA"/>
        </w:rPr>
        <w:t>Бенс-Джонса</w:t>
      </w:r>
      <w:proofErr w:type="spellEnd"/>
      <w:r w:rsidRPr="00ED1215">
        <w:rPr>
          <w:lang w:val="uk-UA"/>
        </w:rPr>
        <w:t xml:space="preserve"> негативний, на рентгенограмі черепа без патології). В динаміці спостереження відмічений перелом правої стегнової кістки після падіння, болі у суглобах, артеріальна гіпотензія, періодичні носові кровотечі, збільшення розмірів печінки та селезінки. Консультована ревматологом, ендокринологом, травматологом. Хворій також проводилась біопсія слизової оболонки щоки, прямої кишки, шкіри живота з метою виключення амілоїдозу. Лабораторно спостерігалась незначна анемія (</w:t>
      </w:r>
      <w:proofErr w:type="spellStart"/>
      <w:r w:rsidRPr="00ED1215">
        <w:rPr>
          <w:lang w:val="uk-UA"/>
        </w:rPr>
        <w:t>Нв-</w:t>
      </w:r>
      <w:proofErr w:type="spellEnd"/>
      <w:r w:rsidRPr="00ED1215">
        <w:rPr>
          <w:lang w:val="uk-UA"/>
        </w:rPr>
        <w:t xml:space="preserve"> 115 г/л), протеїнурія – 0,091 г/л, </w:t>
      </w:r>
      <w:proofErr w:type="spellStart"/>
      <w:r w:rsidRPr="00ED1215">
        <w:rPr>
          <w:lang w:val="uk-UA"/>
        </w:rPr>
        <w:t>гіперкальціемія</w:t>
      </w:r>
      <w:proofErr w:type="spellEnd"/>
      <w:r w:rsidRPr="00ED1215">
        <w:rPr>
          <w:lang w:val="uk-UA"/>
        </w:rPr>
        <w:t xml:space="preserve"> – 2, 76 ммоль/л.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У жовтні 2015р загальний білок крові- 96 г/л, повторно консультована гематологом, </w:t>
      </w:r>
      <w:proofErr w:type="spellStart"/>
      <w:r w:rsidRPr="00ED1215">
        <w:rPr>
          <w:lang w:val="uk-UA"/>
        </w:rPr>
        <w:t>провежена</w:t>
      </w:r>
      <w:proofErr w:type="spellEnd"/>
      <w:r w:rsidRPr="00ED1215">
        <w:rPr>
          <w:lang w:val="uk-UA"/>
        </w:rPr>
        <w:t xml:space="preserve"> </w:t>
      </w:r>
      <w:proofErr w:type="spellStart"/>
      <w:r w:rsidRPr="00ED1215">
        <w:rPr>
          <w:lang w:val="uk-UA"/>
        </w:rPr>
        <w:t>стернальна</w:t>
      </w:r>
      <w:proofErr w:type="spellEnd"/>
      <w:r w:rsidRPr="00ED1215">
        <w:rPr>
          <w:lang w:val="uk-UA"/>
        </w:rPr>
        <w:t xml:space="preserve"> пункція за результатами якої </w:t>
      </w:r>
      <w:proofErr w:type="spellStart"/>
      <w:r w:rsidRPr="00ED1215">
        <w:rPr>
          <w:lang w:val="uk-UA"/>
        </w:rPr>
        <w:t>діагностована</w:t>
      </w:r>
      <w:proofErr w:type="spellEnd"/>
      <w:r w:rsidRPr="00ED1215">
        <w:rPr>
          <w:lang w:val="uk-UA"/>
        </w:rPr>
        <w:t xml:space="preserve"> множинна мієлома  III В ст., </w:t>
      </w:r>
      <w:proofErr w:type="spellStart"/>
      <w:r w:rsidRPr="00ED1215">
        <w:rPr>
          <w:lang w:val="uk-UA"/>
        </w:rPr>
        <w:t>дифузно-</w:t>
      </w:r>
      <w:proofErr w:type="spellEnd"/>
      <w:r w:rsidRPr="00ED1215">
        <w:rPr>
          <w:lang w:val="uk-UA"/>
        </w:rPr>
        <w:t xml:space="preserve"> вогнищева форма. Хвора отримувала </w:t>
      </w:r>
      <w:proofErr w:type="spellStart"/>
      <w:r w:rsidRPr="00ED1215">
        <w:rPr>
          <w:lang w:val="uk-UA"/>
        </w:rPr>
        <w:t>поліхіміотерапію</w:t>
      </w:r>
      <w:proofErr w:type="spellEnd"/>
      <w:r w:rsidRPr="00ED1215">
        <w:rPr>
          <w:lang w:val="uk-UA"/>
        </w:rPr>
        <w:t xml:space="preserve"> </w:t>
      </w:r>
      <w:proofErr w:type="spellStart"/>
      <w:r w:rsidRPr="00ED1215">
        <w:rPr>
          <w:lang w:val="uk-UA"/>
        </w:rPr>
        <w:t>леналідомідом</w:t>
      </w:r>
      <w:proofErr w:type="spellEnd"/>
      <w:r w:rsidRPr="00ED1215">
        <w:rPr>
          <w:lang w:val="uk-UA"/>
        </w:rPr>
        <w:t>, дексаметазоном на тлі редукції імуносупресивної терапії, к</w:t>
      </w:r>
      <w:r>
        <w:rPr>
          <w:lang w:val="uk-UA"/>
        </w:rPr>
        <w:t xml:space="preserve">онтролю функції трансплантату. 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Однак у грудні 2015р знаходячись вдома стан хворої різко погіршився, спостерігалась втрата свідомості, лихоманка. Госпіталізована до стаціонару, однак на тлі прогресуючої </w:t>
      </w:r>
      <w:proofErr w:type="spellStart"/>
      <w:r w:rsidRPr="00ED1215">
        <w:rPr>
          <w:lang w:val="uk-UA"/>
        </w:rPr>
        <w:t>поліорганної</w:t>
      </w:r>
      <w:proofErr w:type="spellEnd"/>
      <w:r w:rsidRPr="00ED1215">
        <w:rPr>
          <w:lang w:val="uk-UA"/>
        </w:rPr>
        <w:t xml:space="preserve"> </w:t>
      </w:r>
      <w:proofErr w:type="spellStart"/>
      <w:r w:rsidRPr="00ED1215">
        <w:rPr>
          <w:lang w:val="uk-UA"/>
        </w:rPr>
        <w:t>недостотності</w:t>
      </w:r>
      <w:proofErr w:type="spellEnd"/>
      <w:r w:rsidRPr="00ED1215">
        <w:rPr>
          <w:lang w:val="uk-UA"/>
        </w:rPr>
        <w:t xml:space="preserve"> хвора померла.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lastRenderedPageBreak/>
        <w:t xml:space="preserve"> Патологоанатомічний діагноз: Множинна мієлома. Ускладнення: загальний амілоїдоз з </w:t>
      </w:r>
      <w:proofErr w:type="spellStart"/>
      <w:r w:rsidRPr="00ED1215">
        <w:rPr>
          <w:lang w:val="uk-UA"/>
        </w:rPr>
        <w:t>ураженнія</w:t>
      </w:r>
      <w:proofErr w:type="spellEnd"/>
      <w:r w:rsidRPr="00ED1215">
        <w:rPr>
          <w:lang w:val="uk-UA"/>
        </w:rPr>
        <w:t xml:space="preserve"> нирок, міокарду, печінки, селезінки, підшлункової залози. Некроз у </w:t>
      </w:r>
      <w:proofErr w:type="spellStart"/>
      <w:r w:rsidRPr="00ED1215">
        <w:rPr>
          <w:lang w:val="uk-UA"/>
        </w:rPr>
        <w:t>трабекулярних</w:t>
      </w:r>
      <w:proofErr w:type="spellEnd"/>
      <w:r w:rsidRPr="00ED1215">
        <w:rPr>
          <w:lang w:val="uk-UA"/>
        </w:rPr>
        <w:t xml:space="preserve"> та сосочкових м’язах обох шлуночків серця, </w:t>
      </w:r>
      <w:proofErr w:type="spellStart"/>
      <w:r w:rsidRPr="00ED1215">
        <w:rPr>
          <w:lang w:val="uk-UA"/>
        </w:rPr>
        <w:t>стеатонекрози</w:t>
      </w:r>
      <w:proofErr w:type="spellEnd"/>
      <w:r w:rsidRPr="00ED1215">
        <w:rPr>
          <w:lang w:val="uk-UA"/>
        </w:rPr>
        <w:t xml:space="preserve"> підш</w:t>
      </w:r>
      <w:bookmarkStart w:id="0" w:name="_GoBack"/>
      <w:bookmarkEnd w:id="0"/>
      <w:r w:rsidRPr="00ED1215">
        <w:rPr>
          <w:lang w:val="uk-UA"/>
        </w:rPr>
        <w:t xml:space="preserve">лункової залози з нагноєнням, двобічна інфаркт-пневмонія </w:t>
      </w:r>
      <w:proofErr w:type="spellStart"/>
      <w:r w:rsidRPr="00ED1215">
        <w:rPr>
          <w:lang w:val="uk-UA"/>
        </w:rPr>
        <w:t>задньонижніх</w:t>
      </w:r>
      <w:proofErr w:type="spellEnd"/>
      <w:r w:rsidRPr="00ED1215">
        <w:rPr>
          <w:lang w:val="uk-UA"/>
        </w:rPr>
        <w:t xml:space="preserve"> відділів легень.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Підсумовуючи вищевикладене ми спостерігали множинну мієлому, яка призвела до вторинного системного амілоїдозу, </w:t>
      </w:r>
      <w:proofErr w:type="spellStart"/>
      <w:r w:rsidRPr="00ED1215">
        <w:rPr>
          <w:lang w:val="uk-UA"/>
        </w:rPr>
        <w:t>поліорганної</w:t>
      </w:r>
      <w:proofErr w:type="spellEnd"/>
      <w:r w:rsidRPr="00ED1215">
        <w:rPr>
          <w:lang w:val="uk-UA"/>
        </w:rPr>
        <w:t xml:space="preserve"> недостатності та загибелі хворої.</w:t>
      </w:r>
      <w:r>
        <w:rPr>
          <w:lang w:val="uk-UA"/>
        </w:rPr>
        <w:t xml:space="preserve"> Дане спостереження ще раз показує ті труднощі, що виникають при діагностиці множинної мієломи, коли навіть своєчасне ретельне обстеження не гарантує раннього встановлення цього підступного діагнозу.</w:t>
      </w:r>
    </w:p>
    <w:p w:rsidR="00ED1215" w:rsidRPr="00ED1215" w:rsidRDefault="00ED1215" w:rsidP="00ED1215">
      <w:pPr>
        <w:ind w:firstLine="709"/>
        <w:rPr>
          <w:lang w:val="uk-UA"/>
        </w:rPr>
      </w:pPr>
      <w:r w:rsidRPr="00ED1215">
        <w:rPr>
          <w:lang w:val="uk-UA"/>
        </w:rPr>
        <w:t xml:space="preserve">  </w:t>
      </w:r>
    </w:p>
    <w:p w:rsidR="00ED1215" w:rsidRPr="00ED1215" w:rsidRDefault="00ED1215" w:rsidP="00ED1215">
      <w:pPr>
        <w:ind w:firstLine="709"/>
        <w:rPr>
          <w:lang w:val="uk-UA"/>
        </w:rPr>
      </w:pPr>
    </w:p>
    <w:p w:rsidR="00ED1215" w:rsidRPr="00ED1215" w:rsidRDefault="00ED1215" w:rsidP="00F70D73">
      <w:pPr>
        <w:ind w:firstLine="709"/>
        <w:rPr>
          <w:lang w:val="uk-UA"/>
        </w:rPr>
      </w:pPr>
    </w:p>
    <w:p w:rsidR="00F70D73" w:rsidRPr="00ED1215" w:rsidRDefault="00F70D73" w:rsidP="00F70D73">
      <w:pPr>
        <w:ind w:firstLine="709"/>
        <w:rPr>
          <w:lang w:val="uk-UA"/>
        </w:rPr>
      </w:pPr>
    </w:p>
    <w:p w:rsidR="00F70D73" w:rsidRPr="00ED1215" w:rsidRDefault="00F70D73" w:rsidP="00F70D73">
      <w:pPr>
        <w:ind w:firstLine="709"/>
        <w:rPr>
          <w:lang w:val="uk-UA"/>
        </w:rPr>
      </w:pPr>
    </w:p>
    <w:sectPr w:rsidR="00F70D73" w:rsidRPr="00ED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E1"/>
    <w:rsid w:val="00087CD0"/>
    <w:rsid w:val="00126377"/>
    <w:rsid w:val="001319D1"/>
    <w:rsid w:val="003E65D6"/>
    <w:rsid w:val="00575A8E"/>
    <w:rsid w:val="006D41E4"/>
    <w:rsid w:val="0096635B"/>
    <w:rsid w:val="00A14DE1"/>
    <w:rsid w:val="00ED1215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7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7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1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78</cp:lastModifiedBy>
  <cp:revision>7</cp:revision>
  <dcterms:created xsi:type="dcterms:W3CDTF">2019-05-05T10:44:00Z</dcterms:created>
  <dcterms:modified xsi:type="dcterms:W3CDTF">2019-07-31T09:38:00Z</dcterms:modified>
</cp:coreProperties>
</file>