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A9" w:rsidRPr="00D720A9" w:rsidRDefault="00D720A9" w:rsidP="00D7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ВПЛИВ ГІПОКАЛОРІЙНОГО ХАРЧУВАННЯ НА РОЗВИТОК ФУНКЦІОНАЛЬНИХ ТА МОРФОЛОГІЧНИХ ЗМІН ПІДШЛУНКОВОЇ ЗАЛОЗИ ПОТОМСТВА ЩУРІВ</w:t>
      </w:r>
    </w:p>
    <w:p w:rsidR="00D720A9" w:rsidRPr="00D720A9" w:rsidRDefault="00D720A9" w:rsidP="00D720A9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720A9">
        <w:rPr>
          <w:rFonts w:ascii="Times New Roman" w:eastAsia="Calibri" w:hAnsi="Times New Roman" w:cs="Times New Roman"/>
          <w:b/>
          <w:sz w:val="28"/>
          <w:szCs w:val="28"/>
        </w:rPr>
        <w:t>Ковальцова</w:t>
      </w:r>
      <w:proofErr w:type="spellEnd"/>
      <w:r w:rsidRPr="00D720A9">
        <w:rPr>
          <w:rFonts w:ascii="Times New Roman" w:eastAsia="Calibri" w:hAnsi="Times New Roman" w:cs="Times New Roman"/>
          <w:b/>
          <w:sz w:val="28"/>
          <w:szCs w:val="28"/>
        </w:rPr>
        <w:t xml:space="preserve"> М.</w:t>
      </w:r>
      <w:r w:rsidRPr="00D720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720A9">
        <w:rPr>
          <w:rFonts w:ascii="Times New Roman" w:eastAsia="Calibri" w:hAnsi="Times New Roman" w:cs="Times New Roman"/>
          <w:b/>
          <w:sz w:val="28"/>
          <w:szCs w:val="28"/>
        </w:rPr>
        <w:t xml:space="preserve">В., </w:t>
      </w:r>
      <w:proofErr w:type="spellStart"/>
      <w:r w:rsidRPr="00D720A9">
        <w:rPr>
          <w:rFonts w:ascii="Times New Roman" w:eastAsia="Calibri" w:hAnsi="Times New Roman" w:cs="Times New Roman"/>
          <w:b/>
          <w:sz w:val="28"/>
          <w:szCs w:val="28"/>
        </w:rPr>
        <w:t>Саберова</w:t>
      </w:r>
      <w:proofErr w:type="spellEnd"/>
      <w:r w:rsidRPr="00D720A9">
        <w:rPr>
          <w:rFonts w:ascii="Times New Roman" w:eastAsia="Calibri" w:hAnsi="Times New Roman" w:cs="Times New Roman"/>
          <w:b/>
          <w:sz w:val="28"/>
          <w:szCs w:val="28"/>
        </w:rPr>
        <w:t xml:space="preserve"> Ю.</w:t>
      </w:r>
      <w:r w:rsidRPr="00D720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720A9">
        <w:rPr>
          <w:rFonts w:ascii="Times New Roman" w:eastAsia="Calibri" w:hAnsi="Times New Roman" w:cs="Times New Roman"/>
          <w:b/>
          <w:sz w:val="28"/>
          <w:szCs w:val="28"/>
        </w:rPr>
        <w:t xml:space="preserve">А., </w:t>
      </w:r>
      <w:proofErr w:type="spellStart"/>
      <w:r w:rsidRPr="00D720A9">
        <w:rPr>
          <w:rFonts w:ascii="Times New Roman" w:eastAsia="Calibri" w:hAnsi="Times New Roman" w:cs="Times New Roman"/>
          <w:b/>
          <w:sz w:val="28"/>
          <w:szCs w:val="28"/>
        </w:rPr>
        <w:t>Аксенкова</w:t>
      </w:r>
      <w:proofErr w:type="spellEnd"/>
      <w:r w:rsidRPr="00D720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С. М.</w:t>
      </w:r>
      <w:r w:rsidRPr="00D720A9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proofErr w:type="spellStart"/>
      <w:r w:rsidRPr="00D720A9">
        <w:rPr>
          <w:rFonts w:ascii="Times New Roman" w:eastAsia="Calibri" w:hAnsi="Times New Roman" w:cs="Times New Roman"/>
          <w:i/>
          <w:sz w:val="28"/>
          <w:szCs w:val="28"/>
        </w:rPr>
        <w:t>Науковий</w:t>
      </w:r>
      <w:proofErr w:type="spellEnd"/>
      <w:r w:rsidRPr="00D720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720A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керівник </w:t>
      </w:r>
      <w:proofErr w:type="spellStart"/>
      <w:r w:rsidRPr="00D720A9">
        <w:rPr>
          <w:rFonts w:ascii="Times New Roman" w:eastAsia="Calibri" w:hAnsi="Times New Roman" w:cs="Times New Roman"/>
          <w:i/>
          <w:sz w:val="28"/>
          <w:szCs w:val="28"/>
        </w:rPr>
        <w:t>Ніколаєва</w:t>
      </w:r>
      <w:proofErr w:type="spellEnd"/>
      <w:r w:rsidRPr="00D720A9">
        <w:rPr>
          <w:rFonts w:ascii="Times New Roman" w:eastAsia="Calibri" w:hAnsi="Times New Roman" w:cs="Times New Roman"/>
          <w:i/>
          <w:sz w:val="28"/>
          <w:szCs w:val="28"/>
        </w:rPr>
        <w:t xml:space="preserve"> О.В.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proofErr w:type="spellStart"/>
      <w:r w:rsidRPr="00D720A9">
        <w:rPr>
          <w:rFonts w:ascii="Times New Roman" w:eastAsia="Calibri" w:hAnsi="Times New Roman" w:cs="Times New Roman"/>
          <w:i/>
          <w:sz w:val="28"/>
          <w:szCs w:val="28"/>
        </w:rPr>
        <w:t>Харківський</w:t>
      </w:r>
      <w:proofErr w:type="spellEnd"/>
      <w:r w:rsidRPr="00D720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20A9">
        <w:rPr>
          <w:rFonts w:ascii="Times New Roman" w:eastAsia="Calibri" w:hAnsi="Times New Roman" w:cs="Times New Roman"/>
          <w:i/>
          <w:sz w:val="28"/>
          <w:szCs w:val="28"/>
        </w:rPr>
        <w:t>національний</w:t>
      </w:r>
      <w:proofErr w:type="spellEnd"/>
      <w:r w:rsidRPr="00D720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20A9">
        <w:rPr>
          <w:rFonts w:ascii="Times New Roman" w:eastAsia="Calibri" w:hAnsi="Times New Roman" w:cs="Times New Roman"/>
          <w:i/>
          <w:sz w:val="28"/>
          <w:szCs w:val="28"/>
        </w:rPr>
        <w:t>медичний</w:t>
      </w:r>
      <w:proofErr w:type="spellEnd"/>
      <w:r w:rsidRPr="00D720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20A9">
        <w:rPr>
          <w:rFonts w:ascii="Times New Roman" w:eastAsia="Calibri" w:hAnsi="Times New Roman" w:cs="Times New Roman"/>
          <w:i/>
          <w:sz w:val="28"/>
          <w:szCs w:val="28"/>
        </w:rPr>
        <w:t>університет</w:t>
      </w:r>
      <w:proofErr w:type="spellEnd"/>
      <w:r w:rsidRPr="00D720A9">
        <w:rPr>
          <w:rFonts w:ascii="Times New Roman" w:eastAsia="Calibri" w:hAnsi="Times New Roman" w:cs="Times New Roman"/>
          <w:i/>
          <w:sz w:val="28"/>
          <w:szCs w:val="28"/>
          <w:lang w:val="uk-UA"/>
        </w:rPr>
        <w:br/>
      </w:r>
      <w:r w:rsidRPr="00D720A9">
        <w:rPr>
          <w:rFonts w:ascii="Times New Roman" w:eastAsia="Calibri" w:hAnsi="Times New Roman" w:cs="Times New Roman"/>
          <w:i/>
          <w:sz w:val="28"/>
          <w:szCs w:val="28"/>
        </w:rPr>
        <w:t xml:space="preserve"> м. </w:t>
      </w:r>
      <w:proofErr w:type="spellStart"/>
      <w:r w:rsidRPr="00D720A9">
        <w:rPr>
          <w:rFonts w:ascii="Times New Roman" w:eastAsia="Calibri" w:hAnsi="Times New Roman" w:cs="Times New Roman"/>
          <w:i/>
          <w:sz w:val="28"/>
          <w:szCs w:val="28"/>
        </w:rPr>
        <w:t>Харків</w:t>
      </w:r>
      <w:proofErr w:type="spellEnd"/>
      <w:r w:rsidRPr="00D720A9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Україна</w:t>
      </w:r>
      <w:r w:rsidRPr="00D720A9">
        <w:rPr>
          <w:rFonts w:ascii="Times New Roman" w:eastAsia="Calibri" w:hAnsi="Times New Roman" w:cs="Times New Roman"/>
          <w:i/>
          <w:sz w:val="28"/>
          <w:szCs w:val="28"/>
          <w:lang w:val="uk-UA"/>
        </w:rPr>
        <w:br/>
      </w:r>
      <w:hyperlink r:id="rId5" w:history="1">
        <w:r w:rsidRPr="00D720A9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val="en-US"/>
          </w:rPr>
          <w:t>sysanna</w:t>
        </w:r>
        <w:r w:rsidRPr="00D720A9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</w:rPr>
          <w:t>.</w:t>
        </w:r>
        <w:r w:rsidRPr="00D720A9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val="en-US"/>
          </w:rPr>
          <w:t>aksenkova</w:t>
        </w:r>
        <w:r w:rsidRPr="00D720A9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</w:rPr>
          <w:t>@</w:t>
        </w:r>
        <w:r w:rsidRPr="00D720A9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val="en-US"/>
          </w:rPr>
          <w:t>gmail</w:t>
        </w:r>
        <w:r w:rsidRPr="00D720A9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</w:rPr>
          <w:t>.</w:t>
        </w:r>
        <w:r w:rsidRPr="00D720A9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val="en-US"/>
          </w:rPr>
          <w:t>com</w:t>
        </w:r>
      </w:hyperlink>
      <w:r w:rsidRPr="00D720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Актуальність.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Останні роки відзначається неухильне зростання частоти виникнення гастроентерологічних захворювань у дитячому віці, серед яких найбільшу розповсюдженість мають хвороби підшлункової залози. Саме тому своєчасна діагностика та дослідження патогенетичних механізмів захворювань підшлункової залози, викликаних впливом різноманітних екзогенних патогенних чинників, є одною з найбільш обговорюваних проблем сучасної медицини. У даному напрямку аліментарний фактор розглядають як одну з головних причин розвитку патологій підшлункової залози дитячого організму.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Мета.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та уточнення механізмів розвитку ушкодження підшлункової залози, а також морфологічних та функціональних змін за умов впливу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гіпокалорійного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харчування на систему матір-плід в пренатальному періоді.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Матеріали та методи.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Вивчено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морфофункціональні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підшлункової залози потомства щурів з використанням гістологічного і біохімічного методів. Використано 60 осіб (ос.) експериментальних тварин, що були розділені на дві групи: основну (30 ос.) та контрольну (30 ос.). Потомство кожної з досліджуваних груп було поділено на наступні рівні за кількістю (по 10 ос.) категорії: категорія А ‒ новонароджені, категорія В ‒ одномісячні, категорія С ‒ двомісячні. Усі представники основної групи отримували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гіпокалорійну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дієту зі зменшеним вмістом поживних речовин (білків - 1,38 г, жирів - 2,11 г, вуглеводів - 7,37 г, що складало 57,38 ккал на добу); тварини контрольної групи ‒ фізіологічно збалансоване харчування (білків - 4,13 г, жирів - 2,4 г, вуглеводів - 17,6 г, що складало 104,5 ккал на добу).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оцінки функціонування підшлункової залози в сироватці крові визначалися вміст </w:t>
      </w:r>
      <w:r w:rsidRPr="00D720A9">
        <w:rPr>
          <w:rFonts w:ascii="Times New Roman" w:eastAsia="Calibri" w:hAnsi="Times New Roman" w:cs="Times New Roman"/>
          <w:sz w:val="28"/>
          <w:szCs w:val="28"/>
        </w:rPr>
        <w:t>α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-амілази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ліпази, рівень </w:t>
      </w:r>
      <w:r w:rsidRPr="00D720A9">
        <w:rPr>
          <w:rFonts w:ascii="Times New Roman" w:eastAsia="Calibri" w:hAnsi="Times New Roman" w:cs="Times New Roman"/>
          <w:sz w:val="28"/>
          <w:szCs w:val="28"/>
        </w:rPr>
        <w:t>α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1-антитрипсину, вміст інсуліну.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Для оцінки метаболічних порушень в сироватці крові визначалися рівень глюкози, вільних (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неестерифікованих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) жирних кислот (НЕЖК), кетонових тіл (КТ). Окрім цього оцінювалися морфологічні зміни паренхіми залози.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Результати. 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 потомства основної групи показало наступні особливості для кожного вікового періоду: 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Категорія А (новонароджені): 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Зменшення об'єму паренхіми підшлункової залози (на 18,5%, p˂0,001), збільшення об'єму строми (на 41,4%, </w:t>
      </w:r>
      <w:r w:rsidRPr="00D720A9">
        <w:rPr>
          <w:rFonts w:ascii="Times New Roman" w:eastAsia="Calibri" w:hAnsi="Times New Roman" w:cs="Times New Roman"/>
          <w:sz w:val="28"/>
          <w:szCs w:val="28"/>
        </w:rPr>
        <w:t>p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˂0,001), зниження середньої 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площі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ацинусів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 7,7%, </w:t>
      </w:r>
      <w:r w:rsidRPr="00D720A9">
        <w:rPr>
          <w:rFonts w:ascii="Times New Roman" w:eastAsia="Calibri" w:hAnsi="Times New Roman" w:cs="Times New Roman"/>
          <w:sz w:val="28"/>
          <w:szCs w:val="28"/>
        </w:rPr>
        <w:t>p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˂0,001) в порівнянні з контрольною групою відповідної категорії. Зміни були стійкими, зберігалися впродовж двох місяців після народження. Також мікроскопічно було виявлено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панкреофіброз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набряк строми.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Зменшення площі острівців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Лангерганса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 10,8%, р˂0,001), місцями їх гіпертрофія і гіперплазія, зменшення </w:t>
      </w:r>
      <w:r w:rsidRPr="00D720A9">
        <w:rPr>
          <w:rFonts w:ascii="Times New Roman" w:eastAsia="Calibri" w:hAnsi="Times New Roman" w:cs="Times New Roman"/>
          <w:sz w:val="28"/>
          <w:szCs w:val="28"/>
        </w:rPr>
        <w:t>β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і </w:t>
      </w:r>
      <w:r w:rsidRPr="00D720A9">
        <w:rPr>
          <w:rFonts w:ascii="Times New Roman" w:eastAsia="Calibri" w:hAnsi="Times New Roman" w:cs="Times New Roman"/>
          <w:sz w:val="28"/>
          <w:szCs w:val="28"/>
        </w:rPr>
        <w:t>α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-клітин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острівцях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Лангерганса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 21,6% і 25,0% відповідно, р˂0,001), зниження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морфофункціональної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активності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ендокриноцитів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Категорія В (одномісячні): 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Свідчення про екзокринну гіпофункцію внаслідок зменшення середньої площі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ацинусів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гіполіпаземія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зниження рівня </w:t>
      </w:r>
      <w:r w:rsidRPr="00D720A9">
        <w:rPr>
          <w:rFonts w:ascii="Times New Roman" w:eastAsia="Calibri" w:hAnsi="Times New Roman" w:cs="Times New Roman"/>
          <w:sz w:val="28"/>
          <w:szCs w:val="28"/>
        </w:rPr>
        <w:t>α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1-антитрипсину (у 100%),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гіпоамілаземія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 90%).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Зниження рівня інсуліну на 25,7% в порівнянні з показниками групи контролю на фоні гіпоглікемії та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гіпопротеїнемія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(глюкоза і загальний білок відповідно склали 90,2% і 94,5% від нормативного показника контрольної групи відповідної категорії), підвищення більш ніж у 2 рази НЕЖК і КТ.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Категорія С (двомісячні): </w:t>
      </w:r>
    </w:p>
    <w:p w:rsidR="00D720A9" w:rsidRPr="00D720A9" w:rsidRDefault="00D720A9" w:rsidP="00D72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Більш виражена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гіпоінсулінемія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порівнянні з категорією В основної групи, наростання гіпоглікемії при незначному підвищенні рівня адреналіну і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норадреналіну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Вміст КТ перевищує в 6,4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показники контрольної групи. Дані зміни свідчать про зниження можливості інсулінозалежних тканин використовувати глюкозу в якості основного енергетичного субстрату в результаті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гіпоінсулінемії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тому енергетичні потреби клітин значною мірою забезпечуються внаслідок метаболізму КТ. </w:t>
      </w:r>
    </w:p>
    <w:p w:rsidR="00D720A9" w:rsidRPr="00D720A9" w:rsidRDefault="00D720A9" w:rsidP="00D720A9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0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Висновки.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Низький рівень енергетичних субстратів в організмі щурів впродовж вагітності пошкоджує апарат підшлункової залози їх нащадків. Про це свідчить наявність морфологічних змін в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екзокриноцитах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D720A9">
        <w:rPr>
          <w:rFonts w:ascii="Times New Roman" w:eastAsia="Calibri" w:hAnsi="Times New Roman" w:cs="Times New Roman"/>
          <w:sz w:val="28"/>
          <w:szCs w:val="28"/>
        </w:rPr>
        <w:t>α</w:t>
      </w:r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і </w:t>
      </w:r>
      <w:r w:rsidRPr="00D720A9">
        <w:rPr>
          <w:rFonts w:ascii="Times New Roman" w:eastAsia="Calibri" w:hAnsi="Times New Roman" w:cs="Times New Roman"/>
          <w:sz w:val="28"/>
          <w:szCs w:val="28"/>
        </w:rPr>
        <w:t>β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-клітинах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як наслідок ‒ зниження рівня їх функціональної активності. Виявлені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морфофункціональні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підшлункової залози у потомства основної групи створюють передумови для розвитку стійкої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екзо-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ендокринної </w:t>
      </w:r>
      <w:proofErr w:type="spellStart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>дисфункції</w:t>
      </w:r>
      <w:proofErr w:type="spellEnd"/>
      <w:r w:rsidRPr="00D720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підшлункової залози. Слід зазначити, що такі патологічні зміни у потомства мають місце за умови їх збалансованого харчування після народження, тобто усі вони пов'язані з порушенням розвитку саме в пренатальному періоді.</w:t>
      </w:r>
    </w:p>
    <w:p w:rsidR="00A5571A" w:rsidRPr="00D720A9" w:rsidRDefault="00A5571A" w:rsidP="00D720A9">
      <w:pPr>
        <w:rPr>
          <w:lang w:val="uk-UA"/>
        </w:rPr>
      </w:pPr>
      <w:bookmarkStart w:id="0" w:name="_GoBack"/>
      <w:bookmarkEnd w:id="0"/>
    </w:p>
    <w:sectPr w:rsidR="00A5571A" w:rsidRPr="00D7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BB"/>
    <w:rsid w:val="008334BB"/>
    <w:rsid w:val="00984079"/>
    <w:rsid w:val="00A5571A"/>
    <w:rsid w:val="00C049C3"/>
    <w:rsid w:val="00C627EC"/>
    <w:rsid w:val="00D25500"/>
    <w:rsid w:val="00D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sanna.aksen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Company>Krokoz™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2019-06-03T17:55:00Z</dcterms:created>
  <dcterms:modified xsi:type="dcterms:W3CDTF">2019-06-03T18:46:00Z</dcterms:modified>
</cp:coreProperties>
</file>