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CHANGES IN PENTRAXIN-3 LEVEL AND ITS INTERACTION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WITH METABOLIC INDICES IN PATIENTS WITH CORONARY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ARTERY DISEASE AND TYPE 2 DIABETES MELLITUS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9A9A9A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9A9A9A"/>
          <w:sz w:val="24"/>
          <w:szCs w:val="24"/>
        </w:rPr>
        <w:t>ZMIANY STĘŻENIA PENTRAKSYNY 3 I JEJ INTERAKCJE ZE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9A9A9A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9A9A9A"/>
          <w:sz w:val="24"/>
          <w:szCs w:val="24"/>
        </w:rPr>
        <w:t>WSKAŹNIKAMI METABOLICZNYMI U PACJENTOW Z CHOROBĄ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9A9A9A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9A9A9A"/>
          <w:sz w:val="24"/>
          <w:szCs w:val="24"/>
        </w:rPr>
        <w:t>WIEŃCOWĄ ORAZ CUKRZYCĄ TYPU 2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000000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color w:val="000000"/>
          <w:sz w:val="24"/>
          <w:szCs w:val="24"/>
        </w:rPr>
        <w:t>Pavlo G. Kravchun, Olga I. Kadykova, Dmitry G. Molotyagin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KHARKIV NATIONAL MEDICAL UNIVERSITY, KHARKIV, UKRAINE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ABSTRACT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color w:val="000000"/>
          <w:sz w:val="24"/>
          <w:szCs w:val="24"/>
        </w:rPr>
        <w:t xml:space="preserve">Introduction: </w:t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Recently great attention is paid to studying of coronary artery disease (CAD) pathogenesis against the background of the diabetes mellitus (DM). First of all, the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question of an inflammatory component role in development of atherosclerosis in patients with DM 2 types is studied. One of new perspective markers of immune inflammation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is pentraxin-3 (PTX-3).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color w:val="000000"/>
          <w:sz w:val="24"/>
          <w:szCs w:val="24"/>
        </w:rPr>
        <w:t xml:space="preserve">The aim </w:t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of the study was to evaluate the nature of changes in the level of pentraxin-3 in patients with coronary artery disease, depending on the presence of type 2 diabetes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mellitus and to investigate the nature of the relationship with metabolic parameters.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color w:val="000000"/>
          <w:sz w:val="24"/>
          <w:szCs w:val="24"/>
        </w:rPr>
        <w:t xml:space="preserve">Materials and methods: </w:t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Comprehensive examination of 110 patients with CAD was conducted. Patients were divided into groups depending on presence of type 2 DM: to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the first group (n = 75) entered patients with CAD and type 2 DM , the group of comparison was made by 35 patients with CAD without type 2 DM. 25 almost healthy persons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entered into control group.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color w:val="000000"/>
          <w:sz w:val="24"/>
          <w:szCs w:val="24"/>
        </w:rPr>
        <w:t xml:space="preserve">Results: </w:t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As a result of a research it is established the reliable increase in PTX-3 level in all patients with CAD in comparison with group of control for 65.40% . And in the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conditions of the combined current of CAD and type 2 DM, PTX-3 level is for 80.14% higher, than in persons of control group. Also interrelation between PTX-3 and indicators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of dcarbohydrate and lipidic exchanges were defines. According to the carried-out correlation analysis there was revealed existence of direct integral probable connections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between PTX-3 level and levels of glucose (r = 0.41; p &lt;0,05), insulin (r = 0.36; p &lt;0,05), index of HOMA (r = 0.89; p &lt;0,05), TG level (r = 0.74; p &lt;0,05) and the return with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the HDL (r = - 0.54; p &lt;0,05).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color w:val="000000"/>
          <w:sz w:val="24"/>
          <w:szCs w:val="24"/>
        </w:rPr>
        <w:t xml:space="preserve">Conclusions: </w:t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In patients with CAD with the accompanying type 2 DM it is established higher PTX-3 level, than in patients without type 2 DM and control group that demonstrates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autoimune link activation. In the examined patients PTX-3 level increase was associated with violation of lipid and carbohydrate exchanges.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KEY WORDS: </w:t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t>coronary artery disease, type 2 diabetes mellitus, metabolic violations, pentraxin-3</w:t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br/>
      </w:r>
      <w:r w:rsidRPr="00A511A0">
        <w:rPr>
          <w:rFonts w:ascii="Times New Roman" w:eastAsia="MyriadPro-Bold" w:hAnsi="Times New Roman" w:cs="Times New Roman"/>
          <w:color w:val="000000"/>
          <w:sz w:val="24"/>
          <w:szCs w:val="24"/>
        </w:rPr>
        <w:br/>
      </w:r>
      <w:r w:rsidRPr="00A511A0">
        <w:rPr>
          <w:rFonts w:ascii="Times New Roman" w:eastAsia="MyriadPro-Bold" w:hAnsi="Times New Roman" w:cs="Times New Roman"/>
          <w:b/>
          <w:bCs/>
          <w:sz w:val="24"/>
          <w:szCs w:val="24"/>
        </w:rPr>
        <w:t>INTRODUCTION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Coronary artery disease (CAD) is one of the most common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causes of mortality in developed countries, stipulating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attention paid to the study of the pathogenesis of ischemic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heart disease. In Ukraine, the prevalence and incidence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of CAD increases annually and comprises 53.8% of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circulatory system diseases. Mortality from ischemic heart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disease is about 650 per 100 thousand of population [1].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 major risk factor for CAD is diabetes mellitus (DM),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which became one of the leading medical and social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problems of modern society, due to high morbidity and its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prevalence, frequent development of chronic micro- and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macrovascular complications [2, 3].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CAD develops 2-4 times more often in patients with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type 2 diabetes than in patients of the same age without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diabetes [4]. Cardiovascular diseases is the main reason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for disability and mortality of patients with diabetes, and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these diseases are to a considerable extent preconditioned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by CAD [5]. It should be noted that 3 of 4 patients with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DM die from causes associated with atherosclerosis, and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most cases (75%) from CAD.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lastRenderedPageBreak/>
        <w:t>The prevalence of DM in Ukraine is 3041.6 per 100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thousand of population, and the primary morbidity is 272.0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per 100 thousand of population [4]. And this is a medical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and social problem in terms of cardiovascular morbidity,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which requires the improvement of diagnostic approaches</w:t>
      </w:r>
    </w:p>
    <w:p w:rsidR="00D517F9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and determines the relevance of the study.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Generalized or chronic inflammation is one of the pathogenic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mechanisms of atherosclerosis. This is confirmed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by recent clinical and experimental data obtained by determination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of inflammation markers (C-reactive protein</w:t>
      </w:r>
    </w:p>
    <w:p w:rsidR="00A511A0" w:rsidRPr="00A511A0" w:rsidRDefault="00D517F9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(CRP), proinflammatory cytokines, such as interleukin-1,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interleukin-6 (IL-6), interleukin-12, tumor necrosis factor-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α (TNF-α), serum amyloid A, haptoglobin, fibrinogen)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[6-12]. First of all, the role of inflammatory component 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the development of atherosclerosis in patients with type 2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diabetes is being studied.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One of the new markers of immune inflammation is pentraxin-3, overexpressed in endothelial and smooth muscle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cells, monocytes and macrophages, which are components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of the vascular wall and atherosclerotic plaque [12-15].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Pentraxin-3 (PTX-3), also known as TNF-inducible gene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14 protein, is related to pentraxin super-family, which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includes classical short pentraxins CRP and serum amyloid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P component, long pentraxin PTX-4, and a group of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neuronal pentraxins. Its role in atherosclerosis has not yet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been clarified. However, some scientific studies indicate an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="00A511A0" w:rsidRPr="00A511A0">
        <w:rPr>
          <w:rFonts w:ascii="Times New Roman" w:eastAsia="MinionPro-Regular" w:hAnsi="Times New Roman" w:cs="Times New Roman"/>
          <w:sz w:val="24"/>
          <w:szCs w:val="24"/>
        </w:rPr>
        <w:t>increased secretion of PTX-3 in patients with CAD [16, 17].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Other researchers reported that its increased expression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was associated with acute coronary syndrome, and high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plasma levels of PTX-3 were predictors of adverse clinical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outcomes 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patients with heart failure [18, 19]. However,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the pathogenic role of PTX-3 in the development of CAD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patients with type 2 diabetes has not yet been studied,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which requires further research in this direction.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sz w:val="24"/>
          <w:szCs w:val="24"/>
        </w:rPr>
        <w:t>THE AIM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The purpose of the study was to evaluate the nature of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changes in the level of pentraxin-3 in patients with coronary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artery disease, depending on the presence of type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2 diabetes mellitus and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to investigate the nature of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relationship with metabolic parameters.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sz w:val="24"/>
          <w:szCs w:val="24"/>
        </w:rPr>
        <w:t>MATERIALS AND METHODS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The study involved comprehensive examination of 110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patients with CAD, who were treated at the Department of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Cardiology of the Municipal Non-Profit Enterprise “City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Clinical Hospital No.27” of Kharkiv City Administration,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which is the basic medical institution of Academician L.T.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Malaya Department of Internal Medicine No.2, Clinical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Immunology and Allergology of Kharkiv National Medical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University of the Ministry of Health of Ukraine. The patients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were divided into groups depending on the presence of type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2 diabetes: the first group (n = 75) included patients with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CAD and type 2 diabetes, the comparison group comprised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35 patients with CAD without diabetes. The control group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included 25 practically healthy persons. The study did not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include patients with severe concomitant disorders of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respiratory and digestive organs, kidneys and cancer.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The diagnosis was made in accordance with the effective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orders of the Ministry of Health of Ukraine.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All the patients underwent general clinical and instrumental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examination.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order to control carbohydrate metabolism, glucose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levels were determined by glucose oxidant method,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content of glycosylated hemoglobin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(HbA1c) in whole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blood was determined by photometric reaction with thiobarbituric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acid using commercial test system produced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by the company Reagent (Ukraine) in accordance with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the attached instruction. The concentration of insulin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was determined by the immunoassay method using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commercial test system Insulin ELISA Kit produced by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company DRG (Germany). The HOMA Index (Homeostasis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Model Assessment) was calculated using the formula:</w:t>
      </w:r>
    </w:p>
    <w:p w:rsidR="00A511A0" w:rsidRPr="00A511A0" w:rsidRDefault="00A511A0" w:rsidP="009E0AF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insulin (mU/ml) × fasting glucose (mmol/l)/22.5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 xml:space="preserve">In HOMA 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index &gt;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 xml:space="preserve"> 2.77 the patients were considered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insulin-resistant.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Biochemical study included determination of total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cholesterol (TC) and high density lipoprotein (HDL)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by peroxidase method using Cholesterol Liquicolor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reagent kit produced by company Human (Germany) 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heparin-stabilized blood serum. Triglycerides (TG) were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determined by enzymatic colorimetric method using Triglycerides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GPO reagent kit produced by company Human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(Germany). Atherogenicity factor (AF) was calculated by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A.M. Klimov’s formula: AF = (TC - HDL)/HDL; very low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density lipoprotein (VLDL) = TG/2.2 × 0.45, (mmol/l);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low density lipoprotein (LDL) = TC - (VLDL + HDL),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lastRenderedPageBreak/>
        <w:t>(mmol/l). Obesity was characterized by the body mass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index (BMI) (the Kettle Index), which was calculated by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 xml:space="preserve">the 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formula:weight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 xml:space="preserve"> (kg)/height (m2)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Pentraxin-3 concentration was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determined by the immunoassay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method using the commercial test system Human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pentraxin 3 (PTX3) Elisa Kit produced by SUNLONG BIOTECH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(China) in accordance with the attached instruction.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Statistical data was processed using Statistica software,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version 6.0. The differences between the groups in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distribution close to normal were evaluated by Pearson’s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criterion. The differences were considered statistically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 xml:space="preserve">significant at 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0.05.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sz w:val="24"/>
          <w:szCs w:val="24"/>
        </w:rPr>
        <w:t>RESULTS AND DISCUSSION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Our study showed a statistically significant increase 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PTX-3 level in all patients with CAD as compared to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control group (Fig. 1). Thus, PTX-3 level in the control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group was 1.18Ѓ}0.54 ng/ml, which was 65.40% less than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patients with CAD, where the value of this index was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3.41Ѓ}0.68 ng/ml (p &lt;0.05).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patients with a concomitant course of CAD and DM 2,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the PTX-3 level was 80.14% higher than that of the control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group and was 5.94Ѓ}0.57 ng/ml (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0.05).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Comparative analysis demonstrated a statistically significant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increase in PTX-3 level by 57.41% in patients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with CAD, subject to the presence of type 2 diabetes,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which indicated an activation of PTX-3 inflammatory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marker, which can be considered a predictor of the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concomitant course.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The findings of the study are in agreement with the results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obtained by other researchers. Haibo L. [20] performed examination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of 596 patients (467 men, 129 women, mean age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65.9Ѓ}8.1 years), showing that PTX-3 could be considered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an inflammatory predictor of CAD. The level of PTX-3 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patients with CAD was 3.12Ѓ}0.63 ng/ml, which was higher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than in the control group.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The Cardiovascular Health Study (CHS) conducted by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the National Heart, Lung, and Blood Institute involved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examination of 5 888 men and women aged 65. PTX-3 was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associated with cardiovascular disease and mortality, and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its concentration was higher in patients with stable angina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pectoris (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0.001), as well as in patients with myocardial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infarction (p=0.005) and ischemic stroke (p≤0.001), than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in the control group [21].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our opinion, taking into account the association of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t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ype 2 diabetes with changes in the lipid and carbohydrate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profile, which leads to an increase in the incidence of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cardiovascular complications in patients with CAD [22],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it was expedient to study the features of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lipid and carbohydrate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metabolism in patients with CAD in the presence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of concomitant type 2 diabetes.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groups of patients with CAD with concomitant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type 2 diabetes, fasting glucose level reached 7.19Ѓ}0.31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mmol/l, and in the group of patients with CAD without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diabetes it comprised 4.37Ѓ}0.08 mmol/l (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0.05).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level of fasting insulin was 27.16Ѓ}0.48 mcU / ml in first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group patients and was significantly higher than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level of fasting insulin in second group patients, namely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8.32Ѓ}0.21 mcU/ml (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0.05). First group patients were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found to have higher values of glycosylated hemoglobin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than in the second group, 10.42Ѓ}0.28% and 4.68Ѓ}0.25%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respectively (p&lt;0.05). Determination of the HOMA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index showed its significant increase in patients of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first group (8.87Ѓ}0.71) as compared to the second group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(1.67Ѓ}0.25) (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0.05) (Table 1).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Assessment of lipid profiles revealed an increase in the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level of LDL cholesterol (3.09Ѓ}0.07 mmol/l as compared to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2.67Ѓ}0.06 mmol/l), VLDL cholesterol (1.57Ѓ}0.03 mmol/l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as compared to 1.14Ѓ}0.02 mmol/l) (p&gt;0.05); an increase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TG level (1.81Ѓ}0.07 mmol/l versus 1.58Ѓ}0.04 mmol/l,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respectively), and a decrease in HDL cholesterol (0.91Ѓ}0.02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mmol/l compared to 1.51Ѓ}0.03 mmol/l, respectively)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(p&lt;0.05) in patients with CAD and type 2 diabetes as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compared to patients without diabetes (Table I).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Taking into account the association of chronic inflammation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markers with metabolic parameters in patients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with CAD and type 2 diabetes, we identified a relationship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between PTX-3 and carbohydrate and lipid metabolism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indices in our patients.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Correlation analysis showed the presence of direct integral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potential links between the level of PTX-3 and glucose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levels (r=0.41; p&lt;0.05), insulin (r=0.36; p&lt;0.05), HOMA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index (r=0.89; p&lt;0.05), the level of TG (r=0.74; p&lt;0.05) and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reverse with HDL cholesterol (r= -0.54; p&lt;0.05) (Table II).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 the multiethnic study of the University of Vermont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Medical College including 2383 patients an increase in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PTX-3 was positively associated with age (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0.045), obesity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(p&lt;0.045), insulin levels (p&lt;0.045), systolic blood pressure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(</w:t>
      </w:r>
      <w:proofErr w:type="gramStart"/>
      <w:r w:rsidRPr="00A511A0">
        <w:rPr>
          <w:rFonts w:ascii="Times New Roman" w:eastAsia="MinionPro-Regular" w:hAnsi="Times New Roman" w:cs="Times New Roman"/>
          <w:sz w:val="24"/>
          <w:szCs w:val="24"/>
        </w:rPr>
        <w:t>p&lt;</w:t>
      </w:r>
      <w:proofErr w:type="gramEnd"/>
      <w:r w:rsidRPr="00A511A0">
        <w:rPr>
          <w:rFonts w:ascii="Times New Roman" w:eastAsia="MinionPro-Regular" w:hAnsi="Times New Roman" w:cs="Times New Roman"/>
          <w:sz w:val="24"/>
          <w:szCs w:val="24"/>
        </w:rPr>
        <w:t>0.045), CRP (p&lt;0,045) and the thickness of carotid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intima-media (p&lt;0.045) [23].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lastRenderedPageBreak/>
        <w:t>The data obtained in different populations are of different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nature, but today we can consider PТX-3 as a new marker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that will be used to improve diagnostic efficiency in patients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with CAD and type 2 diabetes.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sz w:val="24"/>
          <w:szCs w:val="24"/>
        </w:rPr>
        <w:t>CONCLUSIONS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1. Patients with CAD were found to have a higher level of РТХ-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3 (5.94Ѓ}0.57 ng/ml) than patients without type 2 diabetes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(3.41Ѓ}0.68 ng/ml) and control group (1.18Ѓ}0.54 ng/ml),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indicating activation of the immune-inflammatory link.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2. Metabolic disorders in patients with CAD and type 2</w:t>
      </w:r>
      <w:r w:rsidR="009E0AF3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diabetes are manifested by hyperinsulinemia, hyperglycemia,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hypertriglyceridemia, increased insulin resistance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and decreased LDL cholesterol levels.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3. In the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examined patients, an increase in the level of РТХ-3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was associated with an increase in triglycerides, glucose,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insulin, HOMA index, and a decrease in HDL cholesterol.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A511A0">
        <w:rPr>
          <w:rFonts w:ascii="Times New Roman" w:eastAsia="MyriadPro-Regular" w:hAnsi="Times New Roman" w:cs="Times New Roman"/>
          <w:sz w:val="24"/>
          <w:szCs w:val="24"/>
        </w:rPr>
        <w:t>REFERENCES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1. Kovalenko V.M., Dorogoy A.P. Sercevo-sudinny khvorobi: medichnosocialne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znachennya ta strategiya rozvitku cardiologii v Ukraini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[Cardiovascular diseases: medical and social significance and strategy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of cardiology development in Ukraine]. Ukrainian Cardiology Journal.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2016; 3: 5-14. (In Ukrainian).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2. Pogrebnyak О.О. Vpliv simvastatinu і corurginu na klinichniy perebig</w:t>
      </w:r>
      <w:r w:rsidR="00824807" w:rsidRPr="0082480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ishemichnoi khvorobi sercya, masu tila ta kharakter rozpodilu jirovoi</w:t>
      </w:r>
      <w:r w:rsidR="00824807" w:rsidRPr="0082480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tkanini u khvorih na cukroviy diabet 2 tipu [Effect of simvastatin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and corurgin on the clinical course of coronary heart disease, body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weight and the distribution of fatty tissue in patients with type 2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diabetes mellitus]. Zaporozhye Medical Journal 2013; 3(78): 57-59. (In</w:t>
      </w:r>
      <w:r w:rsidR="00824807" w:rsidRPr="0082480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Ukrainian).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3. Kravchun N.A. Osoblyvosti formuvannya sercevo-sudynnyh uskladnen’</w:t>
      </w:r>
      <w:r w:rsidR="00824807" w:rsidRPr="0082480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cukrovogo diabetu 2 tipu u khvorih z riznimi proyavami metabolichnogo</w:t>
      </w:r>
      <w:r w:rsidR="00824807" w:rsidRPr="0082480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sindromu ta ih pharmacologichna corecciya [Features of formation of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cardiovascular complications of type 2 diabetes in patients with various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manifestations of metabolic syndrome and their pharmacological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correction]. Diss. … doc. med.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sciences. 14.01.14. Kharkiv, 2007. 323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p. (In Ukrainian).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4. Citowskiy М.N. Statistichniy, klinichniy ta morphologichniy aspect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vplivu cukrovogo diabetu na stan sercevo-sudinnoi systemi [Statistical,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clinical and morphological aspects of the influence of diabetes mellitus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on the state of the cardiovascular system]. Scientific Herald of Uzhgorod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 xml:space="preserve">University, series </w:t>
      </w:r>
      <w:r w:rsidRPr="00A511A0">
        <w:rPr>
          <w:rFonts w:ascii="Cambria Math" w:eastAsia="MinionPro-Regular" w:hAnsi="Cambria Math" w:cs="Cambria Math"/>
          <w:sz w:val="24"/>
          <w:szCs w:val="24"/>
        </w:rPr>
        <w:t>≪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Medicine</w:t>
      </w:r>
      <w:r w:rsidRPr="00A511A0">
        <w:rPr>
          <w:rFonts w:ascii="Cambria Math" w:eastAsia="MinionPro-Regular" w:hAnsi="Cambria Math" w:cs="Cambria Math"/>
          <w:sz w:val="24"/>
          <w:szCs w:val="24"/>
        </w:rPr>
        <w:t>≫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 xml:space="preserve"> 2017; 1(55): 168-177. (In Ukrainian).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5. Illyash М.G., Bazyka О.E., Dovganich N.V. et al. Arterialna hypertensiya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ta cukroviy diabet: suchasni aspecti licuvannya [Arterial hypertension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and diabetes mellitus: modern aspects of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treatment]. Practitioner 2016;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5(2): 5-9. (In Ukrainian).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6. Hajsadeghi S., Chitsazan M., Chitsazan M. et al. Changes of High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Sensitivity C-Reactive Protein During Clopidogrel Therapy in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Patients Undergoing Percutaneous Coronary Intervention. Res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Cardiovasc Med 2015; 5(1): e28997, http://dx.doi.org/10.5812/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cardiovascmed.28997.</w:t>
      </w:r>
    </w:p>
    <w:p w:rsidR="00A511A0" w:rsidRPr="00824807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inionPro-Regular" w:hAnsi="Times New Roman" w:cs="Times New Roman"/>
          <w:sz w:val="24"/>
          <w:szCs w:val="24"/>
        </w:rPr>
        <w:t>7. Poredos P., Spirkoska A., Lezaic L., Mijovski M.B. and Jezovnik M.K.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Patients with an Inflamed Atherosclerotic Plaque have Increased Levels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t>of Circulating Inflammatory Markers. J Atheroscler Thromb 2017; 24(1):</w:t>
      </w:r>
      <w:r w:rsidRPr="00A511A0">
        <w:rPr>
          <w:rFonts w:ascii="Times New Roman" w:eastAsia="MinionPro-Regular" w:hAnsi="Times New Roman" w:cs="Times New Roman"/>
          <w:sz w:val="24"/>
          <w:szCs w:val="24"/>
        </w:rPr>
        <w:br/>
      </w:r>
      <w:r w:rsidRPr="00A511A0">
        <w:rPr>
          <w:rFonts w:ascii="Times New Roman" w:hAnsi="Times New Roman" w:cs="Times New Roman"/>
          <w:sz w:val="24"/>
          <w:szCs w:val="24"/>
        </w:rPr>
        <w:t>8. Xiong G.L., Prybol K., Boyle S.H. et al. Inflammation markers and Major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Depressive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Disorder in Patients with Chronic Heart Failure: Results from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the Sertraline Against Depression and Heart Disease in Chronic Heart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Failure (SADHART-CHF) study. Psychosom Med 2015; 77(7): 808–815,</w:t>
      </w:r>
      <w:r w:rsidR="0082480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http://dx.doi.org/10.1097/PSY.0000000000000216.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9. Taleb S. Inflammation in atherosclerosis L’inflammation dans l’atherosclerose.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Archives of Cardiovascular Diseases 2016; 109(12): 708-715.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10. Solomon S., Pasarin L., Ursarescu I. The effect of non-surgical therapy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on C reactive protein and IL-6 serum levels in patients with periodontal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disease and atherosclerosis. Int J Clin Exp Med 2016; 9(2): 4411-4417.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11. Ammirati E., Moroni F., Norata G.D., M. Magnoni, and P.G. Camici. Markers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of Inflammation Associated with Plaque Progression and Instability in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 xml:space="preserve">Patients with Carotid </w:t>
      </w:r>
      <w:r w:rsidRPr="00A511A0">
        <w:rPr>
          <w:rFonts w:ascii="Times New Roman" w:hAnsi="Times New Roman" w:cs="Times New Roman"/>
          <w:sz w:val="24"/>
          <w:szCs w:val="24"/>
        </w:rPr>
        <w:lastRenderedPageBreak/>
        <w:t>Atherosclerosis. Mediators of Inflammation 2015;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Article ID 718329, 15 pages, http://dx.doi.org/10.1155/2015/718329.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12. Shindo A., Tanemura H., Yata K., Hamada K. Inflammatory Biomarkers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in Atherosclerosis: Pentraxin 3 Can Become a Novel Marker of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Plaque Vulnerability. PLoS One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2014; 9(6): e100045, http://dx.doi.org/10.1371/journal.pone.0100045.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13. Zhou Q., Chai X.-P., Fang Z.-F., Hu X.-Q. and Tang L. Association of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Plasma Pentraxin-3 Levels on Admission with In-hospital Mortality in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Patients with Acute Type A Aortic Dissection. Chin Med J (Engl) 2016;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129(21): 2589–2595, http://dx.doi.org/10.4103/0366-6999.192785.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14. Chodkowski A., Nabrdalik K., Kwiendacz H., Gumprecht J. Association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of pentraxin 3 with atherosclerotic cardiovascular diseases – general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knowledge in 2018. Clinical Diabetology 2018; 7(4): 203-206, http://</w:t>
      </w:r>
      <w:r w:rsidR="0082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dx.doi.org/10.5603/DK.2018.0015.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15. Agilli M., Aydin F.N., Cayci T., Kurt Y.G. Pentraxin 3 (PTX3) plasma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levels and carotid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intima media thickness progression in the general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population: A methodological approach. Nutrition, Metabolism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&amp; Cardiovascular Diseases 2014; 24(12): e38–e39,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https://doi.org/10.1016/j.numecd.2014.08.011.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16. Fornai F., Carrizzo A., Forte M. The inflammatory protein Pentraxin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3 in cardiovascular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disease. Immun Ageing 2016; 13(1): 25,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http://dx.doi.org/10.1186/s12979-016-0080-1.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17. Liu H., Guan S., Fang W. Associations between pentraxin 3 and severity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of coronary artery disease. BMJ Open 2015; 5(4): e007123, http://dx.doi.org/10.1136/bmjopen-2014-007123.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18. Akgul O., Baycan O.F., Bulut U., Somuncu M.U. Long-term prognostic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value of elevated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pentraxin 3 in patients undergoing primary angioplasty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for ST-elevation myocardial infarction.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Coron Artery Dis 2015; 26(7):592-7, http://dx.doi.org/10.1097/MCA.0000000000000280.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19. George M., Shanmugam E., Srivatsan V. Value of pentraxin-3 and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galectin-3 in acute coronary syndrome: a short-term prospective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cohort study. Ther Adv Cardiovasc Dis 2015; 9(5): 275-84, http://dx.doi.org/10.1177/1753944715578405.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20. Haibo L., Xiaofang G., Chunming W. et al. Prognostic value of plasma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pentraxin-3 levels in patients with stable coronary artery disease after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drug-eluting stent implantation. Mediators Inflamm 2014; 2014:963096.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21. Jenny N.S., Arnold A.M., Kuller L.H. Associations of Pentraxin 3 with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Cardiovascular Disease and All Cause Death: The Cardiovascular Health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Study. Arterioscler Thromb Vasc Biol 2009; 29(4): 594–599, http://dx.doi.org/10.1161/ATVBAHA.108.178947.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22. Parhofer K.G. Interaction between Glucose and Lipid Metabolism: More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than Diabetic Dyslipidemia. Diabetes Metab J 2015; 39(5): 353–362,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408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511A0">
        <w:rPr>
          <w:rFonts w:ascii="Times New Roman" w:hAnsi="Times New Roman" w:cs="Times New Roman"/>
          <w:sz w:val="24"/>
          <w:szCs w:val="24"/>
        </w:rPr>
        <w:t>ttp://dx.doi.org/[</w:t>
      </w:r>
      <w:proofErr w:type="gramEnd"/>
      <w:r w:rsidRPr="00A511A0">
        <w:rPr>
          <w:rFonts w:ascii="Times New Roman" w:hAnsi="Times New Roman" w:cs="Times New Roman"/>
          <w:sz w:val="24"/>
          <w:szCs w:val="24"/>
        </w:rPr>
        <w:t>10.4093/dmj.2015.39.5.353].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23. Jenny N.S., Blumenthal R.S., Kronmal R.A. Associations of pentraxin 3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with cardiovascular disease: the Multi-Ethnic Study of Atherosclerosis.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J Thromb Haemost 2014; 12(6): 999-1005,</w:t>
      </w:r>
      <w:r w:rsidR="0024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1A0">
        <w:rPr>
          <w:rFonts w:ascii="Times New Roman" w:hAnsi="Times New Roman" w:cs="Times New Roman"/>
          <w:sz w:val="24"/>
          <w:szCs w:val="24"/>
        </w:rPr>
        <w:t>http://dx.doi.org/10.1111/jth.12557.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/>
          <w:iCs/>
          <w:sz w:val="24"/>
          <w:szCs w:val="24"/>
        </w:rPr>
      </w:pP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The work is performed within research of Department of</w:t>
      </w:r>
      <w:r w:rsidR="0024082B">
        <w:rPr>
          <w:rFonts w:ascii="Times New Roman" w:eastAsia="MinionPro-I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Internal Medicine №2, Clinical Immunology and Allergology</w:t>
      </w:r>
      <w:r w:rsidR="0024082B">
        <w:rPr>
          <w:rFonts w:ascii="Times New Roman" w:eastAsia="MinionPro-I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named by L.T. Malaya of the Kharkiv National Medical</w:t>
      </w:r>
      <w:r w:rsidR="0024082B">
        <w:rPr>
          <w:rFonts w:ascii="Times New Roman" w:eastAsia="MinionPro-I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University</w:t>
      </w:r>
      <w:r w:rsidR="0024082B">
        <w:rPr>
          <w:rFonts w:ascii="Times New Roman" w:eastAsia="MinionPro-I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“Coronary artery disease in the conditions of</w:t>
      </w:r>
      <w:r w:rsidR="0024082B">
        <w:rPr>
          <w:rFonts w:ascii="Times New Roman" w:eastAsia="MinionPro-I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a polymorbydity: pathogenetic aspects of development,</w:t>
      </w:r>
      <w:r w:rsidR="0024082B">
        <w:rPr>
          <w:rFonts w:ascii="Times New Roman" w:eastAsia="MinionPro-I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current, diagnostics and improvement of the treatment”</w:t>
      </w:r>
      <w:r w:rsidR="0024082B">
        <w:rPr>
          <w:rFonts w:ascii="Times New Roman" w:eastAsia="MinionPro-It" w:hAnsi="Times New Roman" w:cs="Times New Roman"/>
          <w:i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(№0118U000929), the term of performance is 2017-2019.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A0">
        <w:rPr>
          <w:rFonts w:ascii="Times New Roman" w:hAnsi="Times New Roman" w:cs="Times New Roman"/>
          <w:b/>
          <w:bCs/>
          <w:sz w:val="24"/>
          <w:szCs w:val="24"/>
        </w:rPr>
        <w:t>Authors’ contributions: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/>
          <w:iCs/>
          <w:sz w:val="24"/>
          <w:szCs w:val="24"/>
        </w:rPr>
      </w:pP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According to the order of the Authorship.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A0">
        <w:rPr>
          <w:rFonts w:ascii="Times New Roman" w:hAnsi="Times New Roman" w:cs="Times New Roman"/>
          <w:b/>
          <w:bCs/>
          <w:sz w:val="24"/>
          <w:szCs w:val="24"/>
        </w:rPr>
        <w:t>Conflict of interest: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/>
          <w:iCs/>
          <w:sz w:val="24"/>
          <w:szCs w:val="24"/>
        </w:rPr>
      </w:pPr>
      <w:r w:rsidRPr="00A511A0">
        <w:rPr>
          <w:rFonts w:ascii="Times New Roman" w:eastAsia="MinionPro-It" w:hAnsi="Times New Roman" w:cs="Times New Roman"/>
          <w:i/>
          <w:iCs/>
          <w:sz w:val="24"/>
          <w:szCs w:val="24"/>
        </w:rPr>
        <w:t>The Authors declare no conflict of interest.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A511A0">
        <w:rPr>
          <w:rFonts w:ascii="Times New Roman" w:eastAsia="MyriadPro-Bold" w:hAnsi="Times New Roman" w:cs="Times New Roman"/>
          <w:b/>
          <w:bCs/>
          <w:sz w:val="24"/>
          <w:szCs w:val="24"/>
        </w:rPr>
        <w:t>CORRESPONDING AUTHOR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sz w:val="24"/>
          <w:szCs w:val="24"/>
        </w:rPr>
        <w:t>Olga Kadykova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Nauky, 4, 61022 Kharkiv, Ukraine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tel: +380508115557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hAnsi="Times New Roman" w:cs="Times New Roman"/>
          <w:sz w:val="24"/>
          <w:szCs w:val="24"/>
        </w:rPr>
        <w:t>e-mail: kadykova.olga1985@gmail.com</w:t>
      </w:r>
    </w:p>
    <w:p w:rsidR="00A511A0" w:rsidRPr="00A511A0" w:rsidRDefault="00A511A0" w:rsidP="00A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sz w:val="24"/>
          <w:szCs w:val="24"/>
        </w:rPr>
        <w:lastRenderedPageBreak/>
        <w:t xml:space="preserve">Received: </w:t>
      </w:r>
      <w:r w:rsidRPr="00A511A0">
        <w:rPr>
          <w:rFonts w:ascii="Times New Roman" w:hAnsi="Times New Roman" w:cs="Times New Roman"/>
          <w:sz w:val="24"/>
          <w:szCs w:val="24"/>
        </w:rPr>
        <w:t>28.08.2018</w:t>
      </w:r>
    </w:p>
    <w:p w:rsidR="00A511A0" w:rsidRPr="00A511A0" w:rsidRDefault="00A511A0" w:rsidP="00A511A0">
      <w:pPr>
        <w:rPr>
          <w:rFonts w:ascii="Times New Roman" w:eastAsia="MinionPro-Regular" w:hAnsi="Times New Roman" w:cs="Times New Roman"/>
          <w:sz w:val="24"/>
          <w:szCs w:val="24"/>
        </w:rPr>
      </w:pPr>
      <w:r w:rsidRPr="00A511A0">
        <w:rPr>
          <w:rFonts w:ascii="Times New Roman" w:eastAsia="MyriadPro-BoldCond" w:hAnsi="Times New Roman" w:cs="Times New Roman"/>
          <w:b/>
          <w:bCs/>
          <w:sz w:val="24"/>
          <w:szCs w:val="24"/>
        </w:rPr>
        <w:t xml:space="preserve">Accepted: </w:t>
      </w:r>
      <w:r w:rsidRPr="00A511A0">
        <w:rPr>
          <w:rFonts w:ascii="Times New Roman" w:hAnsi="Times New Roman" w:cs="Times New Roman"/>
          <w:sz w:val="24"/>
          <w:szCs w:val="24"/>
        </w:rPr>
        <w:t>10.01.2019</w:t>
      </w:r>
    </w:p>
    <w:p w:rsidR="00A511A0" w:rsidRPr="00A511A0" w:rsidRDefault="00A511A0" w:rsidP="00A511A0">
      <w:pPr>
        <w:rPr>
          <w:rFonts w:ascii="Times New Roman" w:hAnsi="Times New Roman" w:cs="Times New Roman"/>
          <w:sz w:val="24"/>
          <w:szCs w:val="24"/>
        </w:rPr>
      </w:pPr>
    </w:p>
    <w:sectPr w:rsidR="00A511A0" w:rsidRPr="00A5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I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F9"/>
    <w:rsid w:val="0024082B"/>
    <w:rsid w:val="00824807"/>
    <w:rsid w:val="009E0AF3"/>
    <w:rsid w:val="00A511A0"/>
    <w:rsid w:val="00BA1713"/>
    <w:rsid w:val="00D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3B22"/>
  <w15:chartTrackingRefBased/>
  <w15:docId w15:val="{0C2487FF-1F8C-4E5F-A1FF-10DCC68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2019-04-11T10:27:00Z</dcterms:created>
  <dcterms:modified xsi:type="dcterms:W3CDTF">2019-05-14T06:43:00Z</dcterms:modified>
</cp:coreProperties>
</file>