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6F3C" w:rsidRPr="009C2C44" w:rsidRDefault="009C2C44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</w:pPr>
      <w:r w:rsidRPr="009C2C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  <w:t>ПІДХОДИ ДО ДІАГНОСТИКИ СИФІЛІСУ НА СУЧАСНОМУ ЕТАПІ</w:t>
      </w:r>
    </w:p>
    <w:p w:rsidR="00546F3C" w:rsidRPr="009C2C44" w:rsidRDefault="009C2C44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vertAlign w:val="superscript"/>
          <w:lang w:val="uk-UA"/>
        </w:rPr>
        <w:t>1,2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lang w:val="uk-UA"/>
        </w:rPr>
        <w:t xml:space="preserve">Гаврилюк О.А.,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vertAlign w:val="superscript"/>
          <w:lang w:val="uk-UA"/>
        </w:rPr>
        <w:t>1</w:t>
      </w:r>
      <w:r w:rsidR="00546F3C" w:rsidRPr="009C2C4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lang w:val="uk-UA"/>
        </w:rPr>
        <w:t>Барабаш Д.Д.,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vertAlign w:val="superscript"/>
          <w:lang w:val="uk-UA"/>
        </w:rPr>
        <w:t>1</w:t>
      </w:r>
      <w:r w:rsidR="00546F3C" w:rsidRPr="009C2C4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color="000000"/>
          <w:lang w:val="uk-UA"/>
        </w:rPr>
        <w:t>Горбунова І.В.</w:t>
      </w:r>
    </w:p>
    <w:p w:rsidR="00263AD5" w:rsidRDefault="009C2C44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vertAlign w:val="superscript"/>
          <w:lang w:val="uk-UA"/>
        </w:rPr>
        <w:t>1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Харківський національний медичний університет</w:t>
      </w:r>
    </w:p>
    <w:p w:rsidR="009C2C44" w:rsidRDefault="009C2C44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ДУ «Інститут дерматології та венерології НАМН України»</w:t>
      </w:r>
    </w:p>
    <w:p w:rsidR="009C2C44" w:rsidRPr="00014239" w:rsidRDefault="009C2C44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</w:p>
    <w:p w:rsidR="00263AD5" w:rsidRPr="00014239" w:rsidRDefault="00263AD5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 w:rsidRPr="009C2C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  <w:t>Актуальність.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Сифіліс є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одним 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з найбільш небезпечних інфекційних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за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хвор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ювань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,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який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має схильність до зростання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.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На даний час с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кладн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ий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соціально-економічн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ий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стан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України, збільшення кількості 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внутрішньо переміщених осіб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, зниження 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настороженості лікарів різн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их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спеціал</w:t>
      </w:r>
      <w:r w:rsidR="009C2C4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ьностей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до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даної патології призводить до зростання 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п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ізн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</w:t>
      </w:r>
      <w:r w:rsidR="00354EC7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х форм сифілісу.</w:t>
      </w:r>
    </w:p>
    <w:p w:rsidR="00354EC7" w:rsidRPr="00014239" w:rsidRDefault="00354EC7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 w:rsidRPr="009C2C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  <w:t>Мета.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Ви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вч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ити методи діагностики сифілісу на сучасному етапі. </w:t>
      </w:r>
    </w:p>
    <w:p w:rsidR="00354EC7" w:rsidRPr="00014239" w:rsidRDefault="00354EC7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 w:rsidRPr="009C2C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  <w:t>Матеріали та методи.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Реферативний аналіз літературних джерел за останні 3 роки</w:t>
      </w:r>
      <w:r w:rsidR="00546F3C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.</w:t>
      </w:r>
    </w:p>
    <w:p w:rsidR="0052473D" w:rsidRDefault="00354EC7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 w:rsidRPr="00DD2D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  <w:t>Результати.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Н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а сучасному етапі реакція зв’яз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у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вання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комплементу (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РЗК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реакція </w:t>
      </w:r>
      <w:proofErr w:type="spellStart"/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Вассермана</w:t>
      </w:r>
      <w:proofErr w:type="spellEnd"/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) та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реакція Кана втратили свою актуальність через </w:t>
      </w:r>
      <w:r w:rsidR="00DD2DB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недостатню чутливість та велику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кількості неспецифічних реакцій.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На даний час в</w:t>
      </w:r>
      <w:r w:rsidR="00134695" w:rsidRP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иділяють 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п</w:t>
      </w:r>
      <w:r w:rsidR="00134695" w:rsidRP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рямі та непрямі методи діагностики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сифілісу</w:t>
      </w:r>
      <w:r w:rsidR="00134695" w:rsidRP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. </w:t>
      </w:r>
      <w:r w:rsidR="001A0FCA" w:rsidRPr="0052473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>Прямі</w:t>
      </w:r>
      <w:r w:rsidR="00134695" w:rsidRP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: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м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ікроскопічне дослідження в темному полі зору, 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що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дозволяє диференціювати 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блід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у </w:t>
      </w:r>
      <w:proofErr w:type="spellStart"/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трепонему</w:t>
      </w:r>
      <w:proofErr w:type="spellEnd"/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від інших </w:t>
      </w:r>
      <w:proofErr w:type="spellStart"/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</w:t>
      </w:r>
      <w:proofErr w:type="spellEnd"/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; </w:t>
      </w:r>
      <w:proofErr w:type="spellStart"/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муногістохімічне</w:t>
      </w:r>
      <w:proofErr w:type="spellEnd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дослідження з використанням </w:t>
      </w:r>
      <w:proofErr w:type="spellStart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моноклональних</w:t>
      </w:r>
      <w:proofErr w:type="spellEnd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або </w:t>
      </w:r>
      <w:proofErr w:type="spellStart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поліклональних</w:t>
      </w:r>
      <w:proofErr w:type="spellEnd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антитіл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; </w:t>
      </w:r>
      <w:proofErr w:type="spellStart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полімеразна</w:t>
      </w:r>
      <w:proofErr w:type="spellEnd"/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ланцюгова реакція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яка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дозволяє виявити </w:t>
      </w:r>
      <w:r w:rsidR="0013469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молекулу ДНК.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Прямі методи використовуються для діагностики ранніх форм захворювання з клінічними проявами, пізнього активного сифілісу та підтвердження вродженого сифілісу. </w:t>
      </w:r>
      <w:r w:rsidR="001C751B" w:rsidRPr="0052473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>Непрямі методи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іагностики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поділяються на </w:t>
      </w:r>
      <w:proofErr w:type="spellStart"/>
      <w:r w:rsidR="001C751B" w:rsidRPr="00B2126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>трепонемні</w:t>
      </w:r>
      <w:proofErr w:type="spellEnd"/>
      <w:r w:rsidR="001C751B" w:rsidRPr="00B2126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 xml:space="preserve"> та </w:t>
      </w:r>
      <w:proofErr w:type="spellStart"/>
      <w:r w:rsidR="001C751B" w:rsidRPr="00B2126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>нетрепонемні</w:t>
      </w:r>
      <w:proofErr w:type="spellEnd"/>
      <w:r w:rsidR="001C751B" w:rsidRPr="00B2126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lang w:val="uk-UA"/>
        </w:rPr>
        <w:t xml:space="preserve"> тести.</w:t>
      </w:r>
      <w:r w:rsidR="007249E5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Реактивність </w:t>
      </w:r>
      <w:proofErr w:type="spellStart"/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нетрепонемних</w:t>
      </w:r>
      <w:proofErr w:type="spellEnd"/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тестів </w:t>
      </w:r>
      <w:r w:rsidR="00B21262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(реакція </w:t>
      </w:r>
      <w:proofErr w:type="spellStart"/>
      <w:r w:rsidR="00B21262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мікропреципітації</w:t>
      </w:r>
      <w:proofErr w:type="spellEnd"/>
      <w:r w:rsidR="00B21262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РПР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B21262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тест визначення швидких плазмових </w:t>
      </w:r>
      <w:proofErr w:type="spellStart"/>
      <w:r w:rsidR="00B21262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реагінів</w:t>
      </w:r>
      <w:proofErr w:type="spellEnd"/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,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en-US"/>
        </w:rPr>
        <w:t>VDRL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тест,</w:t>
      </w:r>
      <w:r w:rsidR="00695EFA" w:rsidRP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en-US"/>
        </w:rPr>
        <w:t>TRUST</w:t>
      </w:r>
      <w:r w:rsidR="00695EFA" w:rsidRP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тест,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en-US"/>
        </w:rPr>
        <w:t>USR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тест</w:t>
      </w:r>
      <w:r w:rsidR="00B21262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) 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зазвичай вказує на ушкодження тканин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и не 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завжди специфічна по відношенню до сифілісу</w:t>
      </w:r>
      <w:r w:rsidR="00AE6E9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тому дані тести можуть бути використані для скринінгу населення на сифіліс</w:t>
      </w:r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.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proofErr w:type="spellStart"/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Трепонемні</w:t>
      </w:r>
      <w:proofErr w:type="spellEnd"/>
      <w:r w:rsidR="001C751B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тести </w:t>
      </w:r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найбільш чутливі та специфічні, це: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метод </w:t>
      </w:r>
      <w:proofErr w:type="spellStart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імунохроматографії</w:t>
      </w:r>
      <w:proofErr w:type="spellEnd"/>
      <w:r w:rsidR="001A0FC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який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дозволяє виявити </w:t>
      </w:r>
      <w:proofErr w:type="spellStart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трепонемоспецифічні</w:t>
      </w:r>
      <w:proofErr w:type="spellEnd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антитіла до збудника сиф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ілісу; 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lastRenderedPageBreak/>
        <w:t xml:space="preserve">реакція </w:t>
      </w:r>
      <w:proofErr w:type="spellStart"/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імунофл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уоресценції</w:t>
      </w:r>
      <w:proofErr w:type="spellEnd"/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що використовує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ться як підтверджуючий тест при латентних формах сифілісу, а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також як експертний метод при 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диференціації хибно позитив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них реакцій;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реакція пасивної гемаглютинації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яка є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інформативною п</w:t>
      </w:r>
      <w:r w:rsidR="00AE6E9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ри всіх (особливо пізніх)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стадіях захворювання; метод </w:t>
      </w:r>
      <w:proofErr w:type="spellStart"/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муноферментного</w:t>
      </w:r>
      <w:proofErr w:type="spellEnd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аналізу для виявлення </w:t>
      </w:r>
      <w:proofErr w:type="spellStart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імуноглобулінів</w:t>
      </w:r>
      <w:proofErr w:type="spellEnd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блідої </w:t>
      </w:r>
      <w:proofErr w:type="spellStart"/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трепонеми</w:t>
      </w:r>
      <w:proofErr w:type="spellEnd"/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що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відзначається високою чутливістю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та специфічністю, а також можливістю використовувати 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даний метод</w:t>
      </w:r>
      <w:r w:rsidR="00CE7B25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як </w:t>
      </w:r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критерій виліковності; реакція іммобілізації блідої </w:t>
      </w:r>
      <w:proofErr w:type="spellStart"/>
      <w:r w:rsidR="0052473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трепонеми</w:t>
      </w:r>
      <w:proofErr w:type="spellEnd"/>
      <w:r w:rsidR="00B53676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– класичний </w:t>
      </w:r>
      <w:proofErr w:type="spellStart"/>
      <w:r w:rsidR="00B53676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трепонемний</w:t>
      </w:r>
      <w:proofErr w:type="spellEnd"/>
      <w:r w:rsidR="00B53676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тест для виявлення специфічних антитіл. </w:t>
      </w:r>
    </w:p>
    <w:p w:rsidR="00B06F16" w:rsidRPr="00014239" w:rsidRDefault="00184B6F" w:rsidP="009C2C4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</w:pPr>
      <w:r w:rsidRPr="005247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  <w:lang w:val="uk-UA"/>
        </w:rPr>
        <w:t>Висновки.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На сучасному етапі у зв’язку 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і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з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зростанням пізніх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форм сифілісу ефективність </w:t>
      </w:r>
      <w:proofErr w:type="spellStart"/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скри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нінгових</w:t>
      </w:r>
      <w:proofErr w:type="spellEnd"/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методів діагностики є малоінформативною, тому згідно з останнім наказом 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МОЗ України </w:t>
      </w:r>
      <w:r w:rsidR="00695EFA"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№ 362 від 13.04.2016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р. 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Про затвердження методичних ре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комендацій «Сучасні підходи до 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лаборат</w:t>
      </w:r>
      <w:r w:rsidR="00695EFA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орної діагностики сифілісу»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</w:t>
      </w:r>
      <w:r w:rsidR="00AE6E9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для обстеження на сифіліс слід 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додатково використовувати </w:t>
      </w:r>
      <w:proofErr w:type="spellStart"/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трепонемні</w:t>
      </w:r>
      <w:proofErr w:type="spellEnd"/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тести</w:t>
      </w:r>
      <w:r w:rsidR="00AE6E9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, особливо для скринінгу окремих категорій населення (донори, вагітні, ВІЛ-інфіковані, хворі офтальмологічних, психон</w:t>
      </w:r>
      <w:r w:rsidR="0054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еврологічних, кардіологічних і</w:t>
      </w:r>
      <w:r w:rsidR="00AE6E9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 xml:space="preserve"> проктологічних стаціонарів)</w:t>
      </w:r>
      <w:r w:rsidRPr="0001423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val="uk-UA"/>
        </w:rPr>
        <w:t>.</w:t>
      </w:r>
      <w:bookmarkStart w:id="0" w:name="_GoBack"/>
      <w:bookmarkEnd w:id="0"/>
    </w:p>
    <w:sectPr w:rsidR="00B06F16" w:rsidRPr="00014239" w:rsidSect="009C2C44">
      <w:headerReference w:type="default" r:id="rId8"/>
      <w:pgSz w:w="11906" w:h="16838"/>
      <w:pgMar w:top="1134" w:right="851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F3" w:rsidRDefault="00AA70F3">
      <w:r>
        <w:separator/>
      </w:r>
    </w:p>
  </w:endnote>
  <w:endnote w:type="continuationSeparator" w:id="0">
    <w:p w:rsidR="00AA70F3" w:rsidRDefault="00A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F3" w:rsidRDefault="00AA70F3">
      <w:r>
        <w:separator/>
      </w:r>
    </w:p>
  </w:footnote>
  <w:footnote w:type="continuationSeparator" w:id="0">
    <w:p w:rsidR="00AA70F3" w:rsidRDefault="00AA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6F" w:rsidRDefault="00ED796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365F"/>
    <w:multiLevelType w:val="hybridMultilevel"/>
    <w:tmpl w:val="82E4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1587"/>
    <w:multiLevelType w:val="hybridMultilevel"/>
    <w:tmpl w:val="131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05C3"/>
    <w:multiLevelType w:val="hybridMultilevel"/>
    <w:tmpl w:val="8DEC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00A1"/>
    <w:rsid w:val="000000A1"/>
    <w:rsid w:val="00014239"/>
    <w:rsid w:val="000B6F61"/>
    <w:rsid w:val="00134695"/>
    <w:rsid w:val="00134C15"/>
    <w:rsid w:val="0016782E"/>
    <w:rsid w:val="00184B6F"/>
    <w:rsid w:val="001A0FCA"/>
    <w:rsid w:val="001C751B"/>
    <w:rsid w:val="001D0855"/>
    <w:rsid w:val="00243619"/>
    <w:rsid w:val="00253883"/>
    <w:rsid w:val="00263AD5"/>
    <w:rsid w:val="00354EC7"/>
    <w:rsid w:val="003D6695"/>
    <w:rsid w:val="003F0911"/>
    <w:rsid w:val="0052473D"/>
    <w:rsid w:val="00546F3C"/>
    <w:rsid w:val="00547C43"/>
    <w:rsid w:val="00695EFA"/>
    <w:rsid w:val="007249E5"/>
    <w:rsid w:val="00734549"/>
    <w:rsid w:val="009C2C44"/>
    <w:rsid w:val="00AA70F3"/>
    <w:rsid w:val="00AE6E9D"/>
    <w:rsid w:val="00B06F16"/>
    <w:rsid w:val="00B21262"/>
    <w:rsid w:val="00B53676"/>
    <w:rsid w:val="00B96A1B"/>
    <w:rsid w:val="00CE3A36"/>
    <w:rsid w:val="00CE7B25"/>
    <w:rsid w:val="00DD2DBA"/>
    <w:rsid w:val="00ED796F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8476"/>
  <w15:docId w15:val="{192DFAEC-2AC9-4035-92EC-8BB3788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5D6C-D616-4DAA-9AA6-40A8A752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Фрэд</dc:creator>
  <cp:lastModifiedBy>Admin</cp:lastModifiedBy>
  <cp:revision>9</cp:revision>
  <dcterms:created xsi:type="dcterms:W3CDTF">2018-09-28T04:15:00Z</dcterms:created>
  <dcterms:modified xsi:type="dcterms:W3CDTF">2018-10-03T07:08:00Z</dcterms:modified>
</cp:coreProperties>
</file>