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04" w:rsidRDefault="002B54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Биорегуляционный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подход – дополнительные возможности в лечении</w:t>
      </w:r>
      <w:r w:rsidR="00B33704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Pr="00381073">
        <w:rPr>
          <w:rFonts w:ascii="Times New Roman" w:hAnsi="Times New Roman" w:cs="Times New Roman"/>
          <w:sz w:val="28"/>
          <w:szCs w:val="28"/>
        </w:rPr>
        <w:t xml:space="preserve"> печени </w:t>
      </w:r>
    </w:p>
    <w:p w:rsidR="002B549F" w:rsidRPr="00381073" w:rsidRDefault="002B54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В.И. Смирнова, к. </w:t>
      </w:r>
      <w:r w:rsidRPr="00381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073">
        <w:rPr>
          <w:rFonts w:ascii="Times New Roman" w:hAnsi="Times New Roman" w:cs="Times New Roman"/>
          <w:sz w:val="28"/>
          <w:szCs w:val="28"/>
        </w:rPr>
        <w:t>мед. н.</w:t>
      </w:r>
      <w:r w:rsidR="00B33704">
        <w:rPr>
          <w:rFonts w:ascii="Times New Roman" w:hAnsi="Times New Roman" w:cs="Times New Roman"/>
          <w:sz w:val="28"/>
          <w:szCs w:val="28"/>
        </w:rPr>
        <w:t>, доцент кафедры пропедевтики внутренней медицины № 1, основ биоэтики и биобезопасности,</w:t>
      </w:r>
      <w:r w:rsidRPr="00381073">
        <w:rPr>
          <w:rFonts w:ascii="Times New Roman" w:hAnsi="Times New Roman" w:cs="Times New Roman"/>
          <w:sz w:val="28"/>
          <w:szCs w:val="28"/>
        </w:rPr>
        <w:t xml:space="preserve"> Харьковский национальный медицинский университет </w:t>
      </w:r>
      <w:r w:rsidRPr="00381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549F" w:rsidRPr="00381073" w:rsidRDefault="002B549F" w:rsidP="00B3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Заболевания печени наиболее активно изучаются в последние 30−35 лет благодаря внедрению в клинику морфологических методов исследования. После того как в 1957 году Калк (H.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Kalk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) предложил метод лапароскопии и впервые описал внешний вид печени (ее увидели, как обратную сторону луны), определилось новое направление в медицине − клиническая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гепатология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(от греческого «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гепато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hepato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) – печень). </w:t>
      </w:r>
      <w:proofErr w:type="spellStart"/>
      <w:r w:rsidRPr="00381073">
        <w:rPr>
          <w:rFonts w:ascii="Times New Roman" w:hAnsi="Times New Roman" w:cs="Times New Roman"/>
          <w:sz w:val="28"/>
          <w:szCs w:val="28"/>
          <w:lang w:val="uk-UA"/>
        </w:rPr>
        <w:t>Хотя</w:t>
      </w:r>
      <w:proofErr w:type="spellEnd"/>
      <w:r w:rsidRPr="00381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073">
        <w:rPr>
          <w:rFonts w:ascii="Times New Roman" w:hAnsi="Times New Roman" w:cs="Times New Roman"/>
          <w:sz w:val="28"/>
          <w:szCs w:val="28"/>
        </w:rPr>
        <w:t xml:space="preserve">русское название этого органа </w:t>
      </w:r>
      <w:proofErr w:type="spellStart"/>
      <w:r w:rsidRPr="00381073">
        <w:rPr>
          <w:rFonts w:ascii="Times New Roman" w:hAnsi="Times New Roman" w:cs="Times New Roman"/>
          <w:sz w:val="28"/>
          <w:szCs w:val="28"/>
          <w:lang w:val="uk-UA"/>
        </w:rPr>
        <w:t>наиболее</w:t>
      </w:r>
      <w:proofErr w:type="spellEnd"/>
      <w:r w:rsidRPr="00381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073">
        <w:rPr>
          <w:rFonts w:ascii="Times New Roman" w:hAnsi="Times New Roman" w:cs="Times New Roman"/>
          <w:sz w:val="28"/>
          <w:szCs w:val="28"/>
        </w:rPr>
        <w:t xml:space="preserve">четко определяет его функцию и роль в организме. «Печень» − от слова печка, </w:t>
      </w:r>
      <w:proofErr w:type="spellStart"/>
      <w:r w:rsidRPr="00381073">
        <w:rPr>
          <w:rFonts w:ascii="Times New Roman" w:hAnsi="Times New Roman" w:cs="Times New Roman"/>
          <w:sz w:val="28"/>
          <w:szCs w:val="28"/>
          <w:lang w:val="uk-UA"/>
        </w:rPr>
        <w:t>главный</w:t>
      </w:r>
      <w:proofErr w:type="spellEnd"/>
      <w:r w:rsidRPr="00381073">
        <w:rPr>
          <w:rFonts w:ascii="Times New Roman" w:hAnsi="Times New Roman" w:cs="Times New Roman"/>
          <w:sz w:val="28"/>
          <w:szCs w:val="28"/>
          <w:lang w:val="uk-UA"/>
        </w:rPr>
        <w:t xml:space="preserve"> елемент в </w:t>
      </w:r>
      <w:proofErr w:type="spellStart"/>
      <w:r w:rsidRPr="00381073">
        <w:rPr>
          <w:rFonts w:ascii="Times New Roman" w:hAnsi="Times New Roman" w:cs="Times New Roman"/>
          <w:sz w:val="28"/>
          <w:szCs w:val="28"/>
          <w:lang w:val="uk-UA"/>
        </w:rPr>
        <w:t>каждом</w:t>
      </w:r>
      <w:proofErr w:type="spellEnd"/>
      <w:r w:rsidRPr="00381073">
        <w:rPr>
          <w:rFonts w:ascii="Times New Roman" w:hAnsi="Times New Roman" w:cs="Times New Roman"/>
          <w:sz w:val="28"/>
          <w:szCs w:val="28"/>
          <w:lang w:val="uk-UA"/>
        </w:rPr>
        <w:t xml:space="preserve"> доме</w:t>
      </w:r>
      <w:r w:rsidRPr="00381073">
        <w:rPr>
          <w:rFonts w:ascii="Times New Roman" w:hAnsi="Times New Roman" w:cs="Times New Roman"/>
          <w:sz w:val="28"/>
          <w:szCs w:val="28"/>
        </w:rPr>
        <w:t xml:space="preserve">. Она обогревает, в ней можно жечь мусор и испечь вкусные пирожки. </w:t>
      </w:r>
    </w:p>
    <w:p w:rsidR="006D52F7" w:rsidRDefault="002B549F" w:rsidP="00B3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Фактически в организме нет путей обмена веществ, которые прямо или косвенно не контролировались бы печенью. </w:t>
      </w:r>
      <w:r w:rsidR="00381073" w:rsidRPr="00381073">
        <w:rPr>
          <w:rFonts w:ascii="Times New Roman" w:hAnsi="Times New Roman" w:cs="Times New Roman"/>
          <w:sz w:val="28"/>
          <w:szCs w:val="28"/>
        </w:rPr>
        <w:t>По некоторым</w:t>
      </w:r>
      <w:r w:rsidRPr="00381073">
        <w:rPr>
          <w:rFonts w:ascii="Times New Roman" w:hAnsi="Times New Roman" w:cs="Times New Roman"/>
          <w:sz w:val="28"/>
          <w:szCs w:val="28"/>
        </w:rPr>
        <w:t xml:space="preserve"> оценкам, печень выполняет до 500 различных метаболических функций. Все обменные процессы, протекающие в печени, крайне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энергозатратны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. Основным источником энергии для них является аэробное окисление углеводов, жиров и белков, поступающих с пищей. Свободная энергия, освобождающаяся в результате окисления этих веществ, используется для поддержания многочисленных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тканеспецифических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функций печени. Метаболическая нагрузка печени за 60 лет жизни (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экзонагрузк</w:t>
      </w:r>
      <w:r w:rsidR="003810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>) составляет: 25 000 кг продуктов, 33 000 л жидкости, 1420 л алкоголя, 45 000 таблеток (возьмите пос</w:t>
      </w:r>
      <w:r w:rsidR="00381073">
        <w:rPr>
          <w:rFonts w:ascii="Times New Roman" w:hAnsi="Times New Roman" w:cs="Times New Roman"/>
          <w:sz w:val="28"/>
          <w:szCs w:val="28"/>
        </w:rPr>
        <w:t>т</w:t>
      </w:r>
      <w:r w:rsidRPr="00381073">
        <w:rPr>
          <w:rFonts w:ascii="Times New Roman" w:hAnsi="Times New Roman" w:cs="Times New Roman"/>
          <w:sz w:val="28"/>
          <w:szCs w:val="28"/>
        </w:rPr>
        <w:t xml:space="preserve">инфарктного больного и посмотрите по протоколу, сколько всего лекарственных препаратов ему нужно назначить, а если учесть, что инфаркт миокарда – результат артериальной гипертензии, </w:t>
      </w:r>
      <w:r w:rsidR="00655CC5">
        <w:rPr>
          <w:rFonts w:ascii="Times New Roman" w:hAnsi="Times New Roman" w:cs="Times New Roman"/>
          <w:sz w:val="28"/>
          <w:szCs w:val="28"/>
        </w:rPr>
        <w:t>сочетается с</w:t>
      </w:r>
      <w:r w:rsidR="00381073">
        <w:rPr>
          <w:rFonts w:ascii="Times New Roman" w:hAnsi="Times New Roman" w:cs="Times New Roman"/>
          <w:sz w:val="28"/>
          <w:szCs w:val="28"/>
        </w:rPr>
        <w:t xml:space="preserve"> </w:t>
      </w:r>
      <w:r w:rsidRPr="00381073">
        <w:rPr>
          <w:rFonts w:ascii="Times New Roman" w:hAnsi="Times New Roman" w:cs="Times New Roman"/>
          <w:sz w:val="28"/>
          <w:szCs w:val="28"/>
        </w:rPr>
        <w:t>сахарн</w:t>
      </w:r>
      <w:r w:rsidR="00381073">
        <w:rPr>
          <w:rFonts w:ascii="Times New Roman" w:hAnsi="Times New Roman" w:cs="Times New Roman"/>
          <w:sz w:val="28"/>
          <w:szCs w:val="28"/>
        </w:rPr>
        <w:t>ым</w:t>
      </w:r>
      <w:r w:rsidRPr="00381073">
        <w:rPr>
          <w:rFonts w:ascii="Times New Roman" w:hAnsi="Times New Roman" w:cs="Times New Roman"/>
          <w:sz w:val="28"/>
          <w:szCs w:val="28"/>
        </w:rPr>
        <w:t xml:space="preserve"> диабет</w:t>
      </w:r>
      <w:r w:rsidR="00381073">
        <w:rPr>
          <w:rFonts w:ascii="Times New Roman" w:hAnsi="Times New Roman" w:cs="Times New Roman"/>
          <w:sz w:val="28"/>
          <w:szCs w:val="28"/>
        </w:rPr>
        <w:t>ом</w:t>
      </w:r>
      <w:r w:rsidRPr="00381073">
        <w:rPr>
          <w:rFonts w:ascii="Times New Roman" w:hAnsi="Times New Roman" w:cs="Times New Roman"/>
          <w:sz w:val="28"/>
          <w:szCs w:val="28"/>
        </w:rPr>
        <w:t xml:space="preserve"> и </w:t>
      </w:r>
      <w:r w:rsidR="00381073">
        <w:rPr>
          <w:rFonts w:ascii="Times New Roman" w:hAnsi="Times New Roman" w:cs="Times New Roman"/>
          <w:sz w:val="28"/>
          <w:szCs w:val="28"/>
        </w:rPr>
        <w:t>другой патологией</w:t>
      </w:r>
      <w:r w:rsidRPr="00381073">
        <w:rPr>
          <w:rFonts w:ascii="Times New Roman" w:hAnsi="Times New Roman" w:cs="Times New Roman"/>
          <w:sz w:val="28"/>
          <w:szCs w:val="28"/>
        </w:rPr>
        <w:t xml:space="preserve">, то к этому </w:t>
      </w:r>
      <w:r w:rsidR="00655CC5">
        <w:rPr>
          <w:rFonts w:ascii="Times New Roman" w:hAnsi="Times New Roman" w:cs="Times New Roman"/>
          <w:sz w:val="28"/>
          <w:szCs w:val="28"/>
        </w:rPr>
        <w:t>списку</w:t>
      </w:r>
      <w:r w:rsidRPr="00381073">
        <w:rPr>
          <w:rFonts w:ascii="Times New Roman" w:hAnsi="Times New Roman" w:cs="Times New Roman"/>
          <w:sz w:val="28"/>
          <w:szCs w:val="28"/>
        </w:rPr>
        <w:t xml:space="preserve"> можно добавить еще множество препаратов). Однако известно, что печень имеет </w:t>
      </w:r>
      <w:r w:rsidR="00655CC5" w:rsidRPr="00381073">
        <w:rPr>
          <w:rFonts w:ascii="Times New Roman" w:hAnsi="Times New Roman" w:cs="Times New Roman"/>
          <w:sz w:val="28"/>
          <w:szCs w:val="28"/>
        </w:rPr>
        <w:t>десятикратный запас прочности,</w:t>
      </w:r>
      <w:r w:rsidRPr="00381073">
        <w:rPr>
          <w:rFonts w:ascii="Times New Roman" w:hAnsi="Times New Roman" w:cs="Times New Roman"/>
          <w:sz w:val="28"/>
          <w:szCs w:val="28"/>
        </w:rPr>
        <w:t xml:space="preserve"> </w:t>
      </w:r>
      <w:r w:rsidR="00655CC5" w:rsidRPr="00655CC5">
        <w:rPr>
          <w:rFonts w:ascii="Times New Roman" w:hAnsi="Times New Roman" w:cs="Times New Roman"/>
          <w:sz w:val="28"/>
          <w:szCs w:val="28"/>
        </w:rPr>
        <w:t xml:space="preserve">которая обеспечивается высокими регенераторными возможностями органа. Именно поэтому при наличии дистрофии и даже небольших участков некроза печеночная недостаточность совместима с жизнью, а иногда и с трудоспособностью. </w:t>
      </w:r>
      <w:r w:rsidR="00655CC5">
        <w:rPr>
          <w:rFonts w:ascii="Times New Roman" w:hAnsi="Times New Roman" w:cs="Times New Roman"/>
          <w:sz w:val="28"/>
          <w:szCs w:val="28"/>
        </w:rPr>
        <w:t>Болезни печени проявляют себя уже на поздних этапах</w:t>
      </w:r>
      <w:r w:rsidR="00655CC5" w:rsidRPr="00655CC5">
        <w:rPr>
          <w:rFonts w:ascii="Times New Roman" w:hAnsi="Times New Roman" w:cs="Times New Roman"/>
          <w:sz w:val="28"/>
          <w:szCs w:val="28"/>
        </w:rPr>
        <w:t xml:space="preserve"> (в</w:t>
      </w:r>
      <w:r w:rsidR="00655CC5">
        <w:rPr>
          <w:rFonts w:ascii="Times New Roman" w:hAnsi="Times New Roman" w:cs="Times New Roman"/>
          <w:sz w:val="28"/>
          <w:szCs w:val="28"/>
        </w:rPr>
        <w:t xml:space="preserve"> самой печени отсутствуют болевые рецепторы</w:t>
      </w:r>
      <w:r w:rsidR="00655CC5" w:rsidRPr="00655CC5">
        <w:rPr>
          <w:rFonts w:ascii="Times New Roman" w:hAnsi="Times New Roman" w:cs="Times New Roman"/>
          <w:sz w:val="28"/>
          <w:szCs w:val="28"/>
        </w:rPr>
        <w:t xml:space="preserve"> и боль </w:t>
      </w:r>
      <w:r w:rsidR="00655CC5">
        <w:rPr>
          <w:rFonts w:ascii="Times New Roman" w:hAnsi="Times New Roman" w:cs="Times New Roman"/>
          <w:sz w:val="28"/>
          <w:szCs w:val="28"/>
        </w:rPr>
        <w:t>возникает</w:t>
      </w:r>
      <w:r w:rsidR="00655CC5" w:rsidRPr="00655CC5">
        <w:rPr>
          <w:rFonts w:ascii="Times New Roman" w:hAnsi="Times New Roman" w:cs="Times New Roman"/>
          <w:sz w:val="28"/>
          <w:szCs w:val="28"/>
        </w:rPr>
        <w:t xml:space="preserve"> только т</w:t>
      </w:r>
      <w:r w:rsidR="00655CC5">
        <w:rPr>
          <w:rFonts w:ascii="Times New Roman" w:hAnsi="Times New Roman" w:cs="Times New Roman"/>
          <w:sz w:val="28"/>
          <w:szCs w:val="28"/>
        </w:rPr>
        <w:t>огда, когда она увеличивается в</w:t>
      </w:r>
      <w:r w:rsidR="00655CC5" w:rsidRPr="00655CC5">
        <w:rPr>
          <w:rFonts w:ascii="Times New Roman" w:hAnsi="Times New Roman" w:cs="Times New Roman"/>
          <w:sz w:val="28"/>
          <w:szCs w:val="28"/>
        </w:rPr>
        <w:t xml:space="preserve"> объеме и растягивает </w:t>
      </w:r>
      <w:proofErr w:type="spellStart"/>
      <w:r w:rsidR="00655CC5" w:rsidRPr="00655CC5">
        <w:rPr>
          <w:rFonts w:ascii="Times New Roman" w:hAnsi="Times New Roman" w:cs="Times New Roman"/>
          <w:sz w:val="28"/>
          <w:szCs w:val="28"/>
        </w:rPr>
        <w:t>глиссонов</w:t>
      </w:r>
      <w:r w:rsidR="00655CC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55CC5" w:rsidRPr="00655CC5">
        <w:rPr>
          <w:rFonts w:ascii="Times New Roman" w:hAnsi="Times New Roman" w:cs="Times New Roman"/>
          <w:sz w:val="28"/>
          <w:szCs w:val="28"/>
        </w:rPr>
        <w:t xml:space="preserve"> капсул</w:t>
      </w:r>
      <w:r w:rsidR="00655CC5">
        <w:rPr>
          <w:rFonts w:ascii="Times New Roman" w:hAnsi="Times New Roman" w:cs="Times New Roman"/>
          <w:sz w:val="28"/>
          <w:szCs w:val="28"/>
        </w:rPr>
        <w:t>у</w:t>
      </w:r>
      <w:r w:rsidR="006D52F7">
        <w:rPr>
          <w:rFonts w:ascii="Times New Roman" w:hAnsi="Times New Roman" w:cs="Times New Roman"/>
          <w:sz w:val="28"/>
          <w:szCs w:val="28"/>
        </w:rPr>
        <w:t xml:space="preserve">). </w:t>
      </w:r>
      <w:r w:rsidR="00655CC5" w:rsidRPr="00655CC5">
        <w:rPr>
          <w:rFonts w:ascii="Times New Roman" w:hAnsi="Times New Roman" w:cs="Times New Roman"/>
          <w:sz w:val="28"/>
          <w:szCs w:val="28"/>
        </w:rPr>
        <w:t xml:space="preserve">Алкоголь, вирусы, лекарственные препараты, экзо- и эндотоксины, неблагоприятная экология – факторы, повреждающие клетки печени. Факторов много – повреждающий механизм один. В результате активируются процессы перекисного окисления липидов, нарушается целостность мембраны и энергетический баланс печеночной клетки. </w:t>
      </w:r>
    </w:p>
    <w:p w:rsidR="008648FE" w:rsidRDefault="00655CC5" w:rsidP="00B33704">
      <w:pPr>
        <w:spacing w:after="0" w:line="240" w:lineRule="auto"/>
        <w:ind w:firstLine="709"/>
        <w:jc w:val="both"/>
        <w:rPr>
          <w:sz w:val="28"/>
          <w:szCs w:val="28"/>
        </w:rPr>
      </w:pPr>
      <w:r w:rsidRPr="00655CC5">
        <w:rPr>
          <w:rFonts w:ascii="Times New Roman" w:hAnsi="Times New Roman" w:cs="Times New Roman"/>
          <w:sz w:val="28"/>
          <w:szCs w:val="28"/>
        </w:rPr>
        <w:t xml:space="preserve">В наше время во всем мире широко распространена неалкогольная жировая болезнь печени (НАЖБП). Одна из последних тенденций – ее связь находят абсолютно со всеми заболеваниями. Особенно часто развитие </w:t>
      </w:r>
      <w:r w:rsidRPr="00655CC5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 печени связано с сердечно-сосудистой патологией, прежде всего − с гипертонической болезнью. </w:t>
      </w:r>
      <w:r w:rsidR="006D52F7">
        <w:rPr>
          <w:rFonts w:ascii="Times New Roman" w:hAnsi="Times New Roman" w:cs="Times New Roman"/>
          <w:sz w:val="28"/>
          <w:szCs w:val="28"/>
        </w:rPr>
        <w:t>Ведущие европейские ученые, в частности</w:t>
      </w:r>
      <w:r w:rsidRPr="00655CC5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655CC5">
        <w:rPr>
          <w:rFonts w:ascii="Times New Roman" w:hAnsi="Times New Roman" w:cs="Times New Roman"/>
          <w:sz w:val="28"/>
          <w:szCs w:val="28"/>
        </w:rPr>
        <w:t>Sligte</w:t>
      </w:r>
      <w:proofErr w:type="spellEnd"/>
      <w:r w:rsidR="006D52F7">
        <w:rPr>
          <w:rFonts w:ascii="Times New Roman" w:hAnsi="Times New Roman" w:cs="Times New Roman"/>
          <w:sz w:val="28"/>
          <w:szCs w:val="28"/>
        </w:rPr>
        <w:t>,</w:t>
      </w:r>
      <w:r w:rsidRPr="00655CC5">
        <w:rPr>
          <w:rFonts w:ascii="Times New Roman" w:hAnsi="Times New Roman" w:cs="Times New Roman"/>
          <w:sz w:val="28"/>
          <w:szCs w:val="28"/>
        </w:rPr>
        <w:t xml:space="preserve"> считают, что НАЖБП должна рассматриваться как новый</w:t>
      </w:r>
      <w:r>
        <w:t xml:space="preserve"> </w:t>
      </w:r>
      <w:r w:rsidRPr="006D52F7">
        <w:rPr>
          <w:rFonts w:ascii="Times New Roman" w:hAnsi="Times New Roman" w:cs="Times New Roman"/>
          <w:sz w:val="28"/>
          <w:szCs w:val="28"/>
        </w:rPr>
        <w:t>компонент метаболического синдрома. У больных с НАЖБП в 16,8% случаев был диагностирован неалкогольный стеатогепатит (НАСГ), а доля больных сахарным диабетом (СД) 2-го типа составила 22,8%</w:t>
      </w:r>
      <w:r w:rsidR="006D52F7">
        <w:rPr>
          <w:rFonts w:ascii="Times New Roman" w:hAnsi="Times New Roman" w:cs="Times New Roman"/>
          <w:sz w:val="28"/>
          <w:szCs w:val="28"/>
        </w:rPr>
        <w:t xml:space="preserve">, </w:t>
      </w:r>
      <w:r w:rsidR="006D52F7" w:rsidRPr="006D52F7">
        <w:rPr>
          <w:rFonts w:ascii="Times New Roman" w:hAnsi="Times New Roman" w:cs="Times New Roman"/>
          <w:sz w:val="28"/>
          <w:szCs w:val="28"/>
        </w:rPr>
        <w:t>у 57% –абдоминальное ожирение и у 25,7 – метаболический синдром (DIREG; 2007). П</w:t>
      </w:r>
      <w:r w:rsidR="006D52F7">
        <w:rPr>
          <w:rFonts w:ascii="Times New Roman" w:hAnsi="Times New Roman" w:cs="Times New Roman"/>
          <w:sz w:val="28"/>
          <w:szCs w:val="28"/>
        </w:rPr>
        <w:t xml:space="preserve">о словам </w:t>
      </w:r>
      <w:r w:rsidR="006D52F7" w:rsidRPr="006D52F7">
        <w:rPr>
          <w:rFonts w:ascii="Times New Roman" w:hAnsi="Times New Roman" w:cs="Times New Roman"/>
          <w:sz w:val="28"/>
          <w:szCs w:val="28"/>
        </w:rPr>
        <w:t>И.Г Никитин</w:t>
      </w:r>
      <w:r w:rsidR="006D52F7">
        <w:rPr>
          <w:rFonts w:ascii="Times New Roman" w:hAnsi="Times New Roman" w:cs="Times New Roman"/>
          <w:sz w:val="28"/>
          <w:szCs w:val="28"/>
        </w:rPr>
        <w:t>а</w:t>
      </w:r>
      <w:r w:rsidR="006D52F7" w:rsidRPr="006D52F7">
        <w:rPr>
          <w:rFonts w:ascii="Times New Roman" w:hAnsi="Times New Roman" w:cs="Times New Roman"/>
          <w:sz w:val="28"/>
          <w:szCs w:val="28"/>
        </w:rPr>
        <w:t xml:space="preserve"> </w:t>
      </w:r>
      <w:r w:rsidR="006D52F7">
        <w:rPr>
          <w:rFonts w:ascii="Times New Roman" w:hAnsi="Times New Roman" w:cs="Times New Roman"/>
          <w:sz w:val="28"/>
          <w:szCs w:val="28"/>
        </w:rPr>
        <w:t>п</w:t>
      </w:r>
      <w:r w:rsidR="006D52F7" w:rsidRPr="006D52F7">
        <w:rPr>
          <w:rFonts w:ascii="Times New Roman" w:hAnsi="Times New Roman" w:cs="Times New Roman"/>
          <w:sz w:val="28"/>
          <w:szCs w:val="28"/>
        </w:rPr>
        <w:t>ечень является своеобразной ареной сражения, где на ранних стадиях метаболического синдрома действуют основные патогенетические механизмы формирования его компонентов.</w:t>
      </w:r>
      <w:r w:rsidR="00C26567" w:rsidRPr="00C26567">
        <w:t xml:space="preserve"> </w:t>
      </w:r>
      <w:r w:rsidR="00C26567" w:rsidRPr="00C26567">
        <w:rPr>
          <w:rFonts w:ascii="Times New Roman" w:hAnsi="Times New Roman" w:cs="Times New Roman"/>
          <w:sz w:val="28"/>
          <w:szCs w:val="28"/>
        </w:rPr>
        <w:t xml:space="preserve">НАСГ широко признается печеночным выражением метаболического синдрома — болезней, связанных с сахарным диабетом 2 типа, </w:t>
      </w:r>
      <w:proofErr w:type="spellStart"/>
      <w:r w:rsidR="00C26567" w:rsidRPr="00C26567">
        <w:rPr>
          <w:rFonts w:ascii="Times New Roman" w:hAnsi="Times New Roman" w:cs="Times New Roman"/>
          <w:sz w:val="28"/>
          <w:szCs w:val="28"/>
        </w:rPr>
        <w:t>инсулинорезистентностью</w:t>
      </w:r>
      <w:proofErr w:type="spellEnd"/>
      <w:r w:rsidR="00C26567" w:rsidRPr="00C26567">
        <w:rPr>
          <w:rFonts w:ascii="Times New Roman" w:hAnsi="Times New Roman" w:cs="Times New Roman"/>
          <w:sz w:val="28"/>
          <w:szCs w:val="28"/>
        </w:rPr>
        <w:t xml:space="preserve">, центральным ожирением, </w:t>
      </w:r>
      <w:proofErr w:type="spellStart"/>
      <w:r w:rsidR="00C26567" w:rsidRPr="00C26567">
        <w:rPr>
          <w:rFonts w:ascii="Times New Roman" w:hAnsi="Times New Roman" w:cs="Times New Roman"/>
          <w:sz w:val="28"/>
          <w:szCs w:val="28"/>
        </w:rPr>
        <w:t>гиперлипидемией</w:t>
      </w:r>
      <w:proofErr w:type="spellEnd"/>
      <w:r w:rsidR="00C26567" w:rsidRPr="00C26567">
        <w:rPr>
          <w:rFonts w:ascii="Times New Roman" w:hAnsi="Times New Roman" w:cs="Times New Roman"/>
          <w:sz w:val="28"/>
          <w:szCs w:val="28"/>
        </w:rPr>
        <w:t xml:space="preserve"> (холестерин липопротеинов низкой плотности, </w:t>
      </w:r>
      <w:proofErr w:type="spellStart"/>
      <w:r w:rsidR="00C26567" w:rsidRPr="00C26567">
        <w:rPr>
          <w:rFonts w:ascii="Times New Roman" w:hAnsi="Times New Roman" w:cs="Times New Roman"/>
          <w:sz w:val="28"/>
          <w:szCs w:val="28"/>
        </w:rPr>
        <w:t>гипертриглицеридемия</w:t>
      </w:r>
      <w:proofErr w:type="spellEnd"/>
      <w:r w:rsidR="00C26567" w:rsidRPr="00C26567">
        <w:rPr>
          <w:rFonts w:ascii="Times New Roman" w:hAnsi="Times New Roman" w:cs="Times New Roman"/>
          <w:sz w:val="28"/>
          <w:szCs w:val="28"/>
        </w:rPr>
        <w:t>), и гипертензией. НАСГ становится все более общей проблемой и в богатых, и в бедных странах, увеличивая количество заболеваний печени и нагрузку на здравоохранение и затраты на него по всему миру. Посчитано, что НАЖБП/НАСГ в течение 5 лет повысят прямую и непрямую стоимость медицинских услуг на 26%.</w:t>
      </w:r>
      <w:r w:rsidR="00C265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26567" w:rsidRPr="00C26567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C26567" w:rsidRPr="00C26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567" w:rsidRPr="00C26567">
        <w:rPr>
          <w:rFonts w:ascii="Times New Roman" w:hAnsi="Times New Roman" w:cs="Times New Roman"/>
          <w:sz w:val="28"/>
          <w:szCs w:val="28"/>
        </w:rPr>
        <w:t>Gastroenterology</w:t>
      </w:r>
      <w:proofErr w:type="spellEnd"/>
      <w:r w:rsidR="00C26567" w:rsidRPr="00C26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567" w:rsidRPr="00C26567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="00C26567" w:rsidRPr="00C26567">
        <w:rPr>
          <w:rFonts w:ascii="Times New Roman" w:hAnsi="Times New Roman" w:cs="Times New Roman"/>
          <w:sz w:val="28"/>
          <w:szCs w:val="28"/>
        </w:rPr>
        <w:t>, 2012</w:t>
      </w:r>
      <w:r w:rsidR="00C26567">
        <w:rPr>
          <w:rFonts w:ascii="Times New Roman" w:hAnsi="Times New Roman" w:cs="Times New Roman"/>
          <w:sz w:val="28"/>
          <w:szCs w:val="28"/>
        </w:rPr>
        <w:t xml:space="preserve">). </w:t>
      </w:r>
      <w:r w:rsidR="006D52F7" w:rsidRPr="006D52F7">
        <w:rPr>
          <w:rFonts w:ascii="Times New Roman" w:hAnsi="Times New Roman" w:cs="Times New Roman"/>
          <w:sz w:val="28"/>
          <w:szCs w:val="28"/>
        </w:rPr>
        <w:t xml:space="preserve">Медикаментозная терапия НАЖБП сегодня, как и 35 лет назад, когда впервые было сделано официальное описание данного </w:t>
      </w:r>
      <w:r w:rsidR="00C26567">
        <w:rPr>
          <w:rFonts w:ascii="Times New Roman" w:hAnsi="Times New Roman" w:cs="Times New Roman"/>
          <w:sz w:val="28"/>
          <w:szCs w:val="28"/>
        </w:rPr>
        <w:t>заболевания</w:t>
      </w:r>
      <w:r w:rsidR="006D52F7" w:rsidRPr="006D52F7">
        <w:rPr>
          <w:rFonts w:ascii="Times New Roman" w:hAnsi="Times New Roman" w:cs="Times New Roman"/>
          <w:sz w:val="28"/>
          <w:szCs w:val="28"/>
        </w:rPr>
        <w:t>, несмотря на 15-летние активные поиски, до сих пор не найден препарат, который бы доказано лечил НА</w:t>
      </w:r>
      <w:r w:rsidR="00C26567">
        <w:rPr>
          <w:rFonts w:ascii="Times New Roman" w:hAnsi="Times New Roman" w:cs="Times New Roman"/>
          <w:sz w:val="28"/>
          <w:szCs w:val="28"/>
        </w:rPr>
        <w:t>ЖБП</w:t>
      </w:r>
      <w:r w:rsidR="006D52F7" w:rsidRPr="006D52F7">
        <w:rPr>
          <w:rFonts w:ascii="Times New Roman" w:hAnsi="Times New Roman" w:cs="Times New Roman"/>
          <w:sz w:val="28"/>
          <w:szCs w:val="28"/>
        </w:rPr>
        <w:t>.</w:t>
      </w:r>
      <w:r w:rsidR="006D52F7" w:rsidRPr="006D52F7">
        <w:rPr>
          <w:sz w:val="28"/>
          <w:szCs w:val="28"/>
        </w:rPr>
        <w:t xml:space="preserve"> </w:t>
      </w:r>
    </w:p>
    <w:p w:rsidR="003556ED" w:rsidRDefault="00B948CA" w:rsidP="00B3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Чем же лечить? </w:t>
      </w:r>
      <w:r w:rsidR="006D52F7" w:rsidRPr="006D52F7">
        <w:rPr>
          <w:rFonts w:ascii="Times New Roman" w:hAnsi="Times New Roman" w:cs="Times New Roman"/>
          <w:sz w:val="28"/>
          <w:szCs w:val="28"/>
        </w:rPr>
        <w:t>Известн</w:t>
      </w:r>
      <w:r>
        <w:rPr>
          <w:rFonts w:ascii="Times New Roman" w:hAnsi="Times New Roman" w:cs="Times New Roman"/>
          <w:sz w:val="28"/>
          <w:szCs w:val="28"/>
        </w:rPr>
        <w:t xml:space="preserve">а большая группа препаратов под общим названием </w:t>
      </w:r>
      <w:r w:rsidR="006D52F7" w:rsidRPr="006D52F7">
        <w:rPr>
          <w:rFonts w:ascii="Times New Roman" w:hAnsi="Times New Roman" w:cs="Times New Roman"/>
          <w:sz w:val="28"/>
          <w:szCs w:val="28"/>
        </w:rPr>
        <w:t xml:space="preserve">гепатопротекторы – </w:t>
      </w:r>
      <w:r>
        <w:rPr>
          <w:rFonts w:ascii="Times New Roman" w:hAnsi="Times New Roman" w:cs="Times New Roman"/>
          <w:sz w:val="28"/>
          <w:szCs w:val="28"/>
        </w:rPr>
        <w:t>защищающие печень</w:t>
      </w:r>
      <w:r w:rsidR="006D52F7" w:rsidRPr="006D52F7">
        <w:rPr>
          <w:rFonts w:ascii="Times New Roman" w:hAnsi="Times New Roman" w:cs="Times New Roman"/>
          <w:sz w:val="28"/>
          <w:szCs w:val="28"/>
        </w:rPr>
        <w:t xml:space="preserve">. Хотя если вы зайдете в любую западноевропейскую аптеку и попросите гепатопротекторы, вам ответят, что таких препаратов у них нет, их не существует. </w:t>
      </w:r>
      <w:r>
        <w:rPr>
          <w:rFonts w:ascii="Times New Roman" w:hAnsi="Times New Roman" w:cs="Times New Roman"/>
          <w:sz w:val="28"/>
          <w:szCs w:val="28"/>
        </w:rPr>
        <w:t xml:space="preserve">Всемирная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гастроентерологическая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6D52F7" w:rsidRPr="006D52F7">
        <w:rPr>
          <w:rFonts w:ascii="Times New Roman" w:hAnsi="Times New Roman" w:cs="Times New Roman"/>
          <w:sz w:val="28"/>
          <w:szCs w:val="28"/>
        </w:rPr>
        <w:t xml:space="preserve"> создала целую систему</w:t>
      </w:r>
      <w:r w:rsidR="0028539F">
        <w:rPr>
          <w:rFonts w:ascii="Times New Roman" w:hAnsi="Times New Roman" w:cs="Times New Roman"/>
          <w:sz w:val="28"/>
          <w:szCs w:val="28"/>
        </w:rPr>
        <w:t xml:space="preserve"> диагностики и</w:t>
      </w:r>
      <w:r w:rsidR="006D52F7" w:rsidRPr="006D52F7">
        <w:rPr>
          <w:rFonts w:ascii="Times New Roman" w:hAnsi="Times New Roman" w:cs="Times New Roman"/>
          <w:sz w:val="28"/>
          <w:szCs w:val="28"/>
        </w:rPr>
        <w:t xml:space="preserve"> лечения патологии этого жизненно-важного органа</w:t>
      </w:r>
      <w:r w:rsidR="0028539F">
        <w:rPr>
          <w:rFonts w:ascii="Times New Roman" w:hAnsi="Times New Roman" w:cs="Times New Roman"/>
          <w:sz w:val="28"/>
          <w:szCs w:val="28"/>
        </w:rPr>
        <w:t xml:space="preserve"> </w:t>
      </w:r>
      <w:r w:rsidR="0028539F" w:rsidRPr="0028539F">
        <w:rPr>
          <w:rFonts w:ascii="Times New Roman" w:hAnsi="Times New Roman" w:cs="Times New Roman"/>
          <w:sz w:val="28"/>
          <w:szCs w:val="28"/>
        </w:rPr>
        <w:t>с учетом локально доступных ресурсов</w:t>
      </w:r>
      <w:r w:rsidR="0028539F">
        <w:rPr>
          <w:rFonts w:ascii="Times New Roman" w:hAnsi="Times New Roman" w:cs="Times New Roman"/>
          <w:sz w:val="28"/>
          <w:szCs w:val="28"/>
        </w:rPr>
        <w:t xml:space="preserve"> – обширные, средние и ограниченные</w:t>
      </w:r>
      <w:r w:rsidR="006D52F7" w:rsidRPr="006D52F7">
        <w:rPr>
          <w:rFonts w:ascii="Times New Roman" w:hAnsi="Times New Roman" w:cs="Times New Roman"/>
          <w:sz w:val="28"/>
          <w:szCs w:val="28"/>
        </w:rPr>
        <w:t>. Мы, к сожалению,</w:t>
      </w:r>
      <w:r w:rsidR="0028539F">
        <w:rPr>
          <w:rFonts w:ascii="Times New Roman" w:hAnsi="Times New Roman" w:cs="Times New Roman"/>
          <w:sz w:val="28"/>
          <w:szCs w:val="28"/>
        </w:rPr>
        <w:t xml:space="preserve"> в большинстве случаев относимся </w:t>
      </w:r>
      <w:r w:rsidR="006D52F7" w:rsidRPr="006D52F7">
        <w:rPr>
          <w:rFonts w:ascii="Times New Roman" w:hAnsi="Times New Roman" w:cs="Times New Roman"/>
          <w:sz w:val="28"/>
          <w:szCs w:val="28"/>
        </w:rPr>
        <w:t>к последней</w:t>
      </w:r>
      <w:r w:rsidR="0028539F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6D52F7" w:rsidRPr="006D52F7">
        <w:rPr>
          <w:rFonts w:ascii="Times New Roman" w:hAnsi="Times New Roman" w:cs="Times New Roman"/>
          <w:sz w:val="28"/>
          <w:szCs w:val="28"/>
        </w:rPr>
        <w:t xml:space="preserve">. В первой группе стран с развитой медициной часто практикуют пересадку печени. Мы себе этого позволить не можем. Однако существует достаточное количество препаратов для терапии заболеваний печени. Если говорить о НАЖБП, то это </w:t>
      </w:r>
      <w:proofErr w:type="spellStart"/>
      <w:r w:rsidR="006D52F7" w:rsidRPr="006D52F7">
        <w:rPr>
          <w:rFonts w:ascii="Times New Roman" w:hAnsi="Times New Roman" w:cs="Times New Roman"/>
          <w:sz w:val="28"/>
          <w:szCs w:val="28"/>
        </w:rPr>
        <w:t>бигуаниды</w:t>
      </w:r>
      <w:proofErr w:type="spellEnd"/>
      <w:r w:rsidR="006D52F7" w:rsidRPr="006D52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52F7" w:rsidRPr="006D52F7">
        <w:rPr>
          <w:rFonts w:ascii="Times New Roman" w:hAnsi="Times New Roman" w:cs="Times New Roman"/>
          <w:sz w:val="28"/>
          <w:szCs w:val="28"/>
        </w:rPr>
        <w:t>метформин</w:t>
      </w:r>
      <w:proofErr w:type="spellEnd"/>
      <w:r w:rsidR="006D52F7" w:rsidRPr="006D52F7">
        <w:rPr>
          <w:rFonts w:ascii="Times New Roman" w:hAnsi="Times New Roman" w:cs="Times New Roman"/>
          <w:sz w:val="28"/>
          <w:szCs w:val="28"/>
        </w:rPr>
        <w:t xml:space="preserve">) − у пациентов </w:t>
      </w:r>
      <w:proofErr w:type="gramStart"/>
      <w:r w:rsidR="006D52F7" w:rsidRPr="006D52F7">
        <w:rPr>
          <w:rFonts w:ascii="Times New Roman" w:hAnsi="Times New Roman" w:cs="Times New Roman"/>
          <w:sz w:val="28"/>
          <w:szCs w:val="28"/>
        </w:rPr>
        <w:t xml:space="preserve">с  </w:t>
      </w:r>
      <w:proofErr w:type="spellStart"/>
      <w:r w:rsidR="006D52F7" w:rsidRPr="006D52F7">
        <w:rPr>
          <w:rFonts w:ascii="Times New Roman" w:hAnsi="Times New Roman" w:cs="Times New Roman"/>
          <w:sz w:val="28"/>
          <w:szCs w:val="28"/>
        </w:rPr>
        <w:t>гистологически</w:t>
      </w:r>
      <w:proofErr w:type="spellEnd"/>
      <w:proofErr w:type="gramEnd"/>
      <w:r w:rsidR="006D52F7" w:rsidRPr="006D52F7">
        <w:rPr>
          <w:rFonts w:ascii="Times New Roman" w:hAnsi="Times New Roman" w:cs="Times New Roman"/>
          <w:sz w:val="28"/>
          <w:szCs w:val="28"/>
        </w:rPr>
        <w:t xml:space="preserve"> подтвержденным НАСГ независимо от наличия СД 2-го типа; инсулиновые </w:t>
      </w:r>
      <w:proofErr w:type="spellStart"/>
      <w:r w:rsidR="006D52F7" w:rsidRPr="006D52F7">
        <w:rPr>
          <w:rFonts w:ascii="Times New Roman" w:hAnsi="Times New Roman" w:cs="Times New Roman"/>
          <w:sz w:val="28"/>
          <w:szCs w:val="28"/>
        </w:rPr>
        <w:t>сенситайзеры</w:t>
      </w:r>
      <w:proofErr w:type="spellEnd"/>
      <w:r w:rsidR="006D52F7" w:rsidRPr="006D52F7">
        <w:rPr>
          <w:rFonts w:ascii="Times New Roman" w:hAnsi="Times New Roman" w:cs="Times New Roman"/>
          <w:sz w:val="28"/>
          <w:szCs w:val="28"/>
        </w:rPr>
        <w:t xml:space="preserve"> второго поколения (</w:t>
      </w:r>
      <w:proofErr w:type="spellStart"/>
      <w:r w:rsidR="006D52F7" w:rsidRPr="006D52F7">
        <w:rPr>
          <w:rFonts w:ascii="Times New Roman" w:hAnsi="Times New Roman" w:cs="Times New Roman"/>
          <w:sz w:val="28"/>
          <w:szCs w:val="28"/>
        </w:rPr>
        <w:t>пиоглитазон</w:t>
      </w:r>
      <w:proofErr w:type="spellEnd"/>
      <w:r w:rsidR="006D52F7" w:rsidRPr="006D5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2F7" w:rsidRPr="0028539F">
        <w:rPr>
          <w:rFonts w:ascii="Times New Roman" w:hAnsi="Times New Roman" w:cs="Times New Roman"/>
          <w:sz w:val="28"/>
          <w:szCs w:val="28"/>
        </w:rPr>
        <w:t>ро</w:t>
      </w:r>
      <w:r w:rsidR="0028539F" w:rsidRPr="0028539F">
        <w:rPr>
          <w:rFonts w:ascii="Times New Roman" w:hAnsi="Times New Roman" w:cs="Times New Roman"/>
          <w:sz w:val="28"/>
          <w:szCs w:val="28"/>
        </w:rPr>
        <w:t>сиглитазон</w:t>
      </w:r>
      <w:proofErr w:type="spellEnd"/>
      <w:r w:rsidR="0028539F" w:rsidRPr="0028539F">
        <w:rPr>
          <w:rFonts w:ascii="Times New Roman" w:hAnsi="Times New Roman" w:cs="Times New Roman"/>
          <w:sz w:val="28"/>
          <w:szCs w:val="28"/>
        </w:rPr>
        <w:t>), антиоксиданты (</w:t>
      </w:r>
      <w:proofErr w:type="spellStart"/>
      <w:r w:rsidR="0028539F" w:rsidRPr="0028539F">
        <w:rPr>
          <w:rFonts w:ascii="Times New Roman" w:hAnsi="Times New Roman" w:cs="Times New Roman"/>
          <w:sz w:val="28"/>
          <w:szCs w:val="28"/>
        </w:rPr>
        <w:t>адеметионин</w:t>
      </w:r>
      <w:proofErr w:type="spellEnd"/>
      <w:r w:rsidR="0028539F" w:rsidRPr="0028539F">
        <w:rPr>
          <w:rFonts w:ascii="Times New Roman" w:hAnsi="Times New Roman" w:cs="Times New Roman"/>
          <w:sz w:val="28"/>
          <w:szCs w:val="28"/>
        </w:rPr>
        <w:t xml:space="preserve">, селен, бетаин, токоферол и др.), витамин Е у пациентов с </w:t>
      </w:r>
      <w:proofErr w:type="spellStart"/>
      <w:r w:rsidR="0028539F" w:rsidRPr="0028539F">
        <w:rPr>
          <w:rFonts w:ascii="Times New Roman" w:hAnsi="Times New Roman" w:cs="Times New Roman"/>
          <w:sz w:val="28"/>
          <w:szCs w:val="28"/>
        </w:rPr>
        <w:t>гистологически</w:t>
      </w:r>
      <w:proofErr w:type="spellEnd"/>
      <w:r w:rsidR="0028539F" w:rsidRPr="0028539F">
        <w:rPr>
          <w:rFonts w:ascii="Times New Roman" w:hAnsi="Times New Roman" w:cs="Times New Roman"/>
          <w:sz w:val="28"/>
          <w:szCs w:val="28"/>
        </w:rPr>
        <w:t xml:space="preserve"> подтвержденным НАСГ, которые не имеют СД 2-го типа. Может применяться </w:t>
      </w:r>
      <w:proofErr w:type="spellStart"/>
      <w:r w:rsidR="0028539F" w:rsidRPr="0028539F">
        <w:rPr>
          <w:rFonts w:ascii="Times New Roman" w:hAnsi="Times New Roman" w:cs="Times New Roman"/>
          <w:sz w:val="28"/>
          <w:szCs w:val="28"/>
        </w:rPr>
        <w:t>урсодезоксихолевая</w:t>
      </w:r>
      <w:proofErr w:type="spellEnd"/>
      <w:r w:rsidR="0028539F" w:rsidRPr="0028539F">
        <w:rPr>
          <w:rFonts w:ascii="Times New Roman" w:hAnsi="Times New Roman" w:cs="Times New Roman"/>
          <w:sz w:val="28"/>
          <w:szCs w:val="28"/>
        </w:rPr>
        <w:t xml:space="preserve"> кислота и препараты, нормализующие обмен липидов</w:t>
      </w:r>
      <w:r w:rsidR="0028539F">
        <w:rPr>
          <w:rFonts w:ascii="Times New Roman" w:hAnsi="Times New Roman" w:cs="Times New Roman"/>
          <w:sz w:val="28"/>
          <w:szCs w:val="28"/>
        </w:rPr>
        <w:t xml:space="preserve">, </w:t>
      </w:r>
      <w:r w:rsidR="0028539F" w:rsidRPr="0028539F">
        <w:rPr>
          <w:rFonts w:ascii="Times New Roman" w:hAnsi="Times New Roman" w:cs="Times New Roman"/>
          <w:sz w:val="28"/>
          <w:szCs w:val="28"/>
        </w:rPr>
        <w:t xml:space="preserve">обладающие прямым </w:t>
      </w:r>
      <w:proofErr w:type="spellStart"/>
      <w:r w:rsidR="0028539F" w:rsidRPr="0028539F">
        <w:rPr>
          <w:rFonts w:ascii="Times New Roman" w:hAnsi="Times New Roman" w:cs="Times New Roman"/>
          <w:sz w:val="28"/>
          <w:szCs w:val="28"/>
        </w:rPr>
        <w:t>цитопротективным</w:t>
      </w:r>
      <w:proofErr w:type="spellEnd"/>
      <w:r w:rsidR="0028539F" w:rsidRPr="0028539F">
        <w:rPr>
          <w:rFonts w:ascii="Times New Roman" w:hAnsi="Times New Roman" w:cs="Times New Roman"/>
          <w:sz w:val="28"/>
          <w:szCs w:val="28"/>
        </w:rPr>
        <w:t xml:space="preserve"> действием (</w:t>
      </w:r>
      <w:proofErr w:type="spellStart"/>
      <w:r w:rsidR="0028539F" w:rsidRPr="0028539F">
        <w:rPr>
          <w:rFonts w:ascii="Times New Roman" w:hAnsi="Times New Roman" w:cs="Times New Roman"/>
          <w:sz w:val="28"/>
          <w:szCs w:val="28"/>
        </w:rPr>
        <w:t>эссенциальные</w:t>
      </w:r>
      <w:proofErr w:type="spellEnd"/>
      <w:r w:rsidR="0028539F" w:rsidRPr="0028539F">
        <w:rPr>
          <w:rFonts w:ascii="Times New Roman" w:hAnsi="Times New Roman" w:cs="Times New Roman"/>
          <w:sz w:val="28"/>
          <w:szCs w:val="28"/>
        </w:rPr>
        <w:t xml:space="preserve"> фосфолипиды). Хотя согласно последним данным эффективность применения </w:t>
      </w:r>
      <w:proofErr w:type="spellStart"/>
      <w:r w:rsidR="0028539F" w:rsidRPr="0028539F">
        <w:rPr>
          <w:rFonts w:ascii="Times New Roman" w:hAnsi="Times New Roman" w:cs="Times New Roman"/>
          <w:sz w:val="28"/>
          <w:szCs w:val="28"/>
        </w:rPr>
        <w:t>урсодезоксихолевой</w:t>
      </w:r>
      <w:proofErr w:type="spellEnd"/>
      <w:r w:rsidR="0028539F" w:rsidRPr="0028539F">
        <w:rPr>
          <w:rFonts w:ascii="Times New Roman" w:hAnsi="Times New Roman" w:cs="Times New Roman"/>
          <w:sz w:val="28"/>
          <w:szCs w:val="28"/>
        </w:rPr>
        <w:t xml:space="preserve"> кислоты, </w:t>
      </w:r>
      <w:proofErr w:type="spellStart"/>
      <w:r w:rsidR="0028539F" w:rsidRPr="0028539F">
        <w:rPr>
          <w:rFonts w:ascii="Times New Roman" w:hAnsi="Times New Roman" w:cs="Times New Roman"/>
          <w:sz w:val="28"/>
          <w:szCs w:val="28"/>
        </w:rPr>
        <w:t>адметионина</w:t>
      </w:r>
      <w:proofErr w:type="spellEnd"/>
      <w:r w:rsidR="0028539F" w:rsidRPr="0028539F">
        <w:rPr>
          <w:rFonts w:ascii="Times New Roman" w:hAnsi="Times New Roman" w:cs="Times New Roman"/>
          <w:sz w:val="28"/>
          <w:szCs w:val="28"/>
        </w:rPr>
        <w:t>, омега-3 жирных кислот не подтверждена. Крупных исследований по доказательству эффективности лекарственных препаратов в нашей стране</w:t>
      </w:r>
      <w:r w:rsidR="003556ED">
        <w:rPr>
          <w:rFonts w:ascii="Times New Roman" w:hAnsi="Times New Roman" w:cs="Times New Roman"/>
          <w:sz w:val="28"/>
          <w:szCs w:val="28"/>
        </w:rPr>
        <w:t>, да и за рубежом</w:t>
      </w:r>
      <w:r w:rsidR="0028539F" w:rsidRPr="0028539F">
        <w:rPr>
          <w:rFonts w:ascii="Times New Roman" w:hAnsi="Times New Roman" w:cs="Times New Roman"/>
          <w:sz w:val="28"/>
          <w:szCs w:val="28"/>
        </w:rPr>
        <w:t xml:space="preserve"> нет. Есть достаточно краткие, проведенные в течение 6,8–12 месяцев с небольшим </w:t>
      </w:r>
      <w:r w:rsidR="0028539F" w:rsidRPr="0028539F">
        <w:rPr>
          <w:rFonts w:ascii="Times New Roman" w:hAnsi="Times New Roman" w:cs="Times New Roman"/>
          <w:sz w:val="28"/>
          <w:szCs w:val="28"/>
        </w:rPr>
        <w:lastRenderedPageBreak/>
        <w:t>количеством пациентов – 10, 30, 40 человек. Это связано с тем, что больным необходимо, прежде всего, проводить биопсию печени до и после лечения с целью подтверждения его эффективности. А пациентов, согласных на столь сложную и дорогую процедуру, у нас мало.</w:t>
      </w:r>
    </w:p>
    <w:p w:rsidR="003556ED" w:rsidRDefault="0028539F" w:rsidP="00B3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sz w:val="28"/>
          <w:szCs w:val="28"/>
        </w:rPr>
        <w:t xml:space="preserve"> В </w:t>
      </w:r>
      <w:r w:rsidR="003556E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A5E4E">
        <w:rPr>
          <w:rFonts w:ascii="Times New Roman" w:hAnsi="Times New Roman" w:cs="Times New Roman"/>
          <w:sz w:val="28"/>
          <w:szCs w:val="28"/>
        </w:rPr>
        <w:t>время</w:t>
      </w:r>
      <w:r w:rsidR="000A5E4E" w:rsidRPr="0028539F">
        <w:rPr>
          <w:rFonts w:ascii="Times New Roman" w:hAnsi="Times New Roman" w:cs="Times New Roman"/>
          <w:sz w:val="28"/>
          <w:szCs w:val="28"/>
        </w:rPr>
        <w:t xml:space="preserve"> </w:t>
      </w:r>
      <w:r w:rsidR="000A5E4E">
        <w:rPr>
          <w:rFonts w:ascii="Times New Roman" w:hAnsi="Times New Roman" w:cs="Times New Roman"/>
          <w:sz w:val="28"/>
          <w:szCs w:val="28"/>
        </w:rPr>
        <w:t>все</w:t>
      </w:r>
      <w:r w:rsidR="003556ED">
        <w:rPr>
          <w:rFonts w:ascii="Times New Roman" w:hAnsi="Times New Roman" w:cs="Times New Roman"/>
          <w:sz w:val="28"/>
          <w:szCs w:val="28"/>
        </w:rPr>
        <w:t xml:space="preserve"> большее развитие получает концепция </w:t>
      </w:r>
      <w:proofErr w:type="spellStart"/>
      <w:r w:rsidRPr="0028539F">
        <w:rPr>
          <w:rFonts w:ascii="Times New Roman" w:hAnsi="Times New Roman" w:cs="Times New Roman"/>
          <w:sz w:val="28"/>
          <w:szCs w:val="28"/>
        </w:rPr>
        <w:t>биорегуляционн</w:t>
      </w:r>
      <w:r w:rsidR="003556E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8539F"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="003556ED">
        <w:rPr>
          <w:rFonts w:ascii="Times New Roman" w:hAnsi="Times New Roman" w:cs="Times New Roman"/>
          <w:sz w:val="28"/>
          <w:szCs w:val="28"/>
        </w:rPr>
        <w:t>и</w:t>
      </w:r>
      <w:r w:rsidRPr="0028539F">
        <w:rPr>
          <w:rFonts w:ascii="Times New Roman" w:hAnsi="Times New Roman" w:cs="Times New Roman"/>
          <w:sz w:val="28"/>
          <w:szCs w:val="28"/>
        </w:rPr>
        <w:t xml:space="preserve"> состояния организма, вполне согласующаяся со старым </w:t>
      </w:r>
      <w:r w:rsidR="003556ED">
        <w:rPr>
          <w:rFonts w:ascii="Times New Roman" w:hAnsi="Times New Roman" w:cs="Times New Roman"/>
          <w:sz w:val="28"/>
          <w:szCs w:val="28"/>
        </w:rPr>
        <w:t>терапевтическим принципом</w:t>
      </w:r>
      <w:r w:rsidRPr="00285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39F">
        <w:rPr>
          <w:rFonts w:ascii="Times New Roman" w:hAnsi="Times New Roman" w:cs="Times New Roman"/>
          <w:sz w:val="28"/>
          <w:szCs w:val="28"/>
        </w:rPr>
        <w:t>−«</w:t>
      </w:r>
      <w:proofErr w:type="gramEnd"/>
      <w:r w:rsidRPr="0028539F">
        <w:rPr>
          <w:rFonts w:ascii="Times New Roman" w:hAnsi="Times New Roman" w:cs="Times New Roman"/>
          <w:sz w:val="28"/>
          <w:szCs w:val="28"/>
        </w:rPr>
        <w:t xml:space="preserve">лечить не болезнь, а больного». Биорегуляция улучшает микроциркуляцию, дренаж, обеспечивает иммунную защиту, метаболизм, контроль и снижение степени воспаления, энергетический метаболизм. В результате </w:t>
      </w:r>
      <w:proofErr w:type="spellStart"/>
      <w:r w:rsidRPr="0028539F">
        <w:rPr>
          <w:rFonts w:ascii="Times New Roman" w:hAnsi="Times New Roman" w:cs="Times New Roman"/>
          <w:sz w:val="28"/>
          <w:szCs w:val="28"/>
        </w:rPr>
        <w:t>биорегуляционной</w:t>
      </w:r>
      <w:proofErr w:type="spellEnd"/>
      <w:r w:rsidRPr="0028539F">
        <w:rPr>
          <w:rFonts w:ascii="Times New Roman" w:hAnsi="Times New Roman" w:cs="Times New Roman"/>
          <w:sz w:val="28"/>
          <w:szCs w:val="28"/>
        </w:rPr>
        <w:t xml:space="preserve"> терапии происходит восстановление механизмов системной и локальной регуляции, </w:t>
      </w:r>
      <w:proofErr w:type="spellStart"/>
      <w:r w:rsidRPr="0028539F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28539F">
        <w:rPr>
          <w:rFonts w:ascii="Times New Roman" w:hAnsi="Times New Roman" w:cs="Times New Roman"/>
          <w:sz w:val="28"/>
          <w:szCs w:val="28"/>
        </w:rPr>
        <w:t xml:space="preserve">, иммунной защиты, полное завершение воспаления в тканях, восстановление структуры и функции </w:t>
      </w:r>
      <w:r w:rsidRPr="003556ED">
        <w:rPr>
          <w:rFonts w:ascii="Times New Roman" w:hAnsi="Times New Roman" w:cs="Times New Roman"/>
          <w:sz w:val="28"/>
          <w:szCs w:val="28"/>
        </w:rPr>
        <w:t>различ</w:t>
      </w:r>
      <w:r w:rsidR="003556ED" w:rsidRPr="003556ED">
        <w:rPr>
          <w:rFonts w:ascii="Times New Roman" w:hAnsi="Times New Roman" w:cs="Times New Roman"/>
          <w:sz w:val="28"/>
          <w:szCs w:val="28"/>
        </w:rPr>
        <w:t xml:space="preserve">ных органов, компенсация побочных эффектов аллопатических препаратов. Плюсом такой терапии является отсутствие возрастных ограничений и побочных эффектов, возможность длительного применения и, исходя из этого, экономическая целесообразность. </w:t>
      </w:r>
    </w:p>
    <w:p w:rsidR="00C63B45" w:rsidRDefault="003556ED" w:rsidP="00B3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ED">
        <w:rPr>
          <w:rFonts w:ascii="Times New Roman" w:hAnsi="Times New Roman" w:cs="Times New Roman"/>
          <w:sz w:val="28"/>
          <w:szCs w:val="28"/>
        </w:rPr>
        <w:t xml:space="preserve">Препараты </w:t>
      </w:r>
      <w:proofErr w:type="spellStart"/>
      <w:r w:rsidRPr="003556ED">
        <w:rPr>
          <w:rFonts w:ascii="Times New Roman" w:hAnsi="Times New Roman" w:cs="Times New Roman"/>
          <w:sz w:val="28"/>
          <w:szCs w:val="28"/>
        </w:rPr>
        <w:t>биорегуляционной</w:t>
      </w:r>
      <w:proofErr w:type="spellEnd"/>
      <w:r w:rsidRPr="003556ED">
        <w:rPr>
          <w:rFonts w:ascii="Times New Roman" w:hAnsi="Times New Roman" w:cs="Times New Roman"/>
          <w:sz w:val="28"/>
          <w:szCs w:val="28"/>
        </w:rPr>
        <w:t xml:space="preserve"> патогенетической терапии достаточно известны. На рисунке 1 представлены наиболее известные </w:t>
      </w:r>
      <w:r w:rsidR="00C63B45">
        <w:rPr>
          <w:rFonts w:ascii="Times New Roman" w:hAnsi="Times New Roman" w:cs="Times New Roman"/>
          <w:sz w:val="28"/>
          <w:szCs w:val="28"/>
        </w:rPr>
        <w:t xml:space="preserve">комплексные </w:t>
      </w:r>
      <w:proofErr w:type="spellStart"/>
      <w:r w:rsidR="00C63B45" w:rsidRPr="003556ED">
        <w:rPr>
          <w:rFonts w:ascii="Times New Roman" w:hAnsi="Times New Roman" w:cs="Times New Roman"/>
          <w:sz w:val="28"/>
          <w:szCs w:val="28"/>
        </w:rPr>
        <w:t>биорегуляционн</w:t>
      </w:r>
      <w:r w:rsidR="00C63B4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63B45" w:rsidRPr="003556ED">
        <w:rPr>
          <w:rFonts w:ascii="Times New Roman" w:hAnsi="Times New Roman" w:cs="Times New Roman"/>
          <w:sz w:val="28"/>
          <w:szCs w:val="28"/>
        </w:rPr>
        <w:t xml:space="preserve"> </w:t>
      </w:r>
      <w:r w:rsidRPr="003556ED">
        <w:rPr>
          <w:rFonts w:ascii="Times New Roman" w:hAnsi="Times New Roman" w:cs="Times New Roman"/>
          <w:sz w:val="28"/>
          <w:szCs w:val="28"/>
        </w:rPr>
        <w:t>препараты</w:t>
      </w:r>
      <w:r w:rsidR="00C63B45">
        <w:rPr>
          <w:rFonts w:ascii="Times New Roman" w:hAnsi="Times New Roman" w:cs="Times New Roman"/>
          <w:sz w:val="28"/>
          <w:szCs w:val="28"/>
        </w:rPr>
        <w:t xml:space="preserve"> (КБП)</w:t>
      </w:r>
      <w:r w:rsidRPr="003556ED">
        <w:rPr>
          <w:rFonts w:ascii="Times New Roman" w:hAnsi="Times New Roman" w:cs="Times New Roman"/>
          <w:sz w:val="28"/>
          <w:szCs w:val="28"/>
        </w:rPr>
        <w:t xml:space="preserve"> фирмы </w:t>
      </w:r>
      <w:r>
        <w:rPr>
          <w:rFonts w:ascii="Times New Roman" w:hAnsi="Times New Roman" w:cs="Times New Roman"/>
          <w:sz w:val="28"/>
          <w:szCs w:val="28"/>
          <w:lang w:val="en-US"/>
        </w:rPr>
        <w:t>Heel</w:t>
      </w:r>
      <w:r w:rsidRPr="003556ED">
        <w:rPr>
          <w:rFonts w:ascii="Times New Roman" w:hAnsi="Times New Roman" w:cs="Times New Roman"/>
          <w:sz w:val="28"/>
          <w:szCs w:val="28"/>
        </w:rPr>
        <w:t xml:space="preserve">. На украинском рынке они присутствуют давно. Раньше использование подобных препаратов носило название </w:t>
      </w:r>
      <w:proofErr w:type="spellStart"/>
      <w:r w:rsidRPr="003556ED">
        <w:rPr>
          <w:rFonts w:ascii="Times New Roman" w:hAnsi="Times New Roman" w:cs="Times New Roman"/>
          <w:sz w:val="28"/>
          <w:szCs w:val="28"/>
        </w:rPr>
        <w:t>антигомотокси</w:t>
      </w:r>
      <w:r w:rsidR="00C63B45">
        <w:rPr>
          <w:rFonts w:ascii="Times New Roman" w:hAnsi="Times New Roman" w:cs="Times New Roman"/>
          <w:sz w:val="28"/>
          <w:szCs w:val="28"/>
        </w:rPr>
        <w:t>ко</w:t>
      </w:r>
      <w:r w:rsidRPr="003556ED">
        <w:rPr>
          <w:rFonts w:ascii="Times New Roman" w:hAnsi="Times New Roman" w:cs="Times New Roman"/>
          <w:sz w:val="28"/>
          <w:szCs w:val="28"/>
        </w:rPr>
        <w:t>логическая</w:t>
      </w:r>
      <w:proofErr w:type="spellEnd"/>
      <w:r w:rsidRPr="003556ED">
        <w:rPr>
          <w:rFonts w:ascii="Times New Roman" w:hAnsi="Times New Roman" w:cs="Times New Roman"/>
          <w:sz w:val="28"/>
          <w:szCs w:val="28"/>
        </w:rPr>
        <w:t xml:space="preserve"> терапия. Можно спорить до бесконечности о том, приносят ли гомеопатические дозы эффект. Однако стоит различать</w:t>
      </w:r>
      <w:r w:rsidR="00C63B45">
        <w:rPr>
          <w:rFonts w:ascii="Times New Roman" w:hAnsi="Times New Roman" w:cs="Times New Roman"/>
          <w:sz w:val="28"/>
          <w:szCs w:val="28"/>
        </w:rPr>
        <w:t xml:space="preserve"> комплексные</w:t>
      </w:r>
      <w:r w:rsidRPr="00355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D">
        <w:rPr>
          <w:rFonts w:ascii="Times New Roman" w:hAnsi="Times New Roman" w:cs="Times New Roman"/>
          <w:sz w:val="28"/>
          <w:szCs w:val="28"/>
        </w:rPr>
        <w:t>биорегуляционные</w:t>
      </w:r>
      <w:proofErr w:type="spellEnd"/>
      <w:r w:rsidRPr="003556ED">
        <w:rPr>
          <w:rFonts w:ascii="Times New Roman" w:hAnsi="Times New Roman" w:cs="Times New Roman"/>
          <w:sz w:val="28"/>
          <w:szCs w:val="28"/>
        </w:rPr>
        <w:t xml:space="preserve"> препараты и гомеопатические. Гомеопатический препарат никогда не содержит более двух веществ </w:t>
      </w:r>
      <w:r w:rsidR="00C63B45" w:rsidRPr="003556ED">
        <w:rPr>
          <w:rFonts w:ascii="Times New Roman" w:hAnsi="Times New Roman" w:cs="Times New Roman"/>
          <w:sz w:val="28"/>
          <w:szCs w:val="28"/>
        </w:rPr>
        <w:t>с четко</w:t>
      </w:r>
      <w:r w:rsidRPr="003556ED">
        <w:rPr>
          <w:rFonts w:ascii="Times New Roman" w:hAnsi="Times New Roman" w:cs="Times New Roman"/>
          <w:sz w:val="28"/>
          <w:szCs w:val="28"/>
        </w:rPr>
        <w:t xml:space="preserve"> </w:t>
      </w:r>
      <w:r w:rsidR="00C63B45">
        <w:rPr>
          <w:rFonts w:ascii="Times New Roman" w:hAnsi="Times New Roman" w:cs="Times New Roman"/>
          <w:sz w:val="28"/>
          <w:szCs w:val="28"/>
        </w:rPr>
        <w:t>указанной потенцией</w:t>
      </w:r>
      <w:r w:rsidRPr="003556ED">
        <w:rPr>
          <w:rFonts w:ascii="Times New Roman" w:hAnsi="Times New Roman" w:cs="Times New Roman"/>
          <w:sz w:val="28"/>
          <w:szCs w:val="28"/>
        </w:rPr>
        <w:t xml:space="preserve">. А </w:t>
      </w:r>
      <w:r w:rsidR="00C63B45">
        <w:rPr>
          <w:rFonts w:ascii="Times New Roman" w:hAnsi="Times New Roman" w:cs="Times New Roman"/>
          <w:sz w:val="28"/>
          <w:szCs w:val="28"/>
        </w:rPr>
        <w:t>КБП, чаще всего</w:t>
      </w:r>
      <w:r w:rsidR="00C63B45" w:rsidRPr="00C63B45">
        <w:rPr>
          <w:rFonts w:ascii="Times New Roman" w:hAnsi="Times New Roman" w:cs="Times New Roman"/>
          <w:sz w:val="28"/>
          <w:szCs w:val="28"/>
        </w:rPr>
        <w:t xml:space="preserve">, </w:t>
      </w:r>
      <w:r w:rsidR="00C63B45">
        <w:rPr>
          <w:rFonts w:ascii="Times New Roman" w:hAnsi="Times New Roman" w:cs="Times New Roman"/>
          <w:sz w:val="28"/>
          <w:szCs w:val="28"/>
        </w:rPr>
        <w:t>имеют 6-</w:t>
      </w:r>
      <w:r w:rsidR="00C63B45" w:rsidRPr="00C63B45">
        <w:rPr>
          <w:rFonts w:ascii="Times New Roman" w:hAnsi="Times New Roman" w:cs="Times New Roman"/>
          <w:sz w:val="28"/>
          <w:szCs w:val="28"/>
        </w:rPr>
        <w:t xml:space="preserve"> 8 </w:t>
      </w:r>
      <w:r w:rsidR="00C63B45">
        <w:rPr>
          <w:rFonts w:ascii="Times New Roman" w:hAnsi="Times New Roman" w:cs="Times New Roman"/>
          <w:sz w:val="28"/>
          <w:szCs w:val="28"/>
        </w:rPr>
        <w:t>и более составляющих</w:t>
      </w:r>
      <w:r w:rsidR="00C63B45" w:rsidRPr="00C63B45">
        <w:rPr>
          <w:rFonts w:ascii="Times New Roman" w:hAnsi="Times New Roman" w:cs="Times New Roman"/>
          <w:sz w:val="28"/>
          <w:szCs w:val="28"/>
        </w:rPr>
        <w:t xml:space="preserve">. Причем они могут содержать и растительные, и минеральные, и биологические компоненты в разных потенциях. Вторым </w:t>
      </w:r>
      <w:r w:rsidR="00C63B45">
        <w:rPr>
          <w:rFonts w:ascii="Times New Roman" w:hAnsi="Times New Roman" w:cs="Times New Roman"/>
          <w:sz w:val="28"/>
          <w:szCs w:val="28"/>
        </w:rPr>
        <w:t>значительным отличием является то, что КБП может назначать врач любой специальности, а гомеопатические препараты - только гомеопат.</w:t>
      </w:r>
    </w:p>
    <w:p w:rsidR="003B59F6" w:rsidRDefault="00C63B45" w:rsidP="00B3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комплексные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биорегуляционные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</w:t>
      </w:r>
      <w:r w:rsidR="00E26E90">
        <w:rPr>
          <w:rFonts w:ascii="Times New Roman" w:hAnsi="Times New Roman" w:cs="Times New Roman"/>
          <w:sz w:val="28"/>
          <w:szCs w:val="28"/>
        </w:rPr>
        <w:t xml:space="preserve"> можно использовать для лечения заболеваний печени, особенно при сочетанной патологии. Одним из </w:t>
      </w:r>
      <w:r w:rsidRPr="00C63B45">
        <w:rPr>
          <w:rFonts w:ascii="Times New Roman" w:hAnsi="Times New Roman" w:cs="Times New Roman"/>
          <w:sz w:val="28"/>
          <w:szCs w:val="28"/>
        </w:rPr>
        <w:t>направлени</w:t>
      </w:r>
      <w:r w:rsidR="00E26E90">
        <w:rPr>
          <w:rFonts w:ascii="Times New Roman" w:hAnsi="Times New Roman" w:cs="Times New Roman"/>
          <w:sz w:val="28"/>
          <w:szCs w:val="28"/>
        </w:rPr>
        <w:t>й</w:t>
      </w:r>
      <w:r w:rsidRPr="00C63B45">
        <w:rPr>
          <w:rFonts w:ascii="Times New Roman" w:hAnsi="Times New Roman" w:cs="Times New Roman"/>
          <w:sz w:val="28"/>
          <w:szCs w:val="28"/>
        </w:rPr>
        <w:t xml:space="preserve"> является базовая дренажно-регуляционная терапия. </w:t>
      </w:r>
      <w:r w:rsidR="00D206D8">
        <w:rPr>
          <w:rFonts w:ascii="Times New Roman" w:hAnsi="Times New Roman" w:cs="Times New Roman"/>
          <w:sz w:val="28"/>
          <w:szCs w:val="28"/>
        </w:rPr>
        <w:t xml:space="preserve">Представлена на нашем рынке прежде всего таким препаратом как </w:t>
      </w:r>
      <w:r w:rsidR="003B59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06D8" w:rsidRPr="00C63B45">
        <w:rPr>
          <w:rFonts w:ascii="Times New Roman" w:hAnsi="Times New Roman" w:cs="Times New Roman"/>
          <w:sz w:val="28"/>
          <w:szCs w:val="28"/>
        </w:rPr>
        <w:t>Лимфомиозот</w:t>
      </w:r>
      <w:proofErr w:type="spellEnd"/>
      <w:r w:rsidR="003B59F6">
        <w:rPr>
          <w:rFonts w:ascii="Times New Roman" w:hAnsi="Times New Roman" w:cs="Times New Roman"/>
          <w:sz w:val="28"/>
          <w:szCs w:val="28"/>
        </w:rPr>
        <w:t>»</w:t>
      </w:r>
      <w:r w:rsidR="00D206D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206D8" w:rsidRPr="00C63B45">
        <w:rPr>
          <w:rFonts w:ascii="Times New Roman" w:hAnsi="Times New Roman" w:cs="Times New Roman"/>
          <w:sz w:val="28"/>
          <w:szCs w:val="28"/>
        </w:rPr>
        <w:t xml:space="preserve">нормализует </w:t>
      </w:r>
      <w:proofErr w:type="spellStart"/>
      <w:r w:rsidR="00D206D8" w:rsidRPr="00C63B45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="00D206D8" w:rsidRPr="00C63B45">
        <w:rPr>
          <w:rFonts w:ascii="Times New Roman" w:hAnsi="Times New Roman" w:cs="Times New Roman"/>
          <w:sz w:val="28"/>
          <w:szCs w:val="28"/>
        </w:rPr>
        <w:t xml:space="preserve"> из пораженных тканей, повышает </w:t>
      </w:r>
      <w:proofErr w:type="spellStart"/>
      <w:r w:rsidR="00D206D8" w:rsidRPr="00C63B45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="00D206D8" w:rsidRPr="00C63B45">
        <w:rPr>
          <w:rFonts w:ascii="Times New Roman" w:hAnsi="Times New Roman" w:cs="Times New Roman"/>
          <w:sz w:val="28"/>
          <w:szCs w:val="28"/>
        </w:rPr>
        <w:t xml:space="preserve"> лекарственных препаратов, улучшает </w:t>
      </w:r>
      <w:proofErr w:type="spellStart"/>
      <w:r w:rsidR="00D206D8" w:rsidRPr="00C63B45">
        <w:rPr>
          <w:rFonts w:ascii="Times New Roman" w:hAnsi="Times New Roman" w:cs="Times New Roman"/>
          <w:sz w:val="28"/>
          <w:szCs w:val="28"/>
        </w:rPr>
        <w:t>иммунонейроэндокринную</w:t>
      </w:r>
      <w:proofErr w:type="spellEnd"/>
      <w:r w:rsidR="00D206D8" w:rsidRPr="00C63B45">
        <w:rPr>
          <w:rFonts w:ascii="Times New Roman" w:hAnsi="Times New Roman" w:cs="Times New Roman"/>
          <w:sz w:val="28"/>
          <w:szCs w:val="28"/>
        </w:rPr>
        <w:t xml:space="preserve"> регуляцию метаболизм и трофик</w:t>
      </w:r>
      <w:r w:rsidR="00D206D8">
        <w:rPr>
          <w:rFonts w:ascii="Times New Roman" w:hAnsi="Times New Roman" w:cs="Times New Roman"/>
          <w:sz w:val="28"/>
          <w:szCs w:val="28"/>
        </w:rPr>
        <w:t>у тканей</w:t>
      </w:r>
      <w:r w:rsidRPr="00C63B45">
        <w:rPr>
          <w:rFonts w:ascii="Times New Roman" w:hAnsi="Times New Roman" w:cs="Times New Roman"/>
          <w:sz w:val="28"/>
          <w:szCs w:val="28"/>
        </w:rPr>
        <w:t>,</w:t>
      </w:r>
      <w:r w:rsidR="003B59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59F6">
        <w:rPr>
          <w:rFonts w:ascii="Times New Roman" w:hAnsi="Times New Roman" w:cs="Times New Roman"/>
          <w:sz w:val="28"/>
          <w:szCs w:val="28"/>
        </w:rPr>
        <w:t>Берберис-Гомаккорд</w:t>
      </w:r>
      <w:proofErr w:type="spellEnd"/>
      <w:r w:rsidR="003B59F6">
        <w:rPr>
          <w:rFonts w:ascii="Times New Roman" w:hAnsi="Times New Roman" w:cs="Times New Roman"/>
          <w:sz w:val="28"/>
          <w:szCs w:val="28"/>
        </w:rPr>
        <w:t>» обеспечивает дренаж желудочно-кишечного тракта, мочевыводящей системы, а также регулирует работу надпочечников,</w:t>
      </w:r>
      <w:r w:rsidRPr="00C63B45">
        <w:rPr>
          <w:rFonts w:ascii="Times New Roman" w:hAnsi="Times New Roman" w:cs="Times New Roman"/>
          <w:sz w:val="28"/>
          <w:szCs w:val="28"/>
        </w:rPr>
        <w:t xml:space="preserve"> </w:t>
      </w:r>
      <w:r w:rsidR="003B59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3B45">
        <w:rPr>
          <w:rFonts w:ascii="Times New Roman" w:hAnsi="Times New Roman" w:cs="Times New Roman"/>
          <w:sz w:val="28"/>
          <w:szCs w:val="28"/>
        </w:rPr>
        <w:t>Нукс</w:t>
      </w:r>
      <w:proofErr w:type="spellEnd"/>
      <w:r w:rsidRPr="00C6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45">
        <w:rPr>
          <w:rFonts w:ascii="Times New Roman" w:hAnsi="Times New Roman" w:cs="Times New Roman"/>
          <w:sz w:val="28"/>
          <w:szCs w:val="28"/>
        </w:rPr>
        <w:t>вомика-</w:t>
      </w:r>
      <w:r w:rsidR="003B59F6" w:rsidRPr="00C63B45">
        <w:rPr>
          <w:rFonts w:ascii="Times New Roman" w:hAnsi="Times New Roman" w:cs="Times New Roman"/>
          <w:sz w:val="28"/>
          <w:szCs w:val="28"/>
        </w:rPr>
        <w:t>Гомак</w:t>
      </w:r>
      <w:r w:rsidR="003B59F6">
        <w:rPr>
          <w:rFonts w:ascii="Times New Roman" w:hAnsi="Times New Roman" w:cs="Times New Roman"/>
          <w:sz w:val="28"/>
          <w:szCs w:val="28"/>
        </w:rPr>
        <w:t>к</w:t>
      </w:r>
      <w:r w:rsidR="003B59F6" w:rsidRPr="00C63B45">
        <w:rPr>
          <w:rFonts w:ascii="Times New Roman" w:hAnsi="Times New Roman" w:cs="Times New Roman"/>
          <w:sz w:val="28"/>
          <w:szCs w:val="28"/>
        </w:rPr>
        <w:t>орд</w:t>
      </w:r>
      <w:r w:rsidR="003B59F6">
        <w:rPr>
          <w:rFonts w:ascii="Times New Roman" w:hAnsi="Times New Roman" w:cs="Times New Roman"/>
          <w:sz w:val="28"/>
          <w:szCs w:val="28"/>
        </w:rPr>
        <w:t>»осуществляет</w:t>
      </w:r>
      <w:proofErr w:type="spellEnd"/>
      <w:r w:rsidR="003B59F6">
        <w:rPr>
          <w:rFonts w:ascii="Times New Roman" w:hAnsi="Times New Roman" w:cs="Times New Roman"/>
          <w:sz w:val="28"/>
          <w:szCs w:val="28"/>
        </w:rPr>
        <w:t xml:space="preserve"> индукцию механизма общей </w:t>
      </w:r>
      <w:proofErr w:type="spellStart"/>
      <w:r w:rsidR="003B59F6">
        <w:rPr>
          <w:rFonts w:ascii="Times New Roman" w:hAnsi="Times New Roman" w:cs="Times New Roman"/>
          <w:sz w:val="28"/>
          <w:szCs w:val="28"/>
        </w:rPr>
        <w:t>дезинтоксикации</w:t>
      </w:r>
      <w:proofErr w:type="spellEnd"/>
      <w:r w:rsidRPr="00C63B45">
        <w:rPr>
          <w:rFonts w:ascii="Times New Roman" w:hAnsi="Times New Roman" w:cs="Times New Roman"/>
          <w:sz w:val="28"/>
          <w:szCs w:val="28"/>
        </w:rPr>
        <w:t xml:space="preserve">, </w:t>
      </w:r>
      <w:r w:rsidR="003B59F6">
        <w:rPr>
          <w:rFonts w:ascii="Times New Roman" w:hAnsi="Times New Roman" w:cs="Times New Roman"/>
          <w:sz w:val="28"/>
          <w:szCs w:val="28"/>
        </w:rPr>
        <w:t xml:space="preserve">усиливает перистальтику и улучшает </w:t>
      </w:r>
      <w:proofErr w:type="spellStart"/>
      <w:r w:rsidR="003B59F6">
        <w:rPr>
          <w:rFonts w:ascii="Times New Roman" w:hAnsi="Times New Roman" w:cs="Times New Roman"/>
          <w:sz w:val="28"/>
          <w:szCs w:val="28"/>
        </w:rPr>
        <w:t>перереваривание</w:t>
      </w:r>
      <w:proofErr w:type="spellEnd"/>
      <w:r w:rsidR="003B59F6">
        <w:rPr>
          <w:rFonts w:ascii="Times New Roman" w:hAnsi="Times New Roman" w:cs="Times New Roman"/>
          <w:sz w:val="28"/>
          <w:szCs w:val="28"/>
        </w:rPr>
        <w:t xml:space="preserve"> пищи. Эти препараты применяются </w:t>
      </w:r>
      <w:r w:rsidR="003B59F6" w:rsidRPr="003B59F6">
        <w:rPr>
          <w:rFonts w:ascii="Times New Roman" w:hAnsi="Times New Roman" w:cs="Times New Roman"/>
          <w:sz w:val="28"/>
          <w:szCs w:val="28"/>
        </w:rPr>
        <w:t xml:space="preserve">для лечения всех заболеваний с проявлением хронического </w:t>
      </w:r>
      <w:proofErr w:type="spellStart"/>
      <w:r w:rsidR="003B59F6" w:rsidRPr="003B59F6">
        <w:rPr>
          <w:rFonts w:ascii="Times New Roman" w:hAnsi="Times New Roman" w:cs="Times New Roman"/>
          <w:sz w:val="28"/>
          <w:szCs w:val="28"/>
        </w:rPr>
        <w:t>эндотоксикоза</w:t>
      </w:r>
      <w:proofErr w:type="spellEnd"/>
      <w:r w:rsidR="003B59F6" w:rsidRPr="003B59F6">
        <w:rPr>
          <w:rFonts w:ascii="Times New Roman" w:hAnsi="Times New Roman" w:cs="Times New Roman"/>
          <w:sz w:val="28"/>
          <w:szCs w:val="28"/>
        </w:rPr>
        <w:t>.</w:t>
      </w:r>
    </w:p>
    <w:p w:rsidR="003B59F6" w:rsidRDefault="003B59F6" w:rsidP="00B3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BC7" w:rsidRDefault="00F33C88" w:rsidP="00B3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Следующее важное направление</w:t>
      </w:r>
      <w:r w:rsidR="003B59F6" w:rsidRPr="003B59F6">
        <w:rPr>
          <w:rFonts w:ascii="Times New Roman" w:hAnsi="Times New Roman" w:cs="Times New Roman"/>
          <w:sz w:val="28"/>
          <w:szCs w:val="28"/>
        </w:rPr>
        <w:t xml:space="preserve"> терапии </w:t>
      </w:r>
      <w:proofErr w:type="spellStart"/>
      <w:r w:rsidR="003B59F6" w:rsidRPr="003B59F6">
        <w:rPr>
          <w:rFonts w:ascii="Times New Roman" w:hAnsi="Times New Roman" w:cs="Times New Roman"/>
          <w:sz w:val="28"/>
          <w:szCs w:val="28"/>
        </w:rPr>
        <w:t>биорегуляционного</w:t>
      </w:r>
      <w:proofErr w:type="spellEnd"/>
      <w:r w:rsidR="003B59F6" w:rsidRPr="003B59F6">
        <w:rPr>
          <w:rFonts w:ascii="Times New Roman" w:hAnsi="Times New Roman" w:cs="Times New Roman"/>
          <w:sz w:val="28"/>
          <w:szCs w:val="28"/>
        </w:rPr>
        <w:t xml:space="preserve"> подхода – контроль и завершение воспаления. Здесь хотелось бы остановиться на универсальном противовоспалительном препарате </w:t>
      </w:r>
      <w:r w:rsidR="00250B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59F6" w:rsidRPr="003B59F6">
        <w:rPr>
          <w:rFonts w:ascii="Times New Roman" w:hAnsi="Times New Roman" w:cs="Times New Roman"/>
          <w:sz w:val="28"/>
          <w:szCs w:val="28"/>
        </w:rPr>
        <w:t>Траумель</w:t>
      </w:r>
      <w:proofErr w:type="spellEnd"/>
      <w:r w:rsidR="003B59F6" w:rsidRPr="003B59F6">
        <w:rPr>
          <w:rFonts w:ascii="Times New Roman" w:hAnsi="Times New Roman" w:cs="Times New Roman"/>
          <w:sz w:val="28"/>
          <w:szCs w:val="28"/>
        </w:rPr>
        <w:t xml:space="preserve"> С</w:t>
      </w:r>
      <w:r w:rsidR="00250BC7">
        <w:rPr>
          <w:rFonts w:ascii="Times New Roman" w:hAnsi="Times New Roman" w:cs="Times New Roman"/>
          <w:sz w:val="28"/>
          <w:szCs w:val="28"/>
        </w:rPr>
        <w:t>»</w:t>
      </w:r>
      <w:r w:rsidR="003B59F6" w:rsidRPr="003B59F6">
        <w:rPr>
          <w:rFonts w:ascii="Times New Roman" w:hAnsi="Times New Roman" w:cs="Times New Roman"/>
          <w:sz w:val="28"/>
          <w:szCs w:val="28"/>
        </w:rPr>
        <w:t xml:space="preserve">, хорошо известном </w:t>
      </w:r>
      <w:r w:rsidR="00250BC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50BC7">
        <w:rPr>
          <w:rFonts w:ascii="Times New Roman" w:hAnsi="Times New Roman" w:cs="Times New Roman"/>
          <w:sz w:val="28"/>
          <w:szCs w:val="28"/>
        </w:rPr>
        <w:t>терапевтам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B59F6" w:rsidRPr="003B59F6">
        <w:rPr>
          <w:rFonts w:ascii="Times New Roman" w:hAnsi="Times New Roman" w:cs="Times New Roman"/>
          <w:sz w:val="28"/>
          <w:szCs w:val="28"/>
        </w:rPr>
        <w:t xml:space="preserve"> невропатологам, и травматологам. Он действует на все фазы воспалительного процесса, позитивно влияет на все пять признаков воспаления, оптимизирует течение воспалительного процесса, оказывает иммуномодулирующий эффект, имеет выраженное регенерирующее действие, нормализует проницаемость сосудистой стенки (</w:t>
      </w:r>
      <w:proofErr w:type="spellStart"/>
      <w:r w:rsidR="003B59F6" w:rsidRPr="003B59F6">
        <w:rPr>
          <w:rFonts w:ascii="Times New Roman" w:hAnsi="Times New Roman" w:cs="Times New Roman"/>
          <w:sz w:val="28"/>
          <w:szCs w:val="28"/>
        </w:rPr>
        <w:t>антиэкссудативное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3B59F6" w:rsidRPr="003B59F6">
        <w:rPr>
          <w:rFonts w:ascii="Times New Roman" w:hAnsi="Times New Roman" w:cs="Times New Roman"/>
          <w:sz w:val="28"/>
          <w:szCs w:val="28"/>
        </w:rPr>
        <w:t xml:space="preserve">), снижает риск развития </w:t>
      </w:r>
      <w:proofErr w:type="spellStart"/>
      <w:r w:rsidR="003B59F6" w:rsidRPr="003B59F6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="003B59F6" w:rsidRPr="003B59F6">
        <w:rPr>
          <w:rFonts w:ascii="Times New Roman" w:hAnsi="Times New Roman" w:cs="Times New Roman"/>
          <w:sz w:val="28"/>
          <w:szCs w:val="28"/>
        </w:rPr>
        <w:t xml:space="preserve"> воспаления и воспалительных осложнений (спаечного процесса, рубцов) (рис. 2). </w:t>
      </w:r>
    </w:p>
    <w:p w:rsidR="000A5E4E" w:rsidRDefault="003B59F6" w:rsidP="00B3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После завершения стадии воспаления необходимо добиться активации метаболизма. </w:t>
      </w:r>
      <w:r w:rsidR="00250BC7">
        <w:rPr>
          <w:rFonts w:ascii="Times New Roman" w:hAnsi="Times New Roman" w:cs="Times New Roman"/>
          <w:sz w:val="28"/>
          <w:szCs w:val="28"/>
        </w:rPr>
        <w:t xml:space="preserve">В этой стадии обосновано </w:t>
      </w:r>
      <w:proofErr w:type="spellStart"/>
      <w:r w:rsidR="00250BC7">
        <w:rPr>
          <w:rFonts w:ascii="Times New Roman" w:hAnsi="Times New Roman" w:cs="Times New Roman"/>
          <w:sz w:val="28"/>
          <w:szCs w:val="28"/>
        </w:rPr>
        <w:t>парименение</w:t>
      </w:r>
      <w:proofErr w:type="spellEnd"/>
      <w:r w:rsidR="00250BC7">
        <w:rPr>
          <w:rFonts w:ascii="Times New Roman" w:hAnsi="Times New Roman" w:cs="Times New Roman"/>
          <w:sz w:val="28"/>
          <w:szCs w:val="28"/>
        </w:rPr>
        <w:t xml:space="preserve"> </w:t>
      </w:r>
      <w:r w:rsidRPr="003B59F6">
        <w:rPr>
          <w:rFonts w:ascii="Times New Roman" w:hAnsi="Times New Roman" w:cs="Times New Roman"/>
          <w:sz w:val="28"/>
          <w:szCs w:val="28"/>
        </w:rPr>
        <w:t>препарат</w:t>
      </w:r>
      <w:r w:rsidR="00250BC7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</w:t>
      </w:r>
      <w:r w:rsidR="00250B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Гепар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композитум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Хеель</w:t>
      </w:r>
      <w:proofErr w:type="spellEnd"/>
      <w:r w:rsidR="00250BC7">
        <w:rPr>
          <w:rFonts w:ascii="Times New Roman" w:hAnsi="Times New Roman" w:cs="Times New Roman"/>
          <w:sz w:val="28"/>
          <w:szCs w:val="28"/>
        </w:rPr>
        <w:t>»</w:t>
      </w:r>
      <w:r w:rsidRPr="003B59F6">
        <w:rPr>
          <w:rFonts w:ascii="Times New Roman" w:hAnsi="Times New Roman" w:cs="Times New Roman"/>
          <w:sz w:val="28"/>
          <w:szCs w:val="28"/>
        </w:rPr>
        <w:t xml:space="preserve">, </w:t>
      </w:r>
      <w:r w:rsidR="00250BC7">
        <w:rPr>
          <w:rFonts w:ascii="Times New Roman" w:hAnsi="Times New Roman" w:cs="Times New Roman"/>
          <w:sz w:val="28"/>
          <w:szCs w:val="28"/>
        </w:rPr>
        <w:t>имеющего такие</w:t>
      </w:r>
      <w:r w:rsidRPr="003B59F6">
        <w:rPr>
          <w:rFonts w:ascii="Times New Roman" w:hAnsi="Times New Roman" w:cs="Times New Roman"/>
          <w:sz w:val="28"/>
          <w:szCs w:val="28"/>
        </w:rPr>
        <w:t xml:space="preserve"> системны</w:t>
      </w:r>
      <w:r w:rsidR="00250BC7">
        <w:rPr>
          <w:rFonts w:ascii="Times New Roman" w:hAnsi="Times New Roman" w:cs="Times New Roman"/>
          <w:sz w:val="28"/>
          <w:szCs w:val="28"/>
        </w:rPr>
        <w:t>е</w:t>
      </w:r>
      <w:r w:rsidRPr="003B59F6">
        <w:rPr>
          <w:rFonts w:ascii="Times New Roman" w:hAnsi="Times New Roman" w:cs="Times New Roman"/>
          <w:sz w:val="28"/>
          <w:szCs w:val="28"/>
        </w:rPr>
        <w:t xml:space="preserve"> показания, как прерывание патогенетических цепочек «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– атеросклероз − инфаркт/инсульт», «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инсулинорезистентность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– сахарный диабет 2-</w:t>
      </w:r>
      <w:r w:rsidR="00250BC7">
        <w:rPr>
          <w:rFonts w:ascii="Times New Roman" w:hAnsi="Times New Roman" w:cs="Times New Roman"/>
          <w:sz w:val="28"/>
          <w:szCs w:val="28"/>
        </w:rPr>
        <w:t xml:space="preserve">го </w:t>
      </w:r>
      <w:r w:rsidR="00250BC7" w:rsidRPr="003B59F6">
        <w:rPr>
          <w:rFonts w:ascii="Times New Roman" w:hAnsi="Times New Roman" w:cs="Times New Roman"/>
          <w:sz w:val="28"/>
          <w:szCs w:val="28"/>
        </w:rPr>
        <w:t>типа</w:t>
      </w:r>
      <w:r w:rsidR="00250BC7">
        <w:rPr>
          <w:rFonts w:ascii="Times New Roman" w:hAnsi="Times New Roman" w:cs="Times New Roman"/>
          <w:sz w:val="28"/>
          <w:szCs w:val="28"/>
        </w:rPr>
        <w:t xml:space="preserve"> – метаболический синдром» за счет </w:t>
      </w:r>
      <w:proofErr w:type="gramStart"/>
      <w:r w:rsidR="00250BC7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E44D50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="00E44D50">
        <w:rPr>
          <w:rFonts w:ascii="Times New Roman" w:hAnsi="Times New Roman" w:cs="Times New Roman"/>
          <w:sz w:val="28"/>
          <w:szCs w:val="28"/>
        </w:rPr>
        <w:t xml:space="preserve"> </w:t>
      </w:r>
      <w:r w:rsidR="00250BC7">
        <w:rPr>
          <w:rFonts w:ascii="Times New Roman" w:hAnsi="Times New Roman" w:cs="Times New Roman"/>
          <w:sz w:val="28"/>
          <w:szCs w:val="28"/>
        </w:rPr>
        <w:t>сво</w:t>
      </w:r>
      <w:r w:rsidR="00E44D50">
        <w:rPr>
          <w:rFonts w:ascii="Times New Roman" w:hAnsi="Times New Roman" w:cs="Times New Roman"/>
          <w:sz w:val="28"/>
          <w:szCs w:val="28"/>
        </w:rPr>
        <w:t>й</w:t>
      </w:r>
      <w:r w:rsidR="00250BC7">
        <w:rPr>
          <w:rFonts w:ascii="Times New Roman" w:hAnsi="Times New Roman" w:cs="Times New Roman"/>
          <w:sz w:val="28"/>
          <w:szCs w:val="28"/>
        </w:rPr>
        <w:t>ств как</w:t>
      </w:r>
      <w:r w:rsidR="00250BC7" w:rsidRPr="00250BC7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250BC7">
        <w:rPr>
          <w:rFonts w:ascii="Times New Roman" w:hAnsi="Times New Roman" w:cs="Times New Roman"/>
          <w:sz w:val="28"/>
          <w:szCs w:val="28"/>
        </w:rPr>
        <w:t>я</w:t>
      </w:r>
      <w:r w:rsidR="00250BC7" w:rsidRPr="00250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BC7" w:rsidRPr="00250BC7">
        <w:rPr>
          <w:rFonts w:ascii="Times New Roman" w:hAnsi="Times New Roman" w:cs="Times New Roman"/>
          <w:sz w:val="28"/>
          <w:szCs w:val="28"/>
        </w:rPr>
        <w:t>гепатотоксических</w:t>
      </w:r>
      <w:proofErr w:type="spellEnd"/>
      <w:r w:rsidR="00250BC7" w:rsidRPr="00250BC7">
        <w:rPr>
          <w:rFonts w:ascii="Times New Roman" w:hAnsi="Times New Roman" w:cs="Times New Roman"/>
          <w:sz w:val="28"/>
          <w:szCs w:val="28"/>
        </w:rPr>
        <w:t xml:space="preserve"> воздействий; антигистаминное действие и разблокирование рецепторов большой защитной системы после фармацевтической нагрузки. На этом</w:t>
      </w:r>
      <w:r w:rsidR="00250BC7">
        <w:rPr>
          <w:rFonts w:ascii="Times New Roman" w:hAnsi="Times New Roman" w:cs="Times New Roman"/>
          <w:sz w:val="28"/>
          <w:szCs w:val="28"/>
        </w:rPr>
        <w:t xml:space="preserve"> же</w:t>
      </w:r>
      <w:r w:rsidR="00250BC7" w:rsidRPr="00250BC7">
        <w:rPr>
          <w:rFonts w:ascii="Times New Roman" w:hAnsi="Times New Roman" w:cs="Times New Roman"/>
          <w:sz w:val="28"/>
          <w:szCs w:val="28"/>
        </w:rPr>
        <w:t xml:space="preserve"> этапе лечения применяется </w:t>
      </w:r>
      <w:r w:rsidR="00250BC7">
        <w:rPr>
          <w:rFonts w:ascii="Times New Roman" w:hAnsi="Times New Roman" w:cs="Times New Roman"/>
          <w:sz w:val="28"/>
          <w:szCs w:val="28"/>
        </w:rPr>
        <w:t>препарат «</w:t>
      </w:r>
      <w:proofErr w:type="spellStart"/>
      <w:r w:rsidR="00250BC7" w:rsidRPr="00250BC7">
        <w:rPr>
          <w:rFonts w:ascii="Times New Roman" w:hAnsi="Times New Roman" w:cs="Times New Roman"/>
          <w:sz w:val="28"/>
          <w:szCs w:val="28"/>
        </w:rPr>
        <w:t>Хепель</w:t>
      </w:r>
      <w:proofErr w:type="spellEnd"/>
      <w:r w:rsidR="00250BC7">
        <w:rPr>
          <w:rFonts w:ascii="Times New Roman" w:hAnsi="Times New Roman" w:cs="Times New Roman"/>
          <w:sz w:val="28"/>
          <w:szCs w:val="28"/>
        </w:rPr>
        <w:t>»</w:t>
      </w:r>
      <w:r w:rsidR="00E44D50">
        <w:rPr>
          <w:rFonts w:ascii="Times New Roman" w:hAnsi="Times New Roman" w:cs="Times New Roman"/>
          <w:sz w:val="28"/>
          <w:szCs w:val="28"/>
        </w:rPr>
        <w:t xml:space="preserve"> который способствует стабилизации клеточных мембран и обладает более выраженным, по сравнению с другими аллопатическими </w:t>
      </w:r>
      <w:proofErr w:type="spellStart"/>
      <w:r w:rsidR="00E44D50">
        <w:rPr>
          <w:rFonts w:ascii="Times New Roman" w:hAnsi="Times New Roman" w:cs="Times New Roman"/>
          <w:sz w:val="28"/>
          <w:szCs w:val="28"/>
        </w:rPr>
        <w:t>гепатопротекторами</w:t>
      </w:r>
      <w:proofErr w:type="spellEnd"/>
      <w:r w:rsidR="00E44D50">
        <w:rPr>
          <w:rFonts w:ascii="Times New Roman" w:hAnsi="Times New Roman" w:cs="Times New Roman"/>
          <w:sz w:val="28"/>
          <w:szCs w:val="28"/>
        </w:rPr>
        <w:t xml:space="preserve">, антиоксидантным действием. Так же </w:t>
      </w:r>
      <w:r w:rsidR="00E44D50" w:rsidRPr="00E44D50">
        <w:rPr>
          <w:rFonts w:ascii="Times New Roman" w:hAnsi="Times New Roman" w:cs="Times New Roman"/>
          <w:iCs/>
          <w:sz w:val="28"/>
          <w:szCs w:val="28"/>
        </w:rPr>
        <w:t xml:space="preserve">преимуществом препарата </w:t>
      </w:r>
      <w:r w:rsidR="00E44D50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E44D50" w:rsidRPr="00E44D50">
        <w:rPr>
          <w:rFonts w:ascii="Times New Roman" w:hAnsi="Times New Roman" w:cs="Times New Roman"/>
          <w:iCs/>
          <w:sz w:val="28"/>
          <w:szCs w:val="28"/>
        </w:rPr>
        <w:t>Хепель</w:t>
      </w:r>
      <w:proofErr w:type="spellEnd"/>
      <w:r w:rsidR="00E44D50">
        <w:rPr>
          <w:rFonts w:ascii="Times New Roman" w:hAnsi="Times New Roman" w:cs="Times New Roman"/>
          <w:iCs/>
          <w:sz w:val="28"/>
          <w:szCs w:val="28"/>
        </w:rPr>
        <w:t>»</w:t>
      </w:r>
      <w:r w:rsidR="00E44D50" w:rsidRPr="00E44D50">
        <w:rPr>
          <w:rFonts w:ascii="Times New Roman" w:hAnsi="Times New Roman" w:cs="Times New Roman"/>
          <w:iCs/>
          <w:sz w:val="28"/>
          <w:szCs w:val="28"/>
        </w:rPr>
        <w:t xml:space="preserve"> является то, что назначаемый в острый период, он не вызывает </w:t>
      </w:r>
      <w:proofErr w:type="spellStart"/>
      <w:r w:rsidR="00E44D50" w:rsidRPr="00E44D50">
        <w:rPr>
          <w:rFonts w:ascii="Times New Roman" w:hAnsi="Times New Roman" w:cs="Times New Roman"/>
          <w:iCs/>
          <w:sz w:val="28"/>
          <w:szCs w:val="28"/>
        </w:rPr>
        <w:t>холестаза</w:t>
      </w:r>
      <w:proofErr w:type="spellEnd"/>
      <w:r w:rsidR="00E44D50" w:rsidRPr="00E44D50">
        <w:rPr>
          <w:rFonts w:ascii="Times New Roman" w:hAnsi="Times New Roman" w:cs="Times New Roman"/>
          <w:iCs/>
          <w:sz w:val="28"/>
          <w:szCs w:val="28"/>
        </w:rPr>
        <w:t xml:space="preserve"> и не оказывает дополнительную нагрузку на печень, так как не </w:t>
      </w:r>
      <w:proofErr w:type="spellStart"/>
      <w:r w:rsidR="00E44D50" w:rsidRPr="00E44D50">
        <w:rPr>
          <w:rFonts w:ascii="Times New Roman" w:hAnsi="Times New Roman" w:cs="Times New Roman"/>
          <w:iCs/>
          <w:sz w:val="28"/>
          <w:szCs w:val="28"/>
        </w:rPr>
        <w:t>метаболизируется</w:t>
      </w:r>
      <w:proofErr w:type="spellEnd"/>
      <w:r w:rsidR="00E44D50" w:rsidRPr="00E44D50">
        <w:rPr>
          <w:rFonts w:ascii="Times New Roman" w:hAnsi="Times New Roman" w:cs="Times New Roman"/>
          <w:iCs/>
          <w:sz w:val="28"/>
          <w:szCs w:val="28"/>
        </w:rPr>
        <w:t xml:space="preserve"> в ней.</w:t>
      </w:r>
      <w:r w:rsidR="00E44D50" w:rsidRPr="00E44D50">
        <w:rPr>
          <w:rFonts w:ascii="Times New Roman" w:hAnsi="Times New Roman" w:cs="Times New Roman"/>
          <w:sz w:val="28"/>
          <w:szCs w:val="28"/>
        </w:rPr>
        <w:t xml:space="preserve"> </w:t>
      </w:r>
      <w:r w:rsidR="00E44D50" w:rsidRPr="00250BC7">
        <w:rPr>
          <w:rFonts w:ascii="Times New Roman" w:hAnsi="Times New Roman" w:cs="Times New Roman"/>
          <w:sz w:val="28"/>
          <w:szCs w:val="28"/>
        </w:rPr>
        <w:t xml:space="preserve">Препарат в целом и его отдельные компоненты оказывают также противовоспалительное, </w:t>
      </w:r>
      <w:proofErr w:type="spellStart"/>
      <w:r w:rsidR="00E44D50" w:rsidRPr="00250BC7">
        <w:rPr>
          <w:rFonts w:ascii="Times New Roman" w:hAnsi="Times New Roman" w:cs="Times New Roman"/>
          <w:sz w:val="28"/>
          <w:szCs w:val="28"/>
        </w:rPr>
        <w:t>гепатопротекторное</w:t>
      </w:r>
      <w:proofErr w:type="spellEnd"/>
      <w:r w:rsidR="00E44D50" w:rsidRPr="00250BC7">
        <w:rPr>
          <w:rFonts w:ascii="Times New Roman" w:hAnsi="Times New Roman" w:cs="Times New Roman"/>
          <w:sz w:val="28"/>
          <w:szCs w:val="28"/>
        </w:rPr>
        <w:t>, ветрогонное, антидиарейное,</w:t>
      </w:r>
      <w:r w:rsidR="00E44D50" w:rsidRPr="00E44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D50" w:rsidRPr="00250BC7">
        <w:rPr>
          <w:rFonts w:ascii="Times New Roman" w:hAnsi="Times New Roman" w:cs="Times New Roman"/>
          <w:sz w:val="28"/>
          <w:szCs w:val="28"/>
        </w:rPr>
        <w:t>дезинтоксикационное</w:t>
      </w:r>
      <w:proofErr w:type="spellEnd"/>
      <w:r w:rsidR="00E44D50" w:rsidRPr="00250BC7">
        <w:rPr>
          <w:rFonts w:ascii="Times New Roman" w:hAnsi="Times New Roman" w:cs="Times New Roman"/>
          <w:sz w:val="28"/>
          <w:szCs w:val="28"/>
        </w:rPr>
        <w:t xml:space="preserve"> действие,</w:t>
      </w:r>
      <w:r w:rsidR="00E44D50" w:rsidRPr="00E44D50">
        <w:rPr>
          <w:rFonts w:ascii="Times New Roman" w:hAnsi="Times New Roman" w:cs="Times New Roman"/>
          <w:sz w:val="28"/>
          <w:szCs w:val="28"/>
        </w:rPr>
        <w:t xml:space="preserve"> </w:t>
      </w:r>
      <w:r w:rsidR="00E44D50" w:rsidRPr="00250BC7">
        <w:rPr>
          <w:rFonts w:ascii="Times New Roman" w:hAnsi="Times New Roman" w:cs="Times New Roman"/>
          <w:sz w:val="28"/>
          <w:szCs w:val="28"/>
        </w:rPr>
        <w:t>обладает как желчегонным, так и спазмолитическим действием. способствуют ликвидации застойных явле</w:t>
      </w:r>
      <w:r w:rsidR="00E44D50">
        <w:rPr>
          <w:rFonts w:ascii="Times New Roman" w:hAnsi="Times New Roman" w:cs="Times New Roman"/>
          <w:sz w:val="28"/>
          <w:szCs w:val="28"/>
        </w:rPr>
        <w:t xml:space="preserve">ний в </w:t>
      </w:r>
      <w:r w:rsidR="00E44D50" w:rsidRPr="00E44D50">
        <w:rPr>
          <w:rFonts w:ascii="Times New Roman" w:hAnsi="Times New Roman" w:cs="Times New Roman"/>
          <w:sz w:val="28"/>
          <w:szCs w:val="28"/>
        </w:rPr>
        <w:t xml:space="preserve">системе воротной вены и венах малого таза. </w:t>
      </w:r>
    </w:p>
    <w:p w:rsidR="00905392" w:rsidRPr="00916340" w:rsidRDefault="000A5E4E" w:rsidP="00B3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обойти такой аспект как нормализация энергетического метаболизма, поскольку мы уже упоминали о том, что все процессы в печени крайне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здесь на помощь придут такие КБП как </w:t>
      </w:r>
      <w:r w:rsidR="00AE02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0219">
        <w:rPr>
          <w:rFonts w:ascii="Times New Roman" w:hAnsi="Times New Roman" w:cs="Times New Roman"/>
          <w:sz w:val="28"/>
          <w:szCs w:val="28"/>
        </w:rPr>
        <w:t>Убихинон</w:t>
      </w:r>
      <w:proofErr w:type="spellEnd"/>
      <w:r w:rsidR="00AE0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219">
        <w:rPr>
          <w:rFonts w:ascii="Times New Roman" w:hAnsi="Times New Roman" w:cs="Times New Roman"/>
          <w:sz w:val="28"/>
          <w:szCs w:val="28"/>
        </w:rPr>
        <w:t>композитум</w:t>
      </w:r>
      <w:proofErr w:type="spellEnd"/>
      <w:r w:rsidR="00AE0219">
        <w:rPr>
          <w:rFonts w:ascii="Times New Roman" w:hAnsi="Times New Roman" w:cs="Times New Roman"/>
          <w:sz w:val="28"/>
          <w:szCs w:val="28"/>
        </w:rPr>
        <w:t xml:space="preserve">», обладающий способностью </w:t>
      </w:r>
      <w:r w:rsidR="00ED5245" w:rsidRPr="00AE0219">
        <w:rPr>
          <w:rFonts w:ascii="Times New Roman" w:hAnsi="Times New Roman" w:cs="Times New Roman"/>
          <w:bCs/>
          <w:sz w:val="28"/>
          <w:szCs w:val="28"/>
        </w:rPr>
        <w:t>восстанавливат</w:t>
      </w:r>
      <w:r w:rsidR="00AE0219">
        <w:rPr>
          <w:rFonts w:ascii="Times New Roman" w:hAnsi="Times New Roman" w:cs="Times New Roman"/>
          <w:bCs/>
          <w:sz w:val="28"/>
          <w:szCs w:val="28"/>
        </w:rPr>
        <w:t>ь</w:t>
      </w:r>
      <w:r w:rsidR="00ED5245" w:rsidRPr="00AE0219">
        <w:rPr>
          <w:rFonts w:ascii="Times New Roman" w:hAnsi="Times New Roman" w:cs="Times New Roman"/>
          <w:bCs/>
          <w:sz w:val="28"/>
          <w:szCs w:val="28"/>
        </w:rPr>
        <w:t xml:space="preserve"> работу заблокированных внутриклеточных ферментных систем </w:t>
      </w:r>
      <w:r w:rsidR="00ED5245" w:rsidRPr="00AE0219">
        <w:rPr>
          <w:rFonts w:ascii="Times New Roman" w:hAnsi="Times New Roman" w:cs="Times New Roman"/>
          <w:sz w:val="28"/>
          <w:szCs w:val="28"/>
        </w:rPr>
        <w:t>(</w:t>
      </w:r>
      <w:r w:rsidR="00ED5245" w:rsidRPr="00AE0219">
        <w:rPr>
          <w:rFonts w:ascii="Times New Roman" w:hAnsi="Times New Roman" w:cs="Times New Roman"/>
          <w:bCs/>
          <w:sz w:val="28"/>
          <w:szCs w:val="28"/>
        </w:rPr>
        <w:t>на уровне дыхательной цепи митохондрий</w:t>
      </w:r>
      <w:r w:rsidR="00ED5245" w:rsidRPr="00AE0219">
        <w:rPr>
          <w:rFonts w:ascii="Times New Roman" w:hAnsi="Times New Roman" w:cs="Times New Roman"/>
          <w:sz w:val="28"/>
          <w:szCs w:val="28"/>
        </w:rPr>
        <w:t>)</w:t>
      </w:r>
      <w:r w:rsidR="00AE0219">
        <w:rPr>
          <w:rFonts w:ascii="Times New Roman" w:hAnsi="Times New Roman" w:cs="Times New Roman"/>
          <w:sz w:val="28"/>
          <w:szCs w:val="28"/>
        </w:rPr>
        <w:t>, п</w:t>
      </w:r>
      <w:r w:rsidR="00ED5245" w:rsidRPr="00AE0219">
        <w:rPr>
          <w:rFonts w:ascii="Times New Roman" w:hAnsi="Times New Roman" w:cs="Times New Roman"/>
          <w:bCs/>
          <w:sz w:val="28"/>
          <w:szCs w:val="28"/>
        </w:rPr>
        <w:t>овышат</w:t>
      </w:r>
      <w:r w:rsidR="00AE0219">
        <w:rPr>
          <w:rFonts w:ascii="Times New Roman" w:hAnsi="Times New Roman" w:cs="Times New Roman"/>
          <w:bCs/>
          <w:sz w:val="28"/>
          <w:szCs w:val="28"/>
        </w:rPr>
        <w:t>ь</w:t>
      </w:r>
      <w:r w:rsidR="00ED5245" w:rsidRPr="00AE0219">
        <w:rPr>
          <w:rFonts w:ascii="Times New Roman" w:hAnsi="Times New Roman" w:cs="Times New Roman"/>
          <w:bCs/>
          <w:sz w:val="28"/>
          <w:szCs w:val="28"/>
        </w:rPr>
        <w:t xml:space="preserve"> функциональную активность </w:t>
      </w:r>
      <w:proofErr w:type="spellStart"/>
      <w:r w:rsidR="00ED5245" w:rsidRPr="00AE0219">
        <w:rPr>
          <w:rFonts w:ascii="Times New Roman" w:hAnsi="Times New Roman" w:cs="Times New Roman"/>
          <w:bCs/>
          <w:sz w:val="28"/>
          <w:szCs w:val="28"/>
        </w:rPr>
        <w:t>дезинтоксикационных</w:t>
      </w:r>
      <w:proofErr w:type="spellEnd"/>
      <w:r w:rsidR="00ED5245" w:rsidRPr="00AE0219">
        <w:rPr>
          <w:rFonts w:ascii="Times New Roman" w:hAnsi="Times New Roman" w:cs="Times New Roman"/>
          <w:bCs/>
          <w:sz w:val="28"/>
          <w:szCs w:val="28"/>
        </w:rPr>
        <w:t xml:space="preserve"> ферментных систем</w:t>
      </w:r>
      <w:r w:rsidR="00AE02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5245" w:rsidRPr="00AE0219">
        <w:rPr>
          <w:rFonts w:ascii="Times New Roman" w:hAnsi="Times New Roman" w:cs="Times New Roman"/>
          <w:sz w:val="28"/>
          <w:szCs w:val="28"/>
        </w:rPr>
        <w:t>повышат</w:t>
      </w:r>
      <w:r w:rsidR="00AE0219">
        <w:rPr>
          <w:rFonts w:ascii="Times New Roman" w:hAnsi="Times New Roman" w:cs="Times New Roman"/>
          <w:sz w:val="28"/>
          <w:szCs w:val="28"/>
        </w:rPr>
        <w:t>ь</w:t>
      </w:r>
      <w:r w:rsidR="00ED5245" w:rsidRPr="00AE0219">
        <w:rPr>
          <w:rFonts w:ascii="Times New Roman" w:hAnsi="Times New Roman" w:cs="Times New Roman"/>
          <w:sz w:val="28"/>
          <w:szCs w:val="28"/>
        </w:rPr>
        <w:t xml:space="preserve"> функциональную активность</w:t>
      </w:r>
      <w:r w:rsidR="00AE0219">
        <w:rPr>
          <w:rFonts w:ascii="Times New Roman" w:hAnsi="Times New Roman" w:cs="Times New Roman"/>
          <w:sz w:val="28"/>
          <w:szCs w:val="28"/>
        </w:rPr>
        <w:t xml:space="preserve"> и</w:t>
      </w:r>
      <w:r w:rsidR="00ED5245" w:rsidRPr="00AE0219">
        <w:rPr>
          <w:rFonts w:ascii="Times New Roman" w:hAnsi="Times New Roman" w:cs="Times New Roman"/>
          <w:sz w:val="28"/>
          <w:szCs w:val="28"/>
        </w:rPr>
        <w:t xml:space="preserve"> переваривающую способность</w:t>
      </w:r>
      <w:r w:rsidR="00AE0219" w:rsidRPr="00AE0219">
        <w:rPr>
          <w:rFonts w:ascii="Times New Roman" w:hAnsi="Times New Roman" w:cs="Times New Roman"/>
          <w:bCs/>
          <w:sz w:val="28"/>
          <w:szCs w:val="28"/>
        </w:rPr>
        <w:t xml:space="preserve"> иммунны</w:t>
      </w:r>
      <w:r w:rsidR="00AE0219">
        <w:rPr>
          <w:rFonts w:ascii="Times New Roman" w:hAnsi="Times New Roman" w:cs="Times New Roman"/>
          <w:bCs/>
          <w:sz w:val="28"/>
          <w:szCs w:val="28"/>
        </w:rPr>
        <w:t>х</w:t>
      </w:r>
      <w:r w:rsidR="00AE0219" w:rsidRPr="00AE0219">
        <w:rPr>
          <w:rFonts w:ascii="Times New Roman" w:hAnsi="Times New Roman" w:cs="Times New Roman"/>
          <w:bCs/>
          <w:sz w:val="28"/>
          <w:szCs w:val="28"/>
        </w:rPr>
        <w:t xml:space="preserve"> клет</w:t>
      </w:r>
      <w:r w:rsidR="00AE0219">
        <w:rPr>
          <w:rFonts w:ascii="Times New Roman" w:hAnsi="Times New Roman" w:cs="Times New Roman"/>
          <w:bCs/>
          <w:sz w:val="28"/>
          <w:szCs w:val="28"/>
        </w:rPr>
        <w:t>о</w:t>
      </w:r>
      <w:r w:rsidR="00AE0219" w:rsidRPr="00AE0219">
        <w:rPr>
          <w:rFonts w:ascii="Times New Roman" w:hAnsi="Times New Roman" w:cs="Times New Roman"/>
          <w:bCs/>
          <w:sz w:val="28"/>
          <w:szCs w:val="28"/>
        </w:rPr>
        <w:t>к</w:t>
      </w:r>
      <w:r w:rsidR="00AE0219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AE0219" w:rsidRPr="00AE021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E0219">
        <w:rPr>
          <w:rFonts w:ascii="Times New Roman" w:hAnsi="Times New Roman" w:cs="Times New Roman"/>
          <w:bCs/>
          <w:sz w:val="28"/>
          <w:szCs w:val="28"/>
        </w:rPr>
        <w:t>устраня</w:t>
      </w:r>
      <w:r w:rsidR="00AE0219" w:rsidRPr="00AE0219">
        <w:rPr>
          <w:rFonts w:ascii="Times New Roman" w:hAnsi="Times New Roman" w:cs="Times New Roman"/>
          <w:bCs/>
          <w:sz w:val="28"/>
          <w:szCs w:val="28"/>
        </w:rPr>
        <w:t>т</w:t>
      </w:r>
      <w:r w:rsidR="00AE0219">
        <w:rPr>
          <w:rFonts w:ascii="Times New Roman" w:hAnsi="Times New Roman" w:cs="Times New Roman"/>
          <w:bCs/>
          <w:sz w:val="28"/>
          <w:szCs w:val="28"/>
        </w:rPr>
        <w:t>ь</w:t>
      </w:r>
      <w:r w:rsidR="00AE0219" w:rsidRPr="00AE0219">
        <w:rPr>
          <w:rFonts w:ascii="Times New Roman" w:hAnsi="Times New Roman" w:cs="Times New Roman"/>
          <w:bCs/>
          <w:sz w:val="28"/>
          <w:szCs w:val="28"/>
        </w:rPr>
        <w:t xml:space="preserve"> гипоксию клеток и</w:t>
      </w:r>
      <w:r w:rsidR="00AE0219">
        <w:rPr>
          <w:rFonts w:ascii="Times New Roman" w:hAnsi="Times New Roman" w:cs="Times New Roman"/>
          <w:bCs/>
          <w:sz w:val="28"/>
          <w:szCs w:val="28"/>
        </w:rPr>
        <w:t xml:space="preserve"> ощелачива</w:t>
      </w:r>
      <w:r w:rsidR="00AE0219" w:rsidRPr="00AE0219">
        <w:rPr>
          <w:rFonts w:ascii="Times New Roman" w:hAnsi="Times New Roman" w:cs="Times New Roman"/>
          <w:bCs/>
          <w:sz w:val="28"/>
          <w:szCs w:val="28"/>
        </w:rPr>
        <w:t>т</w:t>
      </w:r>
      <w:r w:rsidR="00AE0219">
        <w:rPr>
          <w:rFonts w:ascii="Times New Roman" w:hAnsi="Times New Roman" w:cs="Times New Roman"/>
          <w:bCs/>
          <w:sz w:val="28"/>
          <w:szCs w:val="28"/>
        </w:rPr>
        <w:t>ь</w:t>
      </w:r>
      <w:r w:rsidR="00AE0219" w:rsidRPr="00AE021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E0219" w:rsidRPr="00AE0219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AE0219" w:rsidRPr="00AE0219">
        <w:rPr>
          <w:rFonts w:ascii="Times New Roman" w:hAnsi="Times New Roman" w:cs="Times New Roman"/>
          <w:bCs/>
          <w:sz w:val="28"/>
          <w:szCs w:val="28"/>
        </w:rPr>
        <w:t xml:space="preserve"> матрикса (ткани)</w:t>
      </w:r>
      <w:r w:rsidR="00AE0219">
        <w:rPr>
          <w:rFonts w:ascii="Times New Roman" w:hAnsi="Times New Roman" w:cs="Times New Roman"/>
          <w:bCs/>
          <w:sz w:val="28"/>
          <w:szCs w:val="28"/>
        </w:rPr>
        <w:t>. И «</w:t>
      </w:r>
      <w:proofErr w:type="spellStart"/>
      <w:r w:rsidR="00AE0219">
        <w:rPr>
          <w:rFonts w:ascii="Times New Roman" w:hAnsi="Times New Roman" w:cs="Times New Roman"/>
          <w:bCs/>
          <w:sz w:val="28"/>
          <w:szCs w:val="28"/>
        </w:rPr>
        <w:t>Коэнзим</w:t>
      </w:r>
      <w:proofErr w:type="spellEnd"/>
      <w:r w:rsidR="00AE02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0219">
        <w:rPr>
          <w:rFonts w:ascii="Times New Roman" w:hAnsi="Times New Roman" w:cs="Times New Roman"/>
          <w:bCs/>
          <w:sz w:val="28"/>
          <w:szCs w:val="28"/>
        </w:rPr>
        <w:t>композитум</w:t>
      </w:r>
      <w:proofErr w:type="spellEnd"/>
      <w:r w:rsidR="00AE0219">
        <w:rPr>
          <w:rFonts w:ascii="Times New Roman" w:hAnsi="Times New Roman" w:cs="Times New Roman"/>
          <w:bCs/>
          <w:sz w:val="28"/>
          <w:szCs w:val="28"/>
        </w:rPr>
        <w:t>»</w:t>
      </w:r>
      <w:r w:rsidR="00916340">
        <w:rPr>
          <w:rFonts w:ascii="Times New Roman" w:hAnsi="Times New Roman" w:cs="Times New Roman"/>
          <w:bCs/>
          <w:sz w:val="28"/>
          <w:szCs w:val="28"/>
        </w:rPr>
        <w:t xml:space="preserve"> который </w:t>
      </w:r>
      <w:r w:rsidR="00ED5245" w:rsidRPr="00916340">
        <w:rPr>
          <w:rFonts w:ascii="Times New Roman" w:hAnsi="Times New Roman" w:cs="Times New Roman"/>
          <w:bCs/>
          <w:sz w:val="28"/>
          <w:szCs w:val="28"/>
        </w:rPr>
        <w:t>р</w:t>
      </w:r>
      <w:r w:rsidR="00916340">
        <w:rPr>
          <w:rFonts w:ascii="Times New Roman" w:hAnsi="Times New Roman" w:cs="Times New Roman"/>
          <w:bCs/>
          <w:sz w:val="28"/>
          <w:szCs w:val="28"/>
        </w:rPr>
        <w:t xml:space="preserve">еактивирует энзимные системы </w:t>
      </w:r>
      <w:r w:rsidR="00ED5245" w:rsidRPr="00916340">
        <w:rPr>
          <w:rFonts w:ascii="Times New Roman" w:hAnsi="Times New Roman" w:cs="Times New Roman"/>
          <w:bCs/>
          <w:sz w:val="28"/>
          <w:szCs w:val="28"/>
        </w:rPr>
        <w:t xml:space="preserve">цикла Кребса </w:t>
      </w:r>
      <w:r w:rsidR="00916340">
        <w:rPr>
          <w:rFonts w:ascii="Times New Roman" w:hAnsi="Times New Roman" w:cs="Times New Roman"/>
          <w:sz w:val="28"/>
          <w:szCs w:val="28"/>
        </w:rPr>
        <w:t xml:space="preserve">и </w:t>
      </w:r>
      <w:r w:rsidR="00ED5245" w:rsidRPr="00916340">
        <w:rPr>
          <w:rFonts w:ascii="Times New Roman" w:hAnsi="Times New Roman" w:cs="Times New Roman"/>
          <w:bCs/>
          <w:sz w:val="28"/>
          <w:szCs w:val="28"/>
        </w:rPr>
        <w:t xml:space="preserve">восстанавливает </w:t>
      </w:r>
      <w:r w:rsidR="00ED5245" w:rsidRPr="00916340">
        <w:rPr>
          <w:rFonts w:ascii="Times New Roman" w:hAnsi="Times New Roman" w:cs="Times New Roman"/>
          <w:sz w:val="28"/>
          <w:szCs w:val="28"/>
        </w:rPr>
        <w:t>функциональную активность ферментных систем в клетках</w:t>
      </w:r>
      <w:r w:rsidR="00916340">
        <w:rPr>
          <w:rFonts w:ascii="Times New Roman" w:hAnsi="Times New Roman" w:cs="Times New Roman"/>
          <w:sz w:val="28"/>
          <w:szCs w:val="28"/>
        </w:rPr>
        <w:t>.</w:t>
      </w:r>
    </w:p>
    <w:p w:rsidR="00916340" w:rsidRDefault="00E44D50" w:rsidP="00B3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50">
        <w:rPr>
          <w:rFonts w:ascii="Times New Roman" w:hAnsi="Times New Roman" w:cs="Times New Roman"/>
          <w:sz w:val="28"/>
          <w:szCs w:val="28"/>
        </w:rPr>
        <w:t xml:space="preserve">В целом, </w:t>
      </w:r>
      <w:proofErr w:type="spellStart"/>
      <w:r w:rsidRPr="00E44D50">
        <w:rPr>
          <w:rFonts w:ascii="Times New Roman" w:hAnsi="Times New Roman" w:cs="Times New Roman"/>
          <w:sz w:val="28"/>
          <w:szCs w:val="28"/>
        </w:rPr>
        <w:t>биорегуляционная</w:t>
      </w:r>
      <w:proofErr w:type="spellEnd"/>
      <w:r w:rsidRPr="00E44D50">
        <w:rPr>
          <w:rFonts w:ascii="Times New Roman" w:hAnsi="Times New Roman" w:cs="Times New Roman"/>
          <w:sz w:val="28"/>
          <w:szCs w:val="28"/>
        </w:rPr>
        <w:t xml:space="preserve"> коррекция при сочетанной патологии дает возможность</w:t>
      </w:r>
      <w:r w:rsidR="00916340">
        <w:rPr>
          <w:rFonts w:ascii="Times New Roman" w:hAnsi="Times New Roman" w:cs="Times New Roman"/>
          <w:sz w:val="28"/>
          <w:szCs w:val="28"/>
        </w:rPr>
        <w:t xml:space="preserve"> комплексного лечения больных </w:t>
      </w:r>
      <w:proofErr w:type="spellStart"/>
      <w:r w:rsidR="00916340">
        <w:rPr>
          <w:rFonts w:ascii="Times New Roman" w:hAnsi="Times New Roman" w:cs="Times New Roman"/>
          <w:sz w:val="28"/>
          <w:szCs w:val="28"/>
        </w:rPr>
        <w:t>с</w:t>
      </w:r>
      <w:r w:rsidRPr="00E44D50">
        <w:rPr>
          <w:rFonts w:ascii="Times New Roman" w:hAnsi="Times New Roman" w:cs="Times New Roman"/>
          <w:sz w:val="28"/>
          <w:szCs w:val="28"/>
        </w:rPr>
        <w:t>воздействием</w:t>
      </w:r>
      <w:proofErr w:type="spellEnd"/>
      <w:r w:rsidRPr="00E44D50">
        <w:rPr>
          <w:rFonts w:ascii="Times New Roman" w:hAnsi="Times New Roman" w:cs="Times New Roman"/>
          <w:sz w:val="28"/>
          <w:szCs w:val="28"/>
        </w:rPr>
        <w:t xml:space="preserve"> на все патогенетические звенья всех органов и тканей на разных стадиях</w:t>
      </w:r>
      <w:r w:rsidR="00916340">
        <w:rPr>
          <w:rFonts w:ascii="Times New Roman" w:hAnsi="Times New Roman" w:cs="Times New Roman"/>
          <w:sz w:val="28"/>
          <w:szCs w:val="28"/>
        </w:rPr>
        <w:t xml:space="preserve">, как в виде </w:t>
      </w:r>
      <w:proofErr w:type="spellStart"/>
      <w:r w:rsidRPr="00E44D50">
        <w:rPr>
          <w:rFonts w:ascii="Times New Roman" w:hAnsi="Times New Roman" w:cs="Times New Roman"/>
          <w:sz w:val="28"/>
          <w:szCs w:val="28"/>
        </w:rPr>
        <w:t>монотерапи</w:t>
      </w:r>
      <w:r w:rsidR="0091634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16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340">
        <w:rPr>
          <w:rFonts w:ascii="Times New Roman" w:hAnsi="Times New Roman" w:cs="Times New Roman"/>
          <w:sz w:val="28"/>
          <w:szCs w:val="28"/>
        </w:rPr>
        <w:t xml:space="preserve">так </w:t>
      </w:r>
      <w:r w:rsidRPr="00E44D50">
        <w:rPr>
          <w:rFonts w:ascii="Times New Roman" w:hAnsi="Times New Roman" w:cs="Times New Roman"/>
          <w:sz w:val="28"/>
          <w:szCs w:val="28"/>
        </w:rPr>
        <w:t xml:space="preserve"> сочетанн</w:t>
      </w:r>
      <w:r w:rsidR="0091634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44D50">
        <w:rPr>
          <w:rFonts w:ascii="Times New Roman" w:hAnsi="Times New Roman" w:cs="Times New Roman"/>
          <w:sz w:val="28"/>
          <w:szCs w:val="28"/>
        </w:rPr>
        <w:t xml:space="preserve"> терапи</w:t>
      </w:r>
      <w:r w:rsidR="00916340">
        <w:rPr>
          <w:rFonts w:ascii="Times New Roman" w:hAnsi="Times New Roman" w:cs="Times New Roman"/>
          <w:sz w:val="28"/>
          <w:szCs w:val="28"/>
        </w:rPr>
        <w:t>и,</w:t>
      </w:r>
      <w:r w:rsidRPr="00E44D50">
        <w:rPr>
          <w:rFonts w:ascii="Times New Roman" w:hAnsi="Times New Roman" w:cs="Times New Roman"/>
          <w:sz w:val="28"/>
          <w:szCs w:val="28"/>
        </w:rPr>
        <w:t xml:space="preserve"> в стационарной и амбулаторной практике. Это ведет к снижению риска развития неблагоприятных побочных </w:t>
      </w:r>
      <w:r w:rsidRPr="00E44D50">
        <w:rPr>
          <w:rFonts w:ascii="Times New Roman" w:hAnsi="Times New Roman" w:cs="Times New Roman"/>
          <w:sz w:val="28"/>
          <w:szCs w:val="28"/>
        </w:rPr>
        <w:lastRenderedPageBreak/>
        <w:t xml:space="preserve">реакций (медикаментозной болезни), повышает эффективность терапии основного, а также ассоциированных с ним заболеваний, предотвращает прогрессирование патологического процесса и улучшает качество жизни. </w:t>
      </w:r>
    </w:p>
    <w:p w:rsidR="00916340" w:rsidRDefault="00916340" w:rsidP="00B3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40" w:rsidRDefault="00916340" w:rsidP="00E44D50">
      <w:pPr>
        <w:ind w:firstLine="709"/>
      </w:pPr>
      <w:r>
        <w:t xml:space="preserve">Литература </w:t>
      </w:r>
    </w:p>
    <w:p w:rsidR="00916340" w:rsidRPr="00ED5245" w:rsidRDefault="00916340" w:rsidP="00B93148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D5245">
        <w:rPr>
          <w:rFonts w:ascii="Times New Roman" w:hAnsi="Times New Roman" w:cs="Times New Roman"/>
          <w:bCs/>
          <w:sz w:val="28"/>
          <w:szCs w:val="28"/>
        </w:rPr>
        <w:t>Вайзер</w:t>
      </w:r>
      <w:proofErr w:type="spellEnd"/>
      <w:r w:rsidRPr="00ED5245">
        <w:rPr>
          <w:rFonts w:ascii="Times New Roman" w:hAnsi="Times New Roman" w:cs="Times New Roman"/>
          <w:bCs/>
          <w:sz w:val="28"/>
          <w:szCs w:val="28"/>
        </w:rPr>
        <w:t xml:space="preserve"> Михаэль, </w:t>
      </w:r>
      <w:proofErr w:type="spellStart"/>
      <w:r w:rsidRPr="00ED5245">
        <w:rPr>
          <w:rFonts w:ascii="Times New Roman" w:hAnsi="Times New Roman" w:cs="Times New Roman"/>
          <w:bCs/>
          <w:sz w:val="28"/>
          <w:szCs w:val="28"/>
        </w:rPr>
        <w:t>Борнер</w:t>
      </w:r>
      <w:proofErr w:type="spellEnd"/>
      <w:r w:rsidRPr="00ED5245">
        <w:rPr>
          <w:rFonts w:ascii="Times New Roman" w:hAnsi="Times New Roman" w:cs="Times New Roman"/>
          <w:bCs/>
          <w:sz w:val="28"/>
          <w:szCs w:val="28"/>
        </w:rPr>
        <w:t xml:space="preserve"> М.: Биологическая терапия заболеваний печени препаратом </w:t>
      </w:r>
      <w:proofErr w:type="spellStart"/>
      <w:r w:rsidRPr="00ED5245">
        <w:rPr>
          <w:rFonts w:ascii="Times New Roman" w:hAnsi="Times New Roman" w:cs="Times New Roman"/>
          <w:bCs/>
          <w:sz w:val="28"/>
          <w:szCs w:val="28"/>
        </w:rPr>
        <w:t>Гепар</w:t>
      </w:r>
      <w:proofErr w:type="spellEnd"/>
      <w:r w:rsidRPr="00ED52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D5245">
        <w:rPr>
          <w:rFonts w:ascii="Times New Roman" w:hAnsi="Times New Roman" w:cs="Times New Roman"/>
          <w:bCs/>
          <w:sz w:val="28"/>
          <w:szCs w:val="28"/>
        </w:rPr>
        <w:t>композитум</w:t>
      </w:r>
      <w:proofErr w:type="spellEnd"/>
      <w:r w:rsidRPr="00ED5245">
        <w:rPr>
          <w:rFonts w:ascii="Times New Roman" w:hAnsi="Times New Roman" w:cs="Times New Roman"/>
          <w:bCs/>
          <w:sz w:val="28"/>
          <w:szCs w:val="28"/>
        </w:rPr>
        <w:t xml:space="preserve">  /</w:t>
      </w:r>
      <w:proofErr w:type="gramEnd"/>
      <w:r w:rsidRPr="00ED5245">
        <w:rPr>
          <w:rFonts w:ascii="Times New Roman" w:hAnsi="Times New Roman" w:cs="Times New Roman"/>
          <w:bCs/>
          <w:sz w:val="28"/>
          <w:szCs w:val="28"/>
        </w:rPr>
        <w:t xml:space="preserve">/Биологическая Медицина.- №1.- 1997.- с.36-40 </w:t>
      </w:r>
    </w:p>
    <w:p w:rsidR="00916340" w:rsidRPr="00ED5245" w:rsidRDefault="00916340" w:rsidP="00916340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Ratziu.V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/Journal of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2016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том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62 | 65–75</w:t>
      </w:r>
    </w:p>
    <w:p w:rsidR="00916340" w:rsidRPr="00ED5245" w:rsidRDefault="00916340" w:rsidP="00B93148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Sanyal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AJ, Brunt EM,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Kleiner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DE,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Kowdley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KV,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Chalasani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N,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Lavine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JE, et al. Endpoints and clinical trial design for nonalcoholic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steatohepatitis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2011</w:t>
      </w:r>
      <w:proofErr w:type="gramStart"/>
      <w:r w:rsidRPr="00ED5245">
        <w:rPr>
          <w:rFonts w:ascii="Times New Roman" w:hAnsi="Times New Roman" w:cs="Times New Roman"/>
          <w:sz w:val="28"/>
          <w:szCs w:val="28"/>
          <w:lang w:val="en-US"/>
        </w:rPr>
        <w:t>;54:344</w:t>
      </w:r>
      <w:proofErr w:type="gram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–53. </w:t>
      </w:r>
      <w:proofErr w:type="spellStart"/>
      <w:proofErr w:type="gramStart"/>
      <w:r w:rsidRPr="00ED5245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: 10.1002/hep.24376. </w:t>
      </w:r>
      <w:r w:rsidRPr="00B33704">
        <w:rPr>
          <w:rFonts w:ascii="Times New Roman" w:hAnsi="Times New Roman" w:cs="Times New Roman"/>
          <w:sz w:val="28"/>
          <w:szCs w:val="28"/>
          <w:lang w:val="en-US"/>
        </w:rPr>
        <w:t>PMID: 21520200.</w:t>
      </w:r>
    </w:p>
    <w:p w:rsidR="00916340" w:rsidRPr="00ED5245" w:rsidRDefault="00916340" w:rsidP="00B93148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Vernon G,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Baranova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Younossi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ZM. Systematic review: the epidemiology and natural history of non-alcoholic fatty liver disease and non-alcoholic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steatohepatitis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in adults.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Aliment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Pharmacol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Ther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245">
        <w:rPr>
          <w:rFonts w:ascii="Times New Roman" w:hAnsi="Times New Roman" w:cs="Times New Roman"/>
          <w:sz w:val="28"/>
          <w:szCs w:val="28"/>
        </w:rPr>
        <w:t>2011;24:274</w:t>
      </w:r>
      <w:proofErr w:type="gramEnd"/>
      <w:r w:rsidRPr="00ED5245">
        <w:rPr>
          <w:rFonts w:ascii="Times New Roman" w:hAnsi="Times New Roman" w:cs="Times New Roman"/>
          <w:sz w:val="28"/>
          <w:szCs w:val="28"/>
        </w:rPr>
        <w:t xml:space="preserve">–85.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: 10.1111/j.1365-2036.2011.04724.x.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Epub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30. PMID: 2162852.</w:t>
      </w:r>
    </w:p>
    <w:p w:rsidR="00916340" w:rsidRPr="00ED5245" w:rsidRDefault="00916340" w:rsidP="00B93148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D5245">
        <w:rPr>
          <w:rFonts w:ascii="Times New Roman" w:hAnsi="Times New Roman" w:cs="Times New Roman"/>
          <w:sz w:val="28"/>
          <w:szCs w:val="28"/>
        </w:rPr>
        <w:t xml:space="preserve">Ткач С.М.,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Марусанич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Б.Н.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антигомотоксичних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гастроентерології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>. – 2006. – 36 с.</w:t>
      </w:r>
    </w:p>
    <w:p w:rsidR="00916340" w:rsidRPr="00ED5245" w:rsidRDefault="00916340" w:rsidP="00B93148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D5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Катеренчук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Антигомотоксичні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травного тракту.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– 2005. – 28 с.</w:t>
      </w:r>
    </w:p>
    <w:p w:rsidR="00ED5245" w:rsidRPr="00ED5245" w:rsidRDefault="00ED5245" w:rsidP="00B93148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Targher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G, Day CP,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Bonora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E. Risk of cardiovascular disease in patients with nonalcoholic fatty liver disease. </w:t>
      </w:r>
      <w:r w:rsidRPr="00ED5245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Engl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245">
        <w:rPr>
          <w:rFonts w:ascii="Times New Roman" w:hAnsi="Times New Roman" w:cs="Times New Roman"/>
          <w:sz w:val="28"/>
          <w:szCs w:val="28"/>
        </w:rPr>
        <w:t>2010;363:1341</w:t>
      </w:r>
      <w:proofErr w:type="gramEnd"/>
      <w:r w:rsidRPr="00ED5245">
        <w:rPr>
          <w:rFonts w:ascii="Times New Roman" w:hAnsi="Times New Roman" w:cs="Times New Roman"/>
          <w:sz w:val="28"/>
          <w:szCs w:val="28"/>
        </w:rPr>
        <w:t>–50. PMID: 20879883.</w:t>
      </w:r>
    </w:p>
    <w:p w:rsidR="00ED5245" w:rsidRPr="00ED5245" w:rsidRDefault="00ED5245" w:rsidP="00B93148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Powell EE,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Jonsson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JR,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Clouston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AD. Metabolic factors and non-alcoholic fatty liver disease as co-factors in other liver diseases.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Dig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245">
        <w:rPr>
          <w:rFonts w:ascii="Times New Roman" w:hAnsi="Times New Roman" w:cs="Times New Roman"/>
          <w:sz w:val="28"/>
          <w:szCs w:val="28"/>
        </w:rPr>
        <w:t>2010;28:186</w:t>
      </w:r>
      <w:proofErr w:type="gramEnd"/>
      <w:r w:rsidRPr="00ED5245">
        <w:rPr>
          <w:rFonts w:ascii="Times New Roman" w:hAnsi="Times New Roman" w:cs="Times New Roman"/>
          <w:sz w:val="28"/>
          <w:szCs w:val="28"/>
        </w:rPr>
        <w:t xml:space="preserve">–91.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Epub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7. PMID: 20460909.</w:t>
      </w:r>
    </w:p>
    <w:p w:rsidR="00ED5245" w:rsidRPr="00ED5245" w:rsidRDefault="00ED5245" w:rsidP="00B93148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Zein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CO,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Unalp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A, Colvin R, Liu YC, McCullough AJ; Nonalcoholic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Steatohepatitis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Clinical Research Network. Smoking and severity of hepatic fibrosis in nonalcoholic fatty liver disease. </w:t>
      </w:r>
      <w:r w:rsidRPr="00ED5245"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Hepatol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245">
        <w:rPr>
          <w:rFonts w:ascii="Times New Roman" w:hAnsi="Times New Roman" w:cs="Times New Roman"/>
          <w:sz w:val="28"/>
          <w:szCs w:val="28"/>
        </w:rPr>
        <w:t>2011;54:753</w:t>
      </w:r>
      <w:proofErr w:type="gramEnd"/>
      <w:r w:rsidRPr="00ED5245">
        <w:rPr>
          <w:rFonts w:ascii="Times New Roman" w:hAnsi="Times New Roman" w:cs="Times New Roman"/>
          <w:sz w:val="28"/>
          <w:szCs w:val="28"/>
        </w:rPr>
        <w:t xml:space="preserve">–9.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Epub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Sep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22. PMID: 21126792.</w:t>
      </w:r>
    </w:p>
    <w:p w:rsidR="00ED5245" w:rsidRPr="00ED5245" w:rsidRDefault="00ED5245" w:rsidP="00B93148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Brunt EM,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Kleiner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DE, Wilson LA, Belt P,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Neuschwander-Tetri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BA; NASH Clinical Research Network (CRN). Nonalcoholic fatty liver disease (NAFLD) activity score and the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histopathologic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diagnosis in NAFLD: distinct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clinicopathologic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meanings.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Hepatology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245">
        <w:rPr>
          <w:rFonts w:ascii="Times New Roman" w:hAnsi="Times New Roman" w:cs="Times New Roman"/>
          <w:sz w:val="28"/>
          <w:szCs w:val="28"/>
        </w:rPr>
        <w:t>2011;53:810</w:t>
      </w:r>
      <w:proofErr w:type="gramEnd"/>
      <w:r w:rsidRPr="00ED5245">
        <w:rPr>
          <w:rFonts w:ascii="Times New Roman" w:hAnsi="Times New Roman" w:cs="Times New Roman"/>
          <w:sz w:val="28"/>
          <w:szCs w:val="28"/>
        </w:rPr>
        <w:t xml:space="preserve">–20.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: 10.1002/hep.24127.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Epub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Feb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11. PMID: 21319198</w:t>
      </w:r>
    </w:p>
    <w:p w:rsidR="00ED5245" w:rsidRPr="00ED5245" w:rsidRDefault="00ED5245" w:rsidP="00B93148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Charlton MR, Burns JM, Pedersen RA, Watt KD,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Heimbach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JK,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Dierkhising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RA. Frequency and outcomes of liver </w:t>
      </w:r>
      <w:r w:rsidRPr="00ED524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transplantation for nonalcoholic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steatohepatitis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in the United States.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Gastroenterology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245">
        <w:rPr>
          <w:rFonts w:ascii="Times New Roman" w:hAnsi="Times New Roman" w:cs="Times New Roman"/>
          <w:sz w:val="28"/>
          <w:szCs w:val="28"/>
        </w:rPr>
        <w:t>2011;141:1249</w:t>
      </w:r>
      <w:proofErr w:type="gramEnd"/>
      <w:r w:rsidRPr="00ED5245">
        <w:rPr>
          <w:rFonts w:ascii="Times New Roman" w:hAnsi="Times New Roman" w:cs="Times New Roman"/>
          <w:sz w:val="28"/>
          <w:szCs w:val="28"/>
        </w:rPr>
        <w:t xml:space="preserve">–53.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Epub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Jul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2. PMID: 21726509.</w:t>
      </w:r>
    </w:p>
    <w:p w:rsidR="00ED5245" w:rsidRPr="00ED5245" w:rsidRDefault="00ED5245" w:rsidP="00B93148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D5245">
        <w:rPr>
          <w:rFonts w:ascii="Times New Roman" w:hAnsi="Times New Roman" w:cs="Times New Roman"/>
          <w:sz w:val="28"/>
          <w:szCs w:val="28"/>
          <w:lang w:val="en-US"/>
        </w:rPr>
        <w:t>WGO Global Guidelines NAFLD/NASH (long version)</w:t>
      </w:r>
    </w:p>
    <w:p w:rsidR="00ED5245" w:rsidRPr="00ED5245" w:rsidRDefault="00ED5245" w:rsidP="00B93148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Saab S,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Mallam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D, Cox </w:t>
      </w:r>
      <w:proofErr w:type="gramStart"/>
      <w:r w:rsidRPr="00ED5245">
        <w:rPr>
          <w:rFonts w:ascii="Times New Roman" w:hAnsi="Times New Roman" w:cs="Times New Roman"/>
          <w:sz w:val="28"/>
          <w:szCs w:val="28"/>
          <w:lang w:val="en-US"/>
        </w:rPr>
        <w:t>2nd</w:t>
      </w:r>
      <w:proofErr w:type="gram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GA, Tong MJ. Impact of coffee on liver diseases: a systematic review.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Liver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245">
        <w:rPr>
          <w:rFonts w:ascii="Times New Roman" w:hAnsi="Times New Roman" w:cs="Times New Roman"/>
          <w:sz w:val="28"/>
          <w:szCs w:val="28"/>
        </w:rPr>
        <w:t>2014;34:495</w:t>
      </w:r>
      <w:proofErr w:type="gramEnd"/>
      <w:r w:rsidRPr="00ED5245">
        <w:rPr>
          <w:rFonts w:ascii="Times New Roman" w:hAnsi="Times New Roman" w:cs="Times New Roman"/>
          <w:sz w:val="28"/>
          <w:szCs w:val="28"/>
        </w:rPr>
        <w:t>–504.</w:t>
      </w:r>
    </w:p>
    <w:p w:rsidR="00ED5245" w:rsidRPr="00ED5245" w:rsidRDefault="00ED5245" w:rsidP="00B93148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Keating SE, Hackett DA, George J, Johnson NA. Exercise and non-alcoholic fatty liver disease: a systematic review and meta-analysis. </w:t>
      </w:r>
      <w:r w:rsidRPr="00ED5245"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 w:rsidRPr="00ED5245">
        <w:rPr>
          <w:rFonts w:ascii="Times New Roman" w:hAnsi="Times New Roman" w:cs="Times New Roman"/>
          <w:sz w:val="28"/>
          <w:szCs w:val="28"/>
        </w:rPr>
        <w:t>Hepatol</w:t>
      </w:r>
      <w:proofErr w:type="spellEnd"/>
      <w:r w:rsidRPr="00ED5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245">
        <w:rPr>
          <w:rFonts w:ascii="Times New Roman" w:hAnsi="Times New Roman" w:cs="Times New Roman"/>
          <w:sz w:val="28"/>
          <w:szCs w:val="28"/>
        </w:rPr>
        <w:t>2012;57:157</w:t>
      </w:r>
      <w:proofErr w:type="gramEnd"/>
      <w:r w:rsidRPr="00ED5245">
        <w:rPr>
          <w:rFonts w:ascii="Times New Roman" w:hAnsi="Times New Roman" w:cs="Times New Roman"/>
          <w:sz w:val="28"/>
          <w:szCs w:val="28"/>
        </w:rPr>
        <w:t>–166.</w:t>
      </w:r>
    </w:p>
    <w:p w:rsidR="00ED5245" w:rsidRPr="00ED5245" w:rsidRDefault="00ED5245" w:rsidP="00B93148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Wang X, Li J,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Riaz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DR, Shi G, Liu C, Dai Y. Outcomes of liver transplantation for nonalcoholic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steatohepatitis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: a systematic review and meta-analysis.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5245">
        <w:rPr>
          <w:rFonts w:ascii="Times New Roman" w:hAnsi="Times New Roman" w:cs="Times New Roman"/>
          <w:sz w:val="28"/>
          <w:szCs w:val="28"/>
          <w:lang w:val="en-US"/>
        </w:rPr>
        <w:t>GastroenterolHepatol</w:t>
      </w:r>
      <w:proofErr w:type="spellEnd"/>
      <w:r w:rsidRPr="00ED5245">
        <w:rPr>
          <w:rFonts w:ascii="Times New Roman" w:hAnsi="Times New Roman" w:cs="Times New Roman"/>
          <w:sz w:val="28"/>
          <w:szCs w:val="28"/>
          <w:lang w:val="en-US"/>
        </w:rPr>
        <w:t xml:space="preserve"> 2014;12:e391</w:t>
      </w:r>
    </w:p>
    <w:p w:rsidR="00ED5245" w:rsidRPr="00ED5245" w:rsidRDefault="00ED5245" w:rsidP="00B93148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D5245">
        <w:rPr>
          <w:rFonts w:ascii="Times New Roman" w:hAnsi="Times New Roman" w:cs="Times New Roman"/>
          <w:sz w:val="28"/>
          <w:szCs w:val="28"/>
        </w:rPr>
        <w:t>Режим доступа: www.uabm.org www.heel.ua.</w:t>
      </w:r>
    </w:p>
    <w:sectPr w:rsidR="00ED5245" w:rsidRPr="00ED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126"/>
    <w:multiLevelType w:val="hybridMultilevel"/>
    <w:tmpl w:val="0986A9AE"/>
    <w:lvl w:ilvl="0" w:tplc="7FA8E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D7594"/>
    <w:multiLevelType w:val="hybridMultilevel"/>
    <w:tmpl w:val="0A1AC236"/>
    <w:lvl w:ilvl="0" w:tplc="0BFE5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0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C6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A1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6D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C6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2A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C9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2A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C664D0"/>
    <w:multiLevelType w:val="hybridMultilevel"/>
    <w:tmpl w:val="AFC49394"/>
    <w:lvl w:ilvl="0" w:tplc="1E586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A2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EE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2C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ED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C1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8A4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E9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A8D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9F"/>
    <w:rsid w:val="000549F6"/>
    <w:rsid w:val="000A5E4E"/>
    <w:rsid w:val="00250BC7"/>
    <w:rsid w:val="0028539F"/>
    <w:rsid w:val="002B549F"/>
    <w:rsid w:val="003556ED"/>
    <w:rsid w:val="00381073"/>
    <w:rsid w:val="003B59F6"/>
    <w:rsid w:val="00655CC5"/>
    <w:rsid w:val="006D52F7"/>
    <w:rsid w:val="008648FE"/>
    <w:rsid w:val="00905392"/>
    <w:rsid w:val="00916340"/>
    <w:rsid w:val="00AE0219"/>
    <w:rsid w:val="00B33704"/>
    <w:rsid w:val="00B948CA"/>
    <w:rsid w:val="00C26567"/>
    <w:rsid w:val="00C63B45"/>
    <w:rsid w:val="00D206D8"/>
    <w:rsid w:val="00E26E90"/>
    <w:rsid w:val="00E44D50"/>
    <w:rsid w:val="00ED5245"/>
    <w:rsid w:val="00F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58C95-2BF6-4314-8630-0352B36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749">
          <w:marLeft w:val="31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872">
          <w:marLeft w:val="31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21">
          <w:marLeft w:val="31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</dc:creator>
  <cp:keywords/>
  <dc:description/>
  <cp:lastModifiedBy>vil</cp:lastModifiedBy>
  <cp:revision>3</cp:revision>
  <dcterms:created xsi:type="dcterms:W3CDTF">2018-11-30T09:23:00Z</dcterms:created>
  <dcterms:modified xsi:type="dcterms:W3CDTF">2018-11-30T12:58:00Z</dcterms:modified>
</cp:coreProperties>
</file>