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DC" w:rsidRDefault="000554DC" w:rsidP="000554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 моніторингових досліджень в літній період здійснювались щотижневі дослідження цих водоймищ на показники мікробіологічної безпеки, щомісяця – на санітарно-хімічні показники.</w:t>
      </w:r>
    </w:p>
    <w:p w:rsidR="000554DC" w:rsidRDefault="000554DC" w:rsidP="00055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місць масового відпочинку на водних об’єктах в оздоровчий період 2018 року проведено 748 досліджень води водоймищ на мікробіологічні показники, з них у 47 випадках встановлено бактеріальне забруднення (6,3%), на фізико-хімічні показники виконано 1107 досліджень, кількість нестандартних досліджень становить 53 (4,8%), що зумовлено перевищенням показників вмісту аміаку, нафтопродуктів та біологічного споживання кисню та ін.</w:t>
      </w:r>
    </w:p>
    <w:p w:rsidR="000554DC" w:rsidRDefault="000554DC" w:rsidP="00055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Отримані результати направлялись до місцевих органів влади, керівникам відповідних оздоровчих закладів, до територіальних органів Держпродспоживслужби, використовувались для розробки регіональних програм та планів з питань поліпшення стану водних об’єктів області.</w:t>
      </w:r>
    </w:p>
    <w:p w:rsidR="000554DC" w:rsidRPr="00D62EF4" w:rsidRDefault="000554DC" w:rsidP="00055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B71">
        <w:rPr>
          <w:rFonts w:ascii="Times New Roman" w:hAnsi="Times New Roman"/>
          <w:sz w:val="28"/>
          <w:szCs w:val="28"/>
          <w:lang w:val="uk-UA"/>
        </w:rPr>
        <w:t>Стан природних об’єктів нашого регіону в літній період року</w:t>
      </w:r>
      <w:r>
        <w:rPr>
          <w:rFonts w:ascii="Times New Roman" w:hAnsi="Times New Roman"/>
          <w:sz w:val="28"/>
          <w:szCs w:val="28"/>
          <w:lang w:val="uk-UA"/>
        </w:rPr>
        <w:t xml:space="preserve"> повинен бути безпечним для здоров’я населення, </w:t>
      </w:r>
      <w:r w:rsidRPr="000A1B71">
        <w:rPr>
          <w:rFonts w:ascii="Times New Roman" w:hAnsi="Times New Roman"/>
          <w:sz w:val="28"/>
          <w:szCs w:val="28"/>
          <w:lang w:val="uk-UA"/>
        </w:rPr>
        <w:t xml:space="preserve">потребує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систематичного спостереження та </w:t>
      </w:r>
      <w:r w:rsidRPr="000A1B71">
        <w:rPr>
          <w:rFonts w:ascii="Times New Roman" w:hAnsi="Times New Roman"/>
          <w:sz w:val="28"/>
          <w:szCs w:val="28"/>
          <w:lang w:val="uk-UA"/>
        </w:rPr>
        <w:t>уваги з боку держави у вирішенні п</w:t>
      </w:r>
      <w:r>
        <w:rPr>
          <w:rFonts w:ascii="Times New Roman" w:hAnsi="Times New Roman"/>
          <w:sz w:val="28"/>
          <w:szCs w:val="28"/>
          <w:lang w:val="uk-UA"/>
        </w:rPr>
        <w:t>итань їх охорони та благоустрою.</w:t>
      </w:r>
    </w:p>
    <w:p w:rsidR="000554DC" w:rsidRDefault="000554DC" w:rsidP="000554D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4DC" w:rsidRPr="00B13EA8" w:rsidRDefault="000554DC" w:rsidP="000554D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219">
        <w:rPr>
          <w:rFonts w:ascii="Times New Roman" w:hAnsi="Times New Roman" w:cs="Times New Roman"/>
          <w:b/>
          <w:bCs/>
          <w:sz w:val="28"/>
          <w:szCs w:val="28"/>
        </w:rPr>
        <w:t xml:space="preserve">ТЫКВЕННЫЙ ПЕКТИН </w:t>
      </w:r>
      <w:r w:rsidRPr="00B84219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B84219">
        <w:rPr>
          <w:rFonts w:ascii="Times New Roman" w:hAnsi="Times New Roman" w:cs="Times New Roman"/>
          <w:b/>
          <w:bCs/>
          <w:sz w:val="28"/>
          <w:szCs w:val="28"/>
        </w:rPr>
        <w:t xml:space="preserve"> СРЕДСТВО ПРОФИЛАКТИКИ</w:t>
      </w:r>
      <w:r w:rsidRPr="00B13EA8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НЕФРОПАТИИ</w:t>
      </w:r>
    </w:p>
    <w:p w:rsidR="000554DC" w:rsidRPr="00B13EA8" w:rsidRDefault="000554DC" w:rsidP="000554D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EA8">
        <w:rPr>
          <w:rFonts w:ascii="Times New Roman" w:hAnsi="Times New Roman" w:cs="Times New Roman"/>
          <w:b/>
          <w:bCs/>
          <w:sz w:val="28"/>
          <w:szCs w:val="28"/>
        </w:rPr>
        <w:t>Горбач Т.В., Мартынова С.Н., Ткаченко А.С.</w:t>
      </w:r>
    </w:p>
    <w:p w:rsidR="000554DC" w:rsidRPr="00B13EA8" w:rsidRDefault="000554DC" w:rsidP="000554D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13EA8">
        <w:rPr>
          <w:rFonts w:ascii="Times New Roman" w:hAnsi="Times New Roman"/>
          <w:i/>
          <w:sz w:val="28"/>
          <w:szCs w:val="28"/>
        </w:rPr>
        <w:t>Харьковский национальный медицинский университет</w:t>
      </w:r>
    </w:p>
    <w:p w:rsidR="000554DC" w:rsidRPr="00B13EA8" w:rsidRDefault="000554DC" w:rsidP="000554D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4DC" w:rsidRPr="00B13EA8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sz w:val="28"/>
          <w:szCs w:val="28"/>
        </w:rPr>
        <w:t xml:space="preserve">В наших работах было установлено нефротоксическое действие повышенных концентраций меди в воде, что обуславливает необходимость профилактики последствий такого влияния. Перспективным на наш взгляд является применение пектинов, которые способны адсорбировать на себя тяжелые металлы и таким образом предотвращать их поступление в ткани. </w:t>
      </w:r>
    </w:p>
    <w:p w:rsidR="000554DC" w:rsidRPr="00B13EA8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13EA8">
        <w:rPr>
          <w:rFonts w:ascii="Times New Roman" w:hAnsi="Times New Roman" w:cs="Times New Roman"/>
          <w:sz w:val="28"/>
          <w:szCs w:val="28"/>
        </w:rPr>
        <w:t xml:space="preserve">нашей работы явилось экспериментальное изучение возможности профилактики дисметаболической нефропатии, вызванной гипермикроэлементозом меди, путем использования в питании тыквенного пектина. </w:t>
      </w:r>
    </w:p>
    <w:p w:rsidR="000554DC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B13EA8">
        <w:rPr>
          <w:rFonts w:ascii="Times New Roman" w:hAnsi="Times New Roman" w:cs="Times New Roman"/>
          <w:sz w:val="28"/>
          <w:szCs w:val="28"/>
        </w:rPr>
        <w:t xml:space="preserve"> Эксперименты проведены на 1-месячных крысах-самцах линии Вистар, которые были разделены на группы: 1) интактные животные, которым ежедневно в течение 1 месяца внутрижелудочно через зонд вводили 1 мл дистиллированной воды; 2) крысы, которым по той же схеме вводили раствор хлорида меди (с содержанием меди 1,75 мг/л из расчета 1 мл на 100г массы); 3) крысы, которым вместе с раствором хлорида меди в рацион питания ввели тыкву. </w:t>
      </w:r>
    </w:p>
    <w:p w:rsidR="000554DC" w:rsidRPr="00B13EA8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sz w:val="28"/>
          <w:szCs w:val="28"/>
        </w:rPr>
        <w:t>Для биохимических исследований брали ткани и сыворотку крови. Определение содержания биогенных элементов в крови и тканях производили методом атомно-адсорбционной спектрофотометрии. Липиды фракционировали методом тонкослойной хроматографии.</w:t>
      </w:r>
    </w:p>
    <w:p w:rsidR="000554DC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b/>
          <w:sz w:val="28"/>
          <w:szCs w:val="28"/>
        </w:rPr>
        <w:t>Результаты.</w:t>
      </w:r>
      <w:r w:rsidRPr="00B13EA8">
        <w:rPr>
          <w:rFonts w:ascii="Times New Roman" w:hAnsi="Times New Roman" w:cs="Times New Roman"/>
          <w:sz w:val="28"/>
          <w:szCs w:val="28"/>
        </w:rPr>
        <w:t xml:space="preserve"> Проведенные нами исследования показали, что увеличенное поступление меди приводит к перераспределению биогенных элементов, в результате чего в нефроцитах снижается содержание цинка и </w:t>
      </w:r>
      <w:r w:rsidRPr="00B13EA8">
        <w:rPr>
          <w:rFonts w:ascii="Times New Roman" w:hAnsi="Times New Roman" w:cs="Times New Roman"/>
          <w:sz w:val="28"/>
          <w:szCs w:val="28"/>
        </w:rPr>
        <w:lastRenderedPageBreak/>
        <w:t xml:space="preserve">магния, а увеличивается кальций и медь. Изменение концентрации биогенных элементов влияет на активность многих ферментов. </w:t>
      </w:r>
    </w:p>
    <w:p w:rsidR="000554DC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sz w:val="28"/>
          <w:szCs w:val="28"/>
        </w:rPr>
        <w:t xml:space="preserve">Существенно изменился липидный обмен, так как многие ферменты, участвующие в метаболизме липидов, цинк- и магний-зависимые. Установлено, что изменяется синтез и распределение липидов в субклеточных фракциях гепатоцитов и нефроцитов. </w:t>
      </w:r>
    </w:p>
    <w:p w:rsidR="000554DC" w:rsidRPr="00B13EA8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sz w:val="28"/>
          <w:szCs w:val="28"/>
        </w:rPr>
        <w:t>Морфологически установлено, что у животных группы №2 развивалась дисметаболическая нефропатия. У крыс группы №3 б</w:t>
      </w:r>
      <w:r w:rsidRPr="00B13EA8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иохимические показатели</w:t>
      </w:r>
      <w:r w:rsidRPr="00B13EA8">
        <w:rPr>
          <w:rFonts w:ascii="Times New Roman" w:hAnsi="Times New Roman" w:cs="Times New Roman"/>
          <w:sz w:val="28"/>
          <w:szCs w:val="28"/>
        </w:rPr>
        <w:t xml:space="preserve"> практически не отличались от контрольной группы. </w:t>
      </w:r>
    </w:p>
    <w:p w:rsidR="000554DC" w:rsidRDefault="000554DC" w:rsidP="000554DC">
      <w:pPr>
        <w:pStyle w:val="Standard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EA8">
        <w:rPr>
          <w:rFonts w:ascii="Times New Roman" w:hAnsi="Times New Roman" w:cs="Times New Roman"/>
          <w:sz w:val="28"/>
          <w:szCs w:val="28"/>
        </w:rPr>
        <w:t xml:space="preserve">Следовательно, можно сделать </w:t>
      </w:r>
      <w:r w:rsidRPr="00B13EA8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B13EA8">
        <w:rPr>
          <w:rFonts w:ascii="Times New Roman" w:hAnsi="Times New Roman" w:cs="Times New Roman"/>
          <w:sz w:val="28"/>
          <w:szCs w:val="28"/>
        </w:rPr>
        <w:t xml:space="preserve"> о протекторных свойствах тыквенного пектина. Пектин, сорбируя медь, снижает поступление ее в организм и, вследствие этого, предотвращает развитие окислительного стресса, дисбаланс металлов и развитие дисметаболической нефропатии. </w:t>
      </w:r>
    </w:p>
    <w:p w:rsidR="000554DC" w:rsidRDefault="000554DC" w:rsidP="000554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4DC" w:rsidRPr="005649FF" w:rsidRDefault="000554DC" w:rsidP="000554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9FF">
        <w:rPr>
          <w:rFonts w:ascii="Times New Roman" w:hAnsi="Times New Roman"/>
          <w:b/>
          <w:sz w:val="28"/>
          <w:szCs w:val="28"/>
        </w:rPr>
        <w:t>ЭКСПРЕСС-МЕТОД ОЦЕНКИ АНТИОКСИДАНТНОЙ АКТИВНОСТИ КРОВИ</w:t>
      </w:r>
    </w:p>
    <w:p w:rsidR="000554DC" w:rsidRPr="005649FF" w:rsidRDefault="000554DC" w:rsidP="000554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9FF">
        <w:rPr>
          <w:rFonts w:ascii="Times New Roman" w:hAnsi="Times New Roman"/>
          <w:b/>
          <w:sz w:val="28"/>
          <w:szCs w:val="28"/>
        </w:rPr>
        <w:t>Горбач Т.В.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649FF">
        <w:rPr>
          <w:rFonts w:ascii="Times New Roman" w:hAnsi="Times New Roman"/>
          <w:b/>
          <w:sz w:val="28"/>
          <w:szCs w:val="28"/>
        </w:rPr>
        <w:t>, Домарев А.П.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649FF">
        <w:rPr>
          <w:rFonts w:ascii="Times New Roman" w:hAnsi="Times New Roman"/>
          <w:b/>
          <w:sz w:val="28"/>
          <w:szCs w:val="28"/>
        </w:rPr>
        <w:t>, Томашевский Р.С.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649FF">
        <w:rPr>
          <w:rFonts w:ascii="Times New Roman" w:hAnsi="Times New Roman"/>
          <w:b/>
          <w:sz w:val="28"/>
          <w:szCs w:val="28"/>
        </w:rPr>
        <w:t>, Батаченко С.Н.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0554DC" w:rsidRPr="005649FF" w:rsidRDefault="000554DC" w:rsidP="000554D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649FF">
        <w:rPr>
          <w:rFonts w:ascii="Times New Roman" w:hAnsi="Times New Roman"/>
          <w:i/>
          <w:sz w:val="28"/>
          <w:szCs w:val="28"/>
        </w:rPr>
        <w:t xml:space="preserve">Харьковский национальный медицинский университет </w:t>
      </w:r>
      <w:r w:rsidRPr="005649FF">
        <w:rPr>
          <w:rFonts w:ascii="Times New Roman" w:hAnsi="Times New Roman"/>
          <w:i/>
          <w:sz w:val="28"/>
          <w:szCs w:val="28"/>
          <w:vertAlign w:val="superscript"/>
        </w:rPr>
        <w:t>1</w:t>
      </w:r>
    </w:p>
    <w:p w:rsidR="000554DC" w:rsidRDefault="000554DC" w:rsidP="000554D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5649FF">
        <w:rPr>
          <w:rFonts w:ascii="Times New Roman" w:hAnsi="Times New Roman"/>
          <w:i/>
          <w:sz w:val="28"/>
          <w:szCs w:val="28"/>
        </w:rPr>
        <w:t xml:space="preserve">Харьковский национальный технический университет </w:t>
      </w:r>
      <w:r w:rsidRPr="005649FF"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0554DC" w:rsidRPr="005649FF" w:rsidRDefault="000554DC" w:rsidP="000554D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554DC" w:rsidRDefault="000554DC" w:rsidP="00055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9FF">
        <w:rPr>
          <w:rFonts w:ascii="Times New Roman" w:hAnsi="Times New Roman"/>
          <w:sz w:val="28"/>
          <w:szCs w:val="28"/>
        </w:rPr>
        <w:t>Известно, что биохимические процессы, протекающие в аэробных организмах, сопряжены с образованием реакционноспособных форм кислорода (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), обладающих широким спектром действия. С одной стороны, некоторые из них принимают участие в процессах сигнальной трансдукции и в регуляции ряда важных функций организма. С другой стороны, в силу своей высокой химической активности,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обладают гено- и цитотоксическим действием. Предотвращает повреждающее действие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эволюционно выработанная антиоксидантная система (АОС). АОС обеспечивает нейтрализацию клетками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и поддержание клеточного гомеостаза. </w:t>
      </w:r>
    </w:p>
    <w:p w:rsidR="007D6312" w:rsidRDefault="000554DC" w:rsidP="000554DC">
      <w:pPr>
        <w:jc w:val="both"/>
      </w:pPr>
      <w:r w:rsidRPr="005649FF">
        <w:rPr>
          <w:rFonts w:ascii="Times New Roman" w:hAnsi="Times New Roman"/>
          <w:sz w:val="28"/>
          <w:szCs w:val="28"/>
        </w:rPr>
        <w:t xml:space="preserve">Имеются данные о наличии кооперативного взаимодействия АОС с системой ферментов метаболизма  и детоксикации ксенобиотиков. Установлено, что при нарушении окислительно-восстановительного статуса клеток (окислительный стресс)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могут неспецифически атаковать любые молекулы и вызывать окислительную модификацию нуклеиновых кислот, белков, углеводов, активировать протеазы, что в конечном итоге приводит либо к гибели клеток, либо к их трансформации (включая злокачестваенную) и к развитию патологических процессов. Стало ясно, что определение окислительно-восстановительного статуса организма важно в диагностике и профилактике многих заболеваний, в оценке повреждающего действия внешних факторов, в оценке эффективности действия и подборе дозы фармацевтических препаратов, в подборе дозы препаратов для химотерапии при онкозаболеваниях. В настоящее время, как правило, для определения окислительно-восстановительного статуса  организма  устанавливают величину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9FF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9FF">
        <w:rPr>
          <w:rFonts w:ascii="Times New Roman" w:hAnsi="Times New Roman"/>
          <w:sz w:val="28"/>
          <w:szCs w:val="28"/>
        </w:rPr>
        <w:t xml:space="preserve">антиоксидантной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9FF">
        <w:rPr>
          <w:rFonts w:ascii="Times New Roman" w:hAnsi="Times New Roman"/>
          <w:sz w:val="28"/>
          <w:szCs w:val="28"/>
        </w:rPr>
        <w:t xml:space="preserve">активности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649FF">
        <w:rPr>
          <w:rFonts w:ascii="Times New Roman" w:hAnsi="Times New Roman"/>
          <w:sz w:val="28"/>
          <w:szCs w:val="28"/>
        </w:rPr>
        <w:t>сыворотки крови, активность</w:t>
      </w:r>
    </w:p>
    <w:sectPr w:rsidR="007D6312" w:rsidSect="000554DC">
      <w:footerReference w:type="default" r:id="rId6"/>
      <w:pgSz w:w="11906" w:h="16838"/>
      <w:pgMar w:top="720" w:right="851" w:bottom="1134" w:left="1622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E6" w:rsidRDefault="003E5DE6" w:rsidP="000554DC">
      <w:pPr>
        <w:spacing w:after="0" w:line="240" w:lineRule="auto"/>
      </w:pPr>
      <w:r>
        <w:separator/>
      </w:r>
    </w:p>
  </w:endnote>
  <w:endnote w:type="continuationSeparator" w:id="0">
    <w:p w:rsidR="003E5DE6" w:rsidRDefault="003E5DE6" w:rsidP="0005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520263"/>
      <w:docPartObj>
        <w:docPartGallery w:val="Page Numbers (Bottom of Page)"/>
        <w:docPartUnique/>
      </w:docPartObj>
    </w:sdtPr>
    <w:sdtContent>
      <w:p w:rsidR="000554DC" w:rsidRDefault="000554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E6">
          <w:rPr>
            <w:noProof/>
          </w:rPr>
          <w:t>18</w:t>
        </w:r>
        <w:r>
          <w:fldChar w:fldCharType="end"/>
        </w:r>
      </w:p>
    </w:sdtContent>
  </w:sdt>
  <w:p w:rsidR="000554DC" w:rsidRDefault="000554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E6" w:rsidRDefault="003E5DE6" w:rsidP="000554DC">
      <w:pPr>
        <w:spacing w:after="0" w:line="240" w:lineRule="auto"/>
      </w:pPr>
      <w:r>
        <w:separator/>
      </w:r>
    </w:p>
  </w:footnote>
  <w:footnote w:type="continuationSeparator" w:id="0">
    <w:p w:rsidR="003E5DE6" w:rsidRDefault="003E5DE6" w:rsidP="0005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8"/>
    <w:rsid w:val="000554DC"/>
    <w:rsid w:val="00056C5E"/>
    <w:rsid w:val="00143FA1"/>
    <w:rsid w:val="00197018"/>
    <w:rsid w:val="001B7462"/>
    <w:rsid w:val="0020461A"/>
    <w:rsid w:val="00225B9C"/>
    <w:rsid w:val="00226846"/>
    <w:rsid w:val="002332C2"/>
    <w:rsid w:val="00246B04"/>
    <w:rsid w:val="002544BA"/>
    <w:rsid w:val="002E3F2F"/>
    <w:rsid w:val="003003C4"/>
    <w:rsid w:val="00333B1C"/>
    <w:rsid w:val="00341050"/>
    <w:rsid w:val="003546F1"/>
    <w:rsid w:val="003764B0"/>
    <w:rsid w:val="003E5DE6"/>
    <w:rsid w:val="003F4E1F"/>
    <w:rsid w:val="0043493F"/>
    <w:rsid w:val="0045554B"/>
    <w:rsid w:val="004C0E6A"/>
    <w:rsid w:val="00543E1F"/>
    <w:rsid w:val="00594E7E"/>
    <w:rsid w:val="005E3FE5"/>
    <w:rsid w:val="00615C9F"/>
    <w:rsid w:val="006263AE"/>
    <w:rsid w:val="00661B82"/>
    <w:rsid w:val="00674181"/>
    <w:rsid w:val="006A0611"/>
    <w:rsid w:val="006C35F5"/>
    <w:rsid w:val="007176C3"/>
    <w:rsid w:val="007250F7"/>
    <w:rsid w:val="0073125E"/>
    <w:rsid w:val="00754DA8"/>
    <w:rsid w:val="007A0563"/>
    <w:rsid w:val="007D6312"/>
    <w:rsid w:val="00850803"/>
    <w:rsid w:val="009118FD"/>
    <w:rsid w:val="00987F65"/>
    <w:rsid w:val="00A4752D"/>
    <w:rsid w:val="00A51831"/>
    <w:rsid w:val="00A6431E"/>
    <w:rsid w:val="00A65C1F"/>
    <w:rsid w:val="00AD18DA"/>
    <w:rsid w:val="00AD76AD"/>
    <w:rsid w:val="00AE447B"/>
    <w:rsid w:val="00AF2C49"/>
    <w:rsid w:val="00C20983"/>
    <w:rsid w:val="00C25A07"/>
    <w:rsid w:val="00C32B27"/>
    <w:rsid w:val="00C757A9"/>
    <w:rsid w:val="00C76681"/>
    <w:rsid w:val="00C928E7"/>
    <w:rsid w:val="00CE3E41"/>
    <w:rsid w:val="00D21489"/>
    <w:rsid w:val="00D64228"/>
    <w:rsid w:val="00D81EBD"/>
    <w:rsid w:val="00D93CDA"/>
    <w:rsid w:val="00DC0AEB"/>
    <w:rsid w:val="00E15E38"/>
    <w:rsid w:val="00EB1A9C"/>
    <w:rsid w:val="00EE3ADB"/>
    <w:rsid w:val="00FC5F26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C24"/>
  <w15:chartTrackingRefBased/>
  <w15:docId w15:val="{9FBED7EB-E6A5-4E68-AC4F-8C23951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31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DC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54DC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Arial Unicode MS" w:hAnsi="Calibri" w:cs="Calibri"/>
      <w:kern w:val="3"/>
      <w:sz w:val="22"/>
    </w:rPr>
  </w:style>
  <w:style w:type="paragraph" w:styleId="a3">
    <w:name w:val="header"/>
    <w:basedOn w:val="a"/>
    <w:link w:val="a4"/>
    <w:uiPriority w:val="99"/>
    <w:unhideWhenUsed/>
    <w:rsid w:val="0005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4DC"/>
    <w:rPr>
      <w:rFonts w:ascii="Calibri" w:eastAsia="Times New Roman" w:hAnsi="Calibri"/>
      <w:sz w:val="22"/>
    </w:rPr>
  </w:style>
  <w:style w:type="paragraph" w:styleId="a5">
    <w:name w:val="footer"/>
    <w:basedOn w:val="a"/>
    <w:link w:val="a6"/>
    <w:uiPriority w:val="99"/>
    <w:unhideWhenUsed/>
    <w:rsid w:val="0005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4DC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2018-12-09T20:43:00Z</dcterms:created>
  <dcterms:modified xsi:type="dcterms:W3CDTF">2018-12-09T20:43:00Z</dcterms:modified>
</cp:coreProperties>
</file>