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theme/themeOverride4.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5.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6.xml" ContentType="application/vnd.openxmlformats-officedocument.themeOverride+xml"/>
  <Override PartName="/word/drawings/drawing11.xml" ContentType="application/vnd.openxmlformats-officedocument.drawingml.chartshapes+xml"/>
  <Override PartName="/word/header1.xml" ContentType="application/vnd.openxmlformats-officedocument.wordprocessingml.header+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theme/themeOverride7.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EF" w:rsidRPr="001416ED" w:rsidRDefault="005F48EF" w:rsidP="00641436">
      <w:pPr>
        <w:spacing w:line="360" w:lineRule="auto"/>
        <w:ind w:firstLine="709"/>
        <w:jc w:val="center"/>
        <w:rPr>
          <w:lang w:val="uk-UA"/>
        </w:rPr>
      </w:pPr>
      <w:r w:rsidRPr="001416ED">
        <w:rPr>
          <w:lang w:val="uk-UA"/>
        </w:rPr>
        <w:t>МІНІСТЕРСТВО ОХОРОНИ ЗДОРОВ</w:t>
      </w:r>
      <w:r w:rsidRPr="001416ED">
        <w:t>`</w:t>
      </w:r>
      <w:r w:rsidRPr="001416ED">
        <w:rPr>
          <w:lang w:val="uk-UA"/>
        </w:rPr>
        <w:t>Я УКРАЇНИ</w:t>
      </w:r>
    </w:p>
    <w:p w:rsidR="005F48EF" w:rsidRPr="001416ED" w:rsidRDefault="005F48EF" w:rsidP="00641436">
      <w:pPr>
        <w:spacing w:line="360" w:lineRule="auto"/>
        <w:ind w:firstLine="709"/>
        <w:jc w:val="center"/>
        <w:rPr>
          <w:lang w:val="uk-UA"/>
        </w:rPr>
      </w:pPr>
      <w:r w:rsidRPr="001416ED">
        <w:rPr>
          <w:lang w:val="uk-UA"/>
        </w:rPr>
        <w:t xml:space="preserve">ВІННИЦЬКИЙ </w:t>
      </w:r>
      <w:r w:rsidRPr="001416ED">
        <w:t>НАЦІОНАЛЬНИЙ</w:t>
      </w:r>
      <w:r w:rsidRPr="001416ED">
        <w:rPr>
          <w:lang w:val="uk-UA"/>
        </w:rPr>
        <w:t xml:space="preserve"> МЕДИЧНИЙ УНІВЕРСИТЕТ</w:t>
      </w:r>
    </w:p>
    <w:p w:rsidR="005F48EF" w:rsidRPr="001416ED" w:rsidRDefault="00641436" w:rsidP="00641436">
      <w:pPr>
        <w:spacing w:line="360" w:lineRule="auto"/>
        <w:ind w:firstLine="709"/>
        <w:jc w:val="center"/>
        <w:rPr>
          <w:lang w:val="uk-UA"/>
        </w:rPr>
      </w:pPr>
      <w:r w:rsidRPr="001416ED">
        <w:rPr>
          <w:lang w:val="uk-UA"/>
        </w:rPr>
        <w:t>ІМЕНІ</w:t>
      </w:r>
      <w:r w:rsidR="005F48EF" w:rsidRPr="001416ED">
        <w:rPr>
          <w:lang w:val="uk-UA"/>
        </w:rPr>
        <w:t xml:space="preserve"> М.І.ПИРОГОВА</w:t>
      </w:r>
    </w:p>
    <w:p w:rsidR="005F48EF" w:rsidRPr="001416ED" w:rsidRDefault="005F48EF" w:rsidP="00A770B7">
      <w:pPr>
        <w:ind w:firstLine="709"/>
        <w:rPr>
          <w:lang w:val="uk-UA"/>
        </w:rPr>
      </w:pPr>
    </w:p>
    <w:p w:rsidR="007D395E" w:rsidRPr="001416ED" w:rsidRDefault="007D395E" w:rsidP="00A770B7">
      <w:pPr>
        <w:pStyle w:val="a5"/>
        <w:ind w:left="6372" w:firstLine="709"/>
        <w:jc w:val="left"/>
        <w:rPr>
          <w:b w:val="0"/>
          <w:szCs w:val="28"/>
        </w:rPr>
      </w:pPr>
      <w:r w:rsidRPr="001416ED">
        <w:rPr>
          <w:b w:val="0"/>
          <w:szCs w:val="28"/>
        </w:rPr>
        <w:t>На правах рукопису</w:t>
      </w:r>
    </w:p>
    <w:p w:rsidR="005F48EF" w:rsidRPr="001416ED" w:rsidRDefault="005F48EF" w:rsidP="00A770B7">
      <w:pPr>
        <w:pStyle w:val="a5"/>
        <w:ind w:left="6372" w:firstLine="709"/>
        <w:jc w:val="left"/>
        <w:rPr>
          <w:b w:val="0"/>
        </w:rPr>
      </w:pPr>
    </w:p>
    <w:p w:rsidR="005F48EF" w:rsidRPr="00FB74CC" w:rsidRDefault="005F48EF" w:rsidP="00A770B7">
      <w:pPr>
        <w:ind w:firstLine="709"/>
        <w:jc w:val="center"/>
        <w:rPr>
          <w:lang w:val="uk-UA"/>
        </w:rPr>
      </w:pPr>
      <w:r w:rsidRPr="00FB74CC">
        <w:rPr>
          <w:lang w:val="uk-UA"/>
        </w:rPr>
        <w:t>Палагнюк Ганна Олександрівна</w:t>
      </w:r>
    </w:p>
    <w:p w:rsidR="007D395E" w:rsidRPr="001416ED" w:rsidRDefault="007D395E" w:rsidP="00A770B7">
      <w:pPr>
        <w:pStyle w:val="a5"/>
        <w:ind w:left="6372" w:firstLine="709"/>
        <w:jc w:val="left"/>
        <w:rPr>
          <w:b w:val="0"/>
          <w:szCs w:val="28"/>
        </w:rPr>
      </w:pPr>
    </w:p>
    <w:p w:rsidR="005F48EF" w:rsidRPr="001416ED" w:rsidRDefault="005F48EF" w:rsidP="00A770B7">
      <w:pPr>
        <w:ind w:firstLine="709"/>
        <w:rPr>
          <w:lang w:val="uk-UA"/>
        </w:rPr>
      </w:pPr>
    </w:p>
    <w:p w:rsidR="00454FA4" w:rsidRPr="001416ED" w:rsidRDefault="00454FA4" w:rsidP="00FB74CC">
      <w:pPr>
        <w:ind w:firstLine="709"/>
        <w:jc w:val="center"/>
        <w:rPr>
          <w:lang w:val="uk-UA"/>
        </w:rPr>
      </w:pPr>
      <w:r w:rsidRPr="001416ED">
        <w:rPr>
          <w:lang w:val="uk-UA"/>
        </w:rPr>
        <w:t>УДК: 616.12–008.331.1–055.1:343.982.34:572.524</w:t>
      </w:r>
    </w:p>
    <w:p w:rsidR="005F48EF" w:rsidRPr="001416ED" w:rsidRDefault="005F48EF" w:rsidP="00454FA4">
      <w:pPr>
        <w:ind w:firstLine="709"/>
        <w:jc w:val="right"/>
        <w:rPr>
          <w:lang w:val="uk-UA"/>
        </w:rPr>
      </w:pPr>
    </w:p>
    <w:p w:rsidR="005F48EF" w:rsidRPr="001416ED" w:rsidRDefault="005F48EF" w:rsidP="00A770B7">
      <w:pPr>
        <w:ind w:firstLine="709"/>
        <w:rPr>
          <w:lang w:val="uk-UA"/>
        </w:rPr>
      </w:pPr>
    </w:p>
    <w:p w:rsidR="005F48EF" w:rsidRPr="001416ED" w:rsidRDefault="005F48EF" w:rsidP="00A770B7">
      <w:pPr>
        <w:ind w:firstLine="709"/>
        <w:jc w:val="center"/>
        <w:rPr>
          <w:b/>
          <w:bCs/>
          <w:lang w:val="uk-UA"/>
        </w:rPr>
      </w:pPr>
    </w:p>
    <w:p w:rsidR="00E9056D" w:rsidRPr="001416ED" w:rsidRDefault="00E9056D" w:rsidP="00E9056D">
      <w:pPr>
        <w:spacing w:line="360" w:lineRule="auto"/>
        <w:ind w:firstLine="709"/>
        <w:jc w:val="center"/>
        <w:rPr>
          <w:bCs/>
          <w:lang w:val="en-US"/>
        </w:rPr>
      </w:pPr>
      <w:r w:rsidRPr="001416ED">
        <w:rPr>
          <w:bCs/>
          <w:lang w:val="en-US"/>
        </w:rPr>
        <w:t>ДІАГНОСТИЧНЕ І ПРОГНОСТИЧНЕ ЗНАЧЕННЯ ПОЛІМОРФІЗМУ ГЕНА ЕНДОТЕЛІНУ–1, РІВНІВ ВАЗОАКТИВНИХ ПЕПТИДІВ ТА ВІДПОВІДНИХ ДЕРМАТОГЛІФІЧНИХ ПОКАЗНИКІВ У ЧОЛОВІКІВ, ХВОРИХ НА ГІПЕРТОНІЧНУ ХВОРОБУ</w:t>
      </w:r>
    </w:p>
    <w:p w:rsidR="005F48EF" w:rsidRPr="001416ED" w:rsidRDefault="0018079E" w:rsidP="00A770B7">
      <w:pPr>
        <w:spacing w:line="360" w:lineRule="auto"/>
        <w:ind w:firstLine="709"/>
        <w:jc w:val="center"/>
        <w:rPr>
          <w:lang w:val="uk-UA"/>
        </w:rPr>
      </w:pPr>
      <w:r w:rsidRPr="001416ED">
        <w:rPr>
          <w:b/>
          <w:lang w:val="uk-UA"/>
        </w:rPr>
        <w:t xml:space="preserve"> </w:t>
      </w:r>
    </w:p>
    <w:p w:rsidR="005F48EF" w:rsidRPr="001416ED" w:rsidRDefault="005F48EF" w:rsidP="00A770B7">
      <w:pPr>
        <w:ind w:firstLine="709"/>
        <w:jc w:val="center"/>
        <w:rPr>
          <w:lang w:val="uk-UA"/>
        </w:rPr>
      </w:pPr>
    </w:p>
    <w:p w:rsidR="005F48EF" w:rsidRPr="001416ED" w:rsidRDefault="005F48EF" w:rsidP="00A770B7">
      <w:pPr>
        <w:ind w:firstLine="709"/>
        <w:jc w:val="center"/>
        <w:rPr>
          <w:lang w:val="uk-UA"/>
        </w:rPr>
      </w:pPr>
      <w:r w:rsidRPr="001416ED">
        <w:rPr>
          <w:lang w:val="uk-UA"/>
        </w:rPr>
        <w:t xml:space="preserve">14.01.11– кардіологія </w:t>
      </w:r>
    </w:p>
    <w:p w:rsidR="005F48EF" w:rsidRPr="001416ED" w:rsidRDefault="005F48EF" w:rsidP="00A770B7">
      <w:pPr>
        <w:spacing w:line="360" w:lineRule="auto"/>
        <w:ind w:firstLine="709"/>
        <w:jc w:val="center"/>
        <w:rPr>
          <w:lang w:val="uk-UA"/>
        </w:rPr>
      </w:pPr>
    </w:p>
    <w:p w:rsidR="005F48EF" w:rsidRPr="001416ED" w:rsidRDefault="005F48EF" w:rsidP="00A770B7">
      <w:pPr>
        <w:spacing w:line="360" w:lineRule="auto"/>
        <w:ind w:firstLine="709"/>
        <w:jc w:val="center"/>
        <w:rPr>
          <w:lang w:val="uk-UA"/>
        </w:rPr>
      </w:pPr>
    </w:p>
    <w:p w:rsidR="007D395E" w:rsidRPr="001416ED" w:rsidRDefault="005F48EF" w:rsidP="00A770B7">
      <w:pPr>
        <w:spacing w:line="360" w:lineRule="auto"/>
        <w:ind w:firstLine="709"/>
        <w:jc w:val="center"/>
        <w:rPr>
          <w:lang w:val="uk-UA"/>
        </w:rPr>
      </w:pPr>
      <w:r w:rsidRPr="001416ED">
        <w:rPr>
          <w:lang w:val="uk-UA"/>
        </w:rPr>
        <w:t>Дисертація на здобуття наукового</w:t>
      </w:r>
      <w:r w:rsidR="007D395E" w:rsidRPr="001416ED">
        <w:rPr>
          <w:lang w:val="uk-UA"/>
        </w:rPr>
        <w:t xml:space="preserve"> </w:t>
      </w:r>
      <w:r w:rsidRPr="001416ED">
        <w:rPr>
          <w:lang w:val="uk-UA"/>
        </w:rPr>
        <w:t>ступеня</w:t>
      </w:r>
    </w:p>
    <w:p w:rsidR="005F48EF" w:rsidRPr="001416ED" w:rsidRDefault="005F48EF" w:rsidP="00A770B7">
      <w:pPr>
        <w:spacing w:line="360" w:lineRule="auto"/>
        <w:ind w:firstLine="709"/>
        <w:jc w:val="center"/>
        <w:rPr>
          <w:lang w:val="uk-UA"/>
        </w:rPr>
      </w:pPr>
      <w:r w:rsidRPr="001416ED">
        <w:rPr>
          <w:lang w:val="uk-UA"/>
        </w:rPr>
        <w:t xml:space="preserve"> кандидата медичних наук</w:t>
      </w:r>
    </w:p>
    <w:p w:rsidR="005F48EF" w:rsidRPr="001416ED" w:rsidRDefault="005F48EF" w:rsidP="00A770B7">
      <w:pPr>
        <w:ind w:firstLine="709"/>
        <w:rPr>
          <w:lang w:val="uk-UA"/>
        </w:rPr>
      </w:pPr>
    </w:p>
    <w:p w:rsidR="005F48EF" w:rsidRPr="001416ED" w:rsidRDefault="005F48EF" w:rsidP="00A770B7">
      <w:pPr>
        <w:pStyle w:val="a3"/>
        <w:ind w:firstLine="709"/>
        <w:jc w:val="center"/>
      </w:pPr>
    </w:p>
    <w:p w:rsidR="005F48EF" w:rsidRPr="001416ED" w:rsidRDefault="005F48EF" w:rsidP="00A770B7">
      <w:pPr>
        <w:pStyle w:val="a3"/>
        <w:ind w:firstLine="709"/>
        <w:jc w:val="center"/>
      </w:pPr>
    </w:p>
    <w:p w:rsidR="005F48EF" w:rsidRPr="001416ED" w:rsidRDefault="005F48EF" w:rsidP="00A770B7">
      <w:pPr>
        <w:spacing w:line="360" w:lineRule="auto"/>
        <w:ind w:left="3540" w:firstLine="709"/>
        <w:jc w:val="right"/>
        <w:rPr>
          <w:lang w:val="uk-UA"/>
        </w:rPr>
      </w:pPr>
      <w:r w:rsidRPr="001416ED">
        <w:rPr>
          <w:lang w:val="uk-UA"/>
        </w:rPr>
        <w:t xml:space="preserve">Науковий керівник: </w:t>
      </w:r>
    </w:p>
    <w:p w:rsidR="005F48EF" w:rsidRPr="001416ED" w:rsidRDefault="005F48EF" w:rsidP="00A770B7">
      <w:pPr>
        <w:spacing w:line="360" w:lineRule="auto"/>
        <w:ind w:left="3540" w:firstLine="709"/>
        <w:jc w:val="right"/>
        <w:rPr>
          <w:lang w:val="uk-UA"/>
        </w:rPr>
      </w:pPr>
      <w:r w:rsidRPr="001416ED">
        <w:rPr>
          <w:lang w:val="uk-UA"/>
        </w:rPr>
        <w:t xml:space="preserve">Жебель Вадим Миколайович                   </w:t>
      </w:r>
    </w:p>
    <w:p w:rsidR="005F48EF" w:rsidRPr="001416ED" w:rsidRDefault="005F48EF" w:rsidP="00A770B7">
      <w:pPr>
        <w:spacing w:line="360" w:lineRule="auto"/>
        <w:ind w:left="3540" w:firstLine="709"/>
        <w:jc w:val="right"/>
        <w:rPr>
          <w:lang w:val="uk-UA"/>
        </w:rPr>
      </w:pPr>
      <w:r w:rsidRPr="001416ED">
        <w:rPr>
          <w:lang w:val="uk-UA"/>
        </w:rPr>
        <w:t xml:space="preserve">доктор медичних наук, професор </w:t>
      </w:r>
    </w:p>
    <w:p w:rsidR="005F48EF" w:rsidRPr="001416ED" w:rsidRDefault="005F48EF" w:rsidP="00A770B7">
      <w:pPr>
        <w:ind w:firstLine="709"/>
        <w:rPr>
          <w:lang w:val="uk-UA"/>
        </w:rPr>
      </w:pPr>
    </w:p>
    <w:p w:rsidR="005F48EF" w:rsidRPr="001416ED" w:rsidRDefault="005F48EF" w:rsidP="00A770B7">
      <w:pPr>
        <w:ind w:firstLine="709"/>
        <w:rPr>
          <w:lang w:val="uk-UA"/>
        </w:rPr>
      </w:pPr>
    </w:p>
    <w:p w:rsidR="00576444" w:rsidRPr="001416ED" w:rsidRDefault="00576444" w:rsidP="00A770B7">
      <w:pPr>
        <w:ind w:firstLine="709"/>
        <w:rPr>
          <w:lang w:val="uk-UA"/>
        </w:rPr>
      </w:pPr>
    </w:p>
    <w:p w:rsidR="005F48EF" w:rsidRPr="001416ED" w:rsidRDefault="00FB74CC" w:rsidP="00A770B7">
      <w:pPr>
        <w:ind w:firstLine="709"/>
        <w:jc w:val="center"/>
        <w:rPr>
          <w:lang w:val="uk-UA"/>
        </w:rPr>
      </w:pPr>
      <w:r>
        <w:rPr>
          <w:lang w:val="uk-UA"/>
        </w:rPr>
        <w:t>Вінниця</w:t>
      </w:r>
      <w:r w:rsidR="005F48EF" w:rsidRPr="001416ED">
        <w:rPr>
          <w:lang w:val="uk-UA"/>
        </w:rPr>
        <w:t xml:space="preserve"> – 201</w:t>
      </w:r>
      <w:r w:rsidR="00FF5C21">
        <w:rPr>
          <w:lang w:val="uk-UA"/>
        </w:rPr>
        <w:t>7</w:t>
      </w:r>
    </w:p>
    <w:p w:rsidR="00E92E79" w:rsidRPr="001416ED" w:rsidRDefault="00E92E79" w:rsidP="00454FA4">
      <w:pPr>
        <w:spacing w:before="240" w:after="240" w:line="360" w:lineRule="auto"/>
        <w:ind w:firstLine="709"/>
        <w:jc w:val="center"/>
        <w:rPr>
          <w:lang w:val="uk-UA"/>
        </w:rPr>
      </w:pPr>
      <w:r w:rsidRPr="001416ED">
        <w:rPr>
          <w:lang w:val="uk-UA"/>
        </w:rPr>
        <w:lastRenderedPageBreak/>
        <w:t>ЗМ</w:t>
      </w:r>
      <w:r w:rsidRPr="001416ED">
        <w:t>ІСТ</w:t>
      </w:r>
    </w:p>
    <w:p w:rsidR="00E92E79" w:rsidRPr="001416ED" w:rsidRDefault="00E92E79" w:rsidP="00454FA4">
      <w:pPr>
        <w:spacing w:before="240" w:line="360" w:lineRule="auto"/>
        <w:jc w:val="both"/>
        <w:rPr>
          <w:bCs/>
          <w:lang w:val="uk-UA"/>
        </w:rPr>
      </w:pPr>
      <w:r w:rsidRPr="001416ED">
        <w:rPr>
          <w:bCs/>
          <w:lang w:val="uk-UA"/>
        </w:rPr>
        <w:t>ПЕРЕЛІК УМОВНИХ СКОРОЧЕНЬ..........................................................…</w:t>
      </w:r>
      <w:r w:rsidRPr="001416ED">
        <w:rPr>
          <w:bCs/>
        </w:rPr>
        <w:t>…</w:t>
      </w:r>
      <w:r w:rsidR="00454FA4" w:rsidRPr="001416ED">
        <w:rPr>
          <w:bCs/>
        </w:rPr>
        <w:t>…</w:t>
      </w:r>
      <w:r w:rsidR="00C002BF" w:rsidRPr="001416ED">
        <w:rPr>
          <w:bCs/>
        </w:rPr>
        <w:t>…</w:t>
      </w:r>
      <w:r w:rsidR="00C002BF" w:rsidRPr="001416ED">
        <w:rPr>
          <w:bCs/>
          <w:lang w:val="uk-UA"/>
        </w:rPr>
        <w:t>..</w:t>
      </w:r>
      <w:r w:rsidR="001A3AEC" w:rsidRPr="001416ED">
        <w:rPr>
          <w:bCs/>
          <w:lang w:val="uk-UA"/>
        </w:rPr>
        <w:t>5</w:t>
      </w:r>
    </w:p>
    <w:p w:rsidR="00E92E79" w:rsidRPr="001416ED" w:rsidRDefault="00E92E79" w:rsidP="00454FA4">
      <w:pPr>
        <w:spacing w:line="360" w:lineRule="auto"/>
        <w:jc w:val="both"/>
        <w:rPr>
          <w:bCs/>
          <w:lang w:val="uk-UA"/>
        </w:rPr>
      </w:pPr>
      <w:r w:rsidRPr="001416ED">
        <w:rPr>
          <w:bCs/>
          <w:lang w:val="uk-UA"/>
        </w:rPr>
        <w:t>ВСТУП …………………………………………………………………………</w:t>
      </w:r>
      <w:r w:rsidRPr="001416ED">
        <w:rPr>
          <w:bCs/>
        </w:rPr>
        <w:t>……</w:t>
      </w:r>
      <w:r w:rsidR="00454FA4" w:rsidRPr="001416ED">
        <w:rPr>
          <w:bCs/>
        </w:rPr>
        <w:t>…</w:t>
      </w:r>
      <w:r w:rsidR="00A019D0">
        <w:rPr>
          <w:bCs/>
          <w:lang w:val="uk-UA"/>
        </w:rPr>
        <w:t>.</w:t>
      </w:r>
      <w:r w:rsidR="00484DE9" w:rsidRPr="001416ED">
        <w:rPr>
          <w:bCs/>
        </w:rPr>
        <w:t>8</w:t>
      </w:r>
    </w:p>
    <w:p w:rsidR="00E92E79" w:rsidRPr="001416ED" w:rsidRDefault="00E92E79" w:rsidP="00454FA4">
      <w:pPr>
        <w:spacing w:line="360" w:lineRule="auto"/>
        <w:jc w:val="both"/>
        <w:rPr>
          <w:bCs/>
          <w:lang w:val="uk-UA"/>
        </w:rPr>
      </w:pPr>
      <w:r w:rsidRPr="001416ED">
        <w:rPr>
          <w:bCs/>
          <w:lang w:val="uk-UA"/>
        </w:rPr>
        <w:t>РОЗДІЛ 1. ОГЛЯД ЛІТЕРАТУРИ ……………………………………….……........</w:t>
      </w:r>
      <w:r w:rsidR="00484DE9" w:rsidRPr="001416ED">
        <w:rPr>
          <w:bCs/>
          <w:lang w:val="uk-UA"/>
        </w:rPr>
        <w:t>.</w:t>
      </w:r>
      <w:r w:rsidR="00C72223" w:rsidRPr="001416ED">
        <w:rPr>
          <w:bCs/>
          <w:lang w:val="uk-UA"/>
        </w:rPr>
        <w:t>1</w:t>
      </w:r>
      <w:r w:rsidR="00B45E56">
        <w:rPr>
          <w:bCs/>
          <w:lang w:val="uk-UA"/>
        </w:rPr>
        <w:t>4</w:t>
      </w:r>
    </w:p>
    <w:p w:rsidR="00E92E79" w:rsidRPr="001416ED" w:rsidRDefault="00E92E79" w:rsidP="00454FA4">
      <w:pPr>
        <w:numPr>
          <w:ilvl w:val="1"/>
          <w:numId w:val="1"/>
        </w:numPr>
        <w:tabs>
          <w:tab w:val="left" w:pos="567"/>
        </w:tabs>
        <w:spacing w:after="200" w:line="360" w:lineRule="auto"/>
        <w:ind w:left="567" w:firstLine="0"/>
        <w:contextualSpacing/>
        <w:jc w:val="both"/>
        <w:rPr>
          <w:bCs/>
          <w:lang w:val="uk-UA"/>
        </w:rPr>
      </w:pPr>
      <w:r w:rsidRPr="001416ED">
        <w:rPr>
          <w:bCs/>
          <w:lang w:val="uk-UA"/>
        </w:rPr>
        <w:t>Вплив генетичного поліморфізму гена ендотеліну – 1 та вазоактивних пептидів на розвиток гіпертонічної хвороби</w:t>
      </w:r>
      <w:r w:rsidR="00326316" w:rsidRPr="001416ED">
        <w:rPr>
          <w:bCs/>
          <w:lang w:val="uk-UA"/>
        </w:rPr>
        <w:t>, що</w:t>
      </w:r>
      <w:r w:rsidRPr="001416ED">
        <w:rPr>
          <w:bCs/>
          <w:lang w:val="uk-UA"/>
        </w:rPr>
        <w:t xml:space="preserve"> ускладнен</w:t>
      </w:r>
      <w:r w:rsidR="00326316" w:rsidRPr="001416ED">
        <w:rPr>
          <w:bCs/>
          <w:lang w:val="uk-UA"/>
        </w:rPr>
        <w:t>а</w:t>
      </w:r>
      <w:r w:rsidRPr="001416ED">
        <w:rPr>
          <w:bCs/>
          <w:lang w:val="uk-UA"/>
        </w:rPr>
        <w:t xml:space="preserve"> та неускладнен</w:t>
      </w:r>
      <w:r w:rsidR="00326316" w:rsidRPr="001416ED">
        <w:rPr>
          <w:bCs/>
          <w:lang w:val="uk-UA"/>
        </w:rPr>
        <w:t>а</w:t>
      </w:r>
      <w:r w:rsidRPr="001416ED">
        <w:rPr>
          <w:bCs/>
          <w:lang w:val="uk-UA"/>
        </w:rPr>
        <w:t xml:space="preserve"> </w:t>
      </w:r>
      <w:r w:rsidR="004E4A9B" w:rsidRPr="001416ED">
        <w:rPr>
          <w:bCs/>
          <w:lang w:val="uk-UA"/>
        </w:rPr>
        <w:t>хронічною серцевою недостатністю..............</w:t>
      </w:r>
      <w:r w:rsidR="00326316" w:rsidRPr="001416ED">
        <w:rPr>
          <w:bCs/>
          <w:lang w:val="uk-UA"/>
        </w:rPr>
        <w:t>…………………………………</w:t>
      </w:r>
      <w:r w:rsidR="00B351E8" w:rsidRPr="001416ED">
        <w:rPr>
          <w:bCs/>
          <w:lang w:val="uk-UA"/>
        </w:rPr>
        <w:t>..</w:t>
      </w:r>
      <w:r w:rsidR="001A3AEC" w:rsidRPr="001416ED">
        <w:rPr>
          <w:bCs/>
          <w:lang w:val="uk-UA"/>
        </w:rPr>
        <w:t>1</w:t>
      </w:r>
      <w:r w:rsidR="00B45E56">
        <w:rPr>
          <w:bCs/>
          <w:lang w:val="uk-UA"/>
        </w:rPr>
        <w:t>5</w:t>
      </w:r>
    </w:p>
    <w:p w:rsidR="00E92E79" w:rsidRPr="001416ED" w:rsidRDefault="00E92E79" w:rsidP="00454FA4">
      <w:pPr>
        <w:numPr>
          <w:ilvl w:val="1"/>
          <w:numId w:val="1"/>
        </w:numPr>
        <w:spacing w:after="200" w:line="360" w:lineRule="auto"/>
        <w:ind w:left="567" w:firstLine="0"/>
        <w:contextualSpacing/>
        <w:jc w:val="both"/>
        <w:rPr>
          <w:bCs/>
          <w:lang w:val="uk-UA"/>
        </w:rPr>
      </w:pPr>
      <w:r w:rsidRPr="001416ED">
        <w:rPr>
          <w:bCs/>
          <w:lang w:val="uk-UA"/>
        </w:rPr>
        <w:t>Роль поліморфізму гена рецептора ангіотензину ІІ 1</w:t>
      </w:r>
      <w:r w:rsidR="00BC0119" w:rsidRPr="001416ED">
        <w:rPr>
          <w:bCs/>
          <w:lang w:val="uk-UA"/>
        </w:rPr>
        <w:t>–</w:t>
      </w:r>
      <w:r w:rsidRPr="001416ED">
        <w:rPr>
          <w:bCs/>
          <w:lang w:val="uk-UA"/>
        </w:rPr>
        <w:t>го типу як с</w:t>
      </w:r>
      <w:r w:rsidR="00AF702E" w:rsidRPr="001416ED">
        <w:rPr>
          <w:bCs/>
          <w:lang w:val="uk-UA"/>
        </w:rPr>
        <w:t>падкового чинника у розвитку ес</w:t>
      </w:r>
      <w:r w:rsidRPr="001416ED">
        <w:rPr>
          <w:bCs/>
          <w:lang w:val="uk-UA"/>
        </w:rPr>
        <w:t>енціальної гіпертензії та хронічної серцевої недостатності на її тлі</w:t>
      </w:r>
      <w:r w:rsidR="001A3AEC" w:rsidRPr="001416ED">
        <w:rPr>
          <w:bCs/>
          <w:lang w:val="uk-UA"/>
        </w:rPr>
        <w:t>……………………………………</w:t>
      </w:r>
      <w:r w:rsidR="007148B0" w:rsidRPr="001416ED">
        <w:rPr>
          <w:bCs/>
          <w:lang w:val="uk-UA"/>
        </w:rPr>
        <w:t>……………………...</w:t>
      </w:r>
      <w:r w:rsidR="001A3AEC" w:rsidRPr="001416ED">
        <w:rPr>
          <w:bCs/>
          <w:lang w:val="uk-UA"/>
        </w:rPr>
        <w:t>3</w:t>
      </w:r>
      <w:r w:rsidR="00B45E56">
        <w:rPr>
          <w:bCs/>
          <w:lang w:val="uk-UA"/>
        </w:rPr>
        <w:t>2</w:t>
      </w:r>
    </w:p>
    <w:p w:rsidR="00E92E79" w:rsidRPr="001416ED" w:rsidRDefault="00E92E79" w:rsidP="00454FA4">
      <w:pPr>
        <w:numPr>
          <w:ilvl w:val="1"/>
          <w:numId w:val="1"/>
        </w:numPr>
        <w:spacing w:after="200" w:line="360" w:lineRule="auto"/>
        <w:ind w:left="567" w:firstLine="0"/>
        <w:contextualSpacing/>
        <w:jc w:val="both"/>
        <w:rPr>
          <w:bCs/>
          <w:lang w:val="uk-UA"/>
        </w:rPr>
      </w:pPr>
      <w:r w:rsidRPr="001416ED">
        <w:rPr>
          <w:bCs/>
          <w:lang w:val="uk-UA"/>
        </w:rPr>
        <w:t xml:space="preserve">Дерматогліфи </w:t>
      </w:r>
      <w:r w:rsidR="00BC0119" w:rsidRPr="001416ED">
        <w:rPr>
          <w:bCs/>
          <w:lang w:val="uk-UA"/>
        </w:rPr>
        <w:t>–</w:t>
      </w:r>
      <w:r w:rsidRPr="001416ED">
        <w:rPr>
          <w:bCs/>
          <w:lang w:val="uk-UA"/>
        </w:rPr>
        <w:t xml:space="preserve"> як скринінговий діагностичний маркер гіпертонічної хвороби та хронічної серцевої недостатності</w:t>
      </w:r>
      <w:r w:rsidR="001A3AEC" w:rsidRPr="001416ED">
        <w:rPr>
          <w:bCs/>
          <w:lang w:val="uk-UA"/>
        </w:rPr>
        <w:t>………………………………….</w:t>
      </w:r>
      <w:r w:rsidR="008161CF">
        <w:rPr>
          <w:bCs/>
          <w:lang w:val="uk-UA"/>
        </w:rPr>
        <w:t>3</w:t>
      </w:r>
      <w:r w:rsidR="00B45E56">
        <w:rPr>
          <w:bCs/>
          <w:lang w:val="uk-UA"/>
        </w:rPr>
        <w:t>8</w:t>
      </w:r>
    </w:p>
    <w:p w:rsidR="00E92E79" w:rsidRPr="001416ED" w:rsidRDefault="00E92E79" w:rsidP="00454FA4">
      <w:pPr>
        <w:spacing w:line="360" w:lineRule="auto"/>
        <w:jc w:val="both"/>
        <w:rPr>
          <w:lang w:val="uk-UA"/>
        </w:rPr>
      </w:pPr>
      <w:r w:rsidRPr="001416ED">
        <w:rPr>
          <w:bCs/>
          <w:lang w:val="uk-UA"/>
        </w:rPr>
        <w:t>РО</w:t>
      </w:r>
      <w:r w:rsidRPr="001416ED">
        <w:rPr>
          <w:bCs/>
        </w:rPr>
        <w:t xml:space="preserve">ЗДІЛ 2. </w:t>
      </w:r>
      <w:r w:rsidRPr="001416ED">
        <w:rPr>
          <w:caps/>
        </w:rPr>
        <w:t>Клінічна характеристика обстежених ОС</w:t>
      </w:r>
      <w:r w:rsidRPr="001416ED">
        <w:rPr>
          <w:caps/>
          <w:lang w:val="uk-UA"/>
        </w:rPr>
        <w:t xml:space="preserve">ІБ </w:t>
      </w:r>
      <w:r w:rsidRPr="001416ED">
        <w:rPr>
          <w:caps/>
        </w:rPr>
        <w:t xml:space="preserve">та основні методи </w:t>
      </w:r>
      <w:proofErr w:type="gramStart"/>
      <w:r w:rsidRPr="001416ED">
        <w:rPr>
          <w:caps/>
        </w:rPr>
        <w:t>досл</w:t>
      </w:r>
      <w:proofErr w:type="gramEnd"/>
      <w:r w:rsidRPr="001416ED">
        <w:rPr>
          <w:caps/>
        </w:rPr>
        <w:t>ідження …………………………………..</w:t>
      </w:r>
      <w:r w:rsidRPr="001416ED">
        <w:t>……........</w:t>
      </w:r>
      <w:r w:rsidR="00EE6483" w:rsidRPr="001416ED">
        <w:rPr>
          <w:lang w:val="uk-UA"/>
        </w:rPr>
        <w:t>...................4</w:t>
      </w:r>
      <w:r w:rsidR="00B45E56">
        <w:rPr>
          <w:lang w:val="uk-UA"/>
        </w:rPr>
        <w:t>3</w:t>
      </w:r>
    </w:p>
    <w:p w:rsidR="00E92E79" w:rsidRPr="001416ED" w:rsidRDefault="00E92E79" w:rsidP="00454FA4">
      <w:pPr>
        <w:spacing w:line="360" w:lineRule="auto"/>
        <w:ind w:left="646"/>
        <w:jc w:val="both"/>
        <w:rPr>
          <w:lang w:val="uk-UA" w:eastAsia="uk-UA"/>
        </w:rPr>
      </w:pPr>
      <w:r w:rsidRPr="001416ED">
        <w:rPr>
          <w:lang w:val="uk-UA" w:eastAsia="uk-UA"/>
        </w:rPr>
        <w:t>2.1. Клінічна характеристика обстежених осіб..........………………</w:t>
      </w:r>
      <w:r w:rsidR="00EE6483" w:rsidRPr="001416ED">
        <w:rPr>
          <w:lang w:val="uk-UA" w:eastAsia="uk-UA"/>
        </w:rPr>
        <w:t>………...4</w:t>
      </w:r>
      <w:r w:rsidR="00B45E56">
        <w:rPr>
          <w:lang w:val="uk-UA" w:eastAsia="uk-UA"/>
        </w:rPr>
        <w:t>3</w:t>
      </w:r>
    </w:p>
    <w:p w:rsidR="00E92E79" w:rsidRPr="001416ED" w:rsidRDefault="00E92E79" w:rsidP="00454FA4">
      <w:pPr>
        <w:spacing w:line="360" w:lineRule="auto"/>
        <w:ind w:left="645"/>
        <w:jc w:val="both"/>
        <w:rPr>
          <w:lang w:val="uk-UA"/>
        </w:rPr>
      </w:pPr>
      <w:r w:rsidRPr="001416ED">
        <w:rPr>
          <w:lang w:val="uk-UA"/>
        </w:rPr>
        <w:t xml:space="preserve">       </w:t>
      </w:r>
      <w:r w:rsidRPr="001416ED">
        <w:t>2.1.1.</w:t>
      </w:r>
      <w:r w:rsidR="00A56E30" w:rsidRPr="001416ED">
        <w:rPr>
          <w:lang w:val="uk-UA"/>
        </w:rPr>
        <w:t xml:space="preserve">Чоловіки </w:t>
      </w:r>
      <w:r w:rsidRPr="001416ED">
        <w:rPr>
          <w:lang w:val="uk-UA"/>
        </w:rPr>
        <w:t>групи контролю………………………</w:t>
      </w:r>
      <w:r w:rsidR="00A56E30" w:rsidRPr="001416ED">
        <w:rPr>
          <w:lang w:val="uk-UA"/>
        </w:rPr>
        <w:t>……………………</w:t>
      </w:r>
      <w:r w:rsidR="00EE6483" w:rsidRPr="001416ED">
        <w:rPr>
          <w:lang w:val="uk-UA"/>
        </w:rPr>
        <w:t>4</w:t>
      </w:r>
      <w:r w:rsidR="00B45E56">
        <w:rPr>
          <w:lang w:val="uk-UA"/>
        </w:rPr>
        <w:t>3</w:t>
      </w:r>
    </w:p>
    <w:p w:rsidR="00E92E79" w:rsidRPr="001416ED" w:rsidRDefault="00E92E79" w:rsidP="00454FA4">
      <w:pPr>
        <w:spacing w:line="360" w:lineRule="auto"/>
        <w:ind w:left="645"/>
        <w:jc w:val="both"/>
        <w:rPr>
          <w:lang w:val="uk-UA"/>
        </w:rPr>
      </w:pPr>
      <w:r w:rsidRPr="001416ED">
        <w:rPr>
          <w:lang w:val="uk-UA"/>
        </w:rPr>
        <w:t xml:space="preserve">       </w:t>
      </w:r>
      <w:r w:rsidRPr="001416ED">
        <w:t>2.1.2.</w:t>
      </w:r>
      <w:r w:rsidRPr="001416ED">
        <w:rPr>
          <w:lang w:val="uk-UA"/>
        </w:rPr>
        <w:t xml:space="preserve"> Хворі</w:t>
      </w:r>
      <w:r w:rsidRPr="001416ED">
        <w:t xml:space="preserve"> на</w:t>
      </w:r>
      <w:r w:rsidRPr="001416ED">
        <w:rPr>
          <w:lang w:val="uk-UA"/>
        </w:rPr>
        <w:t xml:space="preserve"> гіпертонічну</w:t>
      </w:r>
      <w:r w:rsidRPr="001416ED">
        <w:t xml:space="preserve"> хворобу…</w:t>
      </w:r>
      <w:r w:rsidRPr="001416ED">
        <w:rPr>
          <w:lang w:val="uk-UA"/>
        </w:rPr>
        <w:t>………………………</w:t>
      </w:r>
      <w:r w:rsidR="00EE6483" w:rsidRPr="001416ED">
        <w:rPr>
          <w:lang w:val="uk-UA"/>
        </w:rPr>
        <w:t>…………..4</w:t>
      </w:r>
      <w:r w:rsidR="00B45E56">
        <w:rPr>
          <w:lang w:val="uk-UA"/>
        </w:rPr>
        <w:t>5</w:t>
      </w:r>
    </w:p>
    <w:p w:rsidR="00E92E79" w:rsidRPr="001416ED" w:rsidRDefault="00E92E79" w:rsidP="00454FA4">
      <w:pPr>
        <w:spacing w:line="360" w:lineRule="auto"/>
        <w:ind w:left="645"/>
        <w:jc w:val="both"/>
        <w:rPr>
          <w:lang w:val="uk-UA" w:eastAsia="uk-UA"/>
        </w:rPr>
      </w:pPr>
      <w:r w:rsidRPr="001416ED">
        <w:rPr>
          <w:lang w:val="uk-UA" w:eastAsia="uk-UA"/>
        </w:rPr>
        <w:t>2.2. Методи дослідження, які використовувались у роботі….....</w:t>
      </w:r>
      <w:r w:rsidR="00EE6483" w:rsidRPr="001416ED">
        <w:rPr>
          <w:lang w:val="uk-UA" w:eastAsia="uk-UA"/>
        </w:rPr>
        <w:t>....................5</w:t>
      </w:r>
      <w:r w:rsidR="00B45E56">
        <w:rPr>
          <w:lang w:val="uk-UA" w:eastAsia="uk-UA"/>
        </w:rPr>
        <w:t>1</w:t>
      </w:r>
    </w:p>
    <w:p w:rsidR="00E92E79" w:rsidRPr="001416ED" w:rsidRDefault="00E92E79"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2.2.1. Методика визначення </w:t>
      </w:r>
      <w:r w:rsidR="00E6164F">
        <w:rPr>
          <w:kern w:val="1"/>
          <w:lang w:val="uk-UA" w:eastAsia="ar-SA"/>
        </w:rPr>
        <w:t>поліморфного варіанту гена</w:t>
      </w:r>
      <w:r w:rsidR="00F86AAE">
        <w:rPr>
          <w:kern w:val="1"/>
          <w:lang w:val="uk-UA" w:eastAsia="ar-SA"/>
        </w:rPr>
        <w:t xml:space="preserve"> ендотеліну</w:t>
      </w:r>
      <w:r w:rsidR="00BC0119" w:rsidRPr="001416ED">
        <w:rPr>
          <w:kern w:val="1"/>
          <w:lang w:val="uk-UA" w:eastAsia="ar-SA"/>
        </w:rPr>
        <w:t>–</w:t>
      </w:r>
      <w:r w:rsidR="00F86AAE">
        <w:rPr>
          <w:kern w:val="1"/>
          <w:lang w:val="uk-UA" w:eastAsia="ar-SA"/>
        </w:rPr>
        <w:t>1..</w:t>
      </w:r>
      <w:r w:rsidR="00EE6483" w:rsidRPr="001416ED">
        <w:rPr>
          <w:kern w:val="1"/>
          <w:lang w:val="uk-UA" w:eastAsia="ar-SA"/>
        </w:rPr>
        <w:t>5</w:t>
      </w:r>
      <w:r w:rsidR="00B45E56">
        <w:rPr>
          <w:kern w:val="1"/>
          <w:lang w:val="uk-UA" w:eastAsia="ar-SA"/>
        </w:rPr>
        <w:t>1</w:t>
      </w:r>
    </w:p>
    <w:p w:rsidR="00E92E79" w:rsidRPr="001416ED" w:rsidRDefault="00E92E79"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w:t>
      </w:r>
      <w:r w:rsidRPr="001416ED">
        <w:rPr>
          <w:kern w:val="1"/>
          <w:lang w:eastAsia="ar-SA"/>
        </w:rPr>
        <w:t xml:space="preserve">2.2.2. </w:t>
      </w:r>
      <w:r w:rsidRPr="001416ED">
        <w:rPr>
          <w:kern w:val="1"/>
          <w:lang w:val="uk-UA" w:eastAsia="ar-SA"/>
        </w:rPr>
        <w:t xml:space="preserve">Методика визначення </w:t>
      </w:r>
      <w:r w:rsidR="00E6164F">
        <w:rPr>
          <w:kern w:val="1"/>
          <w:lang w:val="uk-UA" w:eastAsia="ar-SA"/>
        </w:rPr>
        <w:t>поліморфного варіанту гена</w:t>
      </w:r>
      <w:r w:rsidR="00007329" w:rsidRPr="001416ED">
        <w:rPr>
          <w:kern w:val="1"/>
          <w:lang w:val="uk-UA" w:eastAsia="ar-SA"/>
        </w:rPr>
        <w:t xml:space="preserve"> </w:t>
      </w:r>
      <w:r w:rsidRPr="001416ED">
        <w:rPr>
          <w:kern w:val="1"/>
          <w:lang w:val="uk-UA" w:eastAsia="ar-SA"/>
        </w:rPr>
        <w:t>рецептора а</w:t>
      </w:r>
      <w:r w:rsidR="00C002BF" w:rsidRPr="001416ED">
        <w:rPr>
          <w:kern w:val="1"/>
          <w:lang w:val="uk-UA" w:eastAsia="ar-SA"/>
        </w:rPr>
        <w:t>нгіотензину ІІ першого типу</w:t>
      </w:r>
      <w:r w:rsidRPr="001416ED">
        <w:rPr>
          <w:kern w:val="1"/>
          <w:lang w:val="uk-UA" w:eastAsia="ar-SA"/>
        </w:rPr>
        <w:t>....................................................</w:t>
      </w:r>
      <w:r w:rsidR="00F86AAE">
        <w:rPr>
          <w:kern w:val="1"/>
          <w:lang w:val="uk-UA" w:eastAsia="ar-SA"/>
        </w:rPr>
        <w:t>...................</w:t>
      </w:r>
      <w:r w:rsidR="00EE6483" w:rsidRPr="001416ED">
        <w:rPr>
          <w:kern w:val="1"/>
          <w:lang w:val="uk-UA" w:eastAsia="ar-SA"/>
        </w:rPr>
        <w:t>5</w:t>
      </w:r>
      <w:r w:rsidR="00B45E56">
        <w:rPr>
          <w:kern w:val="1"/>
          <w:lang w:val="uk-UA" w:eastAsia="ar-SA"/>
        </w:rPr>
        <w:t>2</w:t>
      </w:r>
    </w:p>
    <w:p w:rsidR="00E92E79" w:rsidRPr="001416ED" w:rsidRDefault="00E92E79"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w:t>
      </w:r>
      <w:r w:rsidRPr="001416ED">
        <w:rPr>
          <w:kern w:val="1"/>
          <w:lang w:eastAsia="ar-SA"/>
        </w:rPr>
        <w:t xml:space="preserve">2.2.3. </w:t>
      </w:r>
      <w:r w:rsidRPr="001416ED">
        <w:rPr>
          <w:kern w:val="1"/>
          <w:lang w:val="uk-UA" w:eastAsia="ar-SA"/>
        </w:rPr>
        <w:t xml:space="preserve">Методика визначення концентрації ендотеліну </w:t>
      </w:r>
      <w:r w:rsidR="00BC0119" w:rsidRPr="001416ED">
        <w:rPr>
          <w:kern w:val="1"/>
          <w:lang w:val="uk-UA" w:eastAsia="ar-SA"/>
        </w:rPr>
        <w:t>–</w:t>
      </w:r>
      <w:r w:rsidR="00007329" w:rsidRPr="001416ED">
        <w:rPr>
          <w:kern w:val="1"/>
          <w:lang w:val="uk-UA" w:eastAsia="ar-SA"/>
        </w:rPr>
        <w:t xml:space="preserve"> </w:t>
      </w:r>
      <w:r w:rsidRPr="001416ED">
        <w:rPr>
          <w:kern w:val="1"/>
          <w:lang w:val="uk-UA" w:eastAsia="ar-SA"/>
        </w:rPr>
        <w:t xml:space="preserve">1 </w:t>
      </w:r>
      <w:r w:rsidR="00454FA4" w:rsidRPr="001416ED">
        <w:rPr>
          <w:kern w:val="1"/>
          <w:lang w:val="uk-UA" w:eastAsia="ar-SA"/>
        </w:rPr>
        <w:t>в плазмі крові..</w:t>
      </w:r>
      <w:r w:rsidR="00EE6483" w:rsidRPr="001416ED">
        <w:rPr>
          <w:kern w:val="1"/>
          <w:lang w:val="uk-UA" w:eastAsia="ar-SA"/>
        </w:rPr>
        <w:t>5</w:t>
      </w:r>
      <w:r w:rsidR="00B45E56">
        <w:rPr>
          <w:kern w:val="1"/>
          <w:lang w:val="uk-UA" w:eastAsia="ar-SA"/>
        </w:rPr>
        <w:t>3</w:t>
      </w:r>
    </w:p>
    <w:p w:rsidR="00E92E79" w:rsidRPr="001416ED" w:rsidRDefault="00E92E79"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w:t>
      </w:r>
      <w:r w:rsidRPr="001416ED">
        <w:rPr>
          <w:kern w:val="1"/>
          <w:lang w:eastAsia="ar-SA"/>
        </w:rPr>
        <w:t>2.2.</w:t>
      </w:r>
      <w:r w:rsidRPr="001416ED">
        <w:rPr>
          <w:kern w:val="1"/>
          <w:lang w:val="uk-UA" w:eastAsia="ar-SA"/>
        </w:rPr>
        <w:t>4</w:t>
      </w:r>
      <w:r w:rsidRPr="001416ED">
        <w:rPr>
          <w:kern w:val="1"/>
          <w:lang w:eastAsia="ar-SA"/>
        </w:rPr>
        <w:t>.</w:t>
      </w:r>
      <w:r w:rsidRPr="001416ED">
        <w:rPr>
          <w:kern w:val="1"/>
          <w:sz w:val="24"/>
          <w:szCs w:val="24"/>
          <w:lang w:val="uk-UA" w:eastAsia="ar-SA"/>
        </w:rPr>
        <w:t xml:space="preserve"> </w:t>
      </w:r>
      <w:r w:rsidRPr="001416ED">
        <w:rPr>
          <w:kern w:val="1"/>
          <w:lang w:val="uk-UA" w:eastAsia="ar-SA"/>
        </w:rPr>
        <w:t xml:space="preserve">Методика визначення </w:t>
      </w:r>
      <w:r w:rsidR="00007329" w:rsidRPr="001416ED">
        <w:rPr>
          <w:kern w:val="1"/>
          <w:lang w:val="uk-UA" w:eastAsia="ar-SA"/>
        </w:rPr>
        <w:t xml:space="preserve">плазмової </w:t>
      </w:r>
      <w:r w:rsidRPr="001416ED">
        <w:rPr>
          <w:kern w:val="1"/>
          <w:lang w:val="uk-UA" w:eastAsia="ar-SA"/>
        </w:rPr>
        <w:t>концентрації С</w:t>
      </w:r>
      <w:r w:rsidR="00BC0119" w:rsidRPr="001416ED">
        <w:rPr>
          <w:kern w:val="1"/>
          <w:lang w:val="uk-UA" w:eastAsia="ar-SA"/>
        </w:rPr>
        <w:t>–</w:t>
      </w:r>
      <w:r w:rsidRPr="001416ED">
        <w:rPr>
          <w:kern w:val="1"/>
          <w:lang w:val="uk-UA" w:eastAsia="ar-SA"/>
        </w:rPr>
        <w:t>натрійуретичного пептиду  …………………………………………</w:t>
      </w:r>
      <w:r w:rsidR="00EE6483" w:rsidRPr="001416ED">
        <w:rPr>
          <w:kern w:val="1"/>
          <w:lang w:val="uk-UA" w:eastAsia="ar-SA"/>
        </w:rPr>
        <w:t>…………………</w:t>
      </w:r>
      <w:r w:rsidR="00C94DEA" w:rsidRPr="001416ED">
        <w:rPr>
          <w:kern w:val="1"/>
          <w:lang w:val="uk-UA" w:eastAsia="ar-SA"/>
        </w:rPr>
        <w:t>……….</w:t>
      </w:r>
      <w:r w:rsidR="00EE6483" w:rsidRPr="001416ED">
        <w:rPr>
          <w:kern w:val="1"/>
          <w:lang w:val="uk-UA" w:eastAsia="ar-SA"/>
        </w:rPr>
        <w:t>5</w:t>
      </w:r>
      <w:r w:rsidR="00B45E56">
        <w:rPr>
          <w:kern w:val="1"/>
          <w:lang w:val="uk-UA" w:eastAsia="ar-SA"/>
        </w:rPr>
        <w:t>4</w:t>
      </w:r>
    </w:p>
    <w:p w:rsidR="00E92E79" w:rsidRPr="001416ED" w:rsidRDefault="00E92E79"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w:t>
      </w:r>
      <w:r w:rsidRPr="001416ED">
        <w:rPr>
          <w:kern w:val="1"/>
          <w:lang w:eastAsia="ar-SA"/>
        </w:rPr>
        <w:t>2.2.</w:t>
      </w:r>
      <w:r w:rsidRPr="001416ED">
        <w:rPr>
          <w:kern w:val="1"/>
          <w:lang w:val="uk-UA" w:eastAsia="ar-SA"/>
        </w:rPr>
        <w:t>5</w:t>
      </w:r>
      <w:r w:rsidRPr="001416ED">
        <w:rPr>
          <w:kern w:val="1"/>
          <w:lang w:eastAsia="ar-SA"/>
        </w:rPr>
        <w:t>.</w:t>
      </w:r>
      <w:r w:rsidRPr="001416ED">
        <w:rPr>
          <w:kern w:val="1"/>
          <w:lang w:val="uk-UA" w:eastAsia="ar-SA"/>
        </w:rPr>
        <w:t xml:space="preserve"> Методи</w:t>
      </w:r>
      <w:r w:rsidR="00D02878" w:rsidRPr="001416ED">
        <w:rPr>
          <w:kern w:val="1"/>
          <w:lang w:val="uk-UA" w:eastAsia="ar-SA"/>
        </w:rPr>
        <w:t>ка</w:t>
      </w:r>
      <w:r w:rsidRPr="001416ED">
        <w:rPr>
          <w:kern w:val="1"/>
          <w:lang w:val="uk-UA" w:eastAsia="ar-SA"/>
        </w:rPr>
        <w:t xml:space="preserve"> визначення показників спектру ліпідів...............</w:t>
      </w:r>
      <w:r w:rsidR="00D02878" w:rsidRPr="001416ED">
        <w:rPr>
          <w:kern w:val="1"/>
          <w:lang w:val="uk-UA" w:eastAsia="ar-SA"/>
        </w:rPr>
        <w:t>............</w:t>
      </w:r>
      <w:r w:rsidR="00EE6483" w:rsidRPr="001416ED">
        <w:rPr>
          <w:kern w:val="1"/>
          <w:lang w:val="uk-UA" w:eastAsia="ar-SA"/>
        </w:rPr>
        <w:t>.5</w:t>
      </w:r>
      <w:r w:rsidR="00B45E56">
        <w:rPr>
          <w:kern w:val="1"/>
          <w:lang w:val="uk-UA" w:eastAsia="ar-SA"/>
        </w:rPr>
        <w:t>5</w:t>
      </w:r>
    </w:p>
    <w:p w:rsidR="00C05EE2" w:rsidRPr="001416ED" w:rsidRDefault="00A67DEF" w:rsidP="00656C88">
      <w:pPr>
        <w:suppressAutoHyphens/>
        <w:spacing w:line="360" w:lineRule="auto"/>
        <w:ind w:left="1134" w:hanging="489"/>
        <w:contextualSpacing/>
        <w:jc w:val="both"/>
        <w:rPr>
          <w:kern w:val="1"/>
          <w:lang w:val="uk-UA" w:eastAsia="ar-SA"/>
        </w:rPr>
      </w:pPr>
      <w:r w:rsidRPr="001416ED">
        <w:rPr>
          <w:kern w:val="1"/>
          <w:lang w:val="uk-UA" w:eastAsia="ar-SA"/>
        </w:rPr>
        <w:t xml:space="preserve">      </w:t>
      </w:r>
      <w:r w:rsidR="00C05EE2" w:rsidRPr="001416ED">
        <w:rPr>
          <w:kern w:val="1"/>
          <w:lang w:val="uk-UA" w:eastAsia="ar-SA"/>
        </w:rPr>
        <w:t xml:space="preserve">2.2.6. Методика вимірювання </w:t>
      </w:r>
      <w:r w:rsidR="00C002BF" w:rsidRPr="001416ED">
        <w:rPr>
          <w:kern w:val="1"/>
          <w:lang w:val="uk-UA" w:eastAsia="ar-SA"/>
        </w:rPr>
        <w:t>артеріального тиску…...</w:t>
      </w:r>
      <w:r w:rsidR="00C05EE2" w:rsidRPr="001416ED">
        <w:rPr>
          <w:kern w:val="1"/>
          <w:lang w:val="uk-UA" w:eastAsia="ar-SA"/>
        </w:rPr>
        <w:t>…………………</w:t>
      </w:r>
      <w:r w:rsidR="00454FA4" w:rsidRPr="001416ED">
        <w:rPr>
          <w:kern w:val="1"/>
          <w:lang w:val="uk-UA" w:eastAsia="ar-SA"/>
        </w:rPr>
        <w:t>..5</w:t>
      </w:r>
      <w:r w:rsidR="00B45E56">
        <w:rPr>
          <w:kern w:val="1"/>
          <w:lang w:val="uk-UA" w:eastAsia="ar-SA"/>
        </w:rPr>
        <w:t>5</w:t>
      </w:r>
    </w:p>
    <w:p w:rsidR="00E92E79" w:rsidRPr="001416ED" w:rsidRDefault="00E92E79" w:rsidP="00656C88">
      <w:pPr>
        <w:spacing w:line="360" w:lineRule="auto"/>
        <w:ind w:left="1134" w:hanging="489"/>
        <w:jc w:val="both"/>
        <w:rPr>
          <w:bCs/>
          <w:szCs w:val="24"/>
          <w:lang w:val="uk-UA"/>
        </w:rPr>
      </w:pPr>
      <w:r w:rsidRPr="001416ED">
        <w:rPr>
          <w:lang w:val="uk-UA"/>
        </w:rPr>
        <w:t xml:space="preserve">      2.2.</w:t>
      </w:r>
      <w:r w:rsidR="00C05EE2" w:rsidRPr="001416ED">
        <w:rPr>
          <w:lang w:val="uk-UA"/>
        </w:rPr>
        <w:t>7</w:t>
      </w:r>
      <w:r w:rsidRPr="001416ED">
        <w:rPr>
          <w:lang w:val="uk-UA"/>
        </w:rPr>
        <w:t xml:space="preserve">. </w:t>
      </w:r>
      <w:r w:rsidRPr="001416ED">
        <w:rPr>
          <w:bCs/>
          <w:szCs w:val="24"/>
          <w:lang w:val="uk-UA"/>
        </w:rPr>
        <w:t>Методи</w:t>
      </w:r>
      <w:r w:rsidR="00A67DEF" w:rsidRPr="001416ED">
        <w:rPr>
          <w:bCs/>
          <w:szCs w:val="24"/>
          <w:lang w:val="uk-UA"/>
        </w:rPr>
        <w:t>ка</w:t>
      </w:r>
      <w:r w:rsidRPr="001416ED">
        <w:rPr>
          <w:bCs/>
          <w:szCs w:val="24"/>
          <w:lang w:val="uk-UA"/>
        </w:rPr>
        <w:t xml:space="preserve"> дослідження стану внутрішньосерцевої гемодинаміки</w:t>
      </w:r>
      <w:r w:rsidR="00454FA4" w:rsidRPr="001416ED">
        <w:rPr>
          <w:bCs/>
          <w:szCs w:val="24"/>
          <w:lang w:val="uk-UA"/>
        </w:rPr>
        <w:t>..</w:t>
      </w:r>
      <w:r w:rsidR="008161CF">
        <w:rPr>
          <w:bCs/>
          <w:szCs w:val="24"/>
          <w:lang w:val="uk-UA"/>
        </w:rPr>
        <w:t>5</w:t>
      </w:r>
      <w:r w:rsidR="00B45E56">
        <w:rPr>
          <w:bCs/>
          <w:szCs w:val="24"/>
          <w:lang w:val="uk-UA"/>
        </w:rPr>
        <w:t>6</w:t>
      </w:r>
    </w:p>
    <w:p w:rsidR="008B1F78" w:rsidRPr="001416ED" w:rsidRDefault="008B1F78" w:rsidP="00656C88">
      <w:pPr>
        <w:spacing w:line="360" w:lineRule="auto"/>
        <w:ind w:left="1134" w:hanging="489"/>
        <w:jc w:val="both"/>
        <w:rPr>
          <w:bCs/>
          <w:szCs w:val="24"/>
          <w:lang w:val="uk-UA"/>
        </w:rPr>
      </w:pPr>
      <w:r w:rsidRPr="001416ED">
        <w:rPr>
          <w:bCs/>
          <w:szCs w:val="24"/>
          <w:lang w:val="uk-UA"/>
        </w:rPr>
        <w:t xml:space="preserve">      2.2.</w:t>
      </w:r>
      <w:r w:rsidR="00C05EE2" w:rsidRPr="001416ED">
        <w:rPr>
          <w:bCs/>
          <w:szCs w:val="24"/>
          <w:lang w:val="uk-UA"/>
        </w:rPr>
        <w:t>8</w:t>
      </w:r>
      <w:r w:rsidRPr="001416ED">
        <w:rPr>
          <w:bCs/>
          <w:szCs w:val="24"/>
          <w:lang w:val="uk-UA"/>
        </w:rPr>
        <w:t>. Методика проведення</w:t>
      </w:r>
      <w:r w:rsidR="00CD7BE8" w:rsidRPr="001416ED">
        <w:rPr>
          <w:bCs/>
          <w:szCs w:val="24"/>
          <w:lang w:val="uk-UA"/>
        </w:rPr>
        <w:t xml:space="preserve"> велое</w:t>
      </w:r>
      <w:r w:rsidRPr="001416ED">
        <w:rPr>
          <w:bCs/>
          <w:szCs w:val="24"/>
          <w:lang w:val="uk-UA"/>
        </w:rPr>
        <w:t>ргометрії……………………………</w:t>
      </w:r>
      <w:r w:rsidR="00454FA4" w:rsidRPr="001416ED">
        <w:rPr>
          <w:bCs/>
          <w:szCs w:val="24"/>
          <w:lang w:val="uk-UA"/>
        </w:rPr>
        <w:t>…</w:t>
      </w:r>
      <w:r w:rsidR="008161CF">
        <w:rPr>
          <w:bCs/>
          <w:szCs w:val="24"/>
          <w:lang w:val="uk-UA"/>
        </w:rPr>
        <w:t>5</w:t>
      </w:r>
      <w:r w:rsidR="00B45E56">
        <w:rPr>
          <w:bCs/>
          <w:szCs w:val="24"/>
          <w:lang w:val="uk-UA"/>
        </w:rPr>
        <w:t>7</w:t>
      </w:r>
    </w:p>
    <w:p w:rsidR="00E92E79" w:rsidRPr="001416ED" w:rsidRDefault="008B1F78" w:rsidP="00656C88">
      <w:pPr>
        <w:spacing w:line="360" w:lineRule="auto"/>
        <w:ind w:left="1134" w:hanging="489"/>
        <w:jc w:val="both"/>
        <w:rPr>
          <w:lang w:val="uk-UA"/>
        </w:rPr>
      </w:pPr>
      <w:r w:rsidRPr="001416ED">
        <w:rPr>
          <w:bCs/>
          <w:szCs w:val="24"/>
          <w:lang w:val="uk-UA"/>
        </w:rPr>
        <w:t xml:space="preserve">      </w:t>
      </w:r>
      <w:r w:rsidR="00E92E79" w:rsidRPr="001416ED">
        <w:rPr>
          <w:lang w:val="uk-UA"/>
        </w:rPr>
        <w:t>2.2.</w:t>
      </w:r>
      <w:r w:rsidR="00D167DB" w:rsidRPr="001416ED">
        <w:rPr>
          <w:lang w:val="uk-UA"/>
        </w:rPr>
        <w:t>9</w:t>
      </w:r>
      <w:r w:rsidR="00E92E79" w:rsidRPr="001416ED">
        <w:rPr>
          <w:lang w:val="uk-UA"/>
        </w:rPr>
        <w:t>. Методика дерматогліфічного обстеження пальців обох к</w:t>
      </w:r>
      <w:r w:rsidR="00454FA4" w:rsidRPr="001416ED">
        <w:rPr>
          <w:lang w:val="uk-UA"/>
        </w:rPr>
        <w:t>истей….</w:t>
      </w:r>
      <w:r w:rsidR="008161CF">
        <w:rPr>
          <w:lang w:val="uk-UA"/>
        </w:rPr>
        <w:t>5</w:t>
      </w:r>
      <w:r w:rsidR="00B45E56">
        <w:rPr>
          <w:lang w:val="uk-UA"/>
        </w:rPr>
        <w:t>8</w:t>
      </w:r>
    </w:p>
    <w:p w:rsidR="00E92E79" w:rsidRPr="001416ED" w:rsidRDefault="00E92E79" w:rsidP="00454FA4">
      <w:pPr>
        <w:spacing w:line="360" w:lineRule="auto"/>
        <w:ind w:left="645"/>
        <w:jc w:val="both"/>
      </w:pPr>
      <w:r w:rsidRPr="001416ED">
        <w:rPr>
          <w:lang w:val="uk-UA"/>
        </w:rPr>
        <w:lastRenderedPageBreak/>
        <w:t xml:space="preserve">      2.2.</w:t>
      </w:r>
      <w:r w:rsidR="00D02878" w:rsidRPr="001416ED">
        <w:rPr>
          <w:lang w:val="uk-UA"/>
        </w:rPr>
        <w:t>1</w:t>
      </w:r>
      <w:r w:rsidR="00D167DB" w:rsidRPr="001416ED">
        <w:rPr>
          <w:lang w:val="uk-UA"/>
        </w:rPr>
        <w:t>0</w:t>
      </w:r>
      <w:r w:rsidRPr="001416ED">
        <w:rPr>
          <w:lang w:val="uk-UA"/>
        </w:rPr>
        <w:t>. Методи математичної обробки результаті</w:t>
      </w:r>
      <w:r w:rsidR="00454FA4" w:rsidRPr="001416ED">
        <w:rPr>
          <w:lang w:val="uk-UA"/>
        </w:rPr>
        <w:t>в дослідження..............</w:t>
      </w:r>
      <w:r w:rsidR="00B45E56">
        <w:rPr>
          <w:lang w:val="uk-UA"/>
        </w:rPr>
        <w:t>59</w:t>
      </w:r>
    </w:p>
    <w:p w:rsidR="00E92E79" w:rsidRPr="001416ED" w:rsidRDefault="00E92E79" w:rsidP="00454FA4">
      <w:pPr>
        <w:spacing w:line="360" w:lineRule="auto"/>
        <w:jc w:val="both"/>
        <w:rPr>
          <w:lang w:val="uk-UA"/>
        </w:rPr>
      </w:pPr>
      <w:r w:rsidRPr="001416ED">
        <w:rPr>
          <w:bCs/>
        </w:rPr>
        <w:t>РОЗДІЛ 3.</w:t>
      </w:r>
      <w:r w:rsidRPr="001416ED">
        <w:rPr>
          <w:lang w:val="uk-UA"/>
        </w:rPr>
        <w:t xml:space="preserve"> </w:t>
      </w:r>
      <w:r w:rsidR="008161CF">
        <w:rPr>
          <w:lang w:val="uk-UA"/>
        </w:rPr>
        <w:t>ПОЛІМОРФНІ ВАРІАНТИ</w:t>
      </w:r>
      <w:r w:rsidRPr="001416ED">
        <w:rPr>
          <w:lang w:val="uk-UA"/>
        </w:rPr>
        <w:t xml:space="preserve"> ГЕНА ЕНДОТЕЛІНУ</w:t>
      </w:r>
      <w:r w:rsidR="00BC0119" w:rsidRPr="001416ED">
        <w:rPr>
          <w:lang w:val="uk-UA"/>
        </w:rPr>
        <w:t>–</w:t>
      </w:r>
      <w:r w:rsidRPr="001416ED">
        <w:rPr>
          <w:lang w:val="uk-UA"/>
        </w:rPr>
        <w:t>1 ТА ПЛАЗМОВІ КОНЦЕНТРАЦІЇ ЕНДОТЕЛІНУ</w:t>
      </w:r>
      <w:r w:rsidR="00BC0119" w:rsidRPr="001416ED">
        <w:rPr>
          <w:lang w:val="uk-UA"/>
        </w:rPr>
        <w:t>–</w:t>
      </w:r>
      <w:r w:rsidRPr="001416ED">
        <w:rPr>
          <w:lang w:val="uk-UA"/>
        </w:rPr>
        <w:t>1 І СУДИННОГО НАТРІЙУРЕТИЧНОГО ПЕПТИДУ У ЧОЛОВІКІВ</w:t>
      </w:r>
      <w:r w:rsidR="00D02878" w:rsidRPr="001416ED">
        <w:rPr>
          <w:lang w:val="uk-UA"/>
        </w:rPr>
        <w:t xml:space="preserve"> </w:t>
      </w:r>
      <w:r w:rsidR="00F16C63" w:rsidRPr="001416ED">
        <w:rPr>
          <w:lang w:val="uk-UA"/>
        </w:rPr>
        <w:t xml:space="preserve">ГРУПИ </w:t>
      </w:r>
      <w:r w:rsidR="00D02878" w:rsidRPr="001416ED">
        <w:rPr>
          <w:lang w:val="uk-UA"/>
        </w:rPr>
        <w:t>КОНТРОЛЮ</w:t>
      </w:r>
      <w:r w:rsidRPr="001416ED">
        <w:rPr>
          <w:lang w:val="uk-UA"/>
        </w:rPr>
        <w:t>………</w:t>
      </w:r>
      <w:r w:rsidR="00C5669C">
        <w:rPr>
          <w:lang w:val="uk-UA"/>
        </w:rPr>
        <w:t>…………………………..</w:t>
      </w:r>
      <w:r w:rsidR="00997F8A" w:rsidRPr="001416ED">
        <w:rPr>
          <w:lang w:val="uk-UA"/>
        </w:rPr>
        <w:t>6</w:t>
      </w:r>
      <w:r w:rsidR="00B45E56">
        <w:rPr>
          <w:lang w:val="uk-UA"/>
        </w:rPr>
        <w:t>2</w:t>
      </w:r>
    </w:p>
    <w:p w:rsidR="00E92E79" w:rsidRPr="001416ED" w:rsidRDefault="00E92E79" w:rsidP="00454FA4">
      <w:pPr>
        <w:spacing w:line="360" w:lineRule="auto"/>
        <w:ind w:left="709"/>
        <w:jc w:val="both"/>
        <w:rPr>
          <w:lang w:val="uk-UA"/>
        </w:rPr>
      </w:pPr>
      <w:r w:rsidRPr="001416ED">
        <w:rPr>
          <w:lang w:val="uk-UA"/>
        </w:rPr>
        <w:t xml:space="preserve">3.1. Варіанти успадкування гена </w:t>
      </w:r>
      <w:r w:rsidR="00C002BF" w:rsidRPr="001416ED">
        <w:rPr>
          <w:lang w:val="uk-UA"/>
        </w:rPr>
        <w:t>ендотеліну</w:t>
      </w:r>
      <w:r w:rsidR="00BC0119" w:rsidRPr="001416ED">
        <w:rPr>
          <w:lang w:val="uk-UA"/>
        </w:rPr>
        <w:t>–</w:t>
      </w:r>
      <w:r w:rsidRPr="001416ED">
        <w:rPr>
          <w:lang w:val="uk-UA"/>
        </w:rPr>
        <w:t>1 серед чоловіків контрольної групи, мешканців Подільського регіону України</w:t>
      </w:r>
      <w:r w:rsidR="00C002BF" w:rsidRPr="001416ED">
        <w:rPr>
          <w:lang w:val="uk-UA"/>
        </w:rPr>
        <w:t>……………………………</w:t>
      </w:r>
      <w:r w:rsidR="00997F8A" w:rsidRPr="001416ED">
        <w:rPr>
          <w:lang w:val="uk-UA"/>
        </w:rPr>
        <w:t>6</w:t>
      </w:r>
      <w:r w:rsidR="00B45E56">
        <w:rPr>
          <w:lang w:val="uk-UA"/>
        </w:rPr>
        <w:t>2</w:t>
      </w:r>
    </w:p>
    <w:p w:rsidR="00E92E79" w:rsidRPr="001416ED" w:rsidRDefault="00E92E79" w:rsidP="00454FA4">
      <w:pPr>
        <w:spacing w:line="360" w:lineRule="auto"/>
        <w:ind w:left="709"/>
        <w:jc w:val="both"/>
        <w:rPr>
          <w:lang w:val="uk-UA"/>
        </w:rPr>
      </w:pPr>
      <w:r w:rsidRPr="001416ED">
        <w:rPr>
          <w:lang w:val="uk-UA"/>
        </w:rPr>
        <w:t>3.2. Рівень ендотеліну</w:t>
      </w:r>
      <w:r w:rsidR="00BC0119" w:rsidRPr="001416ED">
        <w:rPr>
          <w:lang w:val="uk-UA"/>
        </w:rPr>
        <w:t>–</w:t>
      </w:r>
      <w:r w:rsidRPr="001416ED">
        <w:rPr>
          <w:lang w:val="uk-UA"/>
        </w:rPr>
        <w:t>1 у плазмі крові чоловіків групи контролю, мешканців Подільського регіону України …………………………………</w:t>
      </w:r>
      <w:r w:rsidR="00997F8A" w:rsidRPr="001416ED">
        <w:rPr>
          <w:lang w:val="uk-UA"/>
        </w:rPr>
        <w:t>...</w:t>
      </w:r>
      <w:r w:rsidR="008161CF">
        <w:rPr>
          <w:lang w:val="uk-UA"/>
        </w:rPr>
        <w:t>6</w:t>
      </w:r>
      <w:r w:rsidR="00B45E56">
        <w:rPr>
          <w:lang w:val="uk-UA"/>
        </w:rPr>
        <w:t>6</w:t>
      </w:r>
    </w:p>
    <w:p w:rsidR="00E92E79" w:rsidRPr="001416ED" w:rsidRDefault="00E92E79" w:rsidP="00454FA4">
      <w:pPr>
        <w:spacing w:line="360" w:lineRule="auto"/>
        <w:ind w:left="709"/>
        <w:jc w:val="both"/>
        <w:rPr>
          <w:lang w:val="uk-UA"/>
        </w:rPr>
      </w:pPr>
      <w:r w:rsidRPr="001416ED">
        <w:rPr>
          <w:lang w:val="uk-UA"/>
        </w:rPr>
        <w:t>3.3</w:t>
      </w:r>
      <w:r w:rsidR="00886B10" w:rsidRPr="001416ED">
        <w:rPr>
          <w:lang w:val="uk-UA"/>
        </w:rPr>
        <w:t>.</w:t>
      </w:r>
      <w:r w:rsidRPr="001416ED">
        <w:rPr>
          <w:lang w:val="uk-UA"/>
        </w:rPr>
        <w:t xml:space="preserve"> Рівень С</w:t>
      </w:r>
      <w:r w:rsidR="00BC0119" w:rsidRPr="001416ED">
        <w:rPr>
          <w:lang w:val="uk-UA"/>
        </w:rPr>
        <w:t>–</w:t>
      </w:r>
      <w:r w:rsidRPr="001416ED">
        <w:rPr>
          <w:lang w:val="uk-UA"/>
        </w:rPr>
        <w:t xml:space="preserve">натрійуретичного пептиду у плазмі крові чоловіків групи контролю, мешканців Подільського регіону України </w:t>
      </w:r>
      <w:r w:rsidR="00997F8A" w:rsidRPr="001416ED">
        <w:rPr>
          <w:lang w:val="uk-UA"/>
        </w:rPr>
        <w:t>………………………</w:t>
      </w:r>
      <w:r w:rsidR="008161CF">
        <w:rPr>
          <w:lang w:val="uk-UA"/>
        </w:rPr>
        <w:t>6</w:t>
      </w:r>
      <w:r w:rsidR="00B45E56">
        <w:rPr>
          <w:lang w:val="uk-UA"/>
        </w:rPr>
        <w:t>8</w:t>
      </w:r>
    </w:p>
    <w:p w:rsidR="00E92E79" w:rsidRPr="001416ED" w:rsidRDefault="00E92E79" w:rsidP="00454FA4">
      <w:pPr>
        <w:spacing w:line="360" w:lineRule="auto"/>
        <w:ind w:left="709"/>
        <w:jc w:val="both"/>
        <w:rPr>
          <w:lang w:val="uk-UA"/>
        </w:rPr>
      </w:pPr>
      <w:r w:rsidRPr="001416ED">
        <w:rPr>
          <w:lang w:val="uk-UA"/>
        </w:rPr>
        <w:t>3.4</w:t>
      </w:r>
      <w:r w:rsidR="00886B10" w:rsidRPr="001416ED">
        <w:rPr>
          <w:lang w:val="uk-UA"/>
        </w:rPr>
        <w:t>.</w:t>
      </w:r>
      <w:r w:rsidRPr="001416ED">
        <w:rPr>
          <w:lang w:val="uk-UA"/>
        </w:rPr>
        <w:t xml:space="preserve"> Показники ліпідного спектру і глюкози крові у чоловіків групи контролю, мешканців Подільського регіону України </w:t>
      </w:r>
      <w:r w:rsidR="00997F8A" w:rsidRPr="001416ED">
        <w:rPr>
          <w:lang w:val="uk-UA"/>
        </w:rPr>
        <w:t>………………………</w:t>
      </w:r>
      <w:r w:rsidR="00B45E56">
        <w:rPr>
          <w:lang w:val="uk-UA"/>
        </w:rPr>
        <w:t>69</w:t>
      </w:r>
    </w:p>
    <w:p w:rsidR="00E92E79" w:rsidRPr="001416ED" w:rsidRDefault="00E92E79" w:rsidP="00454FA4">
      <w:pPr>
        <w:spacing w:line="360" w:lineRule="auto"/>
        <w:ind w:left="709"/>
        <w:jc w:val="both"/>
        <w:rPr>
          <w:lang w:val="uk-UA"/>
        </w:rPr>
      </w:pPr>
      <w:r w:rsidRPr="001416ED">
        <w:rPr>
          <w:lang w:val="uk-UA"/>
        </w:rPr>
        <w:t>3.5</w:t>
      </w:r>
      <w:r w:rsidR="00886B10" w:rsidRPr="001416ED">
        <w:rPr>
          <w:lang w:val="uk-UA"/>
        </w:rPr>
        <w:t>.</w:t>
      </w:r>
      <w:r w:rsidRPr="001416ED">
        <w:rPr>
          <w:lang w:val="uk-UA"/>
        </w:rPr>
        <w:t xml:space="preserve"> Показники </w:t>
      </w:r>
      <w:r w:rsidR="00C002BF" w:rsidRPr="001416ED">
        <w:rPr>
          <w:lang w:val="uk-UA"/>
        </w:rPr>
        <w:t>артеріального тиску</w:t>
      </w:r>
      <w:r w:rsidRPr="001416ED">
        <w:rPr>
          <w:lang w:val="uk-UA"/>
        </w:rPr>
        <w:t xml:space="preserve"> у чоловіків групи контролю </w:t>
      </w:r>
      <w:r w:rsidR="00C773D0">
        <w:rPr>
          <w:lang w:val="uk-UA"/>
        </w:rPr>
        <w:t>із різними поліморфними варіантами</w:t>
      </w:r>
      <w:r w:rsidRPr="001416ED">
        <w:rPr>
          <w:lang w:val="uk-UA"/>
        </w:rPr>
        <w:t xml:space="preserve"> гена ЕТ</w:t>
      </w:r>
      <w:r w:rsidR="00BC0119" w:rsidRPr="001416ED">
        <w:rPr>
          <w:lang w:val="uk-UA"/>
        </w:rPr>
        <w:t>–</w:t>
      </w:r>
      <w:r w:rsidRPr="001416ED">
        <w:rPr>
          <w:lang w:val="uk-UA"/>
        </w:rPr>
        <w:t>1, мешканців Под</w:t>
      </w:r>
      <w:r w:rsidR="00C002BF" w:rsidRPr="001416ED">
        <w:rPr>
          <w:lang w:val="uk-UA"/>
        </w:rPr>
        <w:t>ільського регіону України………...</w:t>
      </w:r>
      <w:r w:rsidR="008161CF">
        <w:rPr>
          <w:lang w:val="uk-UA"/>
        </w:rPr>
        <w:t>..................................................................................................</w:t>
      </w:r>
      <w:r w:rsidR="00997F8A" w:rsidRPr="001416ED">
        <w:rPr>
          <w:lang w:val="uk-UA"/>
        </w:rPr>
        <w:t>7</w:t>
      </w:r>
      <w:r w:rsidR="00B45E56">
        <w:rPr>
          <w:lang w:val="uk-UA"/>
        </w:rPr>
        <w:t>0</w:t>
      </w:r>
    </w:p>
    <w:p w:rsidR="00E92E79" w:rsidRPr="001416ED" w:rsidRDefault="00E92E79" w:rsidP="00454FA4">
      <w:pPr>
        <w:spacing w:line="360" w:lineRule="auto"/>
        <w:ind w:left="709"/>
        <w:jc w:val="both"/>
        <w:rPr>
          <w:lang w:val="uk-UA"/>
        </w:rPr>
      </w:pPr>
      <w:r w:rsidRPr="001416ED">
        <w:rPr>
          <w:lang w:val="uk-UA"/>
        </w:rPr>
        <w:t>3.6</w:t>
      </w:r>
      <w:r w:rsidR="00886B10" w:rsidRPr="001416ED">
        <w:rPr>
          <w:lang w:val="uk-UA"/>
        </w:rPr>
        <w:t>.</w:t>
      </w:r>
      <w:r w:rsidR="00B02512">
        <w:rPr>
          <w:lang w:val="uk-UA"/>
        </w:rPr>
        <w:t xml:space="preserve"> </w:t>
      </w:r>
      <w:r w:rsidRPr="001416ED">
        <w:rPr>
          <w:lang w:val="uk-UA"/>
        </w:rPr>
        <w:t>Особливості дерматогліфічних показників пальців обох кистей у чоловіків групи контролю, мешканців Подільського регіону України…</w:t>
      </w:r>
      <w:r w:rsidR="00997F8A" w:rsidRPr="001416ED">
        <w:rPr>
          <w:lang w:val="uk-UA"/>
        </w:rPr>
        <w:t>….7</w:t>
      </w:r>
      <w:r w:rsidR="00B45E56">
        <w:rPr>
          <w:lang w:val="uk-UA"/>
        </w:rPr>
        <w:t>1</w:t>
      </w:r>
    </w:p>
    <w:p w:rsidR="00E92E79" w:rsidRPr="001416ED" w:rsidRDefault="00E92E79" w:rsidP="00454FA4">
      <w:pPr>
        <w:spacing w:line="360" w:lineRule="auto"/>
        <w:jc w:val="both"/>
        <w:rPr>
          <w:lang w:val="uk-UA"/>
        </w:rPr>
      </w:pPr>
      <w:r w:rsidRPr="001416ED">
        <w:rPr>
          <w:lang w:val="uk-UA"/>
        </w:rPr>
        <w:t xml:space="preserve">РОЗДІЛ 4. </w:t>
      </w:r>
      <w:r w:rsidR="008161CF" w:rsidRPr="008161CF">
        <w:rPr>
          <w:lang w:val="uk-UA"/>
        </w:rPr>
        <w:t xml:space="preserve">ПОЛІМОРФНІ ВАРІАНТИ </w:t>
      </w:r>
      <w:r w:rsidRPr="001416ED">
        <w:rPr>
          <w:lang w:val="uk-UA"/>
        </w:rPr>
        <w:t>ГЕНА ЕНДОТЕЛІНУ</w:t>
      </w:r>
      <w:r w:rsidR="00BC0119" w:rsidRPr="001416ED">
        <w:rPr>
          <w:lang w:val="uk-UA"/>
        </w:rPr>
        <w:t>–</w:t>
      </w:r>
      <w:r w:rsidRPr="001416ED">
        <w:rPr>
          <w:lang w:val="uk-UA"/>
        </w:rPr>
        <w:t>1 ТА ПЛАЗМОВІ КОНЦЕНТРАЦІЇ ЕНДОТЕЛІНУ</w:t>
      </w:r>
      <w:r w:rsidR="00BC0119" w:rsidRPr="001416ED">
        <w:rPr>
          <w:lang w:val="uk-UA"/>
        </w:rPr>
        <w:t>–</w:t>
      </w:r>
      <w:r w:rsidRPr="001416ED">
        <w:rPr>
          <w:lang w:val="uk-UA"/>
        </w:rPr>
        <w:t xml:space="preserve">1 І СУДИННОГО НАТРІЙУРЕТИЧНОГО ПЕПТИДУ У ЧОЛОВІКІВ, ХВОРИХ НА ГІПЕРТОНІЧНУ ХВОРОБУ РІЗНОЇ </w:t>
      </w:r>
      <w:r w:rsidR="00046A18" w:rsidRPr="001416ED">
        <w:rPr>
          <w:lang w:val="uk-UA"/>
        </w:rPr>
        <w:t>СТАДІЇ</w:t>
      </w:r>
      <w:r w:rsidR="008161CF">
        <w:rPr>
          <w:lang w:val="uk-UA"/>
        </w:rPr>
        <w:t>…………………………………………………………………………………</w:t>
      </w:r>
      <w:r w:rsidR="00B45E56">
        <w:rPr>
          <w:lang w:val="uk-UA"/>
        </w:rPr>
        <w:t>79</w:t>
      </w:r>
    </w:p>
    <w:p w:rsidR="00E92E79" w:rsidRPr="001416ED" w:rsidRDefault="00E92E79" w:rsidP="00454FA4">
      <w:pPr>
        <w:spacing w:line="360" w:lineRule="auto"/>
        <w:ind w:left="709"/>
        <w:jc w:val="both"/>
        <w:rPr>
          <w:lang w:val="uk-UA"/>
        </w:rPr>
      </w:pPr>
      <w:r w:rsidRPr="001416ED">
        <w:rPr>
          <w:lang w:val="uk-UA"/>
        </w:rPr>
        <w:t xml:space="preserve">4.1. Розподіл частот генотипів та алелей гена </w:t>
      </w:r>
      <w:r w:rsidR="00C002BF" w:rsidRPr="001416ED">
        <w:rPr>
          <w:lang w:val="uk-UA"/>
        </w:rPr>
        <w:t>ендотеліну</w:t>
      </w:r>
      <w:r w:rsidR="00BC0119" w:rsidRPr="001416ED">
        <w:rPr>
          <w:lang w:val="uk-UA"/>
        </w:rPr>
        <w:t>–</w:t>
      </w:r>
      <w:r w:rsidR="007B6913" w:rsidRPr="001416ED">
        <w:rPr>
          <w:lang w:val="uk-UA"/>
        </w:rPr>
        <w:t xml:space="preserve">1 серед чоловіків з </w:t>
      </w:r>
      <w:r w:rsidRPr="001416ED">
        <w:rPr>
          <w:lang w:val="uk-UA"/>
        </w:rPr>
        <w:t xml:space="preserve">гіпертонічною хворобою різної </w:t>
      </w:r>
      <w:r w:rsidR="00046A18" w:rsidRPr="001416ED">
        <w:rPr>
          <w:lang w:val="uk-UA"/>
        </w:rPr>
        <w:t>стадії</w:t>
      </w:r>
      <w:r w:rsidRPr="001416ED">
        <w:rPr>
          <w:lang w:val="uk-UA"/>
        </w:rPr>
        <w:t>, мешканців Подільського регіону України ……………</w:t>
      </w:r>
      <w:r w:rsidR="007B6913" w:rsidRPr="001416ED">
        <w:rPr>
          <w:lang w:val="uk-UA"/>
        </w:rPr>
        <w:t>……………………………………………………………</w:t>
      </w:r>
      <w:r w:rsidR="00B45E56">
        <w:rPr>
          <w:lang w:val="uk-UA"/>
        </w:rPr>
        <w:t>79</w:t>
      </w:r>
    </w:p>
    <w:p w:rsidR="00E92E79" w:rsidRPr="001416ED" w:rsidRDefault="00E92E79" w:rsidP="00454FA4">
      <w:pPr>
        <w:spacing w:line="360" w:lineRule="auto"/>
        <w:ind w:left="709"/>
        <w:jc w:val="both"/>
        <w:rPr>
          <w:lang w:val="uk-UA"/>
        </w:rPr>
      </w:pPr>
      <w:r w:rsidRPr="001416ED">
        <w:rPr>
          <w:lang w:val="uk-UA"/>
        </w:rPr>
        <w:t>4.2</w:t>
      </w:r>
      <w:r w:rsidR="0000524C" w:rsidRPr="001416ED">
        <w:rPr>
          <w:lang w:val="uk-UA"/>
        </w:rPr>
        <w:t>.</w:t>
      </w:r>
      <w:r w:rsidRPr="001416ED">
        <w:rPr>
          <w:lang w:val="uk-UA"/>
        </w:rPr>
        <w:t xml:space="preserve"> Рівень ендотеліну</w:t>
      </w:r>
      <w:r w:rsidR="00BC0119" w:rsidRPr="001416ED">
        <w:rPr>
          <w:lang w:val="uk-UA"/>
        </w:rPr>
        <w:t>–</w:t>
      </w:r>
      <w:r w:rsidRPr="001416ED">
        <w:rPr>
          <w:lang w:val="uk-UA"/>
        </w:rPr>
        <w:t xml:space="preserve">1 у плазмі крові чоловіків з гіпертонічною хворобою різної </w:t>
      </w:r>
      <w:r w:rsidR="00046A18" w:rsidRPr="001416ED">
        <w:rPr>
          <w:lang w:val="uk-UA"/>
        </w:rPr>
        <w:t>стадії</w:t>
      </w:r>
      <w:r w:rsidRPr="001416ED">
        <w:rPr>
          <w:lang w:val="uk-UA"/>
        </w:rPr>
        <w:t>, мешканців Подільс</w:t>
      </w:r>
      <w:r w:rsidR="007B6913" w:rsidRPr="001416ED">
        <w:rPr>
          <w:lang w:val="uk-UA"/>
        </w:rPr>
        <w:t>ького регіону України…………………</w:t>
      </w:r>
      <w:r w:rsidR="00454FA4" w:rsidRPr="001416ED">
        <w:rPr>
          <w:lang w:val="uk-UA"/>
        </w:rPr>
        <w:t>…..</w:t>
      </w:r>
      <w:r w:rsidR="00C72223" w:rsidRPr="001416ED">
        <w:rPr>
          <w:lang w:val="uk-UA"/>
        </w:rPr>
        <w:t>8</w:t>
      </w:r>
      <w:r w:rsidR="00B45E56">
        <w:rPr>
          <w:lang w:val="uk-UA"/>
        </w:rPr>
        <w:t>4</w:t>
      </w:r>
    </w:p>
    <w:p w:rsidR="00E92E79" w:rsidRPr="001416ED" w:rsidRDefault="00E92E79" w:rsidP="00454FA4">
      <w:pPr>
        <w:spacing w:line="360" w:lineRule="auto"/>
        <w:ind w:left="709"/>
        <w:jc w:val="both"/>
        <w:rPr>
          <w:lang w:val="uk-UA"/>
        </w:rPr>
      </w:pPr>
      <w:r w:rsidRPr="001416ED">
        <w:rPr>
          <w:lang w:val="uk-UA"/>
        </w:rPr>
        <w:t>4.3</w:t>
      </w:r>
      <w:r w:rsidR="0000524C" w:rsidRPr="001416ED">
        <w:rPr>
          <w:lang w:val="uk-UA"/>
        </w:rPr>
        <w:t>.</w:t>
      </w:r>
      <w:r w:rsidRPr="001416ED">
        <w:rPr>
          <w:lang w:val="uk-UA"/>
        </w:rPr>
        <w:t xml:space="preserve"> Рівень С</w:t>
      </w:r>
      <w:r w:rsidR="00BC0119" w:rsidRPr="001416ED">
        <w:rPr>
          <w:lang w:val="uk-UA"/>
        </w:rPr>
        <w:t>–</w:t>
      </w:r>
      <w:r w:rsidRPr="001416ED">
        <w:rPr>
          <w:lang w:val="uk-UA"/>
        </w:rPr>
        <w:t xml:space="preserve">натрійуретичного пептиду у плазмі крові чоловіків з гіпертонічною хворобою різної </w:t>
      </w:r>
      <w:r w:rsidR="00046A18" w:rsidRPr="001416ED">
        <w:rPr>
          <w:lang w:val="uk-UA"/>
        </w:rPr>
        <w:t>стадії</w:t>
      </w:r>
      <w:r w:rsidRPr="001416ED">
        <w:rPr>
          <w:lang w:val="uk-UA"/>
        </w:rPr>
        <w:t xml:space="preserve">, мешканців </w:t>
      </w:r>
      <w:r w:rsidR="007B6913" w:rsidRPr="001416ED">
        <w:rPr>
          <w:lang w:val="uk-UA"/>
        </w:rPr>
        <w:t>Подільського регіону України………………………………………………………………………….</w:t>
      </w:r>
      <w:r w:rsidR="00B45E56">
        <w:rPr>
          <w:lang w:val="uk-UA"/>
        </w:rPr>
        <w:t>89</w:t>
      </w:r>
    </w:p>
    <w:p w:rsidR="00E92E79" w:rsidRPr="001416ED" w:rsidRDefault="00E92E79" w:rsidP="00454FA4">
      <w:pPr>
        <w:spacing w:line="360" w:lineRule="auto"/>
        <w:ind w:left="709"/>
        <w:jc w:val="both"/>
        <w:rPr>
          <w:lang w:val="uk-UA"/>
        </w:rPr>
      </w:pPr>
      <w:r w:rsidRPr="001416ED">
        <w:rPr>
          <w:lang w:val="uk-UA"/>
        </w:rPr>
        <w:lastRenderedPageBreak/>
        <w:t>4.4</w:t>
      </w:r>
      <w:r w:rsidR="0000524C" w:rsidRPr="001416ED">
        <w:rPr>
          <w:lang w:val="uk-UA"/>
        </w:rPr>
        <w:t>.</w:t>
      </w:r>
      <w:r w:rsidRPr="001416ED">
        <w:rPr>
          <w:lang w:val="uk-UA"/>
        </w:rPr>
        <w:t xml:space="preserve"> Показники ліпідного спектру і глюкози крові у чоловіків з ГХ </w:t>
      </w:r>
      <w:r w:rsidR="00D02878" w:rsidRPr="001416ED">
        <w:rPr>
          <w:lang w:val="uk-UA"/>
        </w:rPr>
        <w:t xml:space="preserve"> ІІ та ІІІ стадії</w:t>
      </w:r>
      <w:r w:rsidRPr="001416ED">
        <w:rPr>
          <w:lang w:val="uk-UA"/>
        </w:rPr>
        <w:t xml:space="preserve">, мешканців Подільського регіону України, носіїв </w:t>
      </w:r>
      <w:r w:rsidR="00E6164F">
        <w:rPr>
          <w:lang w:val="uk-UA"/>
        </w:rPr>
        <w:t>поліморфних варіантів гена</w:t>
      </w:r>
      <w:r w:rsidR="00F86AAE">
        <w:rPr>
          <w:lang w:val="uk-UA"/>
        </w:rPr>
        <w:t xml:space="preserve"> </w:t>
      </w:r>
      <w:r w:rsidR="00C002BF" w:rsidRPr="001416ED">
        <w:rPr>
          <w:lang w:val="uk-UA"/>
        </w:rPr>
        <w:t>ендотеліну</w:t>
      </w:r>
      <w:r w:rsidR="00BC0119" w:rsidRPr="001416ED">
        <w:rPr>
          <w:lang w:val="uk-UA"/>
        </w:rPr>
        <w:t>–</w:t>
      </w:r>
      <w:r w:rsidR="007B6913" w:rsidRPr="001416ED">
        <w:rPr>
          <w:lang w:val="uk-UA"/>
        </w:rPr>
        <w:t>1…………………</w:t>
      </w:r>
      <w:r w:rsidR="00F86AAE">
        <w:rPr>
          <w:lang w:val="uk-UA"/>
        </w:rPr>
        <w:t>…………………………………</w:t>
      </w:r>
      <w:r w:rsidR="00C72223" w:rsidRPr="001416ED">
        <w:rPr>
          <w:lang w:val="uk-UA"/>
        </w:rPr>
        <w:t>9</w:t>
      </w:r>
      <w:r w:rsidR="00B45E56">
        <w:rPr>
          <w:lang w:val="uk-UA"/>
        </w:rPr>
        <w:t>2</w:t>
      </w:r>
    </w:p>
    <w:p w:rsidR="00E92E79" w:rsidRPr="001416ED" w:rsidRDefault="00E92E79" w:rsidP="00454FA4">
      <w:pPr>
        <w:spacing w:line="360" w:lineRule="auto"/>
        <w:ind w:left="709"/>
        <w:jc w:val="both"/>
        <w:rPr>
          <w:lang w:val="uk-UA"/>
        </w:rPr>
      </w:pPr>
      <w:r w:rsidRPr="001416ED">
        <w:rPr>
          <w:lang w:val="uk-UA"/>
        </w:rPr>
        <w:t xml:space="preserve">4.5. Варіанти дерматогліфів на пальцях кистей чоловіків з ГХ </w:t>
      </w:r>
      <w:r w:rsidR="00970339" w:rsidRPr="001416ED">
        <w:rPr>
          <w:lang w:val="uk-UA"/>
        </w:rPr>
        <w:t>різної стадії мешканців Польського</w:t>
      </w:r>
      <w:r w:rsidR="00D16D38" w:rsidRPr="001416ED">
        <w:rPr>
          <w:lang w:val="uk-UA"/>
        </w:rPr>
        <w:t xml:space="preserve"> </w:t>
      </w:r>
      <w:r w:rsidRPr="001416ED">
        <w:rPr>
          <w:lang w:val="uk-UA"/>
        </w:rPr>
        <w:t>регіону …………</w:t>
      </w:r>
      <w:r w:rsidR="00970339" w:rsidRPr="001416ED">
        <w:rPr>
          <w:lang w:val="uk-UA"/>
        </w:rPr>
        <w:t>…………………………………...</w:t>
      </w:r>
      <w:r w:rsidR="001A4349">
        <w:rPr>
          <w:lang w:val="uk-UA"/>
        </w:rPr>
        <w:t>..9</w:t>
      </w:r>
      <w:r w:rsidR="00B45E56">
        <w:rPr>
          <w:lang w:val="uk-UA"/>
        </w:rPr>
        <w:t>6</w:t>
      </w:r>
    </w:p>
    <w:p w:rsidR="00E92E79" w:rsidRPr="001416ED" w:rsidRDefault="00E92E79" w:rsidP="00454FA4">
      <w:pPr>
        <w:spacing w:line="360" w:lineRule="auto"/>
        <w:jc w:val="both"/>
        <w:rPr>
          <w:lang w:val="uk-UA"/>
        </w:rPr>
      </w:pPr>
      <w:r w:rsidRPr="001416ED">
        <w:rPr>
          <w:bCs/>
          <w:lang w:val="uk-UA"/>
        </w:rPr>
        <w:t xml:space="preserve">РОЗДІЛ 5. </w:t>
      </w:r>
      <w:r w:rsidRPr="001416ED">
        <w:rPr>
          <w:lang w:val="uk-UA"/>
        </w:rPr>
        <w:t xml:space="preserve">ПОКАЗНИКИ ВНУТРІШНЬОСЕРЦЕВОЇ ТА СИСТЕМНОЇ ГЕМОДИНАМІКИ У ЧОЛОВІКІВ З ГХ РІЗНОЇ </w:t>
      </w:r>
      <w:r w:rsidR="00046A18" w:rsidRPr="001416ED">
        <w:rPr>
          <w:lang w:val="uk-UA"/>
        </w:rPr>
        <w:t>СТАДІЇ</w:t>
      </w:r>
      <w:r w:rsidRPr="001416ED">
        <w:rPr>
          <w:lang w:val="uk-UA"/>
        </w:rPr>
        <w:t xml:space="preserve">, НОСІЇВ ПОЛІМОРФНИХ ВАРІАНТІВ ГЕНА </w:t>
      </w:r>
      <w:r w:rsidR="00C002BF" w:rsidRPr="001416ED">
        <w:rPr>
          <w:lang w:val="uk-UA"/>
        </w:rPr>
        <w:t>Е</w:t>
      </w:r>
      <w:r w:rsidR="0009648E" w:rsidRPr="001416ED">
        <w:rPr>
          <w:lang w:val="uk-UA"/>
        </w:rPr>
        <w:t>Т</w:t>
      </w:r>
      <w:r w:rsidR="00BC0119" w:rsidRPr="001416ED">
        <w:rPr>
          <w:lang w:val="uk-UA"/>
        </w:rPr>
        <w:t>–</w:t>
      </w:r>
      <w:r w:rsidR="00454FA4" w:rsidRPr="001416ED">
        <w:rPr>
          <w:lang w:val="uk-UA"/>
        </w:rPr>
        <w:t>1, МЕШКАНЦІВ ПОДІЛЛЯ………..</w:t>
      </w:r>
      <w:r w:rsidR="0009648E" w:rsidRPr="001416ED">
        <w:rPr>
          <w:lang w:val="uk-UA"/>
        </w:rPr>
        <w:t>.</w:t>
      </w:r>
      <w:r w:rsidR="000E19D2" w:rsidRPr="001416ED">
        <w:rPr>
          <w:lang w:val="uk-UA"/>
        </w:rPr>
        <w:t>1</w:t>
      </w:r>
      <w:r w:rsidR="00B45E56">
        <w:rPr>
          <w:lang w:val="uk-UA"/>
        </w:rPr>
        <w:t>09</w:t>
      </w:r>
    </w:p>
    <w:p w:rsidR="00E92E79" w:rsidRPr="001416ED" w:rsidRDefault="00E92E79" w:rsidP="00454FA4">
      <w:pPr>
        <w:spacing w:line="360" w:lineRule="auto"/>
        <w:ind w:left="709"/>
        <w:jc w:val="both"/>
        <w:rPr>
          <w:lang w:val="uk-UA"/>
        </w:rPr>
      </w:pPr>
      <w:r w:rsidRPr="001416ED">
        <w:rPr>
          <w:lang w:val="uk-UA"/>
        </w:rPr>
        <w:t>5.1</w:t>
      </w:r>
      <w:r w:rsidR="0000524C" w:rsidRPr="001416ED">
        <w:rPr>
          <w:lang w:val="uk-UA"/>
        </w:rPr>
        <w:t>.</w:t>
      </w:r>
      <w:r w:rsidRPr="001416ED">
        <w:rPr>
          <w:lang w:val="uk-UA"/>
        </w:rPr>
        <w:t xml:space="preserve"> Показники структурно</w:t>
      </w:r>
      <w:r w:rsidR="00BC0119" w:rsidRPr="001416ED">
        <w:rPr>
          <w:lang w:val="uk-UA"/>
        </w:rPr>
        <w:t>–</w:t>
      </w:r>
      <w:r w:rsidRPr="001416ED">
        <w:rPr>
          <w:lang w:val="uk-UA"/>
        </w:rPr>
        <w:t>функціонального стану міокарда та системної гемодинаміки у осіб чоловічої статі</w:t>
      </w:r>
      <w:r w:rsidR="00970339" w:rsidRPr="001416ED">
        <w:rPr>
          <w:lang w:val="uk-UA"/>
        </w:rPr>
        <w:t xml:space="preserve"> групи контролю та</w:t>
      </w:r>
      <w:r w:rsidRPr="001416ED">
        <w:rPr>
          <w:lang w:val="uk-UA"/>
        </w:rPr>
        <w:t xml:space="preserve"> з ГХ ІІ ст</w:t>
      </w:r>
      <w:r w:rsidR="00970339" w:rsidRPr="001416ED">
        <w:rPr>
          <w:lang w:val="uk-UA"/>
        </w:rPr>
        <w:t>адії</w:t>
      </w:r>
      <w:r w:rsidRPr="001416ED">
        <w:rPr>
          <w:lang w:val="uk-UA"/>
        </w:rPr>
        <w:t xml:space="preserve"> </w:t>
      </w:r>
      <w:r w:rsidR="00BC0119" w:rsidRPr="001416ED">
        <w:rPr>
          <w:lang w:val="uk-UA"/>
        </w:rPr>
        <w:t>–</w:t>
      </w:r>
      <w:r w:rsidRPr="001416ED">
        <w:rPr>
          <w:lang w:val="uk-UA"/>
        </w:rPr>
        <w:t xml:space="preserve"> носіїв </w:t>
      </w:r>
      <w:r w:rsidR="00E6164F">
        <w:rPr>
          <w:lang w:val="uk-UA"/>
        </w:rPr>
        <w:t>поліморфних варіантів гена ЕТ–1</w:t>
      </w:r>
      <w:r w:rsidRPr="001416ED">
        <w:rPr>
          <w:lang w:val="uk-UA"/>
        </w:rPr>
        <w:t xml:space="preserve"> …</w:t>
      </w:r>
      <w:r w:rsidR="007B6913" w:rsidRPr="001416ED">
        <w:rPr>
          <w:lang w:val="uk-UA"/>
        </w:rPr>
        <w:t>………..</w:t>
      </w:r>
      <w:r w:rsidR="00A24FA9" w:rsidRPr="001416ED">
        <w:rPr>
          <w:lang w:val="uk-UA"/>
        </w:rPr>
        <w:t>………</w:t>
      </w:r>
      <w:r w:rsidR="000E19D2" w:rsidRPr="001416ED">
        <w:rPr>
          <w:lang w:val="uk-UA"/>
        </w:rPr>
        <w:t>…</w:t>
      </w:r>
      <w:r w:rsidR="00F86AAE">
        <w:rPr>
          <w:lang w:val="uk-UA"/>
        </w:rPr>
        <w:t>……………………</w:t>
      </w:r>
      <w:r w:rsidR="0009648E" w:rsidRPr="001416ED">
        <w:rPr>
          <w:lang w:val="uk-UA"/>
        </w:rPr>
        <w:t>.</w:t>
      </w:r>
      <w:r w:rsidR="000E19D2" w:rsidRPr="001416ED">
        <w:rPr>
          <w:lang w:val="uk-UA"/>
        </w:rPr>
        <w:t>1</w:t>
      </w:r>
      <w:r w:rsidR="00B45E56">
        <w:rPr>
          <w:lang w:val="uk-UA"/>
        </w:rPr>
        <w:t>09</w:t>
      </w:r>
    </w:p>
    <w:p w:rsidR="00E92E79" w:rsidRPr="001416ED" w:rsidRDefault="00E92E79" w:rsidP="00454FA4">
      <w:pPr>
        <w:spacing w:line="360" w:lineRule="auto"/>
        <w:ind w:left="709"/>
        <w:jc w:val="both"/>
        <w:rPr>
          <w:lang w:val="uk-UA"/>
        </w:rPr>
      </w:pPr>
      <w:r w:rsidRPr="001416ED">
        <w:rPr>
          <w:lang w:val="uk-UA"/>
        </w:rPr>
        <w:t>5.2</w:t>
      </w:r>
      <w:r w:rsidR="0000524C" w:rsidRPr="001416ED">
        <w:rPr>
          <w:lang w:val="uk-UA"/>
        </w:rPr>
        <w:t>.</w:t>
      </w:r>
      <w:r w:rsidRPr="001416ED">
        <w:rPr>
          <w:lang w:val="uk-UA"/>
        </w:rPr>
        <w:t xml:space="preserve"> Стан серцевої та системної гемодинаміки у осіб чоловічої статі з ГХ </w:t>
      </w:r>
      <w:r w:rsidR="00970339" w:rsidRPr="001416ED">
        <w:rPr>
          <w:lang w:val="uk-UA"/>
        </w:rPr>
        <w:t>ІІІ</w:t>
      </w:r>
      <w:r w:rsidRPr="001416ED">
        <w:rPr>
          <w:lang w:val="uk-UA"/>
        </w:rPr>
        <w:t xml:space="preserve"> ст</w:t>
      </w:r>
      <w:r w:rsidR="00970339" w:rsidRPr="001416ED">
        <w:rPr>
          <w:lang w:val="uk-UA"/>
        </w:rPr>
        <w:t>адії</w:t>
      </w:r>
      <w:r w:rsidRPr="001416ED">
        <w:rPr>
          <w:lang w:val="uk-UA"/>
        </w:rPr>
        <w:t xml:space="preserve"> при носій</w:t>
      </w:r>
      <w:r w:rsidR="00970339" w:rsidRPr="001416ED">
        <w:rPr>
          <w:lang w:val="uk-UA"/>
        </w:rPr>
        <w:t xml:space="preserve">стві </w:t>
      </w:r>
      <w:r w:rsidR="00FF5C21">
        <w:rPr>
          <w:lang w:val="uk-UA"/>
        </w:rPr>
        <w:t>поліморфних варіантів гена</w:t>
      </w:r>
      <w:r w:rsidR="00970339" w:rsidRPr="001416ED">
        <w:rPr>
          <w:lang w:val="uk-UA"/>
        </w:rPr>
        <w:t xml:space="preserve"> </w:t>
      </w:r>
      <w:r w:rsidR="00A24FA9" w:rsidRPr="001416ED">
        <w:rPr>
          <w:lang w:val="uk-UA"/>
        </w:rPr>
        <w:t>ЕТ</w:t>
      </w:r>
      <w:r w:rsidR="00BC0119" w:rsidRPr="001416ED">
        <w:rPr>
          <w:lang w:val="uk-UA"/>
        </w:rPr>
        <w:t>–</w:t>
      </w:r>
      <w:r w:rsidR="00A24FA9" w:rsidRPr="001416ED">
        <w:rPr>
          <w:lang w:val="uk-UA"/>
        </w:rPr>
        <w:t>1</w:t>
      </w:r>
      <w:r w:rsidRPr="001416ED">
        <w:rPr>
          <w:lang w:val="uk-UA"/>
        </w:rPr>
        <w:t>…………………</w:t>
      </w:r>
      <w:r w:rsidR="00C72223" w:rsidRPr="001416ED">
        <w:rPr>
          <w:lang w:val="uk-UA"/>
        </w:rPr>
        <w:t>…</w:t>
      </w:r>
      <w:r w:rsidR="001A4349">
        <w:rPr>
          <w:lang w:val="uk-UA"/>
        </w:rPr>
        <w:t>.</w:t>
      </w:r>
      <w:r w:rsidR="000E19D2" w:rsidRPr="001416ED">
        <w:rPr>
          <w:lang w:val="uk-UA"/>
        </w:rPr>
        <w:t>1</w:t>
      </w:r>
      <w:r w:rsidR="00C72223" w:rsidRPr="001416ED">
        <w:rPr>
          <w:lang w:val="uk-UA"/>
        </w:rPr>
        <w:t>1</w:t>
      </w:r>
      <w:r w:rsidR="00B45E56">
        <w:rPr>
          <w:lang w:val="uk-UA"/>
        </w:rPr>
        <w:t>3</w:t>
      </w:r>
    </w:p>
    <w:p w:rsidR="00E92E79" w:rsidRPr="001416ED" w:rsidRDefault="00E92E79" w:rsidP="00454FA4">
      <w:pPr>
        <w:spacing w:line="360" w:lineRule="auto"/>
        <w:ind w:left="709"/>
        <w:jc w:val="both"/>
        <w:rPr>
          <w:lang w:val="uk-UA"/>
        </w:rPr>
      </w:pPr>
      <w:r w:rsidRPr="001416ED">
        <w:rPr>
          <w:lang w:val="uk-UA"/>
        </w:rPr>
        <w:t xml:space="preserve">5.3. Плазмова концентрація </w:t>
      </w:r>
      <w:r w:rsidR="00C002BF" w:rsidRPr="001416ED">
        <w:rPr>
          <w:lang w:val="uk-UA"/>
        </w:rPr>
        <w:t>ендотеліну</w:t>
      </w:r>
      <w:r w:rsidR="00BC0119" w:rsidRPr="001416ED">
        <w:rPr>
          <w:lang w:val="uk-UA"/>
        </w:rPr>
        <w:t>–</w:t>
      </w:r>
      <w:r w:rsidRPr="001416ED">
        <w:rPr>
          <w:lang w:val="uk-UA"/>
        </w:rPr>
        <w:t xml:space="preserve">1 у чоловіків з ГХ різної </w:t>
      </w:r>
      <w:r w:rsidR="00046A18" w:rsidRPr="001416ED">
        <w:rPr>
          <w:lang w:val="uk-UA"/>
        </w:rPr>
        <w:t>стадії</w:t>
      </w:r>
      <w:r w:rsidRPr="001416ED">
        <w:rPr>
          <w:lang w:val="uk-UA"/>
        </w:rPr>
        <w:t xml:space="preserve"> при різних показниках структури і функції міокарду та показників системної гемодинаміки…</w:t>
      </w:r>
      <w:r w:rsidR="007B6913" w:rsidRPr="001416ED">
        <w:rPr>
          <w:lang w:val="uk-UA"/>
        </w:rPr>
        <w:t>………………………………………………………………</w:t>
      </w:r>
      <w:r w:rsidR="000E19D2" w:rsidRPr="001416ED">
        <w:rPr>
          <w:lang w:val="uk-UA"/>
        </w:rPr>
        <w:t>.1</w:t>
      </w:r>
      <w:r w:rsidR="00C72223" w:rsidRPr="001416ED">
        <w:rPr>
          <w:lang w:val="uk-UA"/>
        </w:rPr>
        <w:t>2</w:t>
      </w:r>
      <w:r w:rsidR="00B45E56">
        <w:rPr>
          <w:lang w:val="uk-UA"/>
        </w:rPr>
        <w:t>1</w:t>
      </w:r>
    </w:p>
    <w:p w:rsidR="00E92E79" w:rsidRPr="001416ED" w:rsidRDefault="00E92E79" w:rsidP="00454FA4">
      <w:pPr>
        <w:spacing w:line="360" w:lineRule="auto"/>
        <w:ind w:left="709"/>
        <w:jc w:val="both"/>
        <w:rPr>
          <w:lang w:val="uk-UA"/>
        </w:rPr>
      </w:pPr>
      <w:r w:rsidRPr="001416ED">
        <w:rPr>
          <w:lang w:val="uk-UA"/>
        </w:rPr>
        <w:t>5.4</w:t>
      </w:r>
      <w:r w:rsidR="0000524C" w:rsidRPr="001416ED">
        <w:rPr>
          <w:lang w:val="uk-UA"/>
        </w:rPr>
        <w:t>.</w:t>
      </w:r>
      <w:r w:rsidRPr="001416ED">
        <w:rPr>
          <w:lang w:val="uk-UA"/>
        </w:rPr>
        <w:t xml:space="preserve"> Рівень СНП у плазмі крові чоловіків з ГХ різної </w:t>
      </w:r>
      <w:r w:rsidR="00046A18" w:rsidRPr="001416ED">
        <w:rPr>
          <w:lang w:val="uk-UA"/>
        </w:rPr>
        <w:t>стадії</w:t>
      </w:r>
      <w:r w:rsidRPr="001416ED">
        <w:rPr>
          <w:lang w:val="uk-UA"/>
        </w:rPr>
        <w:t xml:space="preserve"> при структурно</w:t>
      </w:r>
      <w:r w:rsidR="00BC0119" w:rsidRPr="001416ED">
        <w:rPr>
          <w:lang w:val="uk-UA"/>
        </w:rPr>
        <w:t>–</w:t>
      </w:r>
      <w:r w:rsidRPr="001416ED">
        <w:rPr>
          <w:lang w:val="uk-UA"/>
        </w:rPr>
        <w:t xml:space="preserve">функціональних змінах міокарда </w:t>
      </w:r>
      <w:r w:rsidR="00B57759">
        <w:rPr>
          <w:lang w:val="uk-UA"/>
        </w:rPr>
        <w:t>та системної гемо</w:t>
      </w:r>
      <w:r w:rsidR="006B1E0F" w:rsidRPr="001416ED">
        <w:rPr>
          <w:lang w:val="uk-UA"/>
        </w:rPr>
        <w:t>дин</w:t>
      </w:r>
      <w:r w:rsidR="00B57759">
        <w:rPr>
          <w:lang w:val="uk-UA"/>
        </w:rPr>
        <w:t>аміки……………..</w:t>
      </w:r>
      <w:r w:rsidR="000E19D2" w:rsidRPr="001416ED">
        <w:rPr>
          <w:lang w:val="uk-UA"/>
        </w:rPr>
        <w:t>1</w:t>
      </w:r>
      <w:r w:rsidR="009646AB" w:rsidRPr="001416ED">
        <w:rPr>
          <w:lang w:val="uk-UA"/>
        </w:rPr>
        <w:t>2</w:t>
      </w:r>
      <w:r w:rsidR="00B45E56">
        <w:rPr>
          <w:lang w:val="uk-UA"/>
        </w:rPr>
        <w:t>5</w:t>
      </w:r>
    </w:p>
    <w:p w:rsidR="00E92E79" w:rsidRPr="001416ED" w:rsidRDefault="00E92E79" w:rsidP="00454FA4">
      <w:pPr>
        <w:spacing w:line="360" w:lineRule="auto"/>
        <w:jc w:val="both"/>
        <w:rPr>
          <w:lang w:val="uk-UA"/>
        </w:rPr>
      </w:pPr>
      <w:r w:rsidRPr="001416ED">
        <w:rPr>
          <w:lang w:val="uk-UA"/>
        </w:rPr>
        <w:t>РОЗДІЛ 6. АНАЛІЗ ТА УЗАГАЛЬ</w:t>
      </w:r>
      <w:r w:rsidR="007B6913" w:rsidRPr="001416ED">
        <w:rPr>
          <w:lang w:val="uk-UA"/>
        </w:rPr>
        <w:t>НЕННЯ РЕЗУЛЬТАТІВ ДОСЛІДЖЕННЯ.</w:t>
      </w:r>
      <w:r w:rsidR="000E19D2" w:rsidRPr="001416ED">
        <w:rPr>
          <w:lang w:val="uk-UA"/>
        </w:rPr>
        <w:t>..</w:t>
      </w:r>
      <w:r w:rsidR="00C72223" w:rsidRPr="001416ED">
        <w:rPr>
          <w:lang w:val="uk-UA"/>
        </w:rPr>
        <w:t>.</w:t>
      </w:r>
      <w:r w:rsidR="001A4349">
        <w:rPr>
          <w:lang w:val="uk-UA"/>
        </w:rPr>
        <w:t>.</w:t>
      </w:r>
      <w:r w:rsidR="000E19D2" w:rsidRPr="001416ED">
        <w:rPr>
          <w:lang w:val="uk-UA"/>
        </w:rPr>
        <w:t>1</w:t>
      </w:r>
      <w:r w:rsidR="00C72223" w:rsidRPr="001416ED">
        <w:rPr>
          <w:lang w:val="uk-UA"/>
        </w:rPr>
        <w:t>3</w:t>
      </w:r>
      <w:r w:rsidR="00B45E56">
        <w:rPr>
          <w:lang w:val="uk-UA"/>
        </w:rPr>
        <w:t>2</w:t>
      </w:r>
    </w:p>
    <w:p w:rsidR="00E92E79" w:rsidRPr="001416ED" w:rsidRDefault="00E92E79" w:rsidP="00454FA4">
      <w:pPr>
        <w:spacing w:line="360" w:lineRule="auto"/>
        <w:jc w:val="both"/>
        <w:rPr>
          <w:lang w:val="uk-UA"/>
        </w:rPr>
      </w:pPr>
      <w:r w:rsidRPr="001416ED">
        <w:rPr>
          <w:lang w:val="uk-UA"/>
        </w:rPr>
        <w:t>ВИСНОВКИ………………………………………………………………………</w:t>
      </w:r>
      <w:r w:rsidR="000E19D2" w:rsidRPr="001416ED">
        <w:rPr>
          <w:lang w:val="uk-UA"/>
        </w:rPr>
        <w:t>...</w:t>
      </w:r>
      <w:r w:rsidRPr="001416ED">
        <w:rPr>
          <w:lang w:val="uk-UA"/>
        </w:rPr>
        <w:t>.</w:t>
      </w:r>
      <w:r w:rsidR="00A57CF9" w:rsidRPr="001416ED">
        <w:rPr>
          <w:lang w:val="uk-UA"/>
        </w:rPr>
        <w:t>.</w:t>
      </w:r>
      <w:r w:rsidR="000E19D2" w:rsidRPr="001416ED">
        <w:rPr>
          <w:lang w:val="uk-UA"/>
        </w:rPr>
        <w:t>1</w:t>
      </w:r>
      <w:r w:rsidR="00C72223" w:rsidRPr="001416ED">
        <w:rPr>
          <w:lang w:val="uk-UA"/>
        </w:rPr>
        <w:t>5</w:t>
      </w:r>
      <w:r w:rsidR="00B45E56">
        <w:rPr>
          <w:lang w:val="uk-UA"/>
        </w:rPr>
        <w:t>1</w:t>
      </w:r>
    </w:p>
    <w:p w:rsidR="00E92E79" w:rsidRPr="001416ED" w:rsidRDefault="00E92E79" w:rsidP="00454FA4">
      <w:pPr>
        <w:spacing w:line="360" w:lineRule="auto"/>
        <w:jc w:val="both"/>
        <w:rPr>
          <w:lang w:val="uk-UA"/>
        </w:rPr>
      </w:pPr>
      <w:r w:rsidRPr="001416ED">
        <w:rPr>
          <w:lang w:val="uk-UA"/>
        </w:rPr>
        <w:t>ПРАКТИЧНІ РЕКОМЕНДАЦІЇ…………………………………………………</w:t>
      </w:r>
      <w:r w:rsidR="009646AB" w:rsidRPr="001416ED">
        <w:rPr>
          <w:lang w:val="uk-UA"/>
        </w:rPr>
        <w:t>…</w:t>
      </w:r>
      <w:r w:rsidR="000E19D2" w:rsidRPr="001416ED">
        <w:rPr>
          <w:lang w:val="uk-UA"/>
        </w:rPr>
        <w:t>.1</w:t>
      </w:r>
      <w:r w:rsidR="00C72223" w:rsidRPr="001416ED">
        <w:rPr>
          <w:lang w:val="uk-UA"/>
        </w:rPr>
        <w:t>5</w:t>
      </w:r>
      <w:r w:rsidR="00B45E56">
        <w:rPr>
          <w:lang w:val="uk-UA"/>
        </w:rPr>
        <w:t>3</w:t>
      </w:r>
    </w:p>
    <w:p w:rsidR="00E92E79" w:rsidRPr="001416ED" w:rsidRDefault="00E92E79" w:rsidP="00454FA4">
      <w:pPr>
        <w:spacing w:line="360" w:lineRule="auto"/>
        <w:jc w:val="both"/>
        <w:rPr>
          <w:lang w:val="uk-UA"/>
        </w:rPr>
      </w:pPr>
      <w:r w:rsidRPr="001416ED">
        <w:rPr>
          <w:lang w:val="uk-UA"/>
        </w:rPr>
        <w:t>СПИСОК ВИКОРИСТАНИХ ДЖЕРЕЛ………………………………………..</w:t>
      </w:r>
      <w:r w:rsidR="000E19D2" w:rsidRPr="001416ED">
        <w:rPr>
          <w:lang w:val="uk-UA"/>
        </w:rPr>
        <w:t>.</w:t>
      </w:r>
      <w:r w:rsidR="009646AB" w:rsidRPr="001416ED">
        <w:rPr>
          <w:lang w:val="uk-UA"/>
        </w:rPr>
        <w:t>....</w:t>
      </w:r>
      <w:r w:rsidR="000E19D2" w:rsidRPr="001416ED">
        <w:rPr>
          <w:lang w:val="uk-UA"/>
        </w:rPr>
        <w:t>1</w:t>
      </w:r>
      <w:r w:rsidR="001A4349">
        <w:rPr>
          <w:lang w:val="uk-UA"/>
        </w:rPr>
        <w:t>5</w:t>
      </w:r>
      <w:r w:rsidR="00B45E56">
        <w:rPr>
          <w:lang w:val="uk-UA"/>
        </w:rPr>
        <w:t>5</w:t>
      </w:r>
    </w:p>
    <w:p w:rsidR="00E92E79" w:rsidRPr="001416ED" w:rsidRDefault="00E92E79" w:rsidP="00454FA4">
      <w:pPr>
        <w:spacing w:line="360" w:lineRule="auto"/>
        <w:jc w:val="both"/>
        <w:rPr>
          <w:b/>
          <w:lang w:val="uk-UA"/>
        </w:rPr>
      </w:pPr>
    </w:p>
    <w:p w:rsidR="00E640B8" w:rsidRPr="001416ED" w:rsidRDefault="00E640B8" w:rsidP="00656DBA">
      <w:pPr>
        <w:spacing w:line="360" w:lineRule="auto"/>
        <w:rPr>
          <w:b/>
          <w:lang w:val="uk-UA"/>
        </w:rPr>
      </w:pPr>
    </w:p>
    <w:p w:rsidR="00E640B8" w:rsidRPr="001416ED" w:rsidRDefault="00E640B8" w:rsidP="00E92E79">
      <w:pPr>
        <w:spacing w:line="360" w:lineRule="auto"/>
        <w:jc w:val="both"/>
        <w:rPr>
          <w:b/>
          <w:lang w:val="uk-UA"/>
        </w:rPr>
      </w:pPr>
    </w:p>
    <w:p w:rsidR="00E640B8" w:rsidRPr="001416ED" w:rsidRDefault="00E640B8" w:rsidP="00E92E79">
      <w:pPr>
        <w:spacing w:line="360" w:lineRule="auto"/>
        <w:jc w:val="both"/>
        <w:rPr>
          <w:b/>
          <w:lang w:val="uk-UA"/>
        </w:rPr>
      </w:pPr>
    </w:p>
    <w:p w:rsidR="00632AA0" w:rsidRPr="001416ED" w:rsidRDefault="00632AA0" w:rsidP="00A770B7">
      <w:pPr>
        <w:widowControl w:val="0"/>
        <w:autoSpaceDE w:val="0"/>
        <w:autoSpaceDN w:val="0"/>
        <w:adjustRightInd w:val="0"/>
        <w:spacing w:before="240" w:after="240" w:line="360" w:lineRule="auto"/>
        <w:ind w:firstLine="709"/>
        <w:jc w:val="center"/>
        <w:outlineLvl w:val="0"/>
        <w:rPr>
          <w:b/>
          <w:bCs/>
          <w:lang w:val="uk-UA"/>
        </w:rPr>
      </w:pPr>
    </w:p>
    <w:p w:rsidR="00632AA0" w:rsidRPr="001416ED" w:rsidRDefault="00632AA0" w:rsidP="00A770B7">
      <w:pPr>
        <w:widowControl w:val="0"/>
        <w:autoSpaceDE w:val="0"/>
        <w:autoSpaceDN w:val="0"/>
        <w:adjustRightInd w:val="0"/>
        <w:spacing w:before="240" w:after="240" w:line="360" w:lineRule="auto"/>
        <w:ind w:firstLine="709"/>
        <w:jc w:val="center"/>
        <w:outlineLvl w:val="0"/>
        <w:rPr>
          <w:b/>
          <w:bCs/>
          <w:lang w:val="uk-UA"/>
        </w:rPr>
      </w:pPr>
    </w:p>
    <w:p w:rsidR="00B504E6" w:rsidRPr="001416ED" w:rsidRDefault="007B6913" w:rsidP="00A770B7">
      <w:pPr>
        <w:widowControl w:val="0"/>
        <w:autoSpaceDE w:val="0"/>
        <w:autoSpaceDN w:val="0"/>
        <w:adjustRightInd w:val="0"/>
        <w:spacing w:before="240" w:after="240" w:line="360" w:lineRule="auto"/>
        <w:ind w:firstLine="709"/>
        <w:jc w:val="center"/>
        <w:outlineLvl w:val="0"/>
        <w:rPr>
          <w:b/>
          <w:bCs/>
          <w:lang w:val="uk-UA"/>
        </w:rPr>
      </w:pPr>
      <w:r w:rsidRPr="001416ED">
        <w:rPr>
          <w:b/>
          <w:bCs/>
          <w:lang w:val="uk-UA"/>
        </w:rPr>
        <w:lastRenderedPageBreak/>
        <w:t>П</w:t>
      </w:r>
      <w:r w:rsidR="00B504E6" w:rsidRPr="001416ED">
        <w:rPr>
          <w:b/>
          <w:bCs/>
          <w:lang w:val="uk-UA"/>
        </w:rPr>
        <w:t>ЕРЕЛІК УМОВНИХ СКОРОЧЕНЬ</w:t>
      </w:r>
    </w:p>
    <w:p w:rsidR="00AE3E68" w:rsidRPr="001416ED" w:rsidRDefault="00AE3E68" w:rsidP="008D2FF4">
      <w:pPr>
        <w:widowControl w:val="0"/>
        <w:autoSpaceDE w:val="0"/>
        <w:autoSpaceDN w:val="0"/>
        <w:adjustRightInd w:val="0"/>
        <w:spacing w:line="360" w:lineRule="auto"/>
        <w:rPr>
          <w:lang w:val="uk-UA"/>
        </w:rPr>
      </w:pPr>
      <w:r w:rsidRPr="001416ED">
        <w:rPr>
          <w:lang w:val="uk-UA"/>
        </w:rPr>
        <w:t>А</w:t>
      </w:r>
      <w:r w:rsidR="00753C33" w:rsidRPr="001416ED">
        <w:rPr>
          <w:lang w:val="uk-UA"/>
        </w:rPr>
        <w:t xml:space="preserve"> </w:t>
      </w:r>
      <w:r w:rsidR="00BC0119" w:rsidRPr="001416ED">
        <w:rPr>
          <w:lang w:val="uk-UA"/>
        </w:rPr>
        <w:t>–</w:t>
      </w:r>
      <w:r w:rsidRPr="001416ED">
        <w:rPr>
          <w:lang w:val="uk-UA"/>
        </w:rPr>
        <w:t xml:space="preserve"> швидкість пізнього діастолічного наповнення лівого шлуночка</w:t>
      </w:r>
    </w:p>
    <w:p w:rsidR="00AE3E68" w:rsidRPr="001416ED" w:rsidRDefault="00AE3E68" w:rsidP="008D2FF4">
      <w:pPr>
        <w:spacing w:line="360" w:lineRule="auto"/>
        <w:rPr>
          <w:lang w:val="uk-UA"/>
        </w:rPr>
      </w:pPr>
      <w:r w:rsidRPr="001416ED">
        <w:rPr>
          <w:lang w:val="uk-UA"/>
        </w:rPr>
        <w:t>АГ</w:t>
      </w:r>
      <w:r w:rsidR="003C7284" w:rsidRPr="001416ED">
        <w:rPr>
          <w:lang w:val="uk-UA"/>
        </w:rPr>
        <w:t xml:space="preserve"> </w:t>
      </w:r>
      <w:r w:rsidRPr="001416ED">
        <w:rPr>
          <w:lang w:val="uk-UA"/>
        </w:rPr>
        <w:t>– артеріальна гіпертензія</w:t>
      </w:r>
    </w:p>
    <w:p w:rsidR="00AE3E68" w:rsidRPr="001416ED" w:rsidRDefault="00AE3E68" w:rsidP="008D2FF4">
      <w:pPr>
        <w:spacing w:line="360" w:lineRule="auto"/>
        <w:rPr>
          <w:lang w:val="uk-UA"/>
        </w:rPr>
      </w:pPr>
      <w:r w:rsidRPr="001416ED">
        <w:rPr>
          <w:lang w:val="uk-UA"/>
        </w:rPr>
        <w:t xml:space="preserve">АПФ </w:t>
      </w:r>
      <w:r w:rsidR="00BC0119" w:rsidRPr="001416ED">
        <w:rPr>
          <w:lang w:val="uk-UA"/>
        </w:rPr>
        <w:t>–</w:t>
      </w:r>
      <w:r w:rsidRPr="001416ED">
        <w:rPr>
          <w:lang w:val="uk-UA"/>
        </w:rPr>
        <w:t xml:space="preserve"> ангіотензинперетворюючий фермент</w:t>
      </w:r>
    </w:p>
    <w:p w:rsidR="00AE3E68" w:rsidRPr="001416ED" w:rsidRDefault="003C7284" w:rsidP="008D2FF4">
      <w:pPr>
        <w:spacing w:line="360" w:lineRule="auto"/>
        <w:rPr>
          <w:lang w:val="uk-UA"/>
        </w:rPr>
      </w:pPr>
      <w:r w:rsidRPr="001416ED">
        <w:rPr>
          <w:lang w:val="uk-UA"/>
        </w:rPr>
        <w:t>АТ</w:t>
      </w:r>
      <w:r w:rsidR="008D2FF4" w:rsidRPr="001416ED">
        <w:rPr>
          <w:lang w:val="uk-UA"/>
        </w:rPr>
        <w:t xml:space="preserve"> </w:t>
      </w:r>
      <w:r w:rsidR="00BC0119" w:rsidRPr="001416ED">
        <w:rPr>
          <w:lang w:val="uk-UA"/>
        </w:rPr>
        <w:t>–</w:t>
      </w:r>
      <w:r w:rsidR="00AE3E68" w:rsidRPr="001416ED">
        <w:rPr>
          <w:lang w:val="uk-UA"/>
        </w:rPr>
        <w:t xml:space="preserve"> артеріальний тиск</w:t>
      </w:r>
    </w:p>
    <w:p w:rsidR="00AE3E68" w:rsidRPr="001416ED" w:rsidRDefault="00AE3E68" w:rsidP="008D2FF4">
      <w:pPr>
        <w:spacing w:line="360" w:lineRule="auto"/>
        <w:rPr>
          <w:lang w:val="uk-UA"/>
        </w:rPr>
      </w:pPr>
      <w:r w:rsidRPr="001416ED">
        <w:rPr>
          <w:lang w:val="uk-UA"/>
        </w:rPr>
        <w:t>АТ1</w:t>
      </w:r>
      <w:r w:rsidR="00BC0119" w:rsidRPr="001416ED">
        <w:rPr>
          <w:lang w:val="uk-UA"/>
        </w:rPr>
        <w:t>–</w:t>
      </w:r>
      <w:r w:rsidRPr="001416ED">
        <w:rPr>
          <w:lang w:val="uk-UA"/>
        </w:rPr>
        <w:t>Р</w:t>
      </w:r>
      <w:r w:rsidR="003C7284" w:rsidRPr="001416ED">
        <w:rPr>
          <w:lang w:val="uk-UA"/>
        </w:rPr>
        <w:t xml:space="preserve"> </w:t>
      </w:r>
      <w:r w:rsidRPr="001416ED">
        <w:rPr>
          <w:lang w:val="uk-UA"/>
        </w:rPr>
        <w:t>– рецептори до ангіотензину ІІ 1</w:t>
      </w:r>
      <w:r w:rsidR="00BC0119" w:rsidRPr="001416ED">
        <w:rPr>
          <w:lang w:val="uk-UA"/>
        </w:rPr>
        <w:t>–</w:t>
      </w:r>
      <w:r w:rsidRPr="001416ED">
        <w:rPr>
          <w:lang w:val="uk-UA"/>
        </w:rPr>
        <w:t>го типу</w:t>
      </w:r>
    </w:p>
    <w:p w:rsidR="00AE3E68" w:rsidRPr="001416ED" w:rsidRDefault="00AE3E68" w:rsidP="008D2FF4">
      <w:pPr>
        <w:spacing w:line="360" w:lineRule="auto"/>
        <w:rPr>
          <w:lang w:val="uk-UA"/>
        </w:rPr>
      </w:pPr>
      <w:r w:rsidRPr="001416ED">
        <w:rPr>
          <w:lang w:val="uk-UA"/>
        </w:rPr>
        <w:t>АТ</w:t>
      </w:r>
      <w:r w:rsidR="00BC0119" w:rsidRPr="001416ED">
        <w:rPr>
          <w:lang w:val="uk-UA"/>
        </w:rPr>
        <w:t>–</w:t>
      </w:r>
      <w:r w:rsidR="003C7284" w:rsidRPr="001416ED">
        <w:rPr>
          <w:lang w:val="uk-UA"/>
        </w:rPr>
        <w:t>ІІ</w:t>
      </w:r>
      <w:r w:rsidR="008D2FF4" w:rsidRPr="001416ED">
        <w:rPr>
          <w:lang w:val="uk-UA"/>
        </w:rPr>
        <w:t xml:space="preserve"> </w:t>
      </w:r>
      <w:r w:rsidRPr="001416ED">
        <w:rPr>
          <w:lang w:val="uk-UA"/>
        </w:rPr>
        <w:t>– ангіотензин ІІ</w:t>
      </w:r>
    </w:p>
    <w:p w:rsidR="00AE3E68" w:rsidRPr="001416ED" w:rsidRDefault="00AE3E68" w:rsidP="008D2FF4">
      <w:pPr>
        <w:widowControl w:val="0"/>
        <w:autoSpaceDE w:val="0"/>
        <w:autoSpaceDN w:val="0"/>
        <w:adjustRightInd w:val="0"/>
        <w:spacing w:line="360" w:lineRule="auto"/>
        <w:rPr>
          <w:lang w:val="uk-UA"/>
        </w:rPr>
      </w:pPr>
      <w:r w:rsidRPr="001416ED">
        <w:rPr>
          <w:lang w:val="uk-UA"/>
        </w:rPr>
        <w:t>ВТС – відносна товщина стінки лівого шлуночка</w:t>
      </w:r>
    </w:p>
    <w:p w:rsidR="00AE3E68" w:rsidRPr="001416ED" w:rsidRDefault="00AE3E68" w:rsidP="008D2FF4">
      <w:pPr>
        <w:spacing w:line="360" w:lineRule="auto"/>
        <w:rPr>
          <w:lang w:val="uk-UA"/>
        </w:rPr>
      </w:pPr>
      <w:r w:rsidRPr="001416ED">
        <w:rPr>
          <w:lang w:val="uk-UA"/>
        </w:rPr>
        <w:t>ГЛШ – гіпертрофія лівого шлуночка</w:t>
      </w:r>
    </w:p>
    <w:p w:rsidR="00AE3E68" w:rsidRPr="001416ED" w:rsidRDefault="00AE3E68" w:rsidP="008D2FF4">
      <w:pPr>
        <w:spacing w:line="360" w:lineRule="auto"/>
        <w:rPr>
          <w:lang w:val="uk-UA"/>
        </w:rPr>
      </w:pPr>
      <w:r w:rsidRPr="001416ED">
        <w:rPr>
          <w:lang w:val="uk-UA"/>
        </w:rPr>
        <w:t xml:space="preserve">ГМК </w:t>
      </w:r>
      <w:r w:rsidR="00BC0119" w:rsidRPr="001416ED">
        <w:rPr>
          <w:lang w:val="uk-UA"/>
        </w:rPr>
        <w:t>–</w:t>
      </w:r>
      <w:r w:rsidRPr="001416ED">
        <w:rPr>
          <w:lang w:val="uk-UA"/>
        </w:rPr>
        <w:t xml:space="preserve"> гладком’язові клітини</w:t>
      </w:r>
    </w:p>
    <w:p w:rsidR="00227EA1" w:rsidRPr="001416ED" w:rsidRDefault="00227EA1" w:rsidP="008D2FF4">
      <w:pPr>
        <w:spacing w:line="360" w:lineRule="auto"/>
        <w:rPr>
          <w:lang w:val="uk-UA"/>
        </w:rPr>
      </w:pPr>
      <w:r w:rsidRPr="001416ED">
        <w:rPr>
          <w:lang w:val="uk-UA"/>
        </w:rPr>
        <w:t xml:space="preserve">ГР – гребінцевий рахунок </w:t>
      </w:r>
    </w:p>
    <w:p w:rsidR="00AE3E68" w:rsidRPr="001416ED" w:rsidRDefault="00AE3E68" w:rsidP="008D2FF4">
      <w:pPr>
        <w:spacing w:line="360" w:lineRule="auto"/>
        <w:rPr>
          <w:lang w:val="uk-UA"/>
        </w:rPr>
      </w:pPr>
      <w:r w:rsidRPr="001416ED">
        <w:rPr>
          <w:lang w:val="uk-UA"/>
        </w:rPr>
        <w:t>ГХ – гіпертонічна хвороба</w:t>
      </w:r>
    </w:p>
    <w:p w:rsidR="00AE3E68" w:rsidRDefault="00AE3E68" w:rsidP="008D2FF4">
      <w:pPr>
        <w:spacing w:line="360" w:lineRule="auto"/>
        <w:rPr>
          <w:lang w:val="uk-UA"/>
        </w:rPr>
      </w:pPr>
      <w:r w:rsidRPr="001416ED">
        <w:rPr>
          <w:lang w:val="uk-UA"/>
        </w:rPr>
        <w:t>ДАТ – діастолічний артеріальний тиск</w:t>
      </w:r>
    </w:p>
    <w:p w:rsidR="00BD78C5" w:rsidRPr="001416ED" w:rsidRDefault="00BD78C5" w:rsidP="008D2FF4">
      <w:pPr>
        <w:spacing w:line="360" w:lineRule="auto"/>
        <w:rPr>
          <w:lang w:val="uk-UA"/>
        </w:rPr>
      </w:pPr>
      <w:r>
        <w:rPr>
          <w:lang w:val="uk-UA"/>
        </w:rPr>
        <w:t>ДД – діастолічна дисфункція</w:t>
      </w:r>
    </w:p>
    <w:p w:rsidR="006E66E5" w:rsidRPr="001416ED" w:rsidRDefault="006E66E5" w:rsidP="008D2FF4">
      <w:pPr>
        <w:spacing w:line="360" w:lineRule="auto"/>
        <w:rPr>
          <w:lang w:val="uk-UA"/>
        </w:rPr>
      </w:pPr>
      <w:r w:rsidRPr="001416ED">
        <w:rPr>
          <w:lang w:val="uk-UA"/>
        </w:rPr>
        <w:t xml:space="preserve">ЗГР – загальний гребінцевий рахунок </w:t>
      </w:r>
    </w:p>
    <w:p w:rsidR="0009648E" w:rsidRPr="001416ED" w:rsidRDefault="0009648E" w:rsidP="008D2FF4">
      <w:pPr>
        <w:spacing w:line="360" w:lineRule="auto"/>
        <w:rPr>
          <w:lang w:val="uk-UA"/>
        </w:rPr>
      </w:pPr>
      <w:r w:rsidRPr="001416ED">
        <w:rPr>
          <w:lang w:val="uk-UA"/>
        </w:rPr>
        <w:t>ЗПСО - загальний периферичний судинний опір</w:t>
      </w:r>
    </w:p>
    <w:p w:rsidR="00AE3E68" w:rsidRPr="001416ED" w:rsidRDefault="00AE3E68" w:rsidP="008D2FF4">
      <w:pPr>
        <w:widowControl w:val="0"/>
        <w:autoSpaceDE w:val="0"/>
        <w:autoSpaceDN w:val="0"/>
        <w:adjustRightInd w:val="0"/>
        <w:spacing w:line="360" w:lineRule="auto"/>
        <w:rPr>
          <w:lang w:val="uk-UA"/>
        </w:rPr>
      </w:pPr>
      <w:r w:rsidRPr="001416ED">
        <w:rPr>
          <w:lang w:val="uk-UA"/>
        </w:rPr>
        <w:t xml:space="preserve">Е </w:t>
      </w:r>
      <w:r w:rsidR="00BC0119" w:rsidRPr="001416ED">
        <w:rPr>
          <w:lang w:val="uk-UA"/>
        </w:rPr>
        <w:t>–</w:t>
      </w:r>
      <w:r w:rsidRPr="001416ED">
        <w:rPr>
          <w:lang w:val="uk-UA"/>
        </w:rPr>
        <w:t xml:space="preserve"> швидкість раннього діастолічного наповнення лівого шлуночка</w:t>
      </w:r>
    </w:p>
    <w:p w:rsidR="00AE3E68" w:rsidRPr="001416ED" w:rsidRDefault="00AE3E68" w:rsidP="008D2FF4">
      <w:pPr>
        <w:widowControl w:val="0"/>
        <w:autoSpaceDE w:val="0"/>
        <w:autoSpaceDN w:val="0"/>
        <w:adjustRightInd w:val="0"/>
        <w:spacing w:line="360" w:lineRule="auto"/>
      </w:pPr>
      <w:r w:rsidRPr="001416ED">
        <w:rPr>
          <w:lang w:val="uk-UA"/>
        </w:rPr>
        <w:t xml:space="preserve">Е/А </w:t>
      </w:r>
      <w:r w:rsidR="00BC0119" w:rsidRPr="001416ED">
        <w:rPr>
          <w:lang w:val="uk-UA"/>
        </w:rPr>
        <w:t>–</w:t>
      </w:r>
      <w:r w:rsidRPr="001416ED">
        <w:rPr>
          <w:lang w:val="uk-UA"/>
        </w:rPr>
        <w:t xml:space="preserve"> співвідношення швидкостей раннього та пізнього діастолічного наповнення    лівого шлуночка</w:t>
      </w:r>
    </w:p>
    <w:p w:rsidR="00AE3E68" w:rsidRPr="001416ED" w:rsidRDefault="00AE3E68" w:rsidP="008D2FF4">
      <w:pPr>
        <w:spacing w:line="360" w:lineRule="auto"/>
        <w:rPr>
          <w:lang w:val="uk-UA"/>
        </w:rPr>
      </w:pPr>
      <w:r w:rsidRPr="001416ED">
        <w:rPr>
          <w:lang w:val="uk-UA"/>
        </w:rPr>
        <w:t xml:space="preserve">ЕГ – </w:t>
      </w:r>
      <w:r w:rsidR="007F5DA4" w:rsidRPr="001416ED">
        <w:rPr>
          <w:lang w:val="uk-UA"/>
        </w:rPr>
        <w:t>есенціальна</w:t>
      </w:r>
      <w:r w:rsidRPr="001416ED">
        <w:rPr>
          <w:lang w:val="uk-UA"/>
        </w:rPr>
        <w:t xml:space="preserve"> гіпертензія</w:t>
      </w:r>
    </w:p>
    <w:p w:rsidR="00AE3E68" w:rsidRPr="001416ED" w:rsidRDefault="00AE3E68" w:rsidP="008D2FF4">
      <w:pPr>
        <w:spacing w:line="360" w:lineRule="auto"/>
        <w:rPr>
          <w:lang w:val="uk-UA"/>
        </w:rPr>
      </w:pPr>
      <w:r w:rsidRPr="001416ED">
        <w:rPr>
          <w:lang w:val="uk-UA"/>
        </w:rPr>
        <w:t>ЕД – ендотеліальна дисфункція</w:t>
      </w:r>
    </w:p>
    <w:p w:rsidR="00AE3E68" w:rsidRPr="001416ED" w:rsidRDefault="00AE3E68" w:rsidP="008D2FF4">
      <w:pPr>
        <w:spacing w:line="360" w:lineRule="auto"/>
        <w:rPr>
          <w:lang w:val="uk-UA"/>
        </w:rPr>
      </w:pPr>
      <w:r w:rsidRPr="001416ED">
        <w:rPr>
          <w:lang w:val="uk-UA"/>
        </w:rPr>
        <w:t>ЕТ</w:t>
      </w:r>
      <w:r w:rsidR="00BC0119" w:rsidRPr="001416ED">
        <w:rPr>
          <w:lang w:val="uk-UA"/>
        </w:rPr>
        <w:t>–</w:t>
      </w:r>
      <w:r w:rsidRPr="001416ED">
        <w:rPr>
          <w:lang w:val="uk-UA"/>
        </w:rPr>
        <w:t xml:space="preserve">1 </w:t>
      </w:r>
      <w:r w:rsidR="00BC0119" w:rsidRPr="001416ED">
        <w:rPr>
          <w:lang w:val="uk-UA"/>
        </w:rPr>
        <w:t>–</w:t>
      </w:r>
      <w:r w:rsidRPr="001416ED">
        <w:rPr>
          <w:lang w:val="uk-UA"/>
        </w:rPr>
        <w:t xml:space="preserve">  ендотелін – 1 </w:t>
      </w:r>
    </w:p>
    <w:p w:rsidR="00AE3E68" w:rsidRPr="001416ED" w:rsidRDefault="00AE3E68" w:rsidP="008D2FF4">
      <w:pPr>
        <w:spacing w:line="360" w:lineRule="auto"/>
        <w:rPr>
          <w:lang w:val="uk-UA"/>
        </w:rPr>
      </w:pPr>
      <w:r w:rsidRPr="001416ED">
        <w:rPr>
          <w:lang w:val="uk-UA"/>
        </w:rPr>
        <w:t>іКДО – індекс кінцевого діастолічного об’єму</w:t>
      </w:r>
    </w:p>
    <w:p w:rsidR="00AE3E68" w:rsidRPr="001416ED" w:rsidRDefault="00AE3E68" w:rsidP="008D2FF4">
      <w:pPr>
        <w:spacing w:line="360" w:lineRule="auto"/>
        <w:rPr>
          <w:lang w:val="uk-UA"/>
        </w:rPr>
      </w:pPr>
      <w:r w:rsidRPr="001416ED">
        <w:rPr>
          <w:lang w:val="uk-UA"/>
        </w:rPr>
        <w:t>іКСО – індекс кінцевого систолічного об’єму</w:t>
      </w:r>
    </w:p>
    <w:p w:rsidR="00AE3E68" w:rsidRPr="001416ED" w:rsidRDefault="00AE3E68" w:rsidP="008D2FF4">
      <w:pPr>
        <w:spacing w:line="360" w:lineRule="auto"/>
        <w:rPr>
          <w:lang w:val="uk-UA"/>
        </w:rPr>
      </w:pPr>
      <w:r w:rsidRPr="001416ED">
        <w:rPr>
          <w:lang w:val="uk-UA"/>
        </w:rPr>
        <w:t>ІМ – інфаркт міокарда</w:t>
      </w:r>
    </w:p>
    <w:p w:rsidR="00AE3E68" w:rsidRPr="001416ED" w:rsidRDefault="00AE3E68" w:rsidP="008D2FF4">
      <w:pPr>
        <w:spacing w:line="360" w:lineRule="auto"/>
        <w:rPr>
          <w:lang w:val="uk-UA"/>
        </w:rPr>
      </w:pPr>
      <w:r w:rsidRPr="001416ED">
        <w:rPr>
          <w:rFonts w:eastAsiaTheme="minorHAnsi"/>
          <w:iCs/>
          <w:lang w:val="uk-UA" w:eastAsia="en-US"/>
        </w:rPr>
        <w:t xml:space="preserve">іММЛШ </w:t>
      </w:r>
      <w:r w:rsidR="00BC0119" w:rsidRPr="001416ED">
        <w:rPr>
          <w:rFonts w:eastAsiaTheme="minorHAnsi"/>
          <w:iCs/>
          <w:lang w:val="uk-UA" w:eastAsia="en-US"/>
        </w:rPr>
        <w:t>–</w:t>
      </w:r>
      <w:r w:rsidRPr="001416ED">
        <w:rPr>
          <w:rFonts w:eastAsiaTheme="minorHAnsi"/>
          <w:iCs/>
          <w:lang w:val="uk-UA" w:eastAsia="en-US"/>
        </w:rPr>
        <w:t xml:space="preserve"> індекс маси міокарда лівого шлуночка</w:t>
      </w:r>
    </w:p>
    <w:p w:rsidR="00AE3E68" w:rsidRPr="001416ED" w:rsidRDefault="00AE3E68" w:rsidP="008D2FF4">
      <w:pPr>
        <w:spacing w:line="360" w:lineRule="auto"/>
        <w:rPr>
          <w:lang w:val="uk-UA"/>
        </w:rPr>
      </w:pPr>
      <w:r w:rsidRPr="001416ED">
        <w:rPr>
          <w:lang w:val="uk-UA"/>
        </w:rPr>
        <w:t>ІМТ – індекс маси тіла</w:t>
      </w:r>
    </w:p>
    <w:p w:rsidR="00AE3E68" w:rsidRPr="001416ED" w:rsidRDefault="00AE3E68" w:rsidP="008D2FF4">
      <w:pPr>
        <w:spacing w:line="360" w:lineRule="auto"/>
        <w:rPr>
          <w:lang w:val="uk-UA"/>
        </w:rPr>
      </w:pPr>
      <w:r w:rsidRPr="001416ED">
        <w:rPr>
          <w:lang w:val="uk-UA"/>
        </w:rPr>
        <w:t xml:space="preserve">ІФА – імуноферментний аналіз </w:t>
      </w:r>
    </w:p>
    <w:p w:rsidR="00AE3E68" w:rsidRPr="001416ED" w:rsidRDefault="00AE3E68" w:rsidP="008D2FF4">
      <w:pPr>
        <w:spacing w:line="360" w:lineRule="auto"/>
        <w:rPr>
          <w:lang w:val="uk-UA"/>
        </w:rPr>
      </w:pPr>
      <w:r w:rsidRPr="001416ED">
        <w:rPr>
          <w:lang w:val="uk-UA"/>
        </w:rPr>
        <w:t xml:space="preserve">КДР – кінцевий діастолічний розмір </w:t>
      </w:r>
    </w:p>
    <w:p w:rsidR="00AE3E68" w:rsidRPr="001416ED" w:rsidRDefault="00AE3E68" w:rsidP="008D2FF4">
      <w:pPr>
        <w:spacing w:line="360" w:lineRule="auto"/>
        <w:rPr>
          <w:lang w:val="uk-UA"/>
        </w:rPr>
      </w:pPr>
      <w:r w:rsidRPr="001416ED">
        <w:rPr>
          <w:lang w:val="uk-UA"/>
        </w:rPr>
        <w:lastRenderedPageBreak/>
        <w:t>КСР – кінцевий систолічний розмір</w:t>
      </w:r>
    </w:p>
    <w:p w:rsidR="002D3BAC" w:rsidRPr="001416ED" w:rsidRDefault="002D3BAC" w:rsidP="008D2FF4">
      <w:pPr>
        <w:spacing w:line="360" w:lineRule="auto"/>
        <w:rPr>
          <w:lang w:val="uk-UA"/>
        </w:rPr>
      </w:pPr>
      <w:r w:rsidRPr="001416ED">
        <w:rPr>
          <w:lang w:val="uk-UA"/>
        </w:rPr>
        <w:t xml:space="preserve">ЛК – </w:t>
      </w:r>
      <w:r w:rsidR="001416ED">
        <w:rPr>
          <w:lang w:val="uk-UA"/>
        </w:rPr>
        <w:t>ліва кисть</w:t>
      </w:r>
    </w:p>
    <w:p w:rsidR="008D7469" w:rsidRPr="001416ED" w:rsidRDefault="008D7469" w:rsidP="008D2FF4">
      <w:pPr>
        <w:spacing w:line="360" w:lineRule="auto"/>
        <w:rPr>
          <w:lang w:val="uk-UA"/>
        </w:rPr>
      </w:pPr>
      <w:r w:rsidRPr="001416ED">
        <w:rPr>
          <w:lang w:val="uk-UA"/>
        </w:rPr>
        <w:t>ЛП – ліве передсердя</w:t>
      </w:r>
    </w:p>
    <w:p w:rsidR="00AE3E68" w:rsidRPr="001416ED" w:rsidRDefault="00AE3E68" w:rsidP="008D2FF4">
      <w:pPr>
        <w:spacing w:line="360" w:lineRule="auto"/>
        <w:rPr>
          <w:lang w:val="uk-UA"/>
        </w:rPr>
      </w:pPr>
      <w:r w:rsidRPr="001416ED">
        <w:rPr>
          <w:lang w:val="uk-UA"/>
        </w:rPr>
        <w:t xml:space="preserve">ЛПВЩ </w:t>
      </w:r>
      <w:r w:rsidR="00BC0119" w:rsidRPr="001416ED">
        <w:rPr>
          <w:lang w:val="uk-UA"/>
        </w:rPr>
        <w:t>–</w:t>
      </w:r>
      <w:r w:rsidRPr="001416ED">
        <w:rPr>
          <w:lang w:val="uk-UA"/>
        </w:rPr>
        <w:t xml:space="preserve"> </w:t>
      </w:r>
      <w:r w:rsidR="00F02B15" w:rsidRPr="001416ED">
        <w:rPr>
          <w:lang w:val="uk-UA"/>
        </w:rPr>
        <w:t>ліпопротеїди</w:t>
      </w:r>
      <w:r w:rsidRPr="001416ED">
        <w:rPr>
          <w:lang w:val="uk-UA"/>
        </w:rPr>
        <w:t xml:space="preserve"> високої щільності</w:t>
      </w:r>
    </w:p>
    <w:p w:rsidR="00AE3E68" w:rsidRPr="001416ED" w:rsidRDefault="00AE3E68" w:rsidP="008D2FF4">
      <w:pPr>
        <w:spacing w:line="360" w:lineRule="auto"/>
        <w:rPr>
          <w:lang w:val="uk-UA"/>
        </w:rPr>
      </w:pPr>
      <w:r w:rsidRPr="001416ED">
        <w:rPr>
          <w:lang w:val="uk-UA"/>
        </w:rPr>
        <w:t xml:space="preserve">ЛПДНЩ </w:t>
      </w:r>
      <w:r w:rsidR="00BC0119" w:rsidRPr="001416ED">
        <w:rPr>
          <w:lang w:val="uk-UA"/>
        </w:rPr>
        <w:t>–</w:t>
      </w:r>
      <w:r w:rsidRPr="001416ED">
        <w:rPr>
          <w:lang w:val="uk-UA"/>
        </w:rPr>
        <w:t xml:space="preserve"> </w:t>
      </w:r>
      <w:r w:rsidR="00F02B15" w:rsidRPr="001416ED">
        <w:rPr>
          <w:lang w:val="uk-UA"/>
        </w:rPr>
        <w:t>ліпопротеїди</w:t>
      </w:r>
      <w:r w:rsidRPr="001416ED">
        <w:rPr>
          <w:lang w:val="uk-UA"/>
        </w:rPr>
        <w:t xml:space="preserve"> дуже низької щільності</w:t>
      </w:r>
    </w:p>
    <w:p w:rsidR="00AE3E68" w:rsidRPr="001416ED" w:rsidRDefault="00AE3E68" w:rsidP="008D2FF4">
      <w:pPr>
        <w:spacing w:line="360" w:lineRule="auto"/>
        <w:rPr>
          <w:lang w:val="uk-UA"/>
        </w:rPr>
      </w:pPr>
      <w:r w:rsidRPr="001416ED">
        <w:rPr>
          <w:lang w:val="uk-UA"/>
        </w:rPr>
        <w:t xml:space="preserve">ЛПНЩ </w:t>
      </w:r>
      <w:r w:rsidR="00BC0119" w:rsidRPr="001416ED">
        <w:rPr>
          <w:lang w:val="uk-UA"/>
        </w:rPr>
        <w:t>–</w:t>
      </w:r>
      <w:r w:rsidRPr="001416ED">
        <w:rPr>
          <w:lang w:val="uk-UA"/>
        </w:rPr>
        <w:t xml:space="preserve"> </w:t>
      </w:r>
      <w:r w:rsidR="00F02B15" w:rsidRPr="001416ED">
        <w:rPr>
          <w:lang w:val="uk-UA"/>
        </w:rPr>
        <w:t>ліпопротеїди</w:t>
      </w:r>
      <w:r w:rsidRPr="001416ED">
        <w:rPr>
          <w:lang w:val="uk-UA"/>
        </w:rPr>
        <w:t xml:space="preserve"> низької щільності</w:t>
      </w:r>
    </w:p>
    <w:p w:rsidR="00AE3E68" w:rsidRPr="001416ED" w:rsidRDefault="00AE3E68" w:rsidP="008D2FF4">
      <w:pPr>
        <w:spacing w:line="360" w:lineRule="auto"/>
        <w:rPr>
          <w:lang w:val="uk-UA"/>
        </w:rPr>
      </w:pPr>
      <w:r w:rsidRPr="001416ED">
        <w:rPr>
          <w:lang w:val="uk-UA"/>
        </w:rPr>
        <w:t>ЛШ – лівий шлуночок</w:t>
      </w:r>
    </w:p>
    <w:p w:rsidR="00AE3E68" w:rsidRPr="001416ED" w:rsidRDefault="00AE3E68" w:rsidP="008D2FF4">
      <w:pPr>
        <w:spacing w:line="360" w:lineRule="auto"/>
        <w:rPr>
          <w:lang w:val="uk-UA"/>
        </w:rPr>
      </w:pPr>
      <w:r w:rsidRPr="001416ED">
        <w:rPr>
          <w:lang w:val="uk-UA"/>
        </w:rPr>
        <w:t>МІ – мозковий інсульт</w:t>
      </w:r>
    </w:p>
    <w:p w:rsidR="00AE3E68" w:rsidRPr="001416ED" w:rsidRDefault="00AE3E68" w:rsidP="008D2FF4">
      <w:pPr>
        <w:spacing w:line="360" w:lineRule="auto"/>
        <w:rPr>
          <w:lang w:val="uk-UA"/>
        </w:rPr>
      </w:pPr>
      <w:r w:rsidRPr="001416ED">
        <w:rPr>
          <w:lang w:val="uk-UA"/>
        </w:rPr>
        <w:t xml:space="preserve">МНП </w:t>
      </w:r>
      <w:r w:rsidR="00BC0119" w:rsidRPr="001416ED">
        <w:rPr>
          <w:lang w:val="uk-UA"/>
        </w:rPr>
        <w:t>–</w:t>
      </w:r>
      <w:r w:rsidRPr="001416ED">
        <w:rPr>
          <w:lang w:val="uk-UA"/>
        </w:rPr>
        <w:t xml:space="preserve"> мозковий натрійуретичний пептид</w:t>
      </w:r>
    </w:p>
    <w:p w:rsidR="00AE3E68" w:rsidRPr="001416ED" w:rsidRDefault="00AE3E68" w:rsidP="008D2FF4">
      <w:pPr>
        <w:spacing w:line="360" w:lineRule="auto"/>
        <w:rPr>
          <w:lang w:val="uk-UA"/>
        </w:rPr>
      </w:pPr>
      <w:r w:rsidRPr="001416ED">
        <w:rPr>
          <w:lang w:val="uk-UA"/>
        </w:rPr>
        <w:t>НУП – натрійуретичний пептид</w:t>
      </w:r>
    </w:p>
    <w:p w:rsidR="002D3BAC" w:rsidRPr="001416ED" w:rsidRDefault="002D3BAC" w:rsidP="008D2FF4">
      <w:pPr>
        <w:spacing w:line="360" w:lineRule="auto"/>
        <w:rPr>
          <w:lang w:val="uk-UA"/>
        </w:rPr>
      </w:pPr>
      <w:r w:rsidRPr="001416ED">
        <w:rPr>
          <w:lang w:val="uk-UA"/>
        </w:rPr>
        <w:t xml:space="preserve">ПК – </w:t>
      </w:r>
      <w:r w:rsidR="001416ED">
        <w:rPr>
          <w:lang w:val="uk-UA"/>
        </w:rPr>
        <w:t>права кисть</w:t>
      </w:r>
    </w:p>
    <w:p w:rsidR="00AE3E68" w:rsidRPr="001416ED" w:rsidRDefault="00AE3E68" w:rsidP="008D2FF4">
      <w:pPr>
        <w:spacing w:line="360" w:lineRule="auto"/>
        <w:rPr>
          <w:lang w:val="uk-UA"/>
        </w:rPr>
      </w:pPr>
      <w:r w:rsidRPr="001416ED">
        <w:rPr>
          <w:lang w:val="uk-UA"/>
        </w:rPr>
        <w:t>ПНП – передсердний натрійуретичний пептид</w:t>
      </w:r>
    </w:p>
    <w:p w:rsidR="0009648E" w:rsidRPr="001416ED" w:rsidRDefault="0009648E" w:rsidP="008D2FF4">
      <w:pPr>
        <w:spacing w:line="360" w:lineRule="auto"/>
        <w:rPr>
          <w:lang w:val="uk-UA"/>
        </w:rPr>
      </w:pPr>
      <w:r w:rsidRPr="001416ED">
        <w:rPr>
          <w:lang w:val="uk-UA"/>
        </w:rPr>
        <w:t>ППСО - питомий периферичний судинний опір</w:t>
      </w:r>
    </w:p>
    <w:p w:rsidR="00AE3E68" w:rsidRPr="001416ED" w:rsidRDefault="00AE3E68" w:rsidP="008D2FF4">
      <w:pPr>
        <w:spacing w:line="360" w:lineRule="auto"/>
        <w:rPr>
          <w:lang w:val="uk-UA"/>
        </w:rPr>
      </w:pPr>
      <w:r w:rsidRPr="001416ED">
        <w:rPr>
          <w:lang w:val="uk-UA"/>
        </w:rPr>
        <w:t>РААС – ренін</w:t>
      </w:r>
      <w:r w:rsidR="00BC0119" w:rsidRPr="001416ED">
        <w:rPr>
          <w:lang w:val="uk-UA"/>
        </w:rPr>
        <w:t>–</w:t>
      </w:r>
      <w:r w:rsidRPr="001416ED">
        <w:rPr>
          <w:lang w:val="uk-UA"/>
        </w:rPr>
        <w:t>ангіотензин</w:t>
      </w:r>
      <w:r w:rsidR="00BC0119" w:rsidRPr="001416ED">
        <w:rPr>
          <w:lang w:val="uk-UA"/>
        </w:rPr>
        <w:t>–</w:t>
      </w:r>
      <w:r w:rsidRPr="001416ED">
        <w:rPr>
          <w:lang w:val="uk-UA"/>
        </w:rPr>
        <w:t>альдостеронова система</w:t>
      </w:r>
    </w:p>
    <w:p w:rsidR="00AE3E68" w:rsidRPr="001416ED" w:rsidRDefault="00AE3E68" w:rsidP="008D2FF4">
      <w:pPr>
        <w:spacing w:line="360" w:lineRule="auto"/>
        <w:rPr>
          <w:lang w:val="uk-UA"/>
        </w:rPr>
      </w:pPr>
      <w:r w:rsidRPr="001416ED">
        <w:rPr>
          <w:lang w:val="uk-UA"/>
        </w:rPr>
        <w:t xml:space="preserve">РПАГ </w:t>
      </w:r>
      <w:r w:rsidR="00BC0119" w:rsidRPr="001416ED">
        <w:rPr>
          <w:lang w:val="uk-UA"/>
        </w:rPr>
        <w:t>–</w:t>
      </w:r>
      <w:r w:rsidRPr="001416ED">
        <w:rPr>
          <w:lang w:val="uk-UA"/>
        </w:rPr>
        <w:t xml:space="preserve"> ренопаренхіматозна гіпертензія</w:t>
      </w:r>
    </w:p>
    <w:p w:rsidR="00AE3E68" w:rsidRPr="001416ED" w:rsidRDefault="00AE3E68" w:rsidP="008D2FF4">
      <w:pPr>
        <w:spacing w:line="360" w:lineRule="auto"/>
        <w:rPr>
          <w:lang w:val="uk-UA"/>
        </w:rPr>
      </w:pPr>
      <w:r w:rsidRPr="001416ED">
        <w:rPr>
          <w:lang w:val="uk-UA"/>
        </w:rPr>
        <w:t>САТ – систолічний артеріальний тиск</w:t>
      </w:r>
    </w:p>
    <w:p w:rsidR="00227EA1" w:rsidRPr="001416ED" w:rsidRDefault="00227EA1" w:rsidP="008D2FF4">
      <w:pPr>
        <w:spacing w:line="360" w:lineRule="auto"/>
        <w:rPr>
          <w:lang w:val="uk-UA"/>
        </w:rPr>
      </w:pPr>
      <w:r w:rsidRPr="001416ED">
        <w:rPr>
          <w:lang w:val="uk-UA"/>
        </w:rPr>
        <w:t>СГР – сумарний гребінцевий рахунок</w:t>
      </w:r>
    </w:p>
    <w:p w:rsidR="00AE3E68" w:rsidRPr="001416ED" w:rsidRDefault="00AE3E68" w:rsidP="008D2FF4">
      <w:pPr>
        <w:spacing w:line="360" w:lineRule="auto"/>
        <w:rPr>
          <w:lang w:val="uk-UA"/>
        </w:rPr>
      </w:pPr>
      <w:r w:rsidRPr="001416ED">
        <w:rPr>
          <w:lang w:val="uk-UA"/>
        </w:rPr>
        <w:t>СІ – серцевий індекс</w:t>
      </w:r>
    </w:p>
    <w:p w:rsidR="00AE3E68" w:rsidRPr="001416ED" w:rsidRDefault="00AE3E68" w:rsidP="008D2FF4">
      <w:pPr>
        <w:spacing w:line="360" w:lineRule="auto"/>
        <w:rPr>
          <w:lang w:val="uk-UA"/>
        </w:rPr>
      </w:pPr>
      <w:r w:rsidRPr="001416ED">
        <w:rPr>
          <w:lang w:val="uk-UA"/>
        </w:rPr>
        <w:t>СНП – С</w:t>
      </w:r>
      <w:r w:rsidR="00BC0119" w:rsidRPr="001416ED">
        <w:rPr>
          <w:lang w:val="uk-UA"/>
        </w:rPr>
        <w:t>–</w:t>
      </w:r>
      <w:r w:rsidRPr="001416ED">
        <w:rPr>
          <w:lang w:val="uk-UA"/>
        </w:rPr>
        <w:t>натрійуретичний пептид</w:t>
      </w:r>
    </w:p>
    <w:p w:rsidR="00AE3E68" w:rsidRPr="001416ED" w:rsidRDefault="00AE3E68" w:rsidP="008D2FF4">
      <w:pPr>
        <w:spacing w:line="360" w:lineRule="auto"/>
        <w:rPr>
          <w:lang w:val="uk-UA"/>
        </w:rPr>
      </w:pPr>
      <w:r w:rsidRPr="001416ED">
        <w:rPr>
          <w:lang w:val="uk-UA"/>
        </w:rPr>
        <w:t>ССЗ – серцево</w:t>
      </w:r>
      <w:r w:rsidR="00BC0119" w:rsidRPr="001416ED">
        <w:rPr>
          <w:lang w:val="uk-UA"/>
        </w:rPr>
        <w:t>–</w:t>
      </w:r>
      <w:r w:rsidRPr="001416ED">
        <w:rPr>
          <w:lang w:val="uk-UA"/>
        </w:rPr>
        <w:t>судинні захворювання</w:t>
      </w:r>
    </w:p>
    <w:p w:rsidR="00AE3E68" w:rsidRPr="001416ED" w:rsidRDefault="00AE3E68" w:rsidP="008D2FF4">
      <w:pPr>
        <w:spacing w:line="360" w:lineRule="auto"/>
        <w:rPr>
          <w:lang w:val="uk-UA"/>
        </w:rPr>
      </w:pPr>
      <w:r w:rsidRPr="001416ED">
        <w:rPr>
          <w:lang w:val="uk-UA"/>
        </w:rPr>
        <w:t>ССС – серцево</w:t>
      </w:r>
      <w:r w:rsidR="00BC0119" w:rsidRPr="001416ED">
        <w:rPr>
          <w:lang w:val="uk-UA"/>
        </w:rPr>
        <w:t>–</w:t>
      </w:r>
      <w:r w:rsidRPr="001416ED">
        <w:rPr>
          <w:lang w:val="uk-UA"/>
        </w:rPr>
        <w:t>судинна система</w:t>
      </w:r>
    </w:p>
    <w:p w:rsidR="008672B3" w:rsidRPr="001416ED" w:rsidRDefault="008672B3" w:rsidP="008D2FF4">
      <w:pPr>
        <w:spacing w:line="360" w:lineRule="auto"/>
        <w:rPr>
          <w:lang w:val="uk-UA"/>
        </w:rPr>
      </w:pPr>
      <w:r w:rsidRPr="001416ED">
        <w:rPr>
          <w:lang w:val="uk-UA"/>
        </w:rPr>
        <w:t>ТМК – трансмітральний кровотік</w:t>
      </w:r>
    </w:p>
    <w:p w:rsidR="00AE3E68" w:rsidRPr="001416ED" w:rsidRDefault="00AE3E68" w:rsidP="008D2FF4">
      <w:pPr>
        <w:widowControl w:val="0"/>
        <w:autoSpaceDE w:val="0"/>
        <w:autoSpaceDN w:val="0"/>
        <w:adjustRightInd w:val="0"/>
        <w:spacing w:line="360" w:lineRule="auto"/>
        <w:rPr>
          <w:lang w:val="uk-UA"/>
        </w:rPr>
      </w:pPr>
      <w:r w:rsidRPr="001416ED">
        <w:rPr>
          <w:lang w:val="en-US"/>
        </w:rPr>
        <w:t>D</w:t>
      </w:r>
      <w:r w:rsidR="006E66E5" w:rsidRPr="001416ED">
        <w:rPr>
          <w:lang w:val="uk-UA"/>
        </w:rPr>
        <w:t>Т</w:t>
      </w:r>
      <w:r w:rsidRPr="001416ED">
        <w:rPr>
          <w:lang w:val="uk-UA"/>
        </w:rPr>
        <w:t xml:space="preserve"> – час сповільнення фази раннього діастолічного наповнення</w:t>
      </w:r>
    </w:p>
    <w:p w:rsidR="00AE3E68" w:rsidRPr="001416ED" w:rsidRDefault="00AE3E68" w:rsidP="008D2FF4">
      <w:pPr>
        <w:spacing w:line="360" w:lineRule="auto"/>
        <w:rPr>
          <w:lang w:val="uk-UA"/>
        </w:rPr>
      </w:pPr>
      <w:r w:rsidRPr="001416ED">
        <w:rPr>
          <w:lang w:val="uk-UA"/>
        </w:rPr>
        <w:t>ТГ</w:t>
      </w:r>
      <w:r w:rsidR="00BC0119" w:rsidRPr="001416ED">
        <w:rPr>
          <w:lang w:val="uk-UA"/>
        </w:rPr>
        <w:t>–</w:t>
      </w:r>
      <w:r w:rsidRPr="001416ED">
        <w:rPr>
          <w:lang w:val="uk-UA"/>
        </w:rPr>
        <w:t xml:space="preserve"> тригліцериди  </w:t>
      </w:r>
    </w:p>
    <w:p w:rsidR="00AE3E68" w:rsidRPr="001416ED" w:rsidRDefault="00AE3E68" w:rsidP="008D2FF4">
      <w:pPr>
        <w:spacing w:line="360" w:lineRule="auto"/>
        <w:rPr>
          <w:lang w:val="uk-UA"/>
        </w:rPr>
      </w:pPr>
      <w:r w:rsidRPr="001416ED">
        <w:rPr>
          <w:lang w:val="uk-UA"/>
        </w:rPr>
        <w:t>ТЗСЛШ – товщина задньої стінки лівого шлуночка</w:t>
      </w:r>
    </w:p>
    <w:p w:rsidR="00AE3E68" w:rsidRPr="001416ED" w:rsidRDefault="00AE3E68" w:rsidP="008D2FF4">
      <w:pPr>
        <w:spacing w:line="360" w:lineRule="auto"/>
        <w:rPr>
          <w:lang w:val="uk-UA"/>
        </w:rPr>
      </w:pPr>
      <w:r w:rsidRPr="001416ED">
        <w:rPr>
          <w:lang w:val="uk-UA"/>
        </w:rPr>
        <w:t xml:space="preserve">ТМШП </w:t>
      </w:r>
      <w:r w:rsidR="00BC0119" w:rsidRPr="001416ED">
        <w:rPr>
          <w:lang w:val="uk-UA"/>
        </w:rPr>
        <w:t>–</w:t>
      </w:r>
      <w:r w:rsidRPr="001416ED">
        <w:rPr>
          <w:lang w:val="uk-UA"/>
        </w:rPr>
        <w:t xml:space="preserve">  товщина міжшлуночкової перегородки</w:t>
      </w:r>
    </w:p>
    <w:p w:rsidR="00AE3E68" w:rsidRPr="001416ED" w:rsidRDefault="00AE3E68" w:rsidP="008D2FF4">
      <w:pPr>
        <w:spacing w:line="360" w:lineRule="auto"/>
        <w:rPr>
          <w:lang w:val="uk-UA"/>
        </w:rPr>
      </w:pPr>
      <w:r w:rsidRPr="001416ED">
        <w:rPr>
          <w:lang w:val="uk-UA"/>
        </w:rPr>
        <w:t>УІ – ударний індекс</w:t>
      </w:r>
    </w:p>
    <w:p w:rsidR="00656DBA" w:rsidRPr="001416ED" w:rsidRDefault="00656DBA" w:rsidP="008D2FF4">
      <w:pPr>
        <w:spacing w:line="360" w:lineRule="auto"/>
        <w:rPr>
          <w:lang w:val="uk-UA"/>
        </w:rPr>
      </w:pPr>
      <w:r w:rsidRPr="001416ED">
        <w:rPr>
          <w:lang w:val="uk-UA"/>
        </w:rPr>
        <w:t>УЗД – ультразвукове дослідження серця</w:t>
      </w:r>
    </w:p>
    <w:p w:rsidR="00AE3E68" w:rsidRPr="001416ED" w:rsidRDefault="00AE3E68" w:rsidP="008D2FF4">
      <w:pPr>
        <w:spacing w:line="360" w:lineRule="auto"/>
        <w:rPr>
          <w:lang w:val="uk-UA"/>
        </w:rPr>
      </w:pPr>
      <w:r w:rsidRPr="001416ED">
        <w:rPr>
          <w:lang w:val="uk-UA"/>
        </w:rPr>
        <w:t xml:space="preserve">ФВ – фракція викиду </w:t>
      </w:r>
    </w:p>
    <w:p w:rsidR="00AE3E68" w:rsidRPr="001416ED" w:rsidRDefault="00AE3E68" w:rsidP="008D2FF4">
      <w:pPr>
        <w:spacing w:line="360" w:lineRule="auto"/>
        <w:rPr>
          <w:lang w:val="uk-UA"/>
        </w:rPr>
      </w:pPr>
      <w:r w:rsidRPr="001416ED">
        <w:rPr>
          <w:lang w:val="uk-UA"/>
        </w:rPr>
        <w:t>ФК – функціональний клас</w:t>
      </w:r>
    </w:p>
    <w:p w:rsidR="00AE3E68" w:rsidRPr="001416ED" w:rsidRDefault="00AE3E68" w:rsidP="008D2FF4">
      <w:pPr>
        <w:spacing w:line="360" w:lineRule="auto"/>
        <w:rPr>
          <w:lang w:val="uk-UA"/>
        </w:rPr>
      </w:pPr>
      <w:r w:rsidRPr="001416ED">
        <w:rPr>
          <w:lang w:val="uk-UA"/>
        </w:rPr>
        <w:lastRenderedPageBreak/>
        <w:t>ХС – холестерин</w:t>
      </w:r>
    </w:p>
    <w:p w:rsidR="00AE3E68" w:rsidRPr="001416ED" w:rsidRDefault="00AE3E68" w:rsidP="008D2FF4">
      <w:pPr>
        <w:spacing w:line="360" w:lineRule="auto"/>
        <w:rPr>
          <w:lang w:val="uk-UA"/>
        </w:rPr>
      </w:pPr>
      <w:r w:rsidRPr="001416ED">
        <w:rPr>
          <w:lang w:val="uk-UA"/>
        </w:rPr>
        <w:t>ХСН – хронічна серцева недостатність</w:t>
      </w:r>
    </w:p>
    <w:p w:rsidR="00AE3E68" w:rsidRPr="001416ED" w:rsidRDefault="00AE3E68" w:rsidP="008D2FF4">
      <w:pPr>
        <w:spacing w:line="360" w:lineRule="auto"/>
        <w:rPr>
          <w:lang w:val="uk-UA"/>
        </w:rPr>
      </w:pPr>
      <w:r w:rsidRPr="001416ED">
        <w:rPr>
          <w:lang w:val="uk-UA"/>
        </w:rPr>
        <w:t>ЧСС – частота серцевих скорочень</w:t>
      </w:r>
    </w:p>
    <w:p w:rsidR="00C51609" w:rsidRPr="001416ED" w:rsidRDefault="00C51609" w:rsidP="008D2FF4">
      <w:pPr>
        <w:spacing w:line="360" w:lineRule="auto"/>
        <w:rPr>
          <w:lang w:val="uk-UA"/>
        </w:rPr>
      </w:pPr>
      <w:r w:rsidRPr="001416ED">
        <w:rPr>
          <w:lang w:val="en-US"/>
        </w:rPr>
        <w:t>IVRT</w:t>
      </w:r>
      <w:r w:rsidRPr="001416ED">
        <w:rPr>
          <w:lang w:val="uk-UA"/>
        </w:rPr>
        <w:t xml:space="preserve"> – час ізоволюметричного розслаблення лівого шлуночка</w:t>
      </w:r>
    </w:p>
    <w:p w:rsidR="00C51609" w:rsidRPr="001416ED" w:rsidRDefault="00C51609" w:rsidP="008D2FF4">
      <w:pPr>
        <w:spacing w:line="360" w:lineRule="auto"/>
        <w:rPr>
          <w:iCs/>
          <w:lang w:val="uk-UA"/>
        </w:rPr>
      </w:pPr>
      <w:r w:rsidRPr="001416ED">
        <w:rPr>
          <w:lang w:val="en-US"/>
        </w:rPr>
        <w:t>NYHA</w:t>
      </w:r>
      <w:r w:rsidRPr="001416ED">
        <w:rPr>
          <w:lang w:val="uk-UA"/>
        </w:rPr>
        <w:t xml:space="preserve"> </w:t>
      </w:r>
      <w:r w:rsidR="00BC0119" w:rsidRPr="001416ED">
        <w:rPr>
          <w:lang w:val="uk-UA"/>
        </w:rPr>
        <w:t>–</w:t>
      </w:r>
      <w:r w:rsidRPr="001416ED">
        <w:rPr>
          <w:lang w:val="uk-UA"/>
        </w:rPr>
        <w:t xml:space="preserve"> (функціональна класифікація Нью</w:t>
      </w:r>
      <w:r w:rsidR="00BC0119" w:rsidRPr="001416ED">
        <w:rPr>
          <w:lang w:val="uk-UA"/>
        </w:rPr>
        <w:t>–</w:t>
      </w:r>
      <w:r w:rsidRPr="001416ED">
        <w:rPr>
          <w:lang w:val="uk-UA"/>
        </w:rPr>
        <w:t>Йоркської Асоціації Кардіологів</w:t>
      </w:r>
      <w:r w:rsidRPr="001416ED">
        <w:t> </w:t>
      </w:r>
      <w:hyperlink r:id="rId9" w:tooltip="Хронічна серцева недостатність" w:history="1">
        <w:r w:rsidRPr="001416ED">
          <w:rPr>
            <w:rStyle w:val="ad"/>
            <w:color w:val="auto"/>
            <w:u w:val="none"/>
            <w:lang w:val="uk-UA"/>
          </w:rPr>
          <w:t>хронічної серцевої недостатності</w:t>
        </w:r>
      </w:hyperlink>
      <w:r w:rsidRPr="001416ED">
        <w:t> </w:t>
      </w:r>
      <w:r w:rsidRPr="001416ED">
        <w:rPr>
          <w:lang w:val="uk-UA"/>
        </w:rPr>
        <w:t>(</w:t>
      </w:r>
      <w:hyperlink r:id="rId10" w:tooltip="Англійська мова" w:history="1">
        <w:r w:rsidRPr="001416ED">
          <w:rPr>
            <w:rStyle w:val="ad"/>
            <w:color w:val="auto"/>
            <w:lang w:val="uk-UA"/>
          </w:rPr>
          <w:t>англ.</w:t>
        </w:r>
      </w:hyperlink>
      <w:r w:rsidRPr="001416ED">
        <w:t> </w:t>
      </w:r>
      <w:proofErr w:type="gramStart"/>
      <w:r w:rsidRPr="001416ED">
        <w:rPr>
          <w:iCs/>
        </w:rPr>
        <w:t>New</w:t>
      </w:r>
      <w:r w:rsidRPr="001416ED">
        <w:rPr>
          <w:iCs/>
          <w:lang w:val="uk-UA"/>
        </w:rPr>
        <w:t xml:space="preserve"> </w:t>
      </w:r>
      <w:r w:rsidRPr="001416ED">
        <w:rPr>
          <w:iCs/>
        </w:rPr>
        <w:t>York</w:t>
      </w:r>
      <w:r w:rsidRPr="001416ED">
        <w:rPr>
          <w:iCs/>
          <w:lang w:val="uk-UA"/>
        </w:rPr>
        <w:t xml:space="preserve"> </w:t>
      </w:r>
      <w:r w:rsidRPr="001416ED">
        <w:rPr>
          <w:iCs/>
        </w:rPr>
        <w:t>Heart</w:t>
      </w:r>
      <w:r w:rsidRPr="001416ED">
        <w:rPr>
          <w:iCs/>
          <w:lang w:val="uk-UA"/>
        </w:rPr>
        <w:t xml:space="preserve"> </w:t>
      </w:r>
      <w:r w:rsidRPr="001416ED">
        <w:rPr>
          <w:iCs/>
        </w:rPr>
        <w:t>Association</w:t>
      </w:r>
      <w:r w:rsidRPr="001416ED">
        <w:rPr>
          <w:iCs/>
          <w:lang w:val="uk-UA"/>
        </w:rPr>
        <w:t xml:space="preserve"> </w:t>
      </w:r>
      <w:r w:rsidRPr="001416ED">
        <w:rPr>
          <w:iCs/>
        </w:rPr>
        <w:t>Functional</w:t>
      </w:r>
      <w:r w:rsidRPr="001416ED">
        <w:rPr>
          <w:iCs/>
          <w:lang w:val="uk-UA"/>
        </w:rPr>
        <w:t xml:space="preserve"> </w:t>
      </w:r>
      <w:r w:rsidRPr="001416ED">
        <w:rPr>
          <w:iCs/>
        </w:rPr>
        <w:t>Classification</w:t>
      </w:r>
      <w:r w:rsidRPr="001416ED">
        <w:rPr>
          <w:iCs/>
          <w:lang w:val="uk-UA"/>
        </w:rPr>
        <w:t>)</w:t>
      </w:r>
      <w:proofErr w:type="gramEnd"/>
    </w:p>
    <w:p w:rsidR="00C51609" w:rsidRPr="001416ED" w:rsidRDefault="00C51609" w:rsidP="008D2FF4">
      <w:pPr>
        <w:spacing w:line="360" w:lineRule="auto"/>
        <w:rPr>
          <w:lang w:val="uk-UA"/>
        </w:rPr>
      </w:pPr>
      <w:proofErr w:type="gramStart"/>
      <w:r w:rsidRPr="001416ED">
        <w:t>N</w:t>
      </w:r>
      <w:proofErr w:type="gramEnd"/>
      <w:r w:rsidRPr="001416ED">
        <w:rPr>
          <w:lang w:val="uk-UA" w:bidi="uk-UA"/>
        </w:rPr>
        <w:t>О – оксид азоту</w:t>
      </w:r>
    </w:p>
    <w:p w:rsidR="00C51609" w:rsidRPr="001416ED" w:rsidRDefault="00C51609" w:rsidP="008D2FF4">
      <w:pPr>
        <w:spacing w:line="360" w:lineRule="auto"/>
      </w:pPr>
      <w:r w:rsidRPr="001416ED">
        <w:rPr>
          <w:lang w:val="en-US"/>
        </w:rPr>
        <w:t>S</w:t>
      </w:r>
      <w:r w:rsidRPr="001416ED">
        <w:rPr>
          <w:lang w:val="uk-UA"/>
        </w:rPr>
        <w:t xml:space="preserve"> – </w:t>
      </w:r>
      <w:proofErr w:type="gramStart"/>
      <w:r w:rsidRPr="001416ED">
        <w:rPr>
          <w:lang w:val="uk-UA"/>
        </w:rPr>
        <w:t>фракція</w:t>
      </w:r>
      <w:proofErr w:type="gramEnd"/>
      <w:r w:rsidRPr="001416ED">
        <w:rPr>
          <w:lang w:val="uk-UA"/>
        </w:rPr>
        <w:t xml:space="preserve"> передньо</w:t>
      </w:r>
      <w:r w:rsidR="00BC0119" w:rsidRPr="001416ED">
        <w:rPr>
          <w:lang w:val="uk-UA"/>
        </w:rPr>
        <w:t>–</w:t>
      </w:r>
      <w:r w:rsidRPr="001416ED">
        <w:rPr>
          <w:lang w:val="uk-UA"/>
        </w:rPr>
        <w:t>заднього укорочення лівого шлуночка</w:t>
      </w:r>
    </w:p>
    <w:p w:rsidR="00C51609" w:rsidRPr="001416ED" w:rsidRDefault="00C51609" w:rsidP="008D2FF4">
      <w:pPr>
        <w:spacing w:line="360" w:lineRule="auto"/>
        <w:rPr>
          <w:lang w:val="uk-UA"/>
        </w:rPr>
      </w:pPr>
      <w:r w:rsidRPr="001416ED">
        <w:rPr>
          <w:lang w:val="en-US"/>
        </w:rPr>
        <w:t>SNP</w:t>
      </w:r>
      <w:r w:rsidRPr="001416ED">
        <w:rPr>
          <w:lang w:val="uk-UA"/>
        </w:rPr>
        <w:t xml:space="preserve"> </w:t>
      </w:r>
      <w:r w:rsidR="00BC0119" w:rsidRPr="001416ED">
        <w:rPr>
          <w:lang w:val="uk-UA"/>
        </w:rPr>
        <w:t>–</w:t>
      </w:r>
      <w:r w:rsidRPr="001416ED">
        <w:rPr>
          <w:lang w:val="uk-UA"/>
        </w:rPr>
        <w:t xml:space="preserve"> </w:t>
      </w:r>
      <w:r w:rsidRPr="001416ED">
        <w:rPr>
          <w:lang w:val="en-US"/>
        </w:rPr>
        <w:t>Single</w:t>
      </w:r>
      <w:r w:rsidRPr="001416ED">
        <w:rPr>
          <w:lang w:val="uk-UA"/>
        </w:rPr>
        <w:t xml:space="preserve"> </w:t>
      </w:r>
      <w:r w:rsidRPr="001416ED">
        <w:rPr>
          <w:lang w:val="en-US"/>
        </w:rPr>
        <w:t>Nucleotide</w:t>
      </w:r>
      <w:r w:rsidRPr="001416ED">
        <w:rPr>
          <w:lang w:val="uk-UA"/>
        </w:rPr>
        <w:t xml:space="preserve"> </w:t>
      </w:r>
      <w:r w:rsidRPr="001416ED">
        <w:rPr>
          <w:lang w:val="en-US"/>
        </w:rPr>
        <w:t>Polymorphism</w:t>
      </w:r>
      <w:r w:rsidRPr="001416ED">
        <w:rPr>
          <w:lang w:val="uk-UA"/>
        </w:rPr>
        <w:t xml:space="preserve"> </w:t>
      </w:r>
      <w:r w:rsidR="00BC0119" w:rsidRPr="001416ED">
        <w:rPr>
          <w:lang w:val="uk-UA"/>
        </w:rPr>
        <w:t>–</w:t>
      </w:r>
      <w:r w:rsidRPr="001416ED">
        <w:rPr>
          <w:lang w:val="uk-UA"/>
        </w:rPr>
        <w:t xml:space="preserve"> мононуклеотидный пол</w:t>
      </w:r>
      <w:r w:rsidR="00F02B15" w:rsidRPr="001416ED">
        <w:rPr>
          <w:lang w:val="uk-UA"/>
        </w:rPr>
        <w:t>і</w:t>
      </w:r>
      <w:r w:rsidRPr="001416ED">
        <w:rPr>
          <w:lang w:val="uk-UA"/>
        </w:rPr>
        <w:t>морф</w:t>
      </w:r>
      <w:r w:rsidR="00F02B15" w:rsidRPr="001416ED">
        <w:rPr>
          <w:lang w:val="uk-UA"/>
        </w:rPr>
        <w:t>і</w:t>
      </w:r>
      <w:r w:rsidRPr="001416ED">
        <w:rPr>
          <w:lang w:val="uk-UA"/>
        </w:rPr>
        <w:t>зм</w:t>
      </w:r>
    </w:p>
    <w:p w:rsidR="00E57CCF" w:rsidRPr="001416ED" w:rsidRDefault="00E57CCF" w:rsidP="00A770B7">
      <w:pPr>
        <w:spacing w:line="360" w:lineRule="auto"/>
        <w:rPr>
          <w:lang w:val="uk-UA"/>
        </w:rPr>
      </w:pPr>
    </w:p>
    <w:p w:rsidR="00E57CCF" w:rsidRPr="001416ED" w:rsidRDefault="00E57CCF" w:rsidP="00A770B7">
      <w:pPr>
        <w:spacing w:line="360" w:lineRule="auto"/>
        <w:rPr>
          <w:lang w:val="uk-UA"/>
        </w:rPr>
      </w:pPr>
    </w:p>
    <w:p w:rsidR="00BC5036" w:rsidRPr="001416ED" w:rsidRDefault="00BC5036" w:rsidP="00A770B7">
      <w:pPr>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AE51A6" w:rsidRPr="001416ED" w:rsidRDefault="00AE51A6" w:rsidP="00A770B7">
      <w:pPr>
        <w:tabs>
          <w:tab w:val="left" w:pos="5120"/>
        </w:tabs>
        <w:spacing w:line="360" w:lineRule="auto"/>
        <w:ind w:left="-540" w:right="175" w:firstLine="709"/>
        <w:jc w:val="center"/>
        <w:outlineLvl w:val="0"/>
        <w:rPr>
          <w:b/>
          <w:bCs/>
          <w:lang w:val="uk-UA"/>
        </w:rPr>
      </w:pPr>
    </w:p>
    <w:p w:rsidR="004F2E1D" w:rsidRPr="001416ED" w:rsidRDefault="004F2E1D" w:rsidP="00DE0A84">
      <w:pPr>
        <w:tabs>
          <w:tab w:val="left" w:pos="5120"/>
        </w:tabs>
        <w:spacing w:before="240" w:after="240" w:line="360" w:lineRule="auto"/>
        <w:ind w:left="-540" w:right="175" w:firstLine="709"/>
        <w:jc w:val="center"/>
        <w:outlineLvl w:val="0"/>
        <w:rPr>
          <w:b/>
          <w:bCs/>
          <w:lang w:val="uk-UA"/>
        </w:rPr>
      </w:pPr>
    </w:p>
    <w:p w:rsidR="004F2E1D" w:rsidRPr="001416ED" w:rsidRDefault="004F2E1D" w:rsidP="00DE0A84">
      <w:pPr>
        <w:tabs>
          <w:tab w:val="left" w:pos="5120"/>
        </w:tabs>
        <w:spacing w:before="240" w:after="240" w:line="360" w:lineRule="auto"/>
        <w:ind w:left="-540" w:right="175" w:firstLine="709"/>
        <w:jc w:val="center"/>
        <w:outlineLvl w:val="0"/>
        <w:rPr>
          <w:b/>
          <w:bCs/>
          <w:lang w:val="uk-UA"/>
        </w:rPr>
      </w:pPr>
    </w:p>
    <w:p w:rsidR="006E66E5" w:rsidRPr="001416ED" w:rsidRDefault="006E66E5" w:rsidP="00DE0A84">
      <w:pPr>
        <w:tabs>
          <w:tab w:val="left" w:pos="5120"/>
        </w:tabs>
        <w:spacing w:before="240" w:after="240" w:line="360" w:lineRule="auto"/>
        <w:ind w:left="-540" w:right="175" w:firstLine="709"/>
        <w:jc w:val="center"/>
        <w:outlineLvl w:val="0"/>
        <w:rPr>
          <w:b/>
          <w:bCs/>
          <w:lang w:val="uk-UA"/>
        </w:rPr>
      </w:pPr>
    </w:p>
    <w:p w:rsidR="006E66E5" w:rsidRPr="001416ED" w:rsidRDefault="006E66E5" w:rsidP="00DE0A84">
      <w:pPr>
        <w:tabs>
          <w:tab w:val="left" w:pos="5120"/>
        </w:tabs>
        <w:spacing w:before="240" w:after="240" w:line="360" w:lineRule="auto"/>
        <w:ind w:left="-540" w:right="175" w:firstLine="709"/>
        <w:jc w:val="center"/>
        <w:outlineLvl w:val="0"/>
        <w:rPr>
          <w:b/>
          <w:bCs/>
          <w:lang w:val="uk-UA"/>
        </w:rPr>
      </w:pPr>
    </w:p>
    <w:p w:rsidR="00B504E6" w:rsidRPr="001416ED" w:rsidRDefault="00B504E6" w:rsidP="00DE0A84">
      <w:pPr>
        <w:tabs>
          <w:tab w:val="left" w:pos="5120"/>
        </w:tabs>
        <w:spacing w:before="240" w:after="240" w:line="360" w:lineRule="auto"/>
        <w:ind w:left="-540" w:right="175" w:firstLine="709"/>
        <w:jc w:val="center"/>
        <w:outlineLvl w:val="0"/>
        <w:rPr>
          <w:b/>
          <w:bCs/>
          <w:lang w:val="uk-UA"/>
        </w:rPr>
      </w:pPr>
      <w:r w:rsidRPr="001416ED">
        <w:rPr>
          <w:b/>
          <w:bCs/>
          <w:lang w:val="uk-UA"/>
        </w:rPr>
        <w:lastRenderedPageBreak/>
        <w:t>ВСТУП</w:t>
      </w:r>
    </w:p>
    <w:p w:rsidR="004C78CA" w:rsidRPr="004C78CA" w:rsidRDefault="004C78CA" w:rsidP="004C78CA">
      <w:pPr>
        <w:spacing w:line="360" w:lineRule="auto"/>
        <w:ind w:firstLine="709"/>
        <w:jc w:val="both"/>
        <w:rPr>
          <w:color w:val="000000"/>
          <w:shd w:val="clear" w:color="auto" w:fill="FFFFFF"/>
          <w:lang w:val="uk-UA"/>
        </w:rPr>
      </w:pPr>
      <w:r w:rsidRPr="004C78CA">
        <w:rPr>
          <w:b/>
          <w:lang w:val="uk-UA"/>
        </w:rPr>
        <w:t>Актуальність теми.</w:t>
      </w:r>
      <w:r w:rsidRPr="004C78CA">
        <w:rPr>
          <w:lang w:val="uk-UA"/>
        </w:rPr>
        <w:t xml:space="preserve"> Гіпертонічна хвороба (ГХ) залишається однією з найбільш значущих медичних та соціальних проблем </w:t>
      </w:r>
      <w:r w:rsidR="0045260E" w:rsidRPr="0045260E">
        <w:rPr>
          <w:lang w:val="uk-UA"/>
        </w:rPr>
        <w:t>[40]</w:t>
      </w:r>
      <w:r w:rsidRPr="004C78CA">
        <w:rPr>
          <w:lang w:val="uk-UA"/>
        </w:rPr>
        <w:t>. Остання обставина пов'язана як з широким розповсюдженням цього захворювання, так і з тим, що підвищений артеріальний тиск (АТ) сприяє розвитку найважчих серцево – судинних катастроф, що призводять до високої смертності в Україні (інфаркту міокарда</w:t>
      </w:r>
      <w:r w:rsidR="00213552">
        <w:rPr>
          <w:lang w:val="uk-UA"/>
        </w:rPr>
        <w:t xml:space="preserve"> (ІМ)</w:t>
      </w:r>
      <w:r w:rsidRPr="004C78CA">
        <w:rPr>
          <w:lang w:val="uk-UA"/>
        </w:rPr>
        <w:t>, мозкового інсульту</w:t>
      </w:r>
      <w:r w:rsidR="00FE136D">
        <w:rPr>
          <w:lang w:val="uk-UA"/>
        </w:rPr>
        <w:t xml:space="preserve"> (МІ)</w:t>
      </w:r>
      <w:r w:rsidRPr="004C78CA">
        <w:rPr>
          <w:lang w:val="uk-UA"/>
        </w:rPr>
        <w:t xml:space="preserve"> та хронічної серцевої недостатності (ХСН) </w:t>
      </w:r>
      <w:r w:rsidR="0045260E" w:rsidRPr="0045260E">
        <w:rPr>
          <w:lang w:val="uk-UA"/>
        </w:rPr>
        <w:t>[8, 43]</w:t>
      </w:r>
      <w:r w:rsidRPr="004C78CA">
        <w:rPr>
          <w:lang w:val="uk-UA"/>
        </w:rPr>
        <w:t>.</w:t>
      </w:r>
      <w:r w:rsidRPr="004C78CA">
        <w:rPr>
          <w:color w:val="C00000"/>
          <w:shd w:val="clear" w:color="auto" w:fill="FFFFFF"/>
        </w:rPr>
        <w:t> </w:t>
      </w:r>
      <w:r w:rsidRPr="004C78CA">
        <w:rPr>
          <w:color w:val="000000"/>
          <w:shd w:val="clear" w:color="auto" w:fill="FFFFFF"/>
          <w:lang w:val="uk-UA"/>
        </w:rPr>
        <w:t>За даними Центру медичної статистики МОЗ України в 2014 році в Україні зареє</w:t>
      </w:r>
      <w:bookmarkStart w:id="0" w:name="_GoBack"/>
      <w:bookmarkEnd w:id="0"/>
      <w:r w:rsidRPr="004C78CA">
        <w:rPr>
          <w:color w:val="000000"/>
          <w:shd w:val="clear" w:color="auto" w:fill="FFFFFF"/>
          <w:lang w:val="uk-UA"/>
        </w:rPr>
        <w:t>стровано понад 12 млн. осіб зі стабільно підвищеним АТ,</w:t>
      </w:r>
      <w:r w:rsidRPr="004C78CA">
        <w:rPr>
          <w:rFonts w:eastAsia="Arial"/>
          <w:color w:val="000000"/>
          <w:lang w:val="uk-UA" w:eastAsia="uk-UA" w:bidi="uk-UA"/>
        </w:rPr>
        <w:t xml:space="preserve"> що становить в межах 30 % дорослого населення </w:t>
      </w:r>
      <w:r w:rsidR="0045260E" w:rsidRPr="0045260E">
        <w:rPr>
          <w:color w:val="000000"/>
          <w:shd w:val="clear" w:color="auto" w:fill="FFFFFF"/>
          <w:lang w:val="uk-UA"/>
        </w:rPr>
        <w:t>[87]</w:t>
      </w:r>
      <w:r w:rsidRPr="004C78CA">
        <w:rPr>
          <w:color w:val="000000"/>
          <w:shd w:val="clear" w:color="auto" w:fill="FFFFFF"/>
          <w:lang w:val="uk-UA"/>
        </w:rPr>
        <w:t xml:space="preserve">. </w:t>
      </w:r>
    </w:p>
    <w:p w:rsidR="004C78CA" w:rsidRPr="004C78CA" w:rsidRDefault="004C78CA" w:rsidP="004C78CA">
      <w:pPr>
        <w:spacing w:line="360" w:lineRule="auto"/>
        <w:ind w:firstLine="709"/>
        <w:jc w:val="both"/>
        <w:rPr>
          <w:color w:val="000000"/>
          <w:shd w:val="clear" w:color="auto" w:fill="FFFFFF"/>
          <w:lang w:val="uk-UA"/>
        </w:rPr>
      </w:pPr>
      <w:r w:rsidRPr="004C78CA">
        <w:rPr>
          <w:color w:val="000000"/>
          <w:lang w:val="uk-UA"/>
        </w:rPr>
        <w:t xml:space="preserve">Як відомо, ГХ вважають мультифакторіальним захворюванням, </w:t>
      </w:r>
      <w:r w:rsidRPr="004C78CA">
        <w:rPr>
          <w:lang w:val="uk-UA"/>
        </w:rPr>
        <w:t xml:space="preserve">у розвитку якого ключову роль відіграють взаємодії між генетичними факторами і зовнішнім середовищем </w:t>
      </w:r>
      <w:r w:rsidR="0045260E" w:rsidRPr="0045260E">
        <w:rPr>
          <w:lang w:val="uk-UA"/>
        </w:rPr>
        <w:t xml:space="preserve">[151, </w:t>
      </w:r>
      <w:r w:rsidR="0045260E" w:rsidRPr="0045260E">
        <w:rPr>
          <w:bCs/>
          <w:lang w:val="uk-UA"/>
        </w:rPr>
        <w:t>154</w:t>
      </w:r>
      <w:r w:rsidR="0045260E" w:rsidRPr="0045260E">
        <w:rPr>
          <w:lang w:val="uk-UA"/>
        </w:rPr>
        <w:t>]</w:t>
      </w:r>
      <w:r w:rsidRPr="004C78CA">
        <w:rPr>
          <w:lang w:val="uk-UA"/>
        </w:rPr>
        <w:t xml:space="preserve">. Тому не дивно, що вчені намагаються знайти взаємозв’язок між успадкуванням певних генів і виникненням ГХ, що дозволить персоніфікувати заходи первинної та вторинної профілактики ГХ. </w:t>
      </w:r>
    </w:p>
    <w:p w:rsidR="004C78CA" w:rsidRPr="004C78CA" w:rsidRDefault="004C78CA" w:rsidP="004C78CA">
      <w:pPr>
        <w:spacing w:line="360" w:lineRule="auto"/>
        <w:ind w:firstLine="709"/>
        <w:jc w:val="both"/>
        <w:rPr>
          <w:color w:val="000000"/>
          <w:shd w:val="clear" w:color="auto" w:fill="FFFFFF"/>
          <w:lang w:val="uk-UA"/>
        </w:rPr>
      </w:pPr>
      <w:r w:rsidRPr="004C78CA">
        <w:rPr>
          <w:rFonts w:eastAsia="TimesNewRomanPSMT"/>
          <w:lang w:val="uk-UA" w:eastAsia="en-US"/>
        </w:rPr>
        <w:t>Однією з найважливіших систем, що бере участь у регуляції АТ, є ренін–ангіотензин–альдостеронова система (РААС), дисфункція якої лежить в основі розвитку ГХ. Оскільки, основні ефекти ангіотензину ІІ (АТ–ІІ) реалізуються через стимуляцію рецепторів АТ–ІІ 1–го типу (АТ1–Р), інтерес дослідників прикутий саме до поліморфізму гену АТ1–Р, що</w:t>
      </w:r>
      <w:r w:rsidRPr="004C78CA">
        <w:rPr>
          <w:lang w:val="uk-UA"/>
        </w:rPr>
        <w:t xml:space="preserve"> особливо інтенсивно вивчається. Установлено – існує вірогідний зв’язок між </w:t>
      </w:r>
      <w:r w:rsidRPr="004C78CA">
        <w:rPr>
          <w:rFonts w:eastAsia="TimesNewRomanPSMT"/>
          <w:lang w:val="uk-UA" w:eastAsia="en-US"/>
        </w:rPr>
        <w:t>успадкуванням поліморфних варіантів гена АТ1–Р і розвитком ГХ, а також тяжкістю перебігу даного захворювання</w:t>
      </w:r>
      <w:r w:rsidRPr="004C78CA">
        <w:rPr>
          <w:lang w:val="uk-UA"/>
        </w:rPr>
        <w:t xml:space="preserve"> (</w:t>
      </w:r>
      <w:r w:rsidR="00B45E56" w:rsidRPr="00B45E56">
        <w:rPr>
          <w:lang w:val="uk-UA"/>
        </w:rPr>
        <w:t xml:space="preserve">[7, 35, </w:t>
      </w:r>
      <w:r w:rsidR="00B45E56" w:rsidRPr="00B45E56">
        <w:rPr>
          <w:bCs/>
          <w:iCs/>
          <w:lang w:val="uk-UA"/>
        </w:rPr>
        <w:t>72</w:t>
      </w:r>
      <w:r w:rsidR="00B45E56" w:rsidRPr="00B45E56">
        <w:rPr>
          <w:lang w:val="uk-UA"/>
        </w:rPr>
        <w:t>]</w:t>
      </w:r>
      <w:r w:rsidRPr="004C78CA">
        <w:rPr>
          <w:lang w:val="uk-UA"/>
        </w:rPr>
        <w:t xml:space="preserve">. </w:t>
      </w:r>
      <w:r w:rsidRPr="004C78CA">
        <w:rPr>
          <w:lang w:val="uk-UA"/>
        </w:rPr>
        <w:tab/>
      </w:r>
    </w:p>
    <w:p w:rsidR="004C78CA" w:rsidRPr="004C78CA" w:rsidRDefault="004C78CA" w:rsidP="004C78CA">
      <w:pPr>
        <w:autoSpaceDE w:val="0"/>
        <w:autoSpaceDN w:val="0"/>
        <w:adjustRightInd w:val="0"/>
        <w:spacing w:line="360" w:lineRule="auto"/>
        <w:ind w:firstLine="709"/>
        <w:jc w:val="both"/>
        <w:rPr>
          <w:lang w:val="uk-UA"/>
        </w:rPr>
      </w:pPr>
      <w:r w:rsidRPr="004C78CA">
        <w:rPr>
          <w:lang w:val="uk-UA"/>
        </w:rPr>
        <w:t xml:space="preserve">     Окрім множинних ефектів активації РААС, які лежать в патогенезі розвитку ГХ, важливою є вазоконстрикція, а одним із її маркерів вважають рівень ендотеліну–1 (ЕТ–1), який найбільш відомий і вивчений з ендотелінів на сьогоднішній день.</w:t>
      </w:r>
      <w:r w:rsidRPr="004C78CA">
        <w:rPr>
          <w:shd w:val="clear" w:color="auto" w:fill="FFFFFF"/>
          <w:lang w:val="uk-UA"/>
        </w:rPr>
        <w:t xml:space="preserve"> Н</w:t>
      </w:r>
      <w:r w:rsidRPr="004C78CA">
        <w:rPr>
          <w:lang w:val="uk-UA" w:eastAsia="uk-UA" w:bidi="uk-UA"/>
        </w:rPr>
        <w:t xml:space="preserve">езначне підвищення рівня ЕТ–1 навіть на кілька фемтомоль, виявляють у пацієнтів з ГХ, інфарктом міакарда, ХСН, легеневій гіпертензії </w:t>
      </w:r>
      <w:r w:rsidR="00B45E56" w:rsidRPr="00B45E56">
        <w:rPr>
          <w:lang w:val="uk-UA" w:eastAsia="uk-UA" w:bidi="uk-UA"/>
        </w:rPr>
        <w:t>[</w:t>
      </w:r>
      <w:r w:rsidR="00B45E56" w:rsidRPr="00B45E56">
        <w:rPr>
          <w:iCs/>
          <w:lang w:val="uk-UA" w:eastAsia="uk-UA" w:bidi="uk-UA"/>
        </w:rPr>
        <w:t>82</w:t>
      </w:r>
      <w:r w:rsidR="00B45E56" w:rsidRPr="00B45E56">
        <w:rPr>
          <w:lang w:val="uk-UA" w:eastAsia="uk-UA" w:bidi="uk-UA"/>
        </w:rPr>
        <w:t>]</w:t>
      </w:r>
      <w:r w:rsidRPr="004C78CA">
        <w:rPr>
          <w:lang w:val="uk-UA" w:eastAsia="uk-UA" w:bidi="uk-UA"/>
        </w:rPr>
        <w:t>.</w:t>
      </w:r>
      <w:r w:rsidRPr="004C78CA">
        <w:rPr>
          <w:shd w:val="clear" w:color="auto" w:fill="FFFFFF"/>
          <w:lang w:val="uk-UA"/>
        </w:rPr>
        <w:t xml:space="preserve"> </w:t>
      </w:r>
      <w:r w:rsidRPr="004C78CA">
        <w:rPr>
          <w:shd w:val="clear" w:color="auto" w:fill="FFFFFF"/>
          <w:lang w:val="uk-UA"/>
        </w:rPr>
        <w:lastRenderedPageBreak/>
        <w:t xml:space="preserve">Але питання ролі поліморфізму гена ЕТ–1 в зміні плазмової концентрації ЕТ–1 </w:t>
      </w:r>
      <w:r w:rsidRPr="004C78CA">
        <w:rPr>
          <w:lang w:val="uk-UA"/>
        </w:rPr>
        <w:t>при ГХ досі залишається маловивченим.</w:t>
      </w:r>
    </w:p>
    <w:p w:rsidR="004C78CA" w:rsidRPr="004C78CA" w:rsidRDefault="004C78CA" w:rsidP="004C78CA">
      <w:pPr>
        <w:spacing w:line="360" w:lineRule="auto"/>
        <w:ind w:firstLine="709"/>
        <w:jc w:val="both"/>
        <w:rPr>
          <w:rFonts w:eastAsia="Arial"/>
          <w:bCs/>
          <w:iCs/>
          <w:lang w:val="uk-UA" w:eastAsia="uk-UA" w:bidi="uk-UA"/>
        </w:rPr>
      </w:pPr>
      <w:r w:rsidRPr="004C78CA">
        <w:rPr>
          <w:lang w:val="uk-UA"/>
        </w:rPr>
        <w:t xml:space="preserve">     </w:t>
      </w:r>
      <w:r w:rsidRPr="004C78CA">
        <w:rPr>
          <w:rFonts w:eastAsia="Arial"/>
          <w:lang w:val="uk-UA" w:eastAsia="uk-UA" w:bidi="uk-UA"/>
        </w:rPr>
        <w:t xml:space="preserve">В умовах ендотеліальної дисфункції при ГХ, для підтримання балансу вазодилятаторів/вазоконстрикторів, ендотелій виробляє контррегулюючі сполуки, в тому числі і </w:t>
      </w:r>
      <w:r w:rsidRPr="004C78CA">
        <w:rPr>
          <w:lang w:val="uk-UA"/>
        </w:rPr>
        <w:t xml:space="preserve">натрійуретичні пептиди, </w:t>
      </w:r>
      <w:r w:rsidRPr="004C78CA">
        <w:rPr>
          <w:rFonts w:eastAsia="Arial"/>
          <w:lang w:val="uk-UA" w:eastAsia="uk-UA" w:bidi="uk-UA"/>
        </w:rPr>
        <w:t xml:space="preserve">з–поміж яких чільне місце посідає С–натрійуретичний пептид (СНП) </w:t>
      </w:r>
      <w:r w:rsidR="00B45E56" w:rsidRPr="00B45E56">
        <w:rPr>
          <w:rFonts w:eastAsia="Arial"/>
          <w:lang w:val="uk-UA" w:eastAsia="uk-UA" w:bidi="uk-UA"/>
        </w:rPr>
        <w:t>[39]</w:t>
      </w:r>
      <w:r w:rsidRPr="004C78CA">
        <w:rPr>
          <w:rFonts w:eastAsia="Arial"/>
          <w:lang w:val="uk-UA" w:eastAsia="uk-UA" w:bidi="uk-UA"/>
        </w:rPr>
        <w:t>. Слід зазначити, що коливання концентрації СНП в залеж</w:t>
      </w:r>
      <w:r w:rsidRPr="004C78CA">
        <w:rPr>
          <w:rFonts w:eastAsia="Arial"/>
          <w:lang w:val="uk-UA" w:eastAsia="uk-UA" w:bidi="uk-UA"/>
        </w:rPr>
        <w:softHyphen/>
        <w:t xml:space="preserve">ності від рівня вазоконстрикторів, зокрема ЕТ–1,  широко досліджується </w:t>
      </w:r>
      <w:r w:rsidR="00B45E56" w:rsidRPr="00B45E56">
        <w:rPr>
          <w:rFonts w:eastAsia="Arial"/>
          <w:lang w:val="uk-UA" w:eastAsia="uk-UA" w:bidi="uk-UA"/>
        </w:rPr>
        <w:t>[11, 14, 85</w:t>
      </w:r>
      <w:r w:rsidR="00B45E56" w:rsidRPr="00B45E56">
        <w:rPr>
          <w:rFonts w:eastAsia="Arial"/>
          <w:bCs/>
          <w:iCs/>
          <w:lang w:val="uk-UA" w:eastAsia="uk-UA" w:bidi="uk-UA"/>
        </w:rPr>
        <w:t>]</w:t>
      </w:r>
      <w:r w:rsidRPr="004C78CA">
        <w:rPr>
          <w:rFonts w:eastAsia="Arial"/>
          <w:bCs/>
          <w:iCs/>
          <w:lang w:val="uk-UA" w:eastAsia="uk-UA" w:bidi="uk-UA"/>
        </w:rPr>
        <w:t xml:space="preserve">. Особлива увага необхідна щодо можливого генетичного впливу на концентрацію ЕТ–1 та СНП як при ГХ та і при ХСН, розвиток якої теж асоційовано із підвищенням активності РААС та із зростанням синтезу вазоконстрикторів. </w:t>
      </w:r>
    </w:p>
    <w:p w:rsidR="004C78CA" w:rsidRPr="004C78CA" w:rsidRDefault="004C78CA" w:rsidP="004C78CA">
      <w:pPr>
        <w:spacing w:line="360" w:lineRule="auto"/>
        <w:ind w:firstLine="709"/>
        <w:jc w:val="both"/>
        <w:textAlignment w:val="baseline"/>
        <w:rPr>
          <w:rFonts w:eastAsia="Arial"/>
          <w:b/>
          <w:bCs/>
          <w:i/>
          <w:iCs/>
          <w:lang w:val="uk-UA" w:eastAsia="uk-UA" w:bidi="uk-UA"/>
        </w:rPr>
      </w:pPr>
      <w:r w:rsidRPr="004C78CA">
        <w:rPr>
          <w:rFonts w:eastAsia="Arial"/>
          <w:shd w:val="clear" w:color="auto" w:fill="FFFFFF"/>
          <w:lang w:val="uk-UA" w:eastAsia="uk-UA" w:bidi="uk-UA"/>
        </w:rPr>
        <w:t xml:space="preserve">    </w:t>
      </w:r>
      <w:r w:rsidRPr="004C78CA">
        <w:rPr>
          <w:shd w:val="clear" w:color="auto" w:fill="FFFFFF"/>
          <w:lang w:val="uk-UA" w:eastAsia="uk-UA"/>
        </w:rPr>
        <w:t xml:space="preserve">В останні десятиліття посилився </w:t>
      </w:r>
      <w:r w:rsidRPr="004C78CA">
        <w:rPr>
          <w:rFonts w:eastAsia="Arial"/>
          <w:shd w:val="clear" w:color="auto" w:fill="FFFFFF"/>
          <w:lang w:val="uk-UA" w:eastAsia="uk-UA" w:bidi="uk-UA"/>
        </w:rPr>
        <w:t>пошук простих, швидких і не дороговартісних маркерів для діагностики носійства поліморфних варіантів певних генів. З цього приводу знову підвищився інтерес</w:t>
      </w:r>
      <w:r w:rsidRPr="004C78CA">
        <w:rPr>
          <w:shd w:val="clear" w:color="auto" w:fill="FFFFFF"/>
          <w:lang w:val="uk-UA" w:eastAsia="uk-UA"/>
        </w:rPr>
        <w:t xml:space="preserve"> до вивчення пальцевої дерматогліфіки як діагностичного маркера.</w:t>
      </w:r>
      <w:r w:rsidRPr="004C78CA">
        <w:rPr>
          <w:lang w:val="uk-UA" w:eastAsia="uk-UA"/>
        </w:rPr>
        <w:t xml:space="preserve"> </w:t>
      </w:r>
      <w:r w:rsidRPr="004C78CA">
        <w:rPr>
          <w:shd w:val="clear" w:color="auto" w:fill="FFFFFF"/>
          <w:lang w:val="uk-UA" w:eastAsia="uk-UA"/>
        </w:rPr>
        <w:t>Генетична обумовленість папілярних візерунків шкірного рельєфу дозволяє застосовувати дерматогліфіку в етнічних і популяційно–генетичних дослідженнях</w:t>
      </w:r>
      <w:r w:rsidRPr="004C78CA">
        <w:rPr>
          <w:rFonts w:eastAsia="Arial"/>
          <w:bCs/>
          <w:iCs/>
          <w:lang w:val="uk-UA" w:eastAsia="uk-UA" w:bidi="uk-UA"/>
        </w:rPr>
        <w:t>. Такі роботи базуються на відомих даних, що етап гребенеутворення і формування типів папілярних малюнків та створення серцево–судинної системи відбуваються у плода одночасно і закінчуються до 22–24 тижня внутрішньоутробного розвитку</w:t>
      </w:r>
      <w:r w:rsidRPr="004C78CA">
        <w:rPr>
          <w:rFonts w:eastAsia="Arial"/>
          <w:b/>
          <w:bCs/>
          <w:i/>
          <w:iCs/>
          <w:lang w:val="uk-UA" w:eastAsia="uk-UA" w:bidi="uk-UA"/>
        </w:rPr>
        <w:t xml:space="preserve"> </w:t>
      </w:r>
      <w:r w:rsidR="00B45E56" w:rsidRPr="00B45E56">
        <w:rPr>
          <w:rFonts w:eastAsia="Arial"/>
          <w:lang w:val="uk-UA" w:eastAsia="uk-UA" w:bidi="uk-UA"/>
        </w:rPr>
        <w:t>[</w:t>
      </w:r>
      <w:r w:rsidR="00B45E56" w:rsidRPr="00B45E56">
        <w:rPr>
          <w:rFonts w:eastAsia="Arial"/>
          <w:lang w:eastAsia="uk-UA" w:bidi="uk-UA"/>
        </w:rPr>
        <w:t>23</w:t>
      </w:r>
      <w:r w:rsidR="00B45E56" w:rsidRPr="00B45E56">
        <w:rPr>
          <w:rFonts w:eastAsia="Arial"/>
          <w:bCs/>
          <w:iCs/>
          <w:lang w:val="uk-UA" w:eastAsia="uk-UA" w:bidi="uk-UA"/>
        </w:rPr>
        <w:t>]</w:t>
      </w:r>
      <w:r w:rsidRPr="004C78CA">
        <w:rPr>
          <w:rFonts w:eastAsia="Arial"/>
          <w:bCs/>
          <w:i/>
          <w:iCs/>
          <w:lang w:val="uk-UA" w:eastAsia="uk-UA" w:bidi="uk-UA"/>
        </w:rPr>
        <w:t>.</w:t>
      </w:r>
      <w:r w:rsidRPr="004C78CA">
        <w:rPr>
          <w:rFonts w:eastAsia="Arial"/>
          <w:b/>
          <w:bCs/>
          <w:i/>
          <w:iCs/>
          <w:lang w:val="uk-UA" w:eastAsia="uk-UA" w:bidi="uk-UA"/>
        </w:rPr>
        <w:t xml:space="preserve"> </w:t>
      </w:r>
      <w:r w:rsidRPr="004C78CA">
        <w:rPr>
          <w:rFonts w:eastAsia="Arial"/>
          <w:lang w:val="uk-UA" w:eastAsia="uk-UA" w:bidi="uk-UA"/>
        </w:rPr>
        <w:t>Тому не дивно, що фенотип є відображенням генотипу а, отже, може служити "візитівкою" носійства поліморфних варіантів генів, що приймають участь в розвитку ГХ та ХСН. Враховуючи це, є досить актуальним вивчення фенотипових маркерів, як найбільш простих, доступних і прийнятних в практичній діяльності лікаря критеріїв діагностики поліморфного варіанту гена ЕТ–1</w:t>
      </w:r>
      <w:r w:rsidRPr="004C78CA">
        <w:rPr>
          <w:rFonts w:eastAsia="Arial"/>
          <w:bCs/>
          <w:iCs/>
          <w:lang w:val="uk-UA" w:eastAsia="uk-UA" w:bidi="uk-UA"/>
        </w:rPr>
        <w:t>.</w:t>
      </w:r>
    </w:p>
    <w:p w:rsidR="004C78CA" w:rsidRPr="004C78CA" w:rsidRDefault="004C78CA" w:rsidP="004C78CA">
      <w:pPr>
        <w:spacing w:line="360" w:lineRule="auto"/>
        <w:ind w:firstLine="720"/>
        <w:jc w:val="both"/>
        <w:rPr>
          <w:color w:val="000000"/>
          <w:lang w:val="uk-UA"/>
        </w:rPr>
      </w:pPr>
      <w:r w:rsidRPr="004C78CA">
        <w:rPr>
          <w:rFonts w:eastAsia="Calibri"/>
          <w:b/>
          <w:bCs/>
          <w:spacing w:val="-4"/>
          <w:lang w:eastAsia="en-US"/>
        </w:rPr>
        <w:t>Зв’язок роботи з науковими програмами, планами, темами.</w:t>
      </w:r>
      <w:r w:rsidRPr="004C78CA">
        <w:rPr>
          <w:rFonts w:eastAsia="Calibri"/>
          <w:spacing w:val="-4"/>
        </w:rPr>
        <w:t xml:space="preserve"> </w:t>
      </w:r>
      <w:r w:rsidRPr="004C78CA">
        <w:rPr>
          <w:rFonts w:eastAsia="Calibri"/>
          <w:bCs/>
          <w:spacing w:val="-4"/>
          <w:lang w:eastAsia="en-US"/>
        </w:rPr>
        <w:t>Дисертація є фрагментом планової наукової теми кафедри внутрішньої медицини медичного факультету №2</w:t>
      </w:r>
      <w:proofErr w:type="gramStart"/>
      <w:r w:rsidRPr="004C78CA">
        <w:rPr>
          <w:rFonts w:eastAsia="Calibri"/>
          <w:bCs/>
          <w:spacing w:val="-4"/>
          <w:lang w:eastAsia="en-US"/>
        </w:rPr>
        <w:t xml:space="preserve"> В</w:t>
      </w:r>
      <w:proofErr w:type="gramEnd"/>
      <w:r w:rsidRPr="004C78CA">
        <w:rPr>
          <w:rFonts w:eastAsia="Calibri"/>
          <w:bCs/>
          <w:spacing w:val="-4"/>
          <w:lang w:eastAsia="en-US"/>
        </w:rPr>
        <w:t>інницького національного медичного університету імені М.І. Пирогова МОЗ України</w:t>
      </w:r>
      <w:r w:rsidRPr="004C78CA">
        <w:rPr>
          <w:rFonts w:eastAsia="Calibri"/>
          <w:bCs/>
          <w:spacing w:val="-4"/>
          <w:lang w:val="uk-UA" w:eastAsia="en-US"/>
        </w:rPr>
        <w:t xml:space="preserve"> </w:t>
      </w:r>
      <w:r w:rsidRPr="004C78CA">
        <w:rPr>
          <w:color w:val="000000"/>
          <w:lang w:val="uk-UA"/>
        </w:rPr>
        <w:t>«</w:t>
      </w:r>
      <w:r w:rsidRPr="004C78CA">
        <w:rPr>
          <w:color w:val="000000"/>
        </w:rPr>
        <w:t xml:space="preserve">Використання генетичних і нейрогуморальних чинників для прогнозування перебігу та ефективності лікування серцево–судинних </w:t>
      </w:r>
      <w:r w:rsidRPr="004C78CA">
        <w:rPr>
          <w:color w:val="000000"/>
        </w:rPr>
        <w:lastRenderedPageBreak/>
        <w:t>захворювань</w:t>
      </w:r>
      <w:r w:rsidRPr="004C78CA">
        <w:rPr>
          <w:color w:val="000000"/>
          <w:lang w:val="uk-UA"/>
        </w:rPr>
        <w:t>» (</w:t>
      </w:r>
      <w:r w:rsidRPr="004C78CA">
        <w:rPr>
          <w:color w:val="000000"/>
        </w:rPr>
        <w:t>№ державної реєстрації 0111</w:t>
      </w:r>
      <w:r w:rsidRPr="004C78CA">
        <w:rPr>
          <w:color w:val="000000"/>
          <w:lang w:val="en-US"/>
        </w:rPr>
        <w:t>U</w:t>
      </w:r>
      <w:r w:rsidRPr="004C78CA">
        <w:rPr>
          <w:color w:val="000000"/>
        </w:rPr>
        <w:t>010415</w:t>
      </w:r>
      <w:r w:rsidRPr="004C78CA">
        <w:rPr>
          <w:color w:val="000000"/>
          <w:lang w:val="uk-UA"/>
        </w:rPr>
        <w:t>).</w:t>
      </w:r>
      <w:r w:rsidRPr="004C78CA">
        <w:rPr>
          <w:rFonts w:eastAsia="Calibri"/>
          <w:color w:val="000000"/>
          <w:lang w:val="uk-UA" w:eastAsia="en-US"/>
        </w:rPr>
        <w:t xml:space="preserve"> З</w:t>
      </w:r>
      <w:r w:rsidRPr="004C78CA">
        <w:rPr>
          <w:color w:val="000000"/>
          <w:lang w:val="uk-UA"/>
        </w:rPr>
        <w:t>добувачем здійснений відбір чоловіків до груп дослідження, огляд та аналіз джерел літератури, статистична обробка отриманих даних.</w:t>
      </w:r>
    </w:p>
    <w:p w:rsidR="004C78CA" w:rsidRPr="004C78CA" w:rsidRDefault="004C78CA" w:rsidP="004C78CA">
      <w:pPr>
        <w:spacing w:line="360" w:lineRule="auto"/>
        <w:ind w:firstLine="720"/>
        <w:jc w:val="both"/>
        <w:rPr>
          <w:lang w:val="uk-UA"/>
        </w:rPr>
      </w:pPr>
      <w:r w:rsidRPr="004C78CA">
        <w:rPr>
          <w:b/>
          <w:bCs/>
          <w:lang w:val="uk-UA"/>
        </w:rPr>
        <w:t>Мета дослідження</w:t>
      </w:r>
      <w:r w:rsidRPr="004C78CA">
        <w:rPr>
          <w:bCs/>
          <w:lang w:val="uk-UA"/>
        </w:rPr>
        <w:t>:</w:t>
      </w:r>
      <w:r w:rsidRPr="004C78CA">
        <w:rPr>
          <w:b/>
          <w:bCs/>
          <w:lang w:val="uk-UA"/>
        </w:rPr>
        <w:t xml:space="preserve"> </w:t>
      </w:r>
      <w:r w:rsidRPr="004C78CA">
        <w:rPr>
          <w:bCs/>
          <w:lang w:val="uk-UA"/>
        </w:rPr>
        <w:t>удосконалення діагностики стадії та прогнозування перебігу ГХ у чоловіків, а також підвищення діагностичної цінності визначення ЕТ–1 як маркера при проведенні наукових та діагностичних досліджень, шляхом встановлення носійства поліморфних варіантів гена ЕТ–1 (</w:t>
      </w:r>
      <w:r w:rsidRPr="004C78CA">
        <w:rPr>
          <w:bCs/>
          <w:lang w:val="en-US"/>
        </w:rPr>
        <w:t>Lys</w:t>
      </w:r>
      <w:r w:rsidRPr="004C78CA">
        <w:rPr>
          <w:bCs/>
          <w:lang w:val="uk-UA"/>
        </w:rPr>
        <w:t>198</w:t>
      </w:r>
      <w:r w:rsidRPr="004C78CA">
        <w:rPr>
          <w:bCs/>
          <w:lang w:val="en-US"/>
        </w:rPr>
        <w:t>Asn</w:t>
      </w:r>
      <w:r w:rsidRPr="004C78CA">
        <w:rPr>
          <w:bCs/>
          <w:lang w:val="uk-UA"/>
        </w:rPr>
        <w:t>), та відповідних плазмових концентрацій ЕТ–1, рівнів СНП, і використанням дерматогліфів пальців кистей.</w:t>
      </w:r>
    </w:p>
    <w:p w:rsidR="004C78CA" w:rsidRPr="004C78CA" w:rsidRDefault="004C78CA" w:rsidP="004C78CA">
      <w:pPr>
        <w:spacing w:line="360" w:lineRule="auto"/>
        <w:ind w:firstLine="720"/>
        <w:jc w:val="both"/>
        <w:rPr>
          <w:b/>
          <w:bCs/>
          <w:lang w:val="uk-UA"/>
        </w:rPr>
      </w:pPr>
      <w:r w:rsidRPr="004C78CA">
        <w:rPr>
          <w:b/>
          <w:bCs/>
          <w:lang w:val="uk-UA"/>
        </w:rPr>
        <w:t>Завдання дослідження:</w:t>
      </w:r>
    </w:p>
    <w:p w:rsidR="004C78CA" w:rsidRPr="004C78CA" w:rsidRDefault="004C78CA" w:rsidP="004C78CA">
      <w:pPr>
        <w:numPr>
          <w:ilvl w:val="0"/>
          <w:numId w:val="2"/>
        </w:numPr>
        <w:spacing w:line="360" w:lineRule="auto"/>
        <w:ind w:left="0" w:firstLine="0"/>
        <w:jc w:val="both"/>
        <w:rPr>
          <w:b/>
          <w:bCs/>
        </w:rPr>
      </w:pPr>
      <w:r w:rsidRPr="004C78CA">
        <w:rPr>
          <w:bCs/>
          <w:lang w:val="uk-UA"/>
        </w:rPr>
        <w:t>Визначити розповсюдженість поліморфних варіантів гена ЕТ–1 (</w:t>
      </w:r>
      <w:r w:rsidRPr="004C78CA">
        <w:rPr>
          <w:bCs/>
          <w:lang w:val="en-US"/>
        </w:rPr>
        <w:t>Lys</w:t>
      </w:r>
      <w:r w:rsidRPr="004C78CA">
        <w:rPr>
          <w:bCs/>
          <w:lang w:val="uk-UA"/>
        </w:rPr>
        <w:t>198</w:t>
      </w:r>
      <w:r w:rsidRPr="004C78CA">
        <w:rPr>
          <w:bCs/>
          <w:lang w:val="en-US"/>
        </w:rPr>
        <w:t>Asn</w:t>
      </w:r>
      <w:r w:rsidRPr="004C78CA">
        <w:rPr>
          <w:bCs/>
          <w:lang w:val="uk-UA"/>
        </w:rPr>
        <w:t xml:space="preserve">), плазмові концентрації ЕТ–1 і СНП в групі контролю </w:t>
      </w:r>
      <w:r w:rsidRPr="004C78CA">
        <w:rPr>
          <w:bCs/>
        </w:rPr>
        <w:t>(чоловіки у віці 40–60 років</w:t>
      </w:r>
      <w:r w:rsidRPr="004C78CA">
        <w:rPr>
          <w:bCs/>
          <w:lang w:val="uk-UA"/>
        </w:rPr>
        <w:t xml:space="preserve"> без серцево-судинних хвороб</w:t>
      </w:r>
      <w:r w:rsidRPr="004C78CA">
        <w:rPr>
          <w:bCs/>
        </w:rPr>
        <w:t xml:space="preserve">), мешканців Подільського регіону. </w:t>
      </w:r>
      <w:proofErr w:type="gramStart"/>
      <w:r w:rsidRPr="004C78CA">
        <w:rPr>
          <w:bCs/>
        </w:rPr>
        <w:t>Досл</w:t>
      </w:r>
      <w:proofErr w:type="gramEnd"/>
      <w:r w:rsidRPr="004C78CA">
        <w:rPr>
          <w:bCs/>
        </w:rPr>
        <w:t xml:space="preserve">ідити співвідношення частот </w:t>
      </w:r>
      <w:r w:rsidRPr="004C78CA">
        <w:rPr>
          <w:bCs/>
          <w:lang w:val="uk-UA"/>
        </w:rPr>
        <w:t xml:space="preserve">поліморфних варіантів гена </w:t>
      </w:r>
      <w:r w:rsidRPr="004C78CA">
        <w:rPr>
          <w:bCs/>
        </w:rPr>
        <w:t>ЕТ–1 та, відповідно, гена АТ1–Р</w:t>
      </w:r>
      <w:r w:rsidRPr="004C78CA">
        <w:rPr>
          <w:bCs/>
          <w:lang w:val="uk-UA"/>
        </w:rPr>
        <w:t xml:space="preserve"> (А1166С), оскільки поліморфізм останнього може визначати виникнення ГХ та ХСН на її тлі.</w:t>
      </w:r>
    </w:p>
    <w:p w:rsidR="004C78CA" w:rsidRPr="004C78CA" w:rsidRDefault="004C78CA" w:rsidP="004C78CA">
      <w:pPr>
        <w:numPr>
          <w:ilvl w:val="0"/>
          <w:numId w:val="2"/>
        </w:numPr>
        <w:spacing w:line="360" w:lineRule="auto"/>
        <w:ind w:left="0" w:firstLine="0"/>
        <w:jc w:val="both"/>
        <w:rPr>
          <w:b/>
          <w:bCs/>
          <w:lang w:val="uk-UA"/>
        </w:rPr>
      </w:pPr>
      <w:r w:rsidRPr="004C78CA">
        <w:rPr>
          <w:bCs/>
          <w:lang w:val="uk-UA"/>
        </w:rPr>
        <w:t>Установити частоту носійства поліморфних варіантів гена ЕТ–1 (</w:t>
      </w:r>
      <w:r w:rsidRPr="004C78CA">
        <w:rPr>
          <w:bCs/>
          <w:lang w:val="en-US"/>
        </w:rPr>
        <w:t>Lys</w:t>
      </w:r>
      <w:r w:rsidRPr="004C78CA">
        <w:rPr>
          <w:bCs/>
        </w:rPr>
        <w:t>198</w:t>
      </w:r>
      <w:r w:rsidRPr="004C78CA">
        <w:rPr>
          <w:bCs/>
          <w:lang w:val="en-US"/>
        </w:rPr>
        <w:t>Asn</w:t>
      </w:r>
      <w:r w:rsidRPr="004C78CA">
        <w:rPr>
          <w:bCs/>
        </w:rPr>
        <w:t>)</w:t>
      </w:r>
      <w:r w:rsidRPr="004C78CA">
        <w:rPr>
          <w:bCs/>
          <w:lang w:val="uk-UA"/>
        </w:rPr>
        <w:t xml:space="preserve"> і їх співвідношення з різними варіантами гена АТ1–Р (А1166С), плазмові концентрації ЕТ–1 і рівня СНП у чоловіків хворих на ГХ ІІ стадії віком 40–60 років, мешканців Подільського регіону.</w:t>
      </w:r>
    </w:p>
    <w:p w:rsidR="004C78CA" w:rsidRPr="004C78CA" w:rsidRDefault="004C78CA" w:rsidP="00B45E56">
      <w:pPr>
        <w:numPr>
          <w:ilvl w:val="0"/>
          <w:numId w:val="2"/>
        </w:numPr>
        <w:spacing w:line="360" w:lineRule="auto"/>
        <w:ind w:left="0" w:firstLine="0"/>
        <w:jc w:val="both"/>
        <w:rPr>
          <w:b/>
          <w:bCs/>
          <w:lang w:val="uk-UA"/>
        </w:rPr>
      </w:pPr>
      <w:r w:rsidRPr="004C78CA">
        <w:rPr>
          <w:bCs/>
          <w:lang w:val="uk-UA"/>
        </w:rPr>
        <w:t>Дослідити частоту носійства поліморфних варіантів гена ЕТ–1 (</w:t>
      </w:r>
      <w:r w:rsidRPr="004C78CA">
        <w:rPr>
          <w:bCs/>
          <w:lang w:val="en-US"/>
        </w:rPr>
        <w:t>Lys</w:t>
      </w:r>
      <w:r w:rsidRPr="004C78CA">
        <w:rPr>
          <w:bCs/>
          <w:lang w:val="uk-UA"/>
        </w:rPr>
        <w:t>198</w:t>
      </w:r>
      <w:r w:rsidRPr="004C78CA">
        <w:rPr>
          <w:bCs/>
          <w:lang w:val="en-US"/>
        </w:rPr>
        <w:t>Asn</w:t>
      </w:r>
      <w:r w:rsidRPr="004C78CA">
        <w:rPr>
          <w:bCs/>
          <w:lang w:val="uk-UA"/>
        </w:rPr>
        <w:t xml:space="preserve">), плазмові рівні ЕТ–1 і СНП у чоловіків хворих на ГХ ІІІ стадії (ускладнена ХСН ІІ А стадії). </w:t>
      </w:r>
    </w:p>
    <w:p w:rsidR="004C78CA" w:rsidRPr="004C78CA" w:rsidRDefault="004C78CA" w:rsidP="004C78CA">
      <w:pPr>
        <w:numPr>
          <w:ilvl w:val="0"/>
          <w:numId w:val="2"/>
        </w:numPr>
        <w:spacing w:line="360" w:lineRule="auto"/>
        <w:ind w:left="0" w:firstLine="0"/>
        <w:jc w:val="both"/>
        <w:rPr>
          <w:bCs/>
          <w:lang w:val="uk-UA"/>
        </w:rPr>
      </w:pPr>
      <w:r w:rsidRPr="004C78CA">
        <w:rPr>
          <w:bCs/>
          <w:lang w:val="uk-UA"/>
        </w:rPr>
        <w:t>Вивчити структурно–функціональний стан міокарду та показники спектру ліпідів у чоловіків, при носійстві різних варіантів гена ЕТ–1 (</w:t>
      </w:r>
      <w:r w:rsidRPr="004C78CA">
        <w:rPr>
          <w:bCs/>
          <w:lang w:val="en-US"/>
        </w:rPr>
        <w:t>Lys</w:t>
      </w:r>
      <w:r w:rsidRPr="004C78CA">
        <w:rPr>
          <w:bCs/>
          <w:lang w:val="uk-UA"/>
        </w:rPr>
        <w:t>198</w:t>
      </w:r>
      <w:r w:rsidRPr="004C78CA">
        <w:rPr>
          <w:bCs/>
          <w:lang w:val="en-US"/>
        </w:rPr>
        <w:t>Asn</w:t>
      </w:r>
      <w:r w:rsidRPr="004C78CA">
        <w:rPr>
          <w:bCs/>
          <w:lang w:val="uk-UA"/>
        </w:rPr>
        <w:t>), і відповідні рівні ЕТ–1 і СНП в плазмі крові.</w:t>
      </w:r>
    </w:p>
    <w:p w:rsidR="004C78CA" w:rsidRPr="004C78CA" w:rsidRDefault="004C78CA" w:rsidP="004C78CA">
      <w:pPr>
        <w:numPr>
          <w:ilvl w:val="0"/>
          <w:numId w:val="2"/>
        </w:numPr>
        <w:spacing w:line="360" w:lineRule="auto"/>
        <w:ind w:left="0" w:firstLine="0"/>
        <w:jc w:val="both"/>
        <w:rPr>
          <w:bCs/>
          <w:lang w:val="uk-UA"/>
        </w:rPr>
      </w:pPr>
      <w:r w:rsidRPr="004C78CA">
        <w:rPr>
          <w:bCs/>
          <w:lang w:val="uk-UA"/>
        </w:rPr>
        <w:t>Розробити методику орієнтовного визначення носійства поліморфних варіантів гена ЕТ–1 (</w:t>
      </w:r>
      <w:r w:rsidRPr="004C78CA">
        <w:rPr>
          <w:bCs/>
          <w:lang w:val="en-US"/>
        </w:rPr>
        <w:t>Lys</w:t>
      </w:r>
      <w:r w:rsidRPr="004C78CA">
        <w:rPr>
          <w:bCs/>
          <w:lang w:val="uk-UA"/>
        </w:rPr>
        <w:t>198</w:t>
      </w:r>
      <w:r w:rsidRPr="004C78CA">
        <w:rPr>
          <w:bCs/>
          <w:lang w:val="en-US"/>
        </w:rPr>
        <w:t>Asn</w:t>
      </w:r>
      <w:r w:rsidRPr="004C78CA">
        <w:rPr>
          <w:bCs/>
          <w:lang w:val="uk-UA"/>
        </w:rPr>
        <w:t>) за допомогою дерматогліфів пальців кистей.</w:t>
      </w:r>
    </w:p>
    <w:p w:rsidR="004C78CA" w:rsidRPr="004C78CA" w:rsidRDefault="004C78CA" w:rsidP="004C78CA">
      <w:pPr>
        <w:spacing w:line="360" w:lineRule="auto"/>
        <w:ind w:firstLine="720"/>
        <w:jc w:val="both"/>
        <w:rPr>
          <w:lang w:val="uk-UA"/>
        </w:rPr>
      </w:pPr>
      <w:r w:rsidRPr="004C78CA">
        <w:rPr>
          <w:i/>
          <w:lang w:val="uk-UA"/>
        </w:rPr>
        <w:t>Об'єкт дослідження</w:t>
      </w:r>
      <w:r w:rsidRPr="004C78CA">
        <w:rPr>
          <w:lang w:val="uk-UA"/>
        </w:rPr>
        <w:t>: гіпертонічна хвороба.</w:t>
      </w:r>
    </w:p>
    <w:p w:rsidR="004C78CA" w:rsidRPr="004C78CA" w:rsidRDefault="004C78CA" w:rsidP="004C78CA">
      <w:pPr>
        <w:spacing w:line="360" w:lineRule="auto"/>
        <w:ind w:firstLine="720"/>
        <w:jc w:val="both"/>
        <w:rPr>
          <w:lang w:val="uk-UA"/>
        </w:rPr>
      </w:pPr>
      <w:r w:rsidRPr="004C78CA">
        <w:rPr>
          <w:i/>
          <w:lang w:val="uk-UA"/>
        </w:rPr>
        <w:lastRenderedPageBreak/>
        <w:t>Предмет дослідження</w:t>
      </w:r>
      <w:r w:rsidRPr="004C78CA">
        <w:rPr>
          <w:lang w:val="uk-UA"/>
        </w:rPr>
        <w:t xml:space="preserve">: поліморфні варіанти гена ЕТ–1 </w:t>
      </w:r>
      <w:r w:rsidRPr="004C78CA">
        <w:rPr>
          <w:bCs/>
          <w:lang w:val="uk-UA"/>
        </w:rPr>
        <w:t>(</w:t>
      </w:r>
      <w:r w:rsidRPr="004C78CA">
        <w:rPr>
          <w:bCs/>
          <w:lang w:val="en-US"/>
        </w:rPr>
        <w:t>Lys</w:t>
      </w:r>
      <w:r w:rsidRPr="004C78CA">
        <w:rPr>
          <w:bCs/>
          <w:lang w:val="uk-UA"/>
        </w:rPr>
        <w:t>198</w:t>
      </w:r>
      <w:r w:rsidRPr="004C78CA">
        <w:rPr>
          <w:bCs/>
          <w:lang w:val="en-US"/>
        </w:rPr>
        <w:t>Asn</w:t>
      </w:r>
      <w:r w:rsidRPr="004C78CA">
        <w:rPr>
          <w:bCs/>
          <w:lang w:val="uk-UA"/>
        </w:rPr>
        <w:t>)</w:t>
      </w:r>
      <w:r w:rsidRPr="004C78CA">
        <w:rPr>
          <w:lang w:val="uk-UA"/>
        </w:rPr>
        <w:t>; плазмові концентрації ЕТ–1 та СНП; показники центральної та внутрішньосерцевої гемодинаміки; дерматогліфічні малюнки пальців кистей.</w:t>
      </w:r>
    </w:p>
    <w:p w:rsidR="004C78CA" w:rsidRPr="004C78CA" w:rsidRDefault="004C78CA" w:rsidP="004C78CA">
      <w:pPr>
        <w:spacing w:line="360" w:lineRule="auto"/>
        <w:ind w:firstLine="709"/>
        <w:jc w:val="both"/>
        <w:rPr>
          <w:rFonts w:eastAsia="Calibri"/>
          <w:spacing w:val="-20"/>
          <w:lang w:val="uk-UA" w:eastAsia="en-US"/>
        </w:rPr>
      </w:pPr>
      <w:r w:rsidRPr="004C78CA">
        <w:rPr>
          <w:rFonts w:eastAsia="Calibri"/>
          <w:i/>
          <w:spacing w:val="-20"/>
          <w:lang w:val="uk-UA" w:eastAsia="en-US"/>
        </w:rPr>
        <w:t>Методи дослідження</w:t>
      </w:r>
      <w:r w:rsidRPr="004C78CA">
        <w:rPr>
          <w:rFonts w:eastAsia="Calibri"/>
          <w:spacing w:val="-20"/>
          <w:lang w:val="uk-UA" w:eastAsia="en-US"/>
        </w:rPr>
        <w:t xml:space="preserve">: </w:t>
      </w:r>
      <w:r w:rsidRPr="004C78CA">
        <w:rPr>
          <w:rFonts w:eastAsia="Calibri"/>
          <w:spacing w:val="-4"/>
          <w:lang w:val="uk-UA" w:eastAsia="en-US"/>
        </w:rPr>
        <w:t xml:space="preserve">загальноклінічні, лабораторні, імуноферментні, генетичні, дерматогліфічне обстеження пальців </w:t>
      </w:r>
      <w:r w:rsidRPr="004C78CA">
        <w:rPr>
          <w:lang w:val="uk-UA"/>
        </w:rPr>
        <w:t>кистей,</w:t>
      </w:r>
      <w:r w:rsidRPr="004C78CA">
        <w:rPr>
          <w:rFonts w:eastAsia="Calibri"/>
          <w:spacing w:val="-4"/>
          <w:lang w:val="uk-UA" w:eastAsia="en-US"/>
        </w:rPr>
        <w:t xml:space="preserve"> інструментальні, статистичні</w:t>
      </w:r>
      <w:r w:rsidRPr="004C78CA">
        <w:rPr>
          <w:rFonts w:eastAsia="Calibri"/>
          <w:spacing w:val="-20"/>
          <w:lang w:val="uk-UA" w:eastAsia="en-US"/>
        </w:rPr>
        <w:t>.</w:t>
      </w:r>
    </w:p>
    <w:p w:rsidR="004C78CA" w:rsidRPr="004C78CA" w:rsidRDefault="004C78CA" w:rsidP="004C78CA">
      <w:pPr>
        <w:spacing w:line="360" w:lineRule="auto"/>
        <w:ind w:right="176" w:firstLine="709"/>
        <w:jc w:val="both"/>
        <w:rPr>
          <w:lang w:val="uk-UA"/>
        </w:rPr>
      </w:pPr>
      <w:r w:rsidRPr="004C78CA">
        <w:rPr>
          <w:rFonts w:eastAsia="Calibri"/>
          <w:b/>
          <w:bCs/>
          <w:spacing w:val="-4"/>
          <w:lang w:val="uk-UA" w:eastAsia="en-US"/>
        </w:rPr>
        <w:t xml:space="preserve">Наукова новизна одержаних результатів. </w:t>
      </w:r>
      <w:r w:rsidRPr="004C78CA">
        <w:rPr>
          <w:lang w:val="uk-UA"/>
        </w:rPr>
        <w:t>Уперше проведено паралельне вивчення поліморфізму гена ЕТ–1 (</w:t>
      </w:r>
      <w:r w:rsidRPr="004C78CA">
        <w:rPr>
          <w:lang w:val="en-US"/>
        </w:rPr>
        <w:t>Lys</w:t>
      </w:r>
      <w:r w:rsidRPr="004C78CA">
        <w:rPr>
          <w:lang w:val="uk-UA"/>
        </w:rPr>
        <w:t>198</w:t>
      </w:r>
      <w:r w:rsidRPr="004C78CA">
        <w:rPr>
          <w:lang w:val="en-US"/>
        </w:rPr>
        <w:t>Asn</w:t>
      </w:r>
      <w:r w:rsidRPr="004C78CA">
        <w:rPr>
          <w:lang w:val="uk-UA"/>
        </w:rPr>
        <w:t>), рівнів ЕТ–1 та СНП в плазмі крові та пов’язаних з ними структурно–функціональних змін міокарда, а також дерматогліфічних малюнків у осіб чоловічої статі без серцево-судинних захворювань (ССЗ), а також у хворих на ГХ ІІ та ІІІ стадій віком 40–60 років, мешканців Подільського регіону України.</w:t>
      </w:r>
    </w:p>
    <w:p w:rsidR="004C78CA" w:rsidRPr="004C78CA" w:rsidRDefault="004C78CA" w:rsidP="004C78CA">
      <w:pPr>
        <w:spacing w:before="240" w:line="360" w:lineRule="auto"/>
        <w:ind w:firstLine="709"/>
        <w:contextualSpacing/>
        <w:jc w:val="both"/>
        <w:rPr>
          <w:rFonts w:eastAsia="Calibri"/>
          <w:lang w:val="uk-UA" w:eastAsia="en-US"/>
        </w:rPr>
      </w:pPr>
      <w:r w:rsidRPr="004C78CA">
        <w:rPr>
          <w:lang w:val="uk-UA"/>
        </w:rPr>
        <w:t>Установлено, що як у чоловіків без ССЗ так і у пацієнтів з ГХ за частотою носійства переважає генотип Lys/</w:t>
      </w:r>
      <w:r w:rsidRPr="004C78CA">
        <w:rPr>
          <w:lang w:val="en-US"/>
        </w:rPr>
        <w:t>Lys</w:t>
      </w:r>
      <w:r w:rsidRPr="004C78CA">
        <w:rPr>
          <w:lang w:val="uk-UA"/>
        </w:rPr>
        <w:t xml:space="preserve"> та алель </w:t>
      </w:r>
      <w:r w:rsidRPr="004C78CA">
        <w:rPr>
          <w:lang w:val="en-US"/>
        </w:rPr>
        <w:t>Lys</w:t>
      </w:r>
      <w:r w:rsidRPr="004C78CA">
        <w:rPr>
          <w:lang w:val="uk-UA"/>
        </w:rPr>
        <w:t xml:space="preserve"> гена ЕТ–1</w:t>
      </w:r>
      <w:r w:rsidRPr="004C78CA">
        <w:rPr>
          <w:rFonts w:eastAsia="Calibri"/>
          <w:lang w:val="uk-UA" w:eastAsia="en-US"/>
        </w:rPr>
        <w:t xml:space="preserve">. </w:t>
      </w:r>
      <w:r w:rsidRPr="004C78CA">
        <w:rPr>
          <w:lang w:val="uk-UA"/>
        </w:rPr>
        <w:t>При цьому</w:t>
      </w:r>
      <w:r w:rsidRPr="004C78CA">
        <w:rPr>
          <w:b/>
          <w:lang w:val="uk-UA"/>
        </w:rPr>
        <w:t xml:space="preserve"> </w:t>
      </w:r>
      <w:r w:rsidRPr="004C78CA">
        <w:rPr>
          <w:rFonts w:eastAsia="Calibri"/>
          <w:lang w:val="uk-UA" w:eastAsia="en-US"/>
        </w:rPr>
        <w:t xml:space="preserve"> у чоловіків з ГХ плазмовий рівень ЕТ–1 та СНП достовірно вище, а</w:t>
      </w:r>
      <w:r w:rsidRPr="004C78CA">
        <w:rPr>
          <w:lang w:val="uk-UA"/>
        </w:rPr>
        <w:t xml:space="preserve"> коефіцієнт СНП/ЕТ–1 нижче</w:t>
      </w:r>
      <w:r w:rsidRPr="004C78CA">
        <w:rPr>
          <w:rFonts w:eastAsia="Calibri"/>
          <w:lang w:val="uk-UA" w:eastAsia="en-US"/>
        </w:rPr>
        <w:t xml:space="preserve">, ніж в групі контролю </w:t>
      </w:r>
      <w:r w:rsidRPr="004C78CA">
        <w:rPr>
          <w:lang w:val="uk-UA"/>
        </w:rPr>
        <w:t>п</w:t>
      </w:r>
      <w:r w:rsidRPr="004C78CA">
        <w:rPr>
          <w:rFonts w:eastAsia="Calibri"/>
          <w:lang w:val="uk-UA" w:eastAsia="en-US"/>
        </w:rPr>
        <w:t>ри носійстві будь–якого поліморфного варіанту гена ЕТ–1.</w:t>
      </w:r>
    </w:p>
    <w:p w:rsidR="004C78CA" w:rsidRPr="004C78CA" w:rsidRDefault="004C78CA" w:rsidP="004C78CA">
      <w:pPr>
        <w:spacing w:before="240" w:line="360" w:lineRule="auto"/>
        <w:ind w:firstLine="709"/>
        <w:contextualSpacing/>
        <w:jc w:val="both"/>
        <w:rPr>
          <w:lang w:val="uk-UA"/>
        </w:rPr>
      </w:pPr>
      <w:r w:rsidRPr="004C78CA">
        <w:rPr>
          <w:rFonts w:eastAsia="Calibri"/>
          <w:lang w:val="uk-UA" w:eastAsia="en-US"/>
        </w:rPr>
        <w:t>Уперше показано, що у чоловіків</w:t>
      </w:r>
      <w:r w:rsidRPr="004C78CA">
        <w:rPr>
          <w:lang w:val="uk-UA"/>
        </w:rPr>
        <w:t xml:space="preserve"> носійство алелі Asn (генотипи Lys/Asn та Asn/Asn) визначає вищий плазмовий рівень ЕТ–1 та СНП. Зокрема, в групі контролю у осіб з алелю Asn концентрація в плазмі крові ЕТ-1 складає (2,53 ± 0,12) фмоль/мл,  СНП  - (2,98 ± 0,08) пмоль/мл порівняно з гомозиготами Lys/Lys (ЕТ-1 - (1,41 ± 0,05) фмоль/мл; СНП - (2,02 ± 0,29) пмоль/мл (р&lt;0,05). При ГХ різної стадії у носіїв алелі Asn (генотипи Lys/Asn та Asn/Asn) відповідні показники теж вірогідно вищі ніж у чоловіків з генотипом Lys/Lys. Отримані дані можуть мати діагностичне значення при використанні цих пептидів в наукових та клінічних дослідженнях.</w:t>
      </w:r>
    </w:p>
    <w:p w:rsidR="004C78CA" w:rsidRPr="004C78CA" w:rsidRDefault="004C78CA" w:rsidP="004C78CA">
      <w:pPr>
        <w:spacing w:before="240" w:line="360" w:lineRule="auto"/>
        <w:ind w:firstLine="709"/>
        <w:contextualSpacing/>
        <w:jc w:val="both"/>
        <w:rPr>
          <w:lang w:val="uk-UA"/>
        </w:rPr>
      </w:pPr>
      <w:r w:rsidRPr="004C78CA">
        <w:rPr>
          <w:lang w:val="uk-UA"/>
        </w:rPr>
        <w:t xml:space="preserve">Визначено, що плазмова концентрація ЕТ-1 та СНП не залежить від індексу маси тіла (ІМТ), на відміну від більшості відомих біологічних маркерів. Це надає перевагу рівням ЕТ-1 та СНП в плазмі крові для уточнення стадії гіпертонічної хвороби при скринінговому обстеженні чоловіків. </w:t>
      </w:r>
    </w:p>
    <w:p w:rsidR="004C78CA" w:rsidRPr="004C78CA" w:rsidRDefault="004C78CA" w:rsidP="004C78CA">
      <w:pPr>
        <w:spacing w:before="240" w:line="360" w:lineRule="auto"/>
        <w:ind w:firstLine="709"/>
        <w:contextualSpacing/>
        <w:jc w:val="both"/>
        <w:rPr>
          <w:lang w:val="uk-UA"/>
        </w:rPr>
      </w:pPr>
      <w:r w:rsidRPr="004C78CA">
        <w:rPr>
          <w:lang w:val="uk-UA"/>
        </w:rPr>
        <w:lastRenderedPageBreak/>
        <w:t xml:space="preserve">Також досліджено, що у осіб з ГХ ІІ ст. та  ГХ ІІІ ст. (ускладнена ХСН ІІ А ст.) носійство алелі Asn (генотипи </w:t>
      </w:r>
      <w:r w:rsidRPr="004C78CA">
        <w:rPr>
          <w:lang w:val="en-US"/>
        </w:rPr>
        <w:t>Lys</w:t>
      </w:r>
      <w:r w:rsidRPr="004C78CA">
        <w:rPr>
          <w:lang w:val="uk-UA"/>
        </w:rPr>
        <w:t>/</w:t>
      </w:r>
      <w:r w:rsidRPr="004C78CA">
        <w:rPr>
          <w:lang w:val="en-US"/>
        </w:rPr>
        <w:t>Asn</w:t>
      </w:r>
      <w:r w:rsidRPr="004C78CA">
        <w:rPr>
          <w:lang w:val="uk-UA"/>
        </w:rPr>
        <w:t xml:space="preserve"> та </w:t>
      </w:r>
      <w:r w:rsidRPr="004C78CA">
        <w:rPr>
          <w:lang w:val="en-US"/>
        </w:rPr>
        <w:t>Asn</w:t>
      </w:r>
      <w:r w:rsidRPr="004C78CA">
        <w:rPr>
          <w:lang w:val="uk-UA"/>
        </w:rPr>
        <w:t>/</w:t>
      </w:r>
      <w:r w:rsidRPr="004C78CA">
        <w:rPr>
          <w:lang w:val="en-US"/>
        </w:rPr>
        <w:t>Asn</w:t>
      </w:r>
      <w:r w:rsidRPr="004C78CA">
        <w:rPr>
          <w:lang w:val="uk-UA"/>
        </w:rPr>
        <w:t xml:space="preserve">) асоціюється з 3 ступенем артеріальної гіпертензії (АГ) та підвищенням показників проатерогенних фракцій ліпідного спектру крові в порівнянні з гомозиготами </w:t>
      </w:r>
      <w:r w:rsidRPr="004C78CA">
        <w:rPr>
          <w:lang w:val="en-US"/>
        </w:rPr>
        <w:t>Lys</w:t>
      </w:r>
      <w:r w:rsidRPr="004C78CA">
        <w:rPr>
          <w:lang w:val="uk-UA"/>
        </w:rPr>
        <w:t>/</w:t>
      </w:r>
      <w:r w:rsidRPr="004C78CA">
        <w:rPr>
          <w:lang w:val="en-US"/>
        </w:rPr>
        <w:t>Lys</w:t>
      </w:r>
      <w:r w:rsidRPr="004C78CA">
        <w:rPr>
          <w:lang w:val="uk-UA"/>
        </w:rPr>
        <w:t xml:space="preserve"> гена ЕТ–1. Окрім того, встановлені більш виражені негативні структурно–функціональні зміни міокарда та системної гемодинаміки саме у носіїв алелі Asn (генотипи </w:t>
      </w:r>
      <w:r w:rsidRPr="004C78CA">
        <w:rPr>
          <w:lang w:val="en-US"/>
        </w:rPr>
        <w:t>Lys</w:t>
      </w:r>
      <w:r w:rsidRPr="004C78CA">
        <w:rPr>
          <w:lang w:val="uk-UA"/>
        </w:rPr>
        <w:t>/</w:t>
      </w:r>
      <w:r w:rsidRPr="004C78CA">
        <w:rPr>
          <w:lang w:val="en-US"/>
        </w:rPr>
        <w:t>Asn</w:t>
      </w:r>
      <w:r w:rsidRPr="004C78CA">
        <w:rPr>
          <w:lang w:val="uk-UA"/>
        </w:rPr>
        <w:t xml:space="preserve"> та </w:t>
      </w:r>
      <w:r w:rsidRPr="004C78CA">
        <w:rPr>
          <w:lang w:val="en-US"/>
        </w:rPr>
        <w:t>Asn</w:t>
      </w:r>
      <w:r w:rsidRPr="004C78CA">
        <w:rPr>
          <w:lang w:val="uk-UA"/>
        </w:rPr>
        <w:t>/</w:t>
      </w:r>
      <w:r w:rsidRPr="004C78CA">
        <w:rPr>
          <w:lang w:val="en-US"/>
        </w:rPr>
        <w:t>Asn</w:t>
      </w:r>
      <w:r w:rsidRPr="004C78CA">
        <w:rPr>
          <w:lang w:val="uk-UA"/>
        </w:rPr>
        <w:t xml:space="preserve">) (підвищення індексів кінцевого систолічного та діастолічного об’ємів, загального периферичного судинного опору, індексу маси міокарда лівого шлуночка (іММЛШ) та зниженням фракції викиду (ФВ) (59,14 ± 1,71) % та (41,14 ± 1,14) %, відповідно), ніж при генотипі </w:t>
      </w:r>
      <w:r w:rsidRPr="004C78CA">
        <w:rPr>
          <w:lang w:val="en-US"/>
        </w:rPr>
        <w:t>Lys</w:t>
      </w:r>
      <w:r w:rsidRPr="004C78CA">
        <w:rPr>
          <w:lang w:val="uk-UA"/>
        </w:rPr>
        <w:t>/</w:t>
      </w:r>
      <w:r w:rsidRPr="004C78CA">
        <w:rPr>
          <w:lang w:val="en-US"/>
        </w:rPr>
        <w:t>Lys</w:t>
      </w:r>
      <w:r w:rsidRPr="004C78CA">
        <w:rPr>
          <w:lang w:val="uk-UA"/>
        </w:rPr>
        <w:t>.</w:t>
      </w:r>
    </w:p>
    <w:p w:rsidR="004C78CA" w:rsidRPr="004C78CA" w:rsidRDefault="004C78CA" w:rsidP="004C78CA">
      <w:pPr>
        <w:spacing w:line="360" w:lineRule="auto"/>
        <w:ind w:right="176" w:firstLine="709"/>
        <w:jc w:val="both"/>
        <w:rPr>
          <w:color w:val="000000"/>
          <w:lang w:val="uk-UA"/>
        </w:rPr>
      </w:pPr>
      <w:r w:rsidRPr="004C78CA">
        <w:rPr>
          <w:color w:val="000000"/>
          <w:lang w:val="uk-UA"/>
        </w:rPr>
        <w:t>Уперше в чоловіків групи контролю та у пацієнтів з ГХ різної стадії  встановлено співвідношення поліморфних варіантів гена ЕТ–1 (</w:t>
      </w:r>
      <w:r w:rsidRPr="004C78CA">
        <w:rPr>
          <w:color w:val="000000"/>
          <w:lang w:val="en-US"/>
        </w:rPr>
        <w:t>Lys</w:t>
      </w:r>
      <w:r w:rsidRPr="004C78CA">
        <w:rPr>
          <w:color w:val="000000"/>
          <w:lang w:val="uk-UA"/>
        </w:rPr>
        <w:t>198</w:t>
      </w:r>
      <w:r w:rsidRPr="004C78CA">
        <w:rPr>
          <w:color w:val="000000"/>
          <w:lang w:val="en-US"/>
        </w:rPr>
        <w:t>Asn</w:t>
      </w:r>
      <w:r w:rsidRPr="004C78CA">
        <w:rPr>
          <w:color w:val="000000"/>
          <w:lang w:val="uk-UA"/>
        </w:rPr>
        <w:t xml:space="preserve">) та гена АТ1–Р </w:t>
      </w:r>
      <w:r w:rsidRPr="004C78CA">
        <w:rPr>
          <w:bCs/>
          <w:color w:val="000000"/>
          <w:lang w:val="uk-UA"/>
        </w:rPr>
        <w:t>(А1166С)</w:t>
      </w:r>
      <w:r w:rsidRPr="004C78CA">
        <w:rPr>
          <w:color w:val="000000"/>
          <w:lang w:val="uk-UA"/>
        </w:rPr>
        <w:t xml:space="preserve">. У осіб без ССЗ – носіїв алелі Asn гена ЕТ–1 (генотипи </w:t>
      </w:r>
      <w:r w:rsidRPr="004C78CA">
        <w:rPr>
          <w:color w:val="000000"/>
          <w:lang w:val="en-US"/>
        </w:rPr>
        <w:t>Lys</w:t>
      </w:r>
      <w:r w:rsidRPr="004C78CA">
        <w:rPr>
          <w:color w:val="000000"/>
          <w:lang w:val="uk-UA"/>
        </w:rPr>
        <w:t>/</w:t>
      </w:r>
      <w:r w:rsidRPr="004C78CA">
        <w:rPr>
          <w:color w:val="000000"/>
          <w:lang w:val="en-US"/>
        </w:rPr>
        <w:t>Asn</w:t>
      </w:r>
      <w:r w:rsidRPr="004C78CA">
        <w:rPr>
          <w:color w:val="000000"/>
          <w:lang w:val="uk-UA"/>
        </w:rPr>
        <w:t xml:space="preserve"> та </w:t>
      </w:r>
      <w:r w:rsidRPr="004C78CA">
        <w:rPr>
          <w:color w:val="000000"/>
          <w:lang w:val="en-US"/>
        </w:rPr>
        <w:t>Asn</w:t>
      </w:r>
      <w:r w:rsidRPr="004C78CA">
        <w:rPr>
          <w:color w:val="000000"/>
          <w:lang w:val="uk-UA"/>
        </w:rPr>
        <w:t>/</w:t>
      </w:r>
      <w:r w:rsidRPr="004C78CA">
        <w:rPr>
          <w:color w:val="000000"/>
          <w:lang w:val="en-US"/>
        </w:rPr>
        <w:t>Asn</w:t>
      </w:r>
      <w:r w:rsidRPr="004C78CA">
        <w:rPr>
          <w:color w:val="000000"/>
          <w:lang w:val="uk-UA"/>
        </w:rPr>
        <w:t xml:space="preserve">) достовірно частіше зустрічається генотип АА гена АТ1–Р (р&lt;0,01) – найбільш благоприємний у відношенні подальшого розвитку ГХ. </w:t>
      </w:r>
      <w:r w:rsidRPr="004C78CA">
        <w:rPr>
          <w:lang w:val="uk-UA"/>
        </w:rPr>
        <w:t>У осіб з ГХ, генотип АА та носійство алелі С гена АТ1–Р виявляються майже з однаковою частотою при реєстрації різних генотипів гена ЕТ–1. Тобто, поліморфізм гена АТ1–Р не є фактором впливу на частоту різних варіантів гена ЕТ-1</w:t>
      </w:r>
      <w:r w:rsidRPr="004C78CA">
        <w:rPr>
          <w:color w:val="000000"/>
          <w:lang w:val="uk-UA"/>
        </w:rPr>
        <w:t xml:space="preserve">. </w:t>
      </w:r>
    </w:p>
    <w:p w:rsidR="004C78CA" w:rsidRPr="004C78CA" w:rsidRDefault="004C78CA" w:rsidP="004C78CA">
      <w:pPr>
        <w:spacing w:line="360" w:lineRule="auto"/>
        <w:ind w:right="176" w:firstLine="709"/>
        <w:jc w:val="both"/>
        <w:rPr>
          <w:lang w:val="uk-UA"/>
        </w:rPr>
      </w:pPr>
      <w:r w:rsidRPr="004C78CA">
        <w:rPr>
          <w:rFonts w:eastAsia="Calibri"/>
          <w:b/>
          <w:spacing w:val="-4"/>
          <w:lang w:val="uk-UA" w:eastAsia="en-US"/>
        </w:rPr>
        <w:t xml:space="preserve">Практичне значення одержаних результатів. </w:t>
      </w:r>
      <w:r w:rsidRPr="004C78CA">
        <w:rPr>
          <w:lang w:val="uk-UA"/>
        </w:rPr>
        <w:t>Визначення поліморфних варіантів гена ЕТ–1 (</w:t>
      </w:r>
      <w:r w:rsidRPr="004C78CA">
        <w:rPr>
          <w:lang w:val="en-US"/>
        </w:rPr>
        <w:t>Lys</w:t>
      </w:r>
      <w:r w:rsidRPr="004C78CA">
        <w:rPr>
          <w:lang w:val="uk-UA"/>
        </w:rPr>
        <w:t>198</w:t>
      </w:r>
      <w:r w:rsidRPr="004C78CA">
        <w:rPr>
          <w:lang w:val="en-US"/>
        </w:rPr>
        <w:t>Asn</w:t>
      </w:r>
      <w:r w:rsidRPr="004C78CA">
        <w:rPr>
          <w:lang w:val="uk-UA"/>
        </w:rPr>
        <w:t xml:space="preserve">) сприяє більшій точності результатів наукових та діагностичних досліджень з використанням в якості маркера стадії хвороби плазмової концентрації ЕТ–1 для науковців та практикуючих лікарів. Запропоновані межові рівні ЕТ–1 в плазмі крові для гомозигот та гетерозигот по гену ЕТ-1. Їх врахування дозволяє  визначити носіїв алелі Asn (генотипи </w:t>
      </w:r>
      <w:r w:rsidRPr="004C78CA">
        <w:rPr>
          <w:lang w:val="en-US"/>
        </w:rPr>
        <w:t>Lys</w:t>
      </w:r>
      <w:r w:rsidRPr="004C78CA">
        <w:rPr>
          <w:lang w:val="uk-UA"/>
        </w:rPr>
        <w:t>/</w:t>
      </w:r>
      <w:r w:rsidRPr="004C78CA">
        <w:rPr>
          <w:lang w:val="en-US"/>
        </w:rPr>
        <w:t>Asn</w:t>
      </w:r>
      <w:r w:rsidRPr="004C78CA">
        <w:rPr>
          <w:lang w:val="uk-UA"/>
        </w:rPr>
        <w:t xml:space="preserve"> та </w:t>
      </w:r>
      <w:r w:rsidRPr="004C78CA">
        <w:rPr>
          <w:lang w:val="en-US"/>
        </w:rPr>
        <w:t>Asn</w:t>
      </w:r>
      <w:r w:rsidRPr="004C78CA">
        <w:rPr>
          <w:lang w:val="uk-UA"/>
        </w:rPr>
        <w:t>/</w:t>
      </w:r>
      <w:r w:rsidRPr="004C78CA">
        <w:rPr>
          <w:lang w:val="en-US"/>
        </w:rPr>
        <w:t>Asn</w:t>
      </w:r>
      <w:r w:rsidRPr="004C78CA">
        <w:rPr>
          <w:lang w:val="uk-UA"/>
        </w:rPr>
        <w:t xml:space="preserve">) при скринінгу значних контингентів чоловіків, що дає можливість  покращити заходи вторинної профілактики ГХ. </w:t>
      </w:r>
    </w:p>
    <w:p w:rsidR="004C78CA" w:rsidRPr="004C78CA" w:rsidRDefault="004C78CA" w:rsidP="004C78CA">
      <w:pPr>
        <w:spacing w:line="360" w:lineRule="auto"/>
        <w:ind w:firstLine="709"/>
        <w:jc w:val="both"/>
        <w:rPr>
          <w:lang w:val="uk-UA"/>
        </w:rPr>
      </w:pPr>
      <w:r w:rsidRPr="004C78CA">
        <w:rPr>
          <w:b/>
          <w:bCs/>
          <w:lang w:val="uk-UA"/>
        </w:rPr>
        <w:t>Впровадження отриманих результатів.</w:t>
      </w:r>
      <w:r w:rsidRPr="004C78CA">
        <w:rPr>
          <w:lang w:val="uk-UA"/>
        </w:rPr>
        <w:t xml:space="preserve"> Отримані результати впроваджено в практику консультативного диспансерного та терапевтичного відділень Вінницького обласного спеціалізованого клінічного диспансеру радіаційного </w:t>
      </w:r>
      <w:r w:rsidRPr="004C78CA">
        <w:rPr>
          <w:lang w:val="uk-UA"/>
        </w:rPr>
        <w:lastRenderedPageBreak/>
        <w:t>захисту населення, кардіологічного відділення кардіологічної клініки Військово–медичного центру Центрального регіону Військово–повітряних сил України, консультативно–діагностичної поліклініки, терапевтичного та кардіологічного відділень Обласної клінічної лікарні ім. О. Ф. Гербачевського Житомирської обласної ради, терапевтичного відділення 1–ої міської клінічної лікарні м. Полтави та використовуються у навчальному процесі на кафедрі внутрішньої медицини медичного факультету № 2 Вінницького національного медичного університету імені М.І. Пирогова МОЗ України та на кафедрі внутрішньої медицини № 3 з фтизіатрією</w:t>
      </w:r>
      <w:r w:rsidRPr="004C78CA">
        <w:rPr>
          <w:rFonts w:eastAsia="Calibri"/>
          <w:bCs/>
          <w:iCs/>
        </w:rPr>
        <w:t xml:space="preserve"> </w:t>
      </w:r>
      <w:r w:rsidRPr="004C78CA">
        <w:rPr>
          <w:bCs/>
          <w:iCs/>
        </w:rPr>
        <w:t>Вищ</w:t>
      </w:r>
      <w:r w:rsidRPr="004C78CA">
        <w:rPr>
          <w:bCs/>
          <w:iCs/>
          <w:lang w:val="uk-UA"/>
        </w:rPr>
        <w:t xml:space="preserve">ого </w:t>
      </w:r>
      <w:r w:rsidRPr="004C78CA">
        <w:rPr>
          <w:bCs/>
          <w:iCs/>
        </w:rPr>
        <w:t>державн</w:t>
      </w:r>
      <w:r w:rsidRPr="004C78CA">
        <w:rPr>
          <w:bCs/>
          <w:iCs/>
          <w:lang w:val="uk-UA"/>
        </w:rPr>
        <w:t xml:space="preserve">ого </w:t>
      </w:r>
      <w:r w:rsidRPr="004C78CA">
        <w:rPr>
          <w:bCs/>
          <w:iCs/>
        </w:rPr>
        <w:t>навчальн</w:t>
      </w:r>
      <w:r w:rsidRPr="004C78CA">
        <w:rPr>
          <w:bCs/>
          <w:iCs/>
          <w:lang w:val="uk-UA"/>
        </w:rPr>
        <w:t>ого</w:t>
      </w:r>
      <w:r w:rsidRPr="004C78CA">
        <w:rPr>
          <w:bCs/>
          <w:iCs/>
        </w:rPr>
        <w:t xml:space="preserve"> заклад</w:t>
      </w:r>
      <w:r w:rsidRPr="004C78CA">
        <w:rPr>
          <w:bCs/>
          <w:iCs/>
          <w:lang w:val="uk-UA"/>
        </w:rPr>
        <w:t>у</w:t>
      </w:r>
      <w:r w:rsidRPr="004C78CA">
        <w:rPr>
          <w:bCs/>
          <w:iCs/>
        </w:rPr>
        <w:t xml:space="preserve"> України</w:t>
      </w:r>
      <w:r w:rsidRPr="004C78CA">
        <w:rPr>
          <w:lang w:val="uk-UA"/>
        </w:rPr>
        <w:t xml:space="preserve"> «Українська медична стоматологічна академія» МОЗ України. Оформлені 2 патенти України на винаходи.</w:t>
      </w:r>
    </w:p>
    <w:p w:rsidR="004C78CA" w:rsidRPr="004C78CA" w:rsidRDefault="004C78CA" w:rsidP="004C78CA">
      <w:pPr>
        <w:spacing w:line="360" w:lineRule="auto"/>
        <w:ind w:firstLine="709"/>
        <w:jc w:val="both"/>
        <w:rPr>
          <w:spacing w:val="-4"/>
          <w:lang w:val="uk-UA"/>
        </w:rPr>
      </w:pPr>
      <w:r w:rsidRPr="004C78CA">
        <w:rPr>
          <w:b/>
          <w:bCs/>
          <w:lang w:val="uk-UA"/>
        </w:rPr>
        <w:t>Особистий внесок здобувача.</w:t>
      </w:r>
      <w:r w:rsidRPr="004C78CA">
        <w:rPr>
          <w:spacing w:val="-4"/>
          <w:lang w:val="uk-UA"/>
        </w:rPr>
        <w:t xml:space="preserve"> Здобувач самостійно обґрунтувала актуальність обраної теми, сформулювала</w:t>
      </w:r>
      <w:r w:rsidRPr="004C78CA">
        <w:rPr>
          <w:b/>
          <w:spacing w:val="-4"/>
          <w:lang w:val="uk-UA"/>
        </w:rPr>
        <w:t xml:space="preserve"> </w:t>
      </w:r>
      <w:r w:rsidRPr="004C78CA">
        <w:rPr>
          <w:spacing w:val="-4"/>
          <w:lang w:val="uk-UA"/>
        </w:rPr>
        <w:t>мету та завдання даної наукової роботи. Особисто проведено клінічне обстеження осіб групи контролю та пацієнтів з ГХ ІІ стадії та ГХ ІІІ стадії, що увійшли до груп дослідження. Самостійно була сформована база даних, здійснена статистична обробка отриманих результатів, проаналізовані та узагальнені отримані дані.</w:t>
      </w:r>
      <w:r w:rsidRPr="004C78CA">
        <w:rPr>
          <w:lang w:val="uk-UA"/>
        </w:rPr>
        <w:t xml:space="preserve"> </w:t>
      </w:r>
    </w:p>
    <w:p w:rsidR="004C78CA" w:rsidRPr="004C78CA" w:rsidRDefault="004C78CA" w:rsidP="004C78CA">
      <w:pPr>
        <w:spacing w:line="360" w:lineRule="auto"/>
        <w:ind w:firstLine="709"/>
        <w:jc w:val="both"/>
        <w:rPr>
          <w:rFonts w:eastAsia="Calibri"/>
          <w:bCs/>
          <w:lang w:val="uk-UA" w:eastAsia="en-US"/>
        </w:rPr>
      </w:pPr>
      <w:proofErr w:type="gramStart"/>
      <w:r w:rsidRPr="004C78CA">
        <w:rPr>
          <w:rFonts w:eastAsia="Calibri"/>
          <w:b/>
          <w:bCs/>
          <w:lang w:eastAsia="en-US"/>
        </w:rPr>
        <w:t>Апробація результатів дисертації.</w:t>
      </w:r>
      <w:r w:rsidRPr="004C78CA">
        <w:rPr>
          <w:rFonts w:eastAsia="Calibri"/>
        </w:rPr>
        <w:t xml:space="preserve"> Результати дисертаційної</w:t>
      </w:r>
      <w:r w:rsidRPr="004C78CA">
        <w:rPr>
          <w:rFonts w:eastAsia="Calibri"/>
          <w:lang w:val="uk-UA"/>
        </w:rPr>
        <w:t xml:space="preserve"> роботи оприлюднені</w:t>
      </w:r>
      <w:r w:rsidRPr="004C78CA">
        <w:rPr>
          <w:rFonts w:eastAsia="Calibri"/>
        </w:rPr>
        <w:t xml:space="preserve"> в матеріалах</w:t>
      </w:r>
      <w:r w:rsidRPr="004C78CA">
        <w:rPr>
          <w:rFonts w:eastAsia="Calibri"/>
          <w:lang w:val="uk-UA"/>
        </w:rPr>
        <w:t xml:space="preserve"> науково–практичної конференції з міжнародною участю «Міждисциплінарні аспекти цукрового діабету» (м. Харків, 11 вересня 2014),</w:t>
      </w:r>
      <w:r w:rsidRPr="004C78CA">
        <w:rPr>
          <w:rFonts w:eastAsia="Calibri"/>
          <w:lang w:val="uk-UA" w:eastAsia="en-US"/>
        </w:rPr>
        <w:t xml:space="preserve"> науково–практичної конференції «Стандарти діагностики та лікування в клініці внутрішніх хвороб» (</w:t>
      </w:r>
      <w:r w:rsidRPr="004C78CA">
        <w:rPr>
          <w:rFonts w:eastAsia="Calibri"/>
          <w:bCs/>
          <w:lang w:val="uk-UA" w:eastAsia="en-US"/>
        </w:rPr>
        <w:t>м. Вінниця, 15–16 квітня 2015), ХІІІ Міжнародної наукової конференц</w:t>
      </w:r>
      <w:proofErr w:type="gramEnd"/>
      <w:r w:rsidRPr="004C78CA">
        <w:rPr>
          <w:rFonts w:eastAsia="Calibri"/>
          <w:bCs/>
          <w:lang w:val="uk-UA" w:eastAsia="en-US"/>
        </w:rPr>
        <w:t xml:space="preserve">ії молодих вчених «Перший крок в науку» (м. Вінниця, 7–8 квітня 2016), ІХ </w:t>
      </w:r>
      <w:r w:rsidRPr="004C78CA">
        <w:rPr>
          <w:rFonts w:eastAsia="Calibri"/>
          <w:bCs/>
          <w:lang w:val="en-US" w:eastAsia="en-US"/>
        </w:rPr>
        <w:t>Kongres</w:t>
      </w:r>
      <w:r w:rsidRPr="004C78CA">
        <w:rPr>
          <w:rFonts w:eastAsia="Calibri"/>
          <w:bCs/>
          <w:lang w:val="uk-UA" w:eastAsia="en-US"/>
        </w:rPr>
        <w:t xml:space="preserve"> </w:t>
      </w:r>
      <w:r w:rsidRPr="004C78CA">
        <w:rPr>
          <w:rFonts w:eastAsia="Calibri"/>
          <w:bCs/>
          <w:lang w:val="en-US" w:eastAsia="en-US"/>
        </w:rPr>
        <w:t>Polonii</w:t>
      </w:r>
      <w:r w:rsidRPr="004C78CA">
        <w:rPr>
          <w:rFonts w:eastAsia="Calibri"/>
          <w:bCs/>
          <w:lang w:val="uk-UA" w:eastAsia="en-US"/>
        </w:rPr>
        <w:t xml:space="preserve"> </w:t>
      </w:r>
      <w:r w:rsidRPr="004C78CA">
        <w:rPr>
          <w:rFonts w:eastAsia="Calibri"/>
          <w:bCs/>
          <w:lang w:val="en-US" w:eastAsia="en-US"/>
        </w:rPr>
        <w:t>Medycznej</w:t>
      </w:r>
      <w:r w:rsidRPr="004C78CA">
        <w:rPr>
          <w:rFonts w:eastAsia="Calibri"/>
          <w:bCs/>
          <w:lang w:val="uk-UA" w:eastAsia="en-US"/>
        </w:rPr>
        <w:t xml:space="preserve">, </w:t>
      </w:r>
      <w:r w:rsidRPr="004C78CA">
        <w:rPr>
          <w:rFonts w:eastAsia="Calibri"/>
          <w:bCs/>
          <w:lang w:val="en-US" w:eastAsia="en-US"/>
        </w:rPr>
        <w:t>II</w:t>
      </w:r>
      <w:r w:rsidRPr="004C78CA">
        <w:rPr>
          <w:rFonts w:eastAsia="Calibri"/>
          <w:bCs/>
          <w:lang w:val="uk-UA" w:eastAsia="en-US"/>
        </w:rPr>
        <w:t xml:space="preserve"> </w:t>
      </w:r>
      <w:r w:rsidRPr="004C78CA">
        <w:rPr>
          <w:rFonts w:eastAsia="Calibri"/>
          <w:bCs/>
          <w:lang w:val="en-US" w:eastAsia="en-US"/>
        </w:rPr>
        <w:t>Swiatowy</w:t>
      </w:r>
      <w:r w:rsidRPr="004C78CA">
        <w:rPr>
          <w:rFonts w:eastAsia="Calibri"/>
          <w:bCs/>
          <w:lang w:val="uk-UA" w:eastAsia="en-US"/>
        </w:rPr>
        <w:t xml:space="preserve"> </w:t>
      </w:r>
      <w:r w:rsidRPr="004C78CA">
        <w:rPr>
          <w:rFonts w:eastAsia="Calibri"/>
          <w:bCs/>
          <w:lang w:val="en-US" w:eastAsia="en-US"/>
        </w:rPr>
        <w:t>Zjazd</w:t>
      </w:r>
      <w:r w:rsidRPr="004C78CA">
        <w:rPr>
          <w:rFonts w:eastAsia="Calibri"/>
          <w:bCs/>
          <w:lang w:val="uk-UA" w:eastAsia="en-US"/>
        </w:rPr>
        <w:t xml:space="preserve"> </w:t>
      </w:r>
      <w:r w:rsidRPr="004C78CA">
        <w:rPr>
          <w:rFonts w:eastAsia="Calibri"/>
          <w:bCs/>
          <w:lang w:val="en-US" w:eastAsia="en-US"/>
        </w:rPr>
        <w:t>Lekarzy</w:t>
      </w:r>
      <w:r w:rsidRPr="004C78CA">
        <w:rPr>
          <w:rFonts w:eastAsia="Calibri"/>
          <w:bCs/>
          <w:lang w:val="uk-UA" w:eastAsia="en-US"/>
        </w:rPr>
        <w:t xml:space="preserve"> </w:t>
      </w:r>
      <w:r w:rsidRPr="004C78CA">
        <w:rPr>
          <w:rFonts w:eastAsia="Calibri"/>
          <w:bCs/>
          <w:lang w:val="en-US" w:eastAsia="en-US"/>
        </w:rPr>
        <w:t>Polskich</w:t>
      </w:r>
      <w:r w:rsidRPr="004C78CA">
        <w:rPr>
          <w:rFonts w:eastAsia="Calibri"/>
          <w:bCs/>
          <w:lang w:val="uk-UA" w:eastAsia="en-US"/>
        </w:rPr>
        <w:t xml:space="preserve"> (м. Варшава, 03 вересня 2016),</w:t>
      </w:r>
      <w:r w:rsidRPr="004C78CA">
        <w:rPr>
          <w:rFonts w:ascii="Calibri" w:eastAsia="Calibri" w:hAnsi="Calibri"/>
          <w:bCs/>
          <w:sz w:val="22"/>
          <w:szCs w:val="22"/>
          <w:lang w:val="uk-UA" w:eastAsia="en-US"/>
        </w:rPr>
        <w:t xml:space="preserve"> </w:t>
      </w:r>
      <w:r w:rsidRPr="004C78CA">
        <w:rPr>
          <w:rFonts w:eastAsia="Calibri"/>
          <w:bCs/>
          <w:lang w:val="en-US" w:eastAsia="en-US"/>
        </w:rPr>
        <w:t>the</w:t>
      </w:r>
      <w:r w:rsidRPr="004C78CA">
        <w:rPr>
          <w:rFonts w:eastAsia="Calibri"/>
          <w:bCs/>
          <w:lang w:val="uk-UA" w:eastAsia="en-US"/>
        </w:rPr>
        <w:t xml:space="preserve"> 26</w:t>
      </w:r>
      <w:r w:rsidRPr="004C78CA">
        <w:rPr>
          <w:rFonts w:eastAsia="Calibri"/>
          <w:bCs/>
          <w:vertAlign w:val="superscript"/>
          <w:lang w:val="en-US" w:eastAsia="en-US"/>
        </w:rPr>
        <w:t>th</w:t>
      </w:r>
      <w:r w:rsidRPr="004C78CA">
        <w:rPr>
          <w:rFonts w:eastAsia="Calibri"/>
          <w:bCs/>
          <w:lang w:val="uk-UA" w:eastAsia="en-US"/>
        </w:rPr>
        <w:t xml:space="preserve"> </w:t>
      </w:r>
      <w:r w:rsidRPr="004C78CA">
        <w:rPr>
          <w:rFonts w:eastAsia="Calibri"/>
          <w:bCs/>
          <w:lang w:val="en-US" w:eastAsia="en-US"/>
        </w:rPr>
        <w:t>Scientific</w:t>
      </w:r>
      <w:r w:rsidRPr="004C78CA">
        <w:rPr>
          <w:rFonts w:eastAsia="Calibri"/>
          <w:bCs/>
          <w:lang w:val="uk-UA" w:eastAsia="en-US"/>
        </w:rPr>
        <w:t xml:space="preserve"> </w:t>
      </w:r>
      <w:r w:rsidRPr="004C78CA">
        <w:rPr>
          <w:rFonts w:eastAsia="Calibri"/>
          <w:bCs/>
          <w:lang w:val="en-US" w:eastAsia="en-US"/>
        </w:rPr>
        <w:t>Meeting</w:t>
      </w:r>
      <w:r w:rsidRPr="004C78CA">
        <w:rPr>
          <w:rFonts w:eastAsia="Calibri"/>
          <w:bCs/>
          <w:lang w:val="uk-UA" w:eastAsia="en-US"/>
        </w:rPr>
        <w:t xml:space="preserve"> </w:t>
      </w:r>
      <w:r w:rsidRPr="004C78CA">
        <w:rPr>
          <w:rFonts w:eastAsia="Calibri"/>
          <w:bCs/>
          <w:lang w:val="en-US" w:eastAsia="en-US"/>
        </w:rPr>
        <w:t>of</w:t>
      </w:r>
      <w:r w:rsidRPr="004C78CA">
        <w:rPr>
          <w:rFonts w:eastAsia="Calibri"/>
          <w:bCs/>
          <w:lang w:val="uk-UA" w:eastAsia="en-US"/>
        </w:rPr>
        <w:t xml:space="preserve"> </w:t>
      </w:r>
      <w:r w:rsidRPr="004C78CA">
        <w:rPr>
          <w:rFonts w:eastAsia="Calibri"/>
          <w:bCs/>
          <w:lang w:val="en-US" w:eastAsia="en-US"/>
        </w:rPr>
        <w:t>the</w:t>
      </w:r>
      <w:r w:rsidRPr="004C78CA">
        <w:rPr>
          <w:rFonts w:eastAsia="Calibri"/>
          <w:bCs/>
          <w:lang w:val="uk-UA" w:eastAsia="en-US"/>
        </w:rPr>
        <w:t xml:space="preserve"> </w:t>
      </w:r>
      <w:r w:rsidRPr="004C78CA">
        <w:rPr>
          <w:rFonts w:eastAsia="Calibri"/>
          <w:bCs/>
          <w:lang w:val="en-US" w:eastAsia="en-US"/>
        </w:rPr>
        <w:t>International</w:t>
      </w:r>
      <w:r w:rsidRPr="004C78CA">
        <w:rPr>
          <w:rFonts w:eastAsia="Calibri"/>
          <w:bCs/>
          <w:lang w:val="uk-UA" w:eastAsia="en-US"/>
        </w:rPr>
        <w:t xml:space="preserve"> </w:t>
      </w:r>
      <w:r w:rsidRPr="004C78CA">
        <w:rPr>
          <w:rFonts w:eastAsia="Calibri"/>
          <w:bCs/>
          <w:lang w:val="en-US" w:eastAsia="en-US"/>
        </w:rPr>
        <w:t>Society</w:t>
      </w:r>
      <w:r w:rsidRPr="004C78CA">
        <w:rPr>
          <w:rFonts w:eastAsia="Calibri"/>
          <w:bCs/>
          <w:lang w:val="uk-UA" w:eastAsia="en-US"/>
        </w:rPr>
        <w:t xml:space="preserve"> </w:t>
      </w:r>
      <w:r w:rsidRPr="004C78CA">
        <w:rPr>
          <w:rFonts w:eastAsia="Calibri"/>
          <w:bCs/>
          <w:lang w:val="en-US" w:eastAsia="en-US"/>
        </w:rPr>
        <w:t>of</w:t>
      </w:r>
      <w:r w:rsidRPr="004C78CA">
        <w:rPr>
          <w:rFonts w:eastAsia="Calibri"/>
          <w:bCs/>
          <w:lang w:val="uk-UA" w:eastAsia="en-US"/>
        </w:rPr>
        <w:t xml:space="preserve"> </w:t>
      </w:r>
      <w:r w:rsidRPr="004C78CA">
        <w:rPr>
          <w:rFonts w:eastAsia="Calibri"/>
          <w:bCs/>
          <w:lang w:val="en-US" w:eastAsia="en-US"/>
        </w:rPr>
        <w:t>Hypertension</w:t>
      </w:r>
      <w:r w:rsidRPr="004C78CA">
        <w:rPr>
          <w:rFonts w:eastAsia="Calibri"/>
          <w:bCs/>
          <w:lang w:val="uk-UA" w:eastAsia="en-US"/>
        </w:rPr>
        <w:t xml:space="preserve"> (</w:t>
      </w:r>
      <w:r w:rsidRPr="004C78CA">
        <w:rPr>
          <w:rFonts w:eastAsia="Calibri"/>
          <w:bCs/>
          <w:lang w:val="en-US" w:eastAsia="en-US"/>
        </w:rPr>
        <w:t>Seul</w:t>
      </w:r>
      <w:r w:rsidRPr="004C78CA">
        <w:rPr>
          <w:rFonts w:eastAsia="Calibri"/>
          <w:bCs/>
          <w:lang w:val="uk-UA" w:eastAsia="en-US"/>
        </w:rPr>
        <w:t>, 26 вересня 2016).</w:t>
      </w:r>
    </w:p>
    <w:p w:rsidR="004C78CA" w:rsidRPr="004C78CA" w:rsidRDefault="004C78CA" w:rsidP="004C78CA">
      <w:pPr>
        <w:spacing w:line="360" w:lineRule="auto"/>
        <w:ind w:firstLine="709"/>
        <w:jc w:val="both"/>
        <w:rPr>
          <w:lang w:val="uk-UA"/>
        </w:rPr>
      </w:pPr>
      <w:r w:rsidRPr="004C78CA">
        <w:rPr>
          <w:rFonts w:eastAsia="Calibri"/>
          <w:b/>
          <w:bCs/>
          <w:spacing w:val="-20"/>
          <w:lang w:val="uk-UA" w:eastAsia="en-US"/>
        </w:rPr>
        <w:t>Публікації.</w:t>
      </w:r>
      <w:r w:rsidRPr="004C78CA">
        <w:rPr>
          <w:lang w:val="uk-UA"/>
        </w:rPr>
        <w:t xml:space="preserve"> За матеріалами дисертації опубліковано 14 наукових праць, у тому числі 5 статей у провідних наукових фахових виданнях, рекомендованих МОН України, 1 стаття у закордонному журналі, 2 патенти України на винаходи, 6 тез доповідей наукових конференцій України та закордону. </w:t>
      </w:r>
    </w:p>
    <w:p w:rsidR="00B43C0F" w:rsidRPr="001416ED" w:rsidRDefault="00B43C0F" w:rsidP="00B45E56">
      <w:pPr>
        <w:spacing w:after="240" w:line="360" w:lineRule="auto"/>
        <w:ind w:firstLine="709"/>
        <w:jc w:val="center"/>
        <w:rPr>
          <w:b/>
        </w:rPr>
      </w:pPr>
      <w:r w:rsidRPr="001416ED">
        <w:rPr>
          <w:b/>
        </w:rPr>
        <w:lastRenderedPageBreak/>
        <w:t>РОЗДІЛ 1</w:t>
      </w:r>
    </w:p>
    <w:p w:rsidR="00B43C0F" w:rsidRPr="001416ED" w:rsidRDefault="00B43C0F" w:rsidP="00BE77CD">
      <w:pPr>
        <w:pStyle w:val="a3"/>
        <w:spacing w:before="240" w:after="240" w:line="360" w:lineRule="auto"/>
        <w:ind w:firstLine="709"/>
        <w:jc w:val="center"/>
        <w:rPr>
          <w:b/>
          <w:lang w:val="uk-UA"/>
        </w:rPr>
      </w:pPr>
      <w:r w:rsidRPr="001416ED">
        <w:rPr>
          <w:b/>
          <w:lang w:val="uk-UA"/>
        </w:rPr>
        <w:t>ОГЛЯД ЛІТЕРАТУРИ</w:t>
      </w:r>
    </w:p>
    <w:p w:rsidR="0050534F" w:rsidRPr="001416ED" w:rsidRDefault="0050534F" w:rsidP="00A770B7">
      <w:pPr>
        <w:pStyle w:val="24"/>
        <w:shd w:val="clear" w:color="auto" w:fill="auto"/>
        <w:spacing w:before="0" w:line="360" w:lineRule="auto"/>
        <w:ind w:right="23" w:firstLine="709"/>
        <w:rPr>
          <w:rFonts w:ascii="Times New Roman" w:hAnsi="Times New Roman" w:cs="Times New Roman"/>
          <w:color w:val="auto"/>
          <w:sz w:val="28"/>
          <w:szCs w:val="28"/>
        </w:rPr>
      </w:pPr>
      <w:r w:rsidRPr="001416ED">
        <w:rPr>
          <w:rStyle w:val="11"/>
          <w:rFonts w:ascii="Times New Roman" w:hAnsi="Times New Roman" w:cs="Times New Roman"/>
          <w:color w:val="auto"/>
          <w:sz w:val="28"/>
          <w:szCs w:val="28"/>
        </w:rPr>
        <w:t xml:space="preserve">Гіпертонічна хвороба </w:t>
      </w:r>
      <w:r w:rsidR="00BC0119" w:rsidRPr="001416ED">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 xml:space="preserve"> головний фактор ризику розвитку хвороб системи кровообігу</w:t>
      </w:r>
      <w:r w:rsidR="00A248BD" w:rsidRPr="001416ED">
        <w:rPr>
          <w:rStyle w:val="11"/>
          <w:rFonts w:ascii="Times New Roman" w:hAnsi="Times New Roman" w:cs="Times New Roman"/>
          <w:color w:val="auto"/>
          <w:sz w:val="28"/>
          <w:szCs w:val="28"/>
        </w:rPr>
        <w:t>, о</w:t>
      </w:r>
      <w:r w:rsidRPr="001416ED">
        <w:rPr>
          <w:rStyle w:val="11"/>
          <w:rFonts w:ascii="Times New Roman" w:hAnsi="Times New Roman" w:cs="Times New Roman"/>
          <w:color w:val="auto"/>
          <w:sz w:val="28"/>
          <w:szCs w:val="28"/>
        </w:rPr>
        <w:t>днак відсоток осіб з адекватним контролем підвищеного АТ залишається в популяції дуже низь</w:t>
      </w:r>
      <w:r w:rsidRPr="001416ED">
        <w:rPr>
          <w:rStyle w:val="11"/>
          <w:rFonts w:ascii="Times New Roman" w:hAnsi="Times New Roman" w:cs="Times New Roman"/>
          <w:color w:val="auto"/>
          <w:sz w:val="28"/>
          <w:szCs w:val="28"/>
        </w:rPr>
        <w:softHyphen/>
        <w:t xml:space="preserve">ким, і, відповідно, ризики </w:t>
      </w:r>
      <w:r w:rsidR="00BE77CD" w:rsidRPr="001416ED">
        <w:rPr>
          <w:rStyle w:val="11"/>
          <w:rFonts w:ascii="Times New Roman" w:hAnsi="Times New Roman" w:cs="Times New Roman"/>
          <w:color w:val="auto"/>
          <w:sz w:val="28"/>
          <w:szCs w:val="28"/>
        </w:rPr>
        <w:t xml:space="preserve">ішемічної </w:t>
      </w:r>
      <w:r w:rsidRPr="001416ED">
        <w:rPr>
          <w:rStyle w:val="11"/>
          <w:rFonts w:ascii="Times New Roman" w:hAnsi="Times New Roman" w:cs="Times New Roman"/>
          <w:color w:val="auto"/>
          <w:sz w:val="28"/>
          <w:szCs w:val="28"/>
        </w:rPr>
        <w:t>хвороби серця</w:t>
      </w:r>
      <w:r w:rsidR="009B4313" w:rsidRPr="001416ED">
        <w:rPr>
          <w:rStyle w:val="11"/>
          <w:rFonts w:ascii="Times New Roman" w:hAnsi="Times New Roman" w:cs="Times New Roman"/>
          <w:color w:val="auto"/>
          <w:sz w:val="28"/>
          <w:szCs w:val="28"/>
        </w:rPr>
        <w:t xml:space="preserve"> (ІХС)</w:t>
      </w:r>
      <w:r w:rsidRPr="001416ED">
        <w:rPr>
          <w:rStyle w:val="11"/>
          <w:rFonts w:ascii="Times New Roman" w:hAnsi="Times New Roman" w:cs="Times New Roman"/>
          <w:color w:val="auto"/>
          <w:sz w:val="28"/>
          <w:szCs w:val="28"/>
        </w:rPr>
        <w:t xml:space="preserve">, </w:t>
      </w:r>
      <w:r w:rsidR="00760113" w:rsidRPr="001416ED">
        <w:rPr>
          <w:rStyle w:val="11"/>
          <w:rFonts w:ascii="Times New Roman" w:hAnsi="Times New Roman" w:cs="Times New Roman"/>
          <w:color w:val="auto"/>
          <w:sz w:val="28"/>
          <w:szCs w:val="28"/>
        </w:rPr>
        <w:t>ХСН</w:t>
      </w:r>
      <w:r w:rsidRPr="001416ED">
        <w:rPr>
          <w:rStyle w:val="11"/>
          <w:rFonts w:ascii="Times New Roman" w:hAnsi="Times New Roman" w:cs="Times New Roman"/>
          <w:color w:val="auto"/>
          <w:sz w:val="28"/>
          <w:szCs w:val="28"/>
        </w:rPr>
        <w:t>, фібриляції перед</w:t>
      </w:r>
      <w:r w:rsidRPr="001416ED">
        <w:rPr>
          <w:rStyle w:val="11"/>
          <w:rFonts w:ascii="Times New Roman" w:hAnsi="Times New Roman" w:cs="Times New Roman"/>
          <w:color w:val="auto"/>
          <w:sz w:val="28"/>
          <w:szCs w:val="28"/>
        </w:rPr>
        <w:softHyphen/>
        <w:t xml:space="preserve">сердь, </w:t>
      </w:r>
      <w:r w:rsidR="00C0492F" w:rsidRPr="001416ED">
        <w:rPr>
          <w:rStyle w:val="11"/>
          <w:rFonts w:ascii="Times New Roman" w:hAnsi="Times New Roman" w:cs="Times New Roman"/>
          <w:color w:val="auto"/>
          <w:sz w:val="28"/>
          <w:szCs w:val="28"/>
        </w:rPr>
        <w:t>МІ</w:t>
      </w:r>
      <w:r w:rsidRPr="001416ED">
        <w:rPr>
          <w:rStyle w:val="11"/>
          <w:rFonts w:ascii="Times New Roman" w:hAnsi="Times New Roman" w:cs="Times New Roman"/>
          <w:color w:val="auto"/>
          <w:sz w:val="28"/>
          <w:szCs w:val="28"/>
        </w:rPr>
        <w:t>, хвороб периферичних артерій, ниркової недостатності залишаються неконтрольованими [</w:t>
      </w:r>
      <w:r w:rsidR="00A248BD" w:rsidRPr="001416ED">
        <w:rPr>
          <w:rStyle w:val="11"/>
          <w:rFonts w:ascii="Times New Roman" w:hAnsi="Times New Roman" w:cs="Times New Roman"/>
          <w:color w:val="auto"/>
          <w:sz w:val="28"/>
          <w:szCs w:val="28"/>
        </w:rPr>
        <w:t>2</w:t>
      </w:r>
      <w:r w:rsidR="0069618A" w:rsidRPr="001416ED">
        <w:rPr>
          <w:rStyle w:val="11"/>
          <w:rFonts w:ascii="Times New Roman" w:hAnsi="Times New Roman" w:cs="Times New Roman"/>
          <w:color w:val="auto"/>
          <w:sz w:val="28"/>
          <w:szCs w:val="28"/>
        </w:rPr>
        <w:t>0</w:t>
      </w:r>
      <w:r w:rsidR="00784776" w:rsidRPr="001416ED">
        <w:rPr>
          <w:rStyle w:val="11"/>
          <w:rFonts w:ascii="Times New Roman" w:hAnsi="Times New Roman" w:cs="Times New Roman"/>
          <w:color w:val="auto"/>
          <w:sz w:val="28"/>
          <w:szCs w:val="28"/>
        </w:rPr>
        <w:t>,</w:t>
      </w:r>
      <w:r w:rsidR="0069618A" w:rsidRPr="001416ED">
        <w:rPr>
          <w:rStyle w:val="11"/>
          <w:rFonts w:ascii="Times New Roman" w:hAnsi="Times New Roman" w:cs="Times New Roman"/>
          <w:color w:val="auto"/>
          <w:sz w:val="28"/>
          <w:szCs w:val="28"/>
        </w:rPr>
        <w:t xml:space="preserve"> </w:t>
      </w:r>
      <w:r w:rsidR="00784776" w:rsidRPr="001416ED">
        <w:rPr>
          <w:rStyle w:val="11"/>
          <w:rFonts w:ascii="Times New Roman" w:hAnsi="Times New Roman" w:cs="Times New Roman"/>
          <w:color w:val="auto"/>
          <w:sz w:val="28"/>
          <w:szCs w:val="28"/>
        </w:rPr>
        <w:t>2</w:t>
      </w:r>
      <w:r w:rsidR="0069618A" w:rsidRPr="001416ED">
        <w:rPr>
          <w:rStyle w:val="11"/>
          <w:rFonts w:ascii="Times New Roman" w:hAnsi="Times New Roman" w:cs="Times New Roman"/>
          <w:color w:val="auto"/>
          <w:sz w:val="28"/>
          <w:szCs w:val="28"/>
        </w:rPr>
        <w:t>1</w:t>
      </w:r>
      <w:r w:rsidR="00784776" w:rsidRPr="001416ED">
        <w:rPr>
          <w:rStyle w:val="11"/>
          <w:rFonts w:ascii="Times New Roman" w:hAnsi="Times New Roman" w:cs="Times New Roman"/>
          <w:color w:val="auto"/>
          <w:sz w:val="28"/>
          <w:szCs w:val="28"/>
        </w:rPr>
        <w:t>,</w:t>
      </w:r>
      <w:r w:rsidR="009B4313" w:rsidRPr="001416ED">
        <w:rPr>
          <w:rStyle w:val="11"/>
          <w:rFonts w:ascii="Times New Roman" w:hAnsi="Times New Roman" w:cs="Times New Roman"/>
          <w:color w:val="auto"/>
          <w:sz w:val="28"/>
          <w:szCs w:val="28"/>
        </w:rPr>
        <w:t xml:space="preserve"> </w:t>
      </w:r>
      <w:r w:rsidR="00784776" w:rsidRPr="001416ED">
        <w:rPr>
          <w:rStyle w:val="11"/>
          <w:rFonts w:ascii="Times New Roman" w:hAnsi="Times New Roman" w:cs="Times New Roman"/>
          <w:color w:val="auto"/>
          <w:sz w:val="28"/>
          <w:szCs w:val="28"/>
        </w:rPr>
        <w:t>4</w:t>
      </w:r>
      <w:r w:rsidR="0069618A" w:rsidRPr="001416ED">
        <w:rPr>
          <w:rStyle w:val="11"/>
          <w:rFonts w:ascii="Times New Roman" w:hAnsi="Times New Roman" w:cs="Times New Roman"/>
          <w:color w:val="auto"/>
          <w:sz w:val="28"/>
          <w:szCs w:val="28"/>
        </w:rPr>
        <w:t>1</w:t>
      </w:r>
      <w:r w:rsidR="00784776" w:rsidRPr="001416ED">
        <w:rPr>
          <w:rStyle w:val="11"/>
          <w:rFonts w:ascii="Times New Roman" w:hAnsi="Times New Roman" w:cs="Times New Roman"/>
          <w:color w:val="auto"/>
          <w:sz w:val="28"/>
          <w:szCs w:val="28"/>
        </w:rPr>
        <w:t>,</w:t>
      </w:r>
      <w:r w:rsidR="009B4313" w:rsidRPr="001416ED">
        <w:rPr>
          <w:rStyle w:val="11"/>
          <w:rFonts w:ascii="Times New Roman" w:hAnsi="Times New Roman" w:cs="Times New Roman"/>
          <w:color w:val="auto"/>
          <w:sz w:val="28"/>
          <w:szCs w:val="28"/>
        </w:rPr>
        <w:t xml:space="preserve"> </w:t>
      </w:r>
      <w:r w:rsidR="00784776" w:rsidRPr="001416ED">
        <w:rPr>
          <w:rStyle w:val="11"/>
          <w:rFonts w:ascii="Times New Roman" w:hAnsi="Times New Roman" w:cs="Times New Roman"/>
          <w:color w:val="auto"/>
          <w:sz w:val="28"/>
          <w:szCs w:val="28"/>
        </w:rPr>
        <w:t>4</w:t>
      </w:r>
      <w:r w:rsidR="0069618A" w:rsidRPr="001416ED">
        <w:rPr>
          <w:rStyle w:val="11"/>
          <w:rFonts w:ascii="Times New Roman" w:hAnsi="Times New Roman" w:cs="Times New Roman"/>
          <w:color w:val="auto"/>
          <w:sz w:val="28"/>
          <w:szCs w:val="28"/>
        </w:rPr>
        <w:t>2</w:t>
      </w:r>
      <w:r w:rsidR="00784776" w:rsidRPr="001416ED">
        <w:rPr>
          <w:rStyle w:val="11"/>
          <w:rFonts w:ascii="Times New Roman" w:hAnsi="Times New Roman" w:cs="Times New Roman"/>
          <w:color w:val="auto"/>
          <w:sz w:val="28"/>
          <w:szCs w:val="28"/>
        </w:rPr>
        <w:t>,</w:t>
      </w:r>
      <w:r w:rsidR="009B4313" w:rsidRPr="001416ED">
        <w:rPr>
          <w:rStyle w:val="11"/>
          <w:rFonts w:ascii="Times New Roman" w:hAnsi="Times New Roman" w:cs="Times New Roman"/>
          <w:color w:val="auto"/>
          <w:sz w:val="28"/>
          <w:szCs w:val="28"/>
        </w:rPr>
        <w:t xml:space="preserve"> </w:t>
      </w:r>
      <w:r w:rsidR="00343089" w:rsidRPr="001416ED">
        <w:rPr>
          <w:rStyle w:val="11"/>
          <w:rFonts w:ascii="Times New Roman" w:hAnsi="Times New Roman" w:cs="Times New Roman"/>
          <w:color w:val="auto"/>
          <w:sz w:val="28"/>
          <w:szCs w:val="28"/>
        </w:rPr>
        <w:t>5</w:t>
      </w:r>
      <w:r w:rsidR="0069618A" w:rsidRPr="001416ED">
        <w:rPr>
          <w:rStyle w:val="11"/>
          <w:rFonts w:ascii="Times New Roman" w:hAnsi="Times New Roman" w:cs="Times New Roman"/>
          <w:color w:val="auto"/>
          <w:sz w:val="28"/>
          <w:szCs w:val="28"/>
        </w:rPr>
        <w:t>5</w:t>
      </w:r>
      <w:r w:rsidR="00784776" w:rsidRPr="001416ED">
        <w:rPr>
          <w:rStyle w:val="11"/>
          <w:rFonts w:ascii="Times New Roman" w:hAnsi="Times New Roman" w:cs="Times New Roman"/>
          <w:color w:val="auto"/>
          <w:sz w:val="28"/>
          <w:szCs w:val="28"/>
        </w:rPr>
        <w:t>,</w:t>
      </w:r>
      <w:r w:rsidR="009B4313" w:rsidRPr="001416ED">
        <w:rPr>
          <w:rStyle w:val="11"/>
          <w:rFonts w:ascii="Times New Roman" w:hAnsi="Times New Roman" w:cs="Times New Roman"/>
          <w:color w:val="auto"/>
          <w:sz w:val="28"/>
          <w:szCs w:val="28"/>
        </w:rPr>
        <w:t xml:space="preserve"> </w:t>
      </w:r>
      <w:r w:rsidR="00784776" w:rsidRPr="001416ED">
        <w:rPr>
          <w:rStyle w:val="11"/>
          <w:rFonts w:ascii="Times New Roman" w:hAnsi="Times New Roman" w:cs="Times New Roman"/>
          <w:color w:val="auto"/>
          <w:sz w:val="28"/>
          <w:szCs w:val="28"/>
        </w:rPr>
        <w:t>8</w:t>
      </w:r>
      <w:r w:rsidR="0069618A" w:rsidRPr="001416ED">
        <w:rPr>
          <w:rStyle w:val="11"/>
          <w:rFonts w:ascii="Times New Roman" w:hAnsi="Times New Roman" w:cs="Times New Roman"/>
          <w:color w:val="auto"/>
          <w:sz w:val="28"/>
          <w:szCs w:val="28"/>
        </w:rPr>
        <w:t>1</w:t>
      </w:r>
      <w:r w:rsidRPr="001416ED">
        <w:rPr>
          <w:rStyle w:val="11"/>
          <w:rFonts w:ascii="Times New Roman" w:hAnsi="Times New Roman" w:cs="Times New Roman"/>
          <w:color w:val="auto"/>
          <w:sz w:val="28"/>
          <w:szCs w:val="28"/>
        </w:rPr>
        <w:t>].</w:t>
      </w:r>
    </w:p>
    <w:p w:rsidR="0050534F" w:rsidRPr="001416ED" w:rsidRDefault="0050534F" w:rsidP="00A770B7">
      <w:pPr>
        <w:pStyle w:val="24"/>
        <w:shd w:val="clear" w:color="auto" w:fill="auto"/>
        <w:spacing w:before="0" w:line="360" w:lineRule="auto"/>
        <w:ind w:right="23" w:firstLine="709"/>
        <w:rPr>
          <w:rFonts w:ascii="Times New Roman" w:hAnsi="Times New Roman" w:cs="Times New Roman"/>
          <w:color w:val="auto"/>
          <w:sz w:val="28"/>
          <w:szCs w:val="28"/>
        </w:rPr>
      </w:pPr>
      <w:r w:rsidRPr="001416ED">
        <w:rPr>
          <w:rStyle w:val="11"/>
          <w:rFonts w:ascii="Times New Roman" w:hAnsi="Times New Roman" w:cs="Times New Roman"/>
          <w:color w:val="auto"/>
          <w:sz w:val="28"/>
          <w:szCs w:val="28"/>
        </w:rPr>
        <w:t xml:space="preserve">Від </w:t>
      </w:r>
      <w:r w:rsidR="00C16277">
        <w:rPr>
          <w:rStyle w:val="11"/>
          <w:rFonts w:ascii="Times New Roman" w:hAnsi="Times New Roman" w:cs="Times New Roman"/>
          <w:color w:val="auto"/>
          <w:sz w:val="28"/>
          <w:szCs w:val="28"/>
        </w:rPr>
        <w:t>есеніальної гіпертензії (</w:t>
      </w:r>
      <w:r w:rsidR="00C0492F" w:rsidRPr="001416ED">
        <w:rPr>
          <w:rStyle w:val="11"/>
          <w:rFonts w:ascii="Times New Roman" w:hAnsi="Times New Roman" w:cs="Times New Roman"/>
          <w:color w:val="auto"/>
          <w:sz w:val="28"/>
          <w:szCs w:val="28"/>
        </w:rPr>
        <w:t>Е</w:t>
      </w:r>
      <w:r w:rsidR="002D560A" w:rsidRPr="001416ED">
        <w:rPr>
          <w:rStyle w:val="11"/>
          <w:rFonts w:ascii="Times New Roman" w:hAnsi="Times New Roman" w:cs="Times New Roman"/>
          <w:color w:val="auto"/>
          <w:sz w:val="28"/>
          <w:szCs w:val="28"/>
        </w:rPr>
        <w:t>Г</w:t>
      </w:r>
      <w:r w:rsidR="00C16277">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 xml:space="preserve"> страждає близько 25</w:t>
      </w:r>
      <w:r w:rsidR="00D4219F" w:rsidRPr="001416ED">
        <w:rPr>
          <w:rStyle w:val="11"/>
          <w:rFonts w:ascii="Times New Roman" w:hAnsi="Times New Roman" w:cs="Times New Roman"/>
          <w:color w:val="auto"/>
          <w:sz w:val="28"/>
          <w:szCs w:val="28"/>
        </w:rPr>
        <w:t xml:space="preserve"> %</w:t>
      </w:r>
      <w:r w:rsidRPr="001416ED">
        <w:rPr>
          <w:rStyle w:val="11"/>
          <w:rFonts w:ascii="Times New Roman" w:hAnsi="Times New Roman" w:cs="Times New Roman"/>
          <w:color w:val="auto"/>
          <w:sz w:val="28"/>
          <w:szCs w:val="28"/>
        </w:rPr>
        <w:t xml:space="preserve"> дорослого населення світу, поши</w:t>
      </w:r>
      <w:r w:rsidRPr="001416ED">
        <w:rPr>
          <w:rStyle w:val="11"/>
          <w:rFonts w:ascii="Times New Roman" w:hAnsi="Times New Roman" w:cs="Times New Roman"/>
          <w:color w:val="auto"/>
          <w:sz w:val="28"/>
          <w:szCs w:val="28"/>
        </w:rPr>
        <w:softHyphen/>
        <w:t>реність, за прогнозами, у 2025 році зросте до 1,5 млрд. осіб, а 7,6 млн</w:t>
      </w:r>
      <w:r w:rsidR="00923863" w:rsidRPr="001416ED">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 xml:space="preserve"> передчасних смертей (близь</w:t>
      </w:r>
      <w:r w:rsidRPr="001416ED">
        <w:rPr>
          <w:rStyle w:val="11"/>
          <w:rFonts w:ascii="Times New Roman" w:hAnsi="Times New Roman" w:cs="Times New Roman"/>
          <w:color w:val="auto"/>
          <w:sz w:val="28"/>
          <w:szCs w:val="28"/>
        </w:rPr>
        <w:softHyphen/>
        <w:t>ко 13,5</w:t>
      </w:r>
      <w:r w:rsidR="00D4219F" w:rsidRPr="001416ED">
        <w:rPr>
          <w:rStyle w:val="11"/>
          <w:rFonts w:ascii="Times New Roman" w:hAnsi="Times New Roman" w:cs="Times New Roman"/>
          <w:color w:val="auto"/>
          <w:sz w:val="28"/>
          <w:szCs w:val="28"/>
        </w:rPr>
        <w:t xml:space="preserve"> %</w:t>
      </w:r>
      <w:r w:rsidRPr="001416ED">
        <w:rPr>
          <w:rStyle w:val="11"/>
          <w:rFonts w:ascii="Times New Roman" w:hAnsi="Times New Roman" w:cs="Times New Roman"/>
          <w:color w:val="auto"/>
          <w:sz w:val="28"/>
          <w:szCs w:val="28"/>
        </w:rPr>
        <w:t xml:space="preserve"> від загального числа), 54</w:t>
      </w:r>
      <w:r w:rsidR="00D4219F" w:rsidRPr="001416ED">
        <w:rPr>
          <w:rStyle w:val="11"/>
          <w:rFonts w:ascii="Times New Roman" w:hAnsi="Times New Roman" w:cs="Times New Roman"/>
          <w:color w:val="auto"/>
          <w:sz w:val="28"/>
          <w:szCs w:val="28"/>
        </w:rPr>
        <w:t xml:space="preserve"> %</w:t>
      </w:r>
      <w:r w:rsidRPr="001416ED">
        <w:rPr>
          <w:rStyle w:val="11"/>
          <w:rFonts w:ascii="Times New Roman" w:hAnsi="Times New Roman" w:cs="Times New Roman"/>
          <w:color w:val="auto"/>
          <w:sz w:val="28"/>
          <w:szCs w:val="28"/>
        </w:rPr>
        <w:t xml:space="preserve"> </w:t>
      </w:r>
      <w:r w:rsidR="00760113" w:rsidRPr="001416ED">
        <w:rPr>
          <w:rStyle w:val="11"/>
          <w:rFonts w:ascii="Times New Roman" w:hAnsi="Times New Roman" w:cs="Times New Roman"/>
          <w:color w:val="auto"/>
          <w:sz w:val="28"/>
          <w:szCs w:val="28"/>
        </w:rPr>
        <w:t>МІ</w:t>
      </w:r>
      <w:r w:rsidRPr="001416ED">
        <w:rPr>
          <w:rStyle w:val="11"/>
          <w:rFonts w:ascii="Times New Roman" w:hAnsi="Times New Roman" w:cs="Times New Roman"/>
          <w:color w:val="auto"/>
          <w:sz w:val="28"/>
          <w:szCs w:val="28"/>
        </w:rPr>
        <w:t xml:space="preserve"> і 47</w:t>
      </w:r>
      <w:r w:rsidR="00D4219F" w:rsidRPr="001416ED">
        <w:rPr>
          <w:rStyle w:val="11"/>
          <w:rFonts w:ascii="Times New Roman" w:hAnsi="Times New Roman" w:cs="Times New Roman"/>
          <w:color w:val="auto"/>
          <w:sz w:val="28"/>
          <w:szCs w:val="28"/>
        </w:rPr>
        <w:t xml:space="preserve"> %</w:t>
      </w:r>
      <w:r w:rsidRPr="001416ED">
        <w:rPr>
          <w:rStyle w:val="11"/>
          <w:rFonts w:ascii="Times New Roman" w:hAnsi="Times New Roman" w:cs="Times New Roman"/>
          <w:color w:val="auto"/>
          <w:sz w:val="28"/>
          <w:szCs w:val="28"/>
        </w:rPr>
        <w:t xml:space="preserve"> подій, викликаних </w:t>
      </w:r>
      <w:r w:rsidR="009B4313" w:rsidRPr="001416ED">
        <w:rPr>
          <w:rStyle w:val="11"/>
          <w:rFonts w:ascii="Times New Roman" w:hAnsi="Times New Roman" w:cs="Times New Roman"/>
          <w:color w:val="auto"/>
          <w:sz w:val="28"/>
          <w:szCs w:val="28"/>
        </w:rPr>
        <w:t>ІХС</w:t>
      </w:r>
      <w:r w:rsidRPr="001416ED">
        <w:rPr>
          <w:rStyle w:val="11"/>
          <w:rFonts w:ascii="Times New Roman" w:hAnsi="Times New Roman" w:cs="Times New Roman"/>
          <w:color w:val="auto"/>
          <w:sz w:val="28"/>
          <w:szCs w:val="28"/>
        </w:rPr>
        <w:t xml:space="preserve">, виникає внаслідок високого </w:t>
      </w:r>
      <w:r w:rsidR="00923863" w:rsidRPr="001416ED">
        <w:rPr>
          <w:rStyle w:val="11"/>
          <w:rFonts w:ascii="Times New Roman" w:hAnsi="Times New Roman" w:cs="Times New Roman"/>
          <w:color w:val="auto"/>
          <w:sz w:val="28"/>
          <w:szCs w:val="28"/>
        </w:rPr>
        <w:t>АТ</w:t>
      </w:r>
      <w:r w:rsidRPr="001416ED">
        <w:rPr>
          <w:rStyle w:val="11"/>
          <w:rFonts w:ascii="Times New Roman" w:hAnsi="Times New Roman" w:cs="Times New Roman"/>
          <w:color w:val="auto"/>
          <w:sz w:val="28"/>
          <w:szCs w:val="28"/>
        </w:rPr>
        <w:t xml:space="preserve"> [</w:t>
      </w:r>
      <w:r w:rsidR="00784776" w:rsidRPr="001416ED">
        <w:rPr>
          <w:rStyle w:val="11"/>
          <w:rFonts w:ascii="Times New Roman" w:hAnsi="Times New Roman" w:cs="Times New Roman"/>
          <w:color w:val="auto"/>
          <w:sz w:val="28"/>
          <w:szCs w:val="28"/>
        </w:rPr>
        <w:t>8</w:t>
      </w:r>
      <w:r w:rsidR="0069618A" w:rsidRPr="001416ED">
        <w:rPr>
          <w:rStyle w:val="11"/>
          <w:rFonts w:ascii="Times New Roman" w:hAnsi="Times New Roman" w:cs="Times New Roman"/>
          <w:color w:val="auto"/>
          <w:sz w:val="28"/>
          <w:szCs w:val="28"/>
        </w:rPr>
        <w:t>1</w:t>
      </w:r>
      <w:r w:rsidRPr="001416ED">
        <w:rPr>
          <w:rStyle w:val="11"/>
          <w:rFonts w:ascii="Times New Roman" w:hAnsi="Times New Roman" w:cs="Times New Roman"/>
          <w:color w:val="auto"/>
          <w:sz w:val="28"/>
          <w:szCs w:val="28"/>
        </w:rPr>
        <w:t>].</w:t>
      </w:r>
    </w:p>
    <w:p w:rsidR="0050534F" w:rsidRPr="001416ED" w:rsidRDefault="00D14889" w:rsidP="00A770B7">
      <w:pPr>
        <w:pStyle w:val="24"/>
        <w:shd w:val="clear" w:color="auto" w:fill="auto"/>
        <w:spacing w:before="0" w:line="360" w:lineRule="auto"/>
        <w:ind w:right="23" w:firstLine="709"/>
        <w:rPr>
          <w:rFonts w:ascii="Times New Roman" w:hAnsi="Times New Roman" w:cs="Times New Roman"/>
          <w:color w:val="auto"/>
          <w:sz w:val="28"/>
          <w:szCs w:val="28"/>
        </w:rPr>
      </w:pPr>
      <w:r w:rsidRPr="001416ED">
        <w:rPr>
          <w:rStyle w:val="11"/>
          <w:rFonts w:ascii="Times New Roman" w:hAnsi="Times New Roman" w:cs="Times New Roman"/>
          <w:color w:val="auto"/>
          <w:sz w:val="28"/>
          <w:szCs w:val="28"/>
        </w:rPr>
        <w:t>В Україні, н</w:t>
      </w:r>
      <w:r w:rsidR="0050534F" w:rsidRPr="001416ED">
        <w:rPr>
          <w:rStyle w:val="11"/>
          <w:rFonts w:ascii="Times New Roman" w:hAnsi="Times New Roman" w:cs="Times New Roman"/>
          <w:color w:val="auto"/>
          <w:sz w:val="28"/>
          <w:szCs w:val="28"/>
        </w:rPr>
        <w:t>а жаль, лише 60</w:t>
      </w:r>
      <w:r w:rsidR="00D4219F" w:rsidRPr="001416ED">
        <w:rPr>
          <w:rStyle w:val="11"/>
          <w:rFonts w:ascii="Times New Roman" w:hAnsi="Times New Roman" w:cs="Times New Roman"/>
          <w:color w:val="auto"/>
          <w:sz w:val="28"/>
          <w:szCs w:val="28"/>
        </w:rPr>
        <w:t xml:space="preserve"> %</w:t>
      </w:r>
      <w:r w:rsidR="0050534F" w:rsidRPr="001416ED">
        <w:rPr>
          <w:rStyle w:val="11"/>
          <w:rFonts w:ascii="Times New Roman" w:hAnsi="Times New Roman" w:cs="Times New Roman"/>
          <w:color w:val="auto"/>
          <w:sz w:val="28"/>
          <w:szCs w:val="28"/>
        </w:rPr>
        <w:t xml:space="preserve"> </w:t>
      </w:r>
      <w:r w:rsidR="0050534F" w:rsidRPr="001416ED">
        <w:rPr>
          <w:rStyle w:val="11"/>
          <w:rFonts w:ascii="Times New Roman" w:hAnsi="Times New Roman" w:cs="Times New Roman"/>
          <w:color w:val="auto"/>
          <w:sz w:val="28"/>
          <w:szCs w:val="28"/>
          <w:lang w:val="ru-RU" w:eastAsia="ru-RU" w:bidi="ru-RU"/>
        </w:rPr>
        <w:t>лю</w:t>
      </w:r>
      <w:r w:rsidR="0050534F" w:rsidRPr="001416ED">
        <w:rPr>
          <w:rStyle w:val="11"/>
          <w:rFonts w:ascii="Times New Roman" w:hAnsi="Times New Roman" w:cs="Times New Roman"/>
          <w:color w:val="auto"/>
          <w:sz w:val="28"/>
          <w:szCs w:val="28"/>
          <w:lang w:val="ru-RU" w:eastAsia="ru-RU" w:bidi="ru-RU"/>
        </w:rPr>
        <w:softHyphen/>
        <w:t>дей</w:t>
      </w:r>
      <w:r w:rsidR="0050534F" w:rsidRPr="001416ED">
        <w:rPr>
          <w:rStyle w:val="11"/>
          <w:rFonts w:ascii="Times New Roman" w:hAnsi="Times New Roman" w:cs="Times New Roman"/>
          <w:color w:val="auto"/>
          <w:sz w:val="28"/>
          <w:szCs w:val="28"/>
        </w:rPr>
        <w:t xml:space="preserve"> знають, що у них підвищений </w:t>
      </w:r>
      <w:r w:rsidR="00E13E77" w:rsidRPr="001416ED">
        <w:rPr>
          <w:rStyle w:val="11"/>
          <w:rFonts w:ascii="Times New Roman" w:hAnsi="Times New Roman" w:cs="Times New Roman"/>
          <w:color w:val="auto"/>
          <w:sz w:val="28"/>
          <w:szCs w:val="28"/>
        </w:rPr>
        <w:t>АТ</w:t>
      </w:r>
      <w:r w:rsidR="0050534F" w:rsidRPr="001416ED">
        <w:rPr>
          <w:rStyle w:val="11"/>
          <w:rFonts w:ascii="Times New Roman" w:hAnsi="Times New Roman" w:cs="Times New Roman"/>
          <w:color w:val="auto"/>
          <w:sz w:val="28"/>
          <w:szCs w:val="28"/>
        </w:rPr>
        <w:t>, з них 50</w:t>
      </w:r>
      <w:r w:rsidR="00D4219F" w:rsidRPr="001416ED">
        <w:rPr>
          <w:rStyle w:val="11"/>
          <w:rFonts w:ascii="Times New Roman" w:hAnsi="Times New Roman" w:cs="Times New Roman"/>
          <w:color w:val="auto"/>
          <w:sz w:val="28"/>
          <w:szCs w:val="28"/>
        </w:rPr>
        <w:t xml:space="preserve"> %</w:t>
      </w:r>
      <w:r w:rsidR="0050534F" w:rsidRPr="001416ED">
        <w:rPr>
          <w:rStyle w:val="11"/>
          <w:rFonts w:ascii="Times New Roman" w:hAnsi="Times New Roman" w:cs="Times New Roman"/>
          <w:color w:val="auto"/>
          <w:sz w:val="28"/>
          <w:szCs w:val="28"/>
        </w:rPr>
        <w:t xml:space="preserve"> лікуються тільки місяць, по</w:t>
      </w:r>
      <w:r w:rsidR="0050534F" w:rsidRPr="001416ED">
        <w:rPr>
          <w:rStyle w:val="11"/>
          <w:rFonts w:ascii="Times New Roman" w:hAnsi="Times New Roman" w:cs="Times New Roman"/>
          <w:color w:val="auto"/>
          <w:sz w:val="28"/>
          <w:szCs w:val="28"/>
        </w:rPr>
        <w:softHyphen/>
        <w:t xml:space="preserve">стійно </w:t>
      </w:r>
      <w:r w:rsidR="00BC0119" w:rsidRPr="001416ED">
        <w:rPr>
          <w:rStyle w:val="11"/>
          <w:rFonts w:ascii="Times New Roman" w:hAnsi="Times New Roman" w:cs="Times New Roman"/>
          <w:color w:val="auto"/>
          <w:sz w:val="28"/>
          <w:szCs w:val="28"/>
        </w:rPr>
        <w:t>–</w:t>
      </w:r>
      <w:r w:rsidR="0050534F" w:rsidRPr="001416ED">
        <w:rPr>
          <w:rStyle w:val="11"/>
          <w:rFonts w:ascii="Times New Roman" w:hAnsi="Times New Roman" w:cs="Times New Roman"/>
          <w:color w:val="auto"/>
          <w:sz w:val="28"/>
          <w:szCs w:val="28"/>
        </w:rPr>
        <w:t xml:space="preserve"> лише 14</w:t>
      </w:r>
      <w:r w:rsidR="00D4219F" w:rsidRPr="001416ED">
        <w:rPr>
          <w:rStyle w:val="11"/>
          <w:rFonts w:ascii="Times New Roman" w:hAnsi="Times New Roman" w:cs="Times New Roman"/>
          <w:color w:val="auto"/>
          <w:sz w:val="28"/>
          <w:szCs w:val="28"/>
        </w:rPr>
        <w:t xml:space="preserve"> %</w:t>
      </w:r>
      <w:r w:rsidR="0050534F" w:rsidRPr="001416ED">
        <w:rPr>
          <w:rStyle w:val="11"/>
          <w:rFonts w:ascii="Times New Roman" w:hAnsi="Times New Roman" w:cs="Times New Roman"/>
          <w:color w:val="auto"/>
          <w:sz w:val="28"/>
          <w:szCs w:val="28"/>
        </w:rPr>
        <w:t xml:space="preserve">. Крім важких ускладнень для судинної системи, нирок і серця, </w:t>
      </w:r>
      <w:r w:rsidR="009B4313" w:rsidRPr="001416ED">
        <w:rPr>
          <w:rStyle w:val="11"/>
          <w:rFonts w:ascii="Times New Roman" w:hAnsi="Times New Roman" w:cs="Times New Roman"/>
          <w:color w:val="auto"/>
          <w:sz w:val="28"/>
          <w:szCs w:val="28"/>
        </w:rPr>
        <w:t>ГХ</w:t>
      </w:r>
      <w:r w:rsidR="0050534F" w:rsidRPr="001416ED">
        <w:rPr>
          <w:rStyle w:val="11"/>
          <w:rFonts w:ascii="Times New Roman" w:hAnsi="Times New Roman" w:cs="Times New Roman"/>
          <w:color w:val="auto"/>
          <w:sz w:val="28"/>
          <w:szCs w:val="28"/>
        </w:rPr>
        <w:t xml:space="preserve"> сприяє ранньому старінню організму, зниженню пам’яті та інтелекту, супроводжує ожиріння, цукровий діабет, атеросклероз, що часто розви</w:t>
      </w:r>
      <w:r w:rsidR="0050534F" w:rsidRPr="001416ED">
        <w:rPr>
          <w:rStyle w:val="11"/>
          <w:rFonts w:ascii="Times New Roman" w:hAnsi="Times New Roman" w:cs="Times New Roman"/>
          <w:color w:val="auto"/>
          <w:sz w:val="28"/>
          <w:szCs w:val="28"/>
        </w:rPr>
        <w:softHyphen/>
        <w:t>вається вже у віці 40</w:t>
      </w:r>
      <w:r w:rsidR="00BC0119" w:rsidRPr="001416ED">
        <w:rPr>
          <w:rStyle w:val="11"/>
          <w:rFonts w:ascii="Times New Roman" w:hAnsi="Times New Roman" w:cs="Times New Roman"/>
          <w:color w:val="auto"/>
          <w:sz w:val="28"/>
          <w:szCs w:val="28"/>
        </w:rPr>
        <w:t>–</w:t>
      </w:r>
      <w:r w:rsidR="00E13E77" w:rsidRPr="001416ED">
        <w:rPr>
          <w:rStyle w:val="11"/>
          <w:rFonts w:ascii="Times New Roman" w:hAnsi="Times New Roman" w:cs="Times New Roman"/>
          <w:color w:val="auto"/>
          <w:sz w:val="28"/>
          <w:szCs w:val="28"/>
        </w:rPr>
        <w:t>60</w:t>
      </w:r>
      <w:r w:rsidR="0050534F" w:rsidRPr="001416ED">
        <w:rPr>
          <w:rStyle w:val="11"/>
          <w:rFonts w:ascii="Times New Roman" w:hAnsi="Times New Roman" w:cs="Times New Roman"/>
          <w:color w:val="auto"/>
          <w:sz w:val="28"/>
          <w:szCs w:val="28"/>
        </w:rPr>
        <w:t xml:space="preserve"> років [</w:t>
      </w:r>
      <w:r w:rsidR="0069618A" w:rsidRPr="001416ED">
        <w:rPr>
          <w:rStyle w:val="11"/>
          <w:rFonts w:ascii="Times New Roman" w:hAnsi="Times New Roman" w:cs="Times New Roman"/>
          <w:color w:val="auto"/>
          <w:sz w:val="28"/>
          <w:szCs w:val="28"/>
        </w:rPr>
        <w:t>58</w:t>
      </w:r>
      <w:r w:rsidR="0050534F" w:rsidRPr="001416ED">
        <w:rPr>
          <w:rStyle w:val="11"/>
          <w:rFonts w:ascii="Times New Roman" w:hAnsi="Times New Roman" w:cs="Times New Roman"/>
          <w:color w:val="auto"/>
          <w:sz w:val="28"/>
          <w:szCs w:val="28"/>
        </w:rPr>
        <w:t>].</w:t>
      </w:r>
    </w:p>
    <w:p w:rsidR="00F31D0A" w:rsidRPr="001416ED" w:rsidRDefault="00BE77CD" w:rsidP="009B147F">
      <w:pPr>
        <w:pStyle w:val="ac"/>
        <w:shd w:val="clear" w:color="auto" w:fill="FFFFFF"/>
        <w:spacing w:before="0" w:beforeAutospacing="0" w:after="0" w:afterAutospacing="0" w:line="360" w:lineRule="auto"/>
        <w:ind w:firstLine="709"/>
        <w:jc w:val="both"/>
        <w:rPr>
          <w:sz w:val="28"/>
          <w:szCs w:val="28"/>
        </w:rPr>
      </w:pPr>
      <w:r w:rsidRPr="001416ED">
        <w:rPr>
          <w:sz w:val="28"/>
          <w:szCs w:val="28"/>
        </w:rPr>
        <w:t>Епідеміологічні дослідження чітко продемонстрували провідну роль  ЕГ як популяційного фактору ризику ХСН</w:t>
      </w:r>
      <w:r w:rsidR="005E05D9" w:rsidRPr="001416ED">
        <w:rPr>
          <w:sz w:val="28"/>
          <w:szCs w:val="28"/>
        </w:rPr>
        <w:t xml:space="preserve"> [1</w:t>
      </w:r>
      <w:r w:rsidR="0069618A" w:rsidRPr="001416ED">
        <w:rPr>
          <w:sz w:val="28"/>
          <w:szCs w:val="28"/>
        </w:rPr>
        <w:t>62</w:t>
      </w:r>
      <w:r w:rsidR="005E05D9" w:rsidRPr="001416ED">
        <w:rPr>
          <w:sz w:val="28"/>
          <w:szCs w:val="28"/>
        </w:rPr>
        <w:t>]</w:t>
      </w:r>
      <w:r w:rsidRPr="001416ED">
        <w:rPr>
          <w:sz w:val="28"/>
          <w:szCs w:val="28"/>
        </w:rPr>
        <w:t>. Результати аналізу, проведеного Національним інститутом серця, легень</w:t>
      </w:r>
      <w:r w:rsidR="007D069F">
        <w:rPr>
          <w:sz w:val="28"/>
          <w:szCs w:val="28"/>
        </w:rPr>
        <w:t xml:space="preserve"> і крові США, свідчить, що у 75</w:t>
      </w:r>
      <w:r w:rsidR="00D4219F" w:rsidRPr="001416ED">
        <w:rPr>
          <w:sz w:val="28"/>
          <w:szCs w:val="28"/>
        </w:rPr>
        <w:t xml:space="preserve"> %</w:t>
      </w:r>
      <w:r w:rsidRPr="001416ED">
        <w:rPr>
          <w:sz w:val="28"/>
          <w:szCs w:val="28"/>
        </w:rPr>
        <w:t xml:space="preserve"> хворих із ХСН раніше відзначали </w:t>
      </w:r>
      <w:r w:rsidR="00CA6CBC" w:rsidRPr="001416ED">
        <w:rPr>
          <w:sz w:val="28"/>
          <w:szCs w:val="28"/>
        </w:rPr>
        <w:t>Е</w:t>
      </w:r>
      <w:r w:rsidRPr="001416ED">
        <w:rPr>
          <w:sz w:val="28"/>
          <w:szCs w:val="28"/>
        </w:rPr>
        <w:t xml:space="preserve">Г. Остання підвищує ризик розвитку </w:t>
      </w:r>
      <w:r w:rsidR="00CA6CBC" w:rsidRPr="001416ED">
        <w:rPr>
          <w:sz w:val="28"/>
          <w:szCs w:val="28"/>
        </w:rPr>
        <w:t>Х</w:t>
      </w:r>
      <w:r w:rsidRPr="001416ED">
        <w:rPr>
          <w:sz w:val="28"/>
          <w:szCs w:val="28"/>
        </w:rPr>
        <w:t xml:space="preserve">СН пропорційно ступеню підвищення АТ, причому підвищення систолічного </w:t>
      </w:r>
      <w:r w:rsidR="00CA6CBC" w:rsidRPr="001416ED">
        <w:rPr>
          <w:sz w:val="28"/>
          <w:szCs w:val="28"/>
        </w:rPr>
        <w:t>АТ</w:t>
      </w:r>
      <w:r w:rsidRPr="001416ED">
        <w:rPr>
          <w:sz w:val="28"/>
          <w:szCs w:val="28"/>
        </w:rPr>
        <w:t xml:space="preserve"> (САТ) є більш значущим предиктором наступного розвитку ХСН, ніж підвищення діастолічного АТ</w:t>
      </w:r>
      <w:r w:rsidR="00CA6CBC" w:rsidRPr="001416ED">
        <w:rPr>
          <w:sz w:val="28"/>
          <w:szCs w:val="28"/>
        </w:rPr>
        <w:t xml:space="preserve"> (ДАТ)</w:t>
      </w:r>
      <w:r w:rsidRPr="001416ED">
        <w:rPr>
          <w:sz w:val="28"/>
          <w:szCs w:val="28"/>
        </w:rPr>
        <w:t>, незалежно від віку і статі</w:t>
      </w:r>
      <w:r w:rsidR="00F31D0A" w:rsidRPr="001416ED">
        <w:rPr>
          <w:sz w:val="28"/>
          <w:szCs w:val="28"/>
        </w:rPr>
        <w:t xml:space="preserve"> </w:t>
      </w:r>
      <w:r w:rsidR="00F31D0A" w:rsidRPr="001416ED">
        <w:rPr>
          <w:rStyle w:val="11"/>
          <w:rFonts w:ascii="Times New Roman" w:hAnsi="Times New Roman" w:cs="Times New Roman"/>
          <w:color w:val="auto"/>
          <w:sz w:val="28"/>
          <w:szCs w:val="28"/>
        </w:rPr>
        <w:t>[</w:t>
      </w:r>
      <w:r w:rsidR="00784776" w:rsidRPr="001416ED">
        <w:rPr>
          <w:rStyle w:val="11"/>
          <w:rFonts w:ascii="Times New Roman" w:hAnsi="Times New Roman" w:cs="Times New Roman"/>
          <w:color w:val="auto"/>
          <w:sz w:val="28"/>
          <w:szCs w:val="28"/>
        </w:rPr>
        <w:t>1</w:t>
      </w:r>
      <w:r w:rsidR="00AF6F1E" w:rsidRPr="001416ED">
        <w:rPr>
          <w:rStyle w:val="11"/>
          <w:rFonts w:ascii="Times New Roman" w:hAnsi="Times New Roman" w:cs="Times New Roman"/>
          <w:color w:val="auto"/>
          <w:sz w:val="28"/>
          <w:szCs w:val="28"/>
        </w:rPr>
        <w:t>6</w:t>
      </w:r>
      <w:r w:rsidR="00F31D0A" w:rsidRPr="001416ED">
        <w:rPr>
          <w:rStyle w:val="11"/>
          <w:rFonts w:ascii="Times New Roman" w:hAnsi="Times New Roman" w:cs="Times New Roman"/>
          <w:color w:val="auto"/>
          <w:sz w:val="28"/>
          <w:szCs w:val="28"/>
        </w:rPr>
        <w:t>]</w:t>
      </w:r>
      <w:r w:rsidR="00F35712" w:rsidRPr="001416ED">
        <w:rPr>
          <w:sz w:val="28"/>
          <w:szCs w:val="28"/>
        </w:rPr>
        <w:t>.</w:t>
      </w:r>
      <w:r w:rsidR="005249B3" w:rsidRPr="001416ED">
        <w:rPr>
          <w:sz w:val="28"/>
          <w:szCs w:val="28"/>
        </w:rPr>
        <w:t xml:space="preserve"> </w:t>
      </w:r>
    </w:p>
    <w:p w:rsidR="0092159E" w:rsidRPr="001416ED" w:rsidRDefault="0092159E" w:rsidP="00A770B7">
      <w:pPr>
        <w:pStyle w:val="24"/>
        <w:shd w:val="clear" w:color="auto" w:fill="auto"/>
        <w:spacing w:before="0" w:line="360" w:lineRule="auto"/>
        <w:ind w:right="23" w:firstLine="709"/>
        <w:rPr>
          <w:rFonts w:ascii="Times New Roman" w:hAnsi="Times New Roman" w:cs="Times New Roman"/>
          <w:color w:val="auto"/>
          <w:sz w:val="28"/>
          <w:szCs w:val="28"/>
        </w:rPr>
      </w:pPr>
      <w:r w:rsidRPr="001416ED">
        <w:rPr>
          <w:rFonts w:ascii="Times New Roman" w:hAnsi="Times New Roman" w:cs="Times New Roman"/>
          <w:color w:val="auto"/>
          <w:sz w:val="28"/>
          <w:szCs w:val="28"/>
        </w:rPr>
        <w:t>Мультифакторіальність та спадкова обумовленість ГХ</w:t>
      </w:r>
      <w:r w:rsidR="009B147F" w:rsidRPr="001416ED">
        <w:rPr>
          <w:rFonts w:ascii="Times New Roman" w:hAnsi="Times New Roman" w:cs="Times New Roman"/>
          <w:color w:val="auto"/>
          <w:sz w:val="28"/>
          <w:szCs w:val="28"/>
        </w:rPr>
        <w:t xml:space="preserve"> </w:t>
      </w:r>
      <w:r w:rsidR="0086213E" w:rsidRPr="001416ED">
        <w:rPr>
          <w:rFonts w:ascii="Times New Roman" w:hAnsi="Times New Roman" w:cs="Times New Roman"/>
          <w:color w:val="auto"/>
          <w:sz w:val="28"/>
          <w:szCs w:val="28"/>
        </w:rPr>
        <w:t xml:space="preserve">вже </w:t>
      </w:r>
      <w:r w:rsidRPr="001416ED">
        <w:rPr>
          <w:rFonts w:ascii="Times New Roman" w:hAnsi="Times New Roman" w:cs="Times New Roman"/>
          <w:color w:val="auto"/>
          <w:sz w:val="28"/>
          <w:szCs w:val="28"/>
        </w:rPr>
        <w:t xml:space="preserve">добре відомі </w:t>
      </w:r>
      <w:r w:rsidR="0086213E" w:rsidRPr="001416ED">
        <w:rPr>
          <w:rStyle w:val="11"/>
          <w:rFonts w:ascii="Times New Roman" w:hAnsi="Times New Roman" w:cs="Times New Roman"/>
          <w:color w:val="auto"/>
          <w:sz w:val="28"/>
          <w:szCs w:val="28"/>
        </w:rPr>
        <w:t>[</w:t>
      </w:r>
      <w:r w:rsidR="00AF6F1E" w:rsidRPr="001416ED">
        <w:rPr>
          <w:rStyle w:val="11"/>
          <w:rFonts w:ascii="Times New Roman" w:hAnsi="Times New Roman" w:cs="Times New Roman"/>
          <w:color w:val="auto"/>
          <w:sz w:val="28"/>
          <w:szCs w:val="28"/>
        </w:rPr>
        <w:t>6</w:t>
      </w:r>
      <w:r w:rsidR="00784776" w:rsidRPr="001416ED">
        <w:rPr>
          <w:rStyle w:val="11"/>
          <w:rFonts w:ascii="Times New Roman" w:hAnsi="Times New Roman" w:cs="Times New Roman"/>
          <w:color w:val="auto"/>
          <w:sz w:val="28"/>
          <w:szCs w:val="28"/>
        </w:rPr>
        <w:t>,</w:t>
      </w:r>
      <w:r w:rsidR="00F60E54" w:rsidRPr="001416ED">
        <w:rPr>
          <w:rStyle w:val="11"/>
          <w:rFonts w:ascii="Times New Roman" w:hAnsi="Times New Roman" w:cs="Times New Roman"/>
          <w:color w:val="auto"/>
          <w:sz w:val="28"/>
          <w:szCs w:val="28"/>
        </w:rPr>
        <w:t xml:space="preserve"> </w:t>
      </w:r>
      <w:r w:rsidR="008D7BAB" w:rsidRPr="001416ED">
        <w:rPr>
          <w:rFonts w:ascii="Times New Roman" w:hAnsi="Times New Roman" w:cs="Times New Roman"/>
          <w:color w:val="auto"/>
          <w:sz w:val="28"/>
          <w:szCs w:val="28"/>
        </w:rPr>
        <w:t>4</w:t>
      </w:r>
      <w:r w:rsidR="00AF6F1E" w:rsidRPr="001416ED">
        <w:rPr>
          <w:rFonts w:ascii="Times New Roman" w:hAnsi="Times New Roman" w:cs="Times New Roman"/>
          <w:color w:val="auto"/>
          <w:sz w:val="28"/>
          <w:szCs w:val="28"/>
        </w:rPr>
        <w:t>7</w:t>
      </w:r>
      <w:r w:rsidR="008D7BAB" w:rsidRPr="001416ED">
        <w:rPr>
          <w:rFonts w:ascii="Times New Roman" w:hAnsi="Times New Roman" w:cs="Times New Roman"/>
          <w:color w:val="auto"/>
          <w:sz w:val="28"/>
          <w:szCs w:val="28"/>
        </w:rPr>
        <w:t>,</w:t>
      </w:r>
      <w:r w:rsidR="00F60E54" w:rsidRPr="001416ED">
        <w:rPr>
          <w:rFonts w:ascii="Times New Roman" w:hAnsi="Times New Roman" w:cs="Times New Roman"/>
          <w:color w:val="auto"/>
          <w:sz w:val="28"/>
          <w:szCs w:val="28"/>
        </w:rPr>
        <w:t xml:space="preserve"> </w:t>
      </w:r>
      <w:r w:rsidR="00CE05EB" w:rsidRPr="001416ED">
        <w:rPr>
          <w:rStyle w:val="11"/>
          <w:rFonts w:ascii="Times New Roman" w:hAnsi="Times New Roman" w:cs="Times New Roman"/>
          <w:color w:val="auto"/>
          <w:sz w:val="28"/>
          <w:szCs w:val="28"/>
        </w:rPr>
        <w:t>6</w:t>
      </w:r>
      <w:r w:rsidR="00AF6F1E" w:rsidRPr="001416ED">
        <w:rPr>
          <w:rStyle w:val="11"/>
          <w:rFonts w:ascii="Times New Roman" w:hAnsi="Times New Roman" w:cs="Times New Roman"/>
          <w:color w:val="auto"/>
          <w:sz w:val="28"/>
          <w:szCs w:val="28"/>
        </w:rPr>
        <w:t>1</w:t>
      </w:r>
      <w:r w:rsidR="00CE05EB" w:rsidRPr="001416ED">
        <w:rPr>
          <w:rStyle w:val="11"/>
          <w:rFonts w:ascii="Times New Roman" w:hAnsi="Times New Roman" w:cs="Times New Roman"/>
          <w:color w:val="auto"/>
          <w:sz w:val="28"/>
          <w:szCs w:val="28"/>
        </w:rPr>
        <w:t>,</w:t>
      </w:r>
      <w:r w:rsidR="00F60E54" w:rsidRPr="001416ED">
        <w:rPr>
          <w:rStyle w:val="11"/>
          <w:rFonts w:ascii="Times New Roman" w:hAnsi="Times New Roman" w:cs="Times New Roman"/>
          <w:color w:val="auto"/>
          <w:sz w:val="28"/>
          <w:szCs w:val="28"/>
        </w:rPr>
        <w:t xml:space="preserve"> </w:t>
      </w:r>
      <w:r w:rsidR="00AF6F1E" w:rsidRPr="001416ED">
        <w:rPr>
          <w:rFonts w:ascii="Times New Roman" w:hAnsi="Times New Roman" w:cs="Times New Roman"/>
          <w:color w:val="auto"/>
          <w:sz w:val="28"/>
          <w:szCs w:val="28"/>
        </w:rPr>
        <w:t>96</w:t>
      </w:r>
      <w:r w:rsidR="0086213E" w:rsidRPr="001416ED">
        <w:rPr>
          <w:rStyle w:val="11"/>
          <w:rFonts w:ascii="Times New Roman" w:hAnsi="Times New Roman" w:cs="Times New Roman"/>
          <w:color w:val="auto"/>
          <w:sz w:val="28"/>
          <w:szCs w:val="28"/>
        </w:rPr>
        <w:t>]</w:t>
      </w:r>
      <w:r w:rsidRPr="001416ED">
        <w:rPr>
          <w:rFonts w:ascii="Times New Roman" w:hAnsi="Times New Roman" w:cs="Times New Roman"/>
          <w:color w:val="auto"/>
          <w:sz w:val="28"/>
          <w:szCs w:val="28"/>
        </w:rPr>
        <w:t>. На думку різних авторів генетичні чинники визначають розвиток ГХ у 30</w:t>
      </w:r>
      <w:r w:rsidR="00D4219F" w:rsidRPr="001416ED">
        <w:rPr>
          <w:rFonts w:ascii="Times New Roman" w:hAnsi="Times New Roman" w:cs="Times New Roman"/>
          <w:color w:val="auto"/>
          <w:sz w:val="28"/>
          <w:szCs w:val="28"/>
        </w:rPr>
        <w:t xml:space="preserve"> %</w:t>
      </w:r>
      <w:r w:rsidRPr="001416ED">
        <w:rPr>
          <w:rFonts w:ascii="Times New Roman" w:hAnsi="Times New Roman" w:cs="Times New Roman"/>
          <w:color w:val="auto"/>
          <w:sz w:val="28"/>
          <w:szCs w:val="28"/>
        </w:rPr>
        <w:t xml:space="preserve"> </w:t>
      </w:r>
      <w:r w:rsidR="00BC0119" w:rsidRPr="001416ED">
        <w:rPr>
          <w:rFonts w:ascii="Times New Roman" w:hAnsi="Times New Roman" w:cs="Times New Roman"/>
          <w:color w:val="auto"/>
          <w:sz w:val="28"/>
          <w:szCs w:val="28"/>
        </w:rPr>
        <w:t>–</w:t>
      </w:r>
      <w:r w:rsidRPr="001416ED">
        <w:rPr>
          <w:rFonts w:ascii="Times New Roman" w:hAnsi="Times New Roman" w:cs="Times New Roman"/>
          <w:color w:val="auto"/>
          <w:sz w:val="28"/>
          <w:szCs w:val="28"/>
        </w:rPr>
        <w:t xml:space="preserve"> 80</w:t>
      </w:r>
      <w:r w:rsidR="00D4219F" w:rsidRPr="001416ED">
        <w:rPr>
          <w:rFonts w:ascii="Times New Roman" w:hAnsi="Times New Roman" w:cs="Times New Roman"/>
          <w:color w:val="auto"/>
          <w:sz w:val="28"/>
          <w:szCs w:val="28"/>
        </w:rPr>
        <w:t xml:space="preserve"> %</w:t>
      </w:r>
      <w:r w:rsidRPr="001416ED">
        <w:rPr>
          <w:rFonts w:ascii="Times New Roman" w:hAnsi="Times New Roman" w:cs="Times New Roman"/>
          <w:color w:val="auto"/>
          <w:sz w:val="28"/>
          <w:szCs w:val="28"/>
        </w:rPr>
        <w:t xml:space="preserve"> випадків хвороби </w:t>
      </w:r>
      <w:r w:rsidR="0086213E" w:rsidRPr="001416ED">
        <w:rPr>
          <w:rStyle w:val="11"/>
          <w:rFonts w:ascii="Times New Roman" w:hAnsi="Times New Roman" w:cs="Times New Roman"/>
          <w:color w:val="auto"/>
          <w:sz w:val="28"/>
          <w:szCs w:val="28"/>
        </w:rPr>
        <w:t>[</w:t>
      </w:r>
      <w:r w:rsidR="0086213E" w:rsidRPr="001416ED">
        <w:rPr>
          <w:rFonts w:ascii="Times New Roman" w:hAnsi="Times New Roman" w:cs="Times New Roman"/>
          <w:color w:val="auto"/>
          <w:sz w:val="28"/>
          <w:szCs w:val="28"/>
        </w:rPr>
        <w:t>2</w:t>
      </w:r>
      <w:r w:rsidR="00AF6F1E" w:rsidRPr="001416ED">
        <w:rPr>
          <w:rFonts w:ascii="Times New Roman" w:hAnsi="Times New Roman" w:cs="Times New Roman"/>
          <w:color w:val="auto"/>
          <w:sz w:val="28"/>
          <w:szCs w:val="28"/>
        </w:rPr>
        <w:t>3</w:t>
      </w:r>
      <w:r w:rsidR="0086213E" w:rsidRPr="001416ED">
        <w:rPr>
          <w:rStyle w:val="11"/>
          <w:rFonts w:ascii="Times New Roman" w:hAnsi="Times New Roman" w:cs="Times New Roman"/>
          <w:color w:val="auto"/>
          <w:sz w:val="28"/>
          <w:szCs w:val="28"/>
        </w:rPr>
        <w:t>]</w:t>
      </w:r>
      <w:r w:rsidRPr="001416ED">
        <w:rPr>
          <w:rFonts w:ascii="Times New Roman" w:hAnsi="Times New Roman" w:cs="Times New Roman"/>
          <w:color w:val="auto"/>
          <w:sz w:val="28"/>
          <w:szCs w:val="28"/>
        </w:rPr>
        <w:t>. За даними багатьох авторів близько 80</w:t>
      </w:r>
      <w:r w:rsidR="00D4219F" w:rsidRPr="001416ED">
        <w:rPr>
          <w:rFonts w:ascii="Times New Roman" w:hAnsi="Times New Roman" w:cs="Times New Roman"/>
          <w:color w:val="auto"/>
          <w:sz w:val="28"/>
          <w:szCs w:val="28"/>
        </w:rPr>
        <w:t xml:space="preserve"> %</w:t>
      </w:r>
      <w:r w:rsidRPr="001416ED">
        <w:rPr>
          <w:rFonts w:ascii="Times New Roman" w:hAnsi="Times New Roman" w:cs="Times New Roman"/>
          <w:color w:val="auto"/>
          <w:sz w:val="28"/>
          <w:szCs w:val="28"/>
        </w:rPr>
        <w:t xml:space="preserve"> хворих на ГХ мають родичів, що страждають від підвищеного АТ [</w:t>
      </w:r>
      <w:r w:rsidR="00AF6F1E" w:rsidRPr="001416ED">
        <w:rPr>
          <w:rFonts w:ascii="Times New Roman" w:hAnsi="Times New Roman" w:cs="Times New Roman"/>
          <w:color w:val="auto"/>
          <w:sz w:val="28"/>
          <w:szCs w:val="28"/>
        </w:rPr>
        <w:t>78</w:t>
      </w:r>
      <w:r w:rsidRPr="001416ED">
        <w:rPr>
          <w:rFonts w:ascii="Times New Roman" w:hAnsi="Times New Roman" w:cs="Times New Roman"/>
          <w:color w:val="auto"/>
          <w:sz w:val="28"/>
          <w:szCs w:val="28"/>
        </w:rPr>
        <w:t>]. До кінця не відомі конкретні механізми реалізації спадкової схильності до ГХ, оцінка якої є важливим компонентом скринінгу в кардіології</w:t>
      </w:r>
      <w:r w:rsidR="00F60E54" w:rsidRPr="001416ED">
        <w:rPr>
          <w:rFonts w:ascii="Times New Roman" w:hAnsi="Times New Roman" w:cs="Times New Roman"/>
          <w:color w:val="auto"/>
          <w:sz w:val="28"/>
          <w:szCs w:val="28"/>
        </w:rPr>
        <w:t>,</w:t>
      </w:r>
      <w:r w:rsidRPr="001416ED">
        <w:rPr>
          <w:rFonts w:ascii="Times New Roman" w:hAnsi="Times New Roman" w:cs="Times New Roman"/>
          <w:color w:val="auto"/>
          <w:sz w:val="28"/>
          <w:szCs w:val="28"/>
        </w:rPr>
        <w:t xml:space="preserve"> навіть на доклінічному етапі, </w:t>
      </w:r>
      <w:r w:rsidRPr="001416ED">
        <w:rPr>
          <w:rFonts w:ascii="Times New Roman" w:hAnsi="Times New Roman" w:cs="Times New Roman"/>
          <w:color w:val="auto"/>
          <w:sz w:val="28"/>
          <w:szCs w:val="28"/>
        </w:rPr>
        <w:lastRenderedPageBreak/>
        <w:t>коли захворювання ще клінічно не  проявляється.</w:t>
      </w:r>
    </w:p>
    <w:p w:rsidR="006866E2" w:rsidRPr="001416ED" w:rsidRDefault="005C3E6B" w:rsidP="00A770B7">
      <w:pPr>
        <w:spacing w:line="360" w:lineRule="auto"/>
        <w:ind w:firstLine="709"/>
        <w:jc w:val="both"/>
        <w:rPr>
          <w:lang w:val="uk-UA"/>
        </w:rPr>
      </w:pPr>
      <w:r w:rsidRPr="001416ED">
        <w:rPr>
          <w:lang w:val="uk-UA"/>
        </w:rPr>
        <w:t xml:space="preserve">По даним </w:t>
      </w:r>
      <w:r w:rsidR="007A6367" w:rsidRPr="001416ED">
        <w:rPr>
          <w:lang w:val="uk-UA"/>
        </w:rPr>
        <w:t>Європейської асоціації кардіологів</w:t>
      </w:r>
      <w:r w:rsidRPr="001416ED">
        <w:rPr>
          <w:lang w:val="uk-UA"/>
        </w:rPr>
        <w:t xml:space="preserve"> </w:t>
      </w:r>
      <w:r w:rsidR="007A6367" w:rsidRPr="001416ED">
        <w:rPr>
          <w:lang w:val="uk-UA"/>
        </w:rPr>
        <w:t>(2016</w:t>
      </w:r>
      <w:r w:rsidRPr="001416ED">
        <w:rPr>
          <w:lang w:val="uk-UA"/>
        </w:rPr>
        <w:t xml:space="preserve">) встановлено </w:t>
      </w:r>
      <w:r w:rsidR="00C768B6" w:rsidRPr="001416ED">
        <w:rPr>
          <w:lang w:val="uk-UA"/>
        </w:rPr>
        <w:t>3</w:t>
      </w:r>
      <w:r w:rsidR="007A6367" w:rsidRPr="001416ED">
        <w:rPr>
          <w:lang w:val="uk-UA"/>
        </w:rPr>
        <w:t>3</w:t>
      </w:r>
      <w:r w:rsidRPr="001416ED">
        <w:rPr>
          <w:lang w:val="uk-UA"/>
        </w:rPr>
        <w:t xml:space="preserve"> </w:t>
      </w:r>
      <w:r w:rsidRPr="001416ED">
        <w:t>генних локус</w:t>
      </w:r>
      <w:r w:rsidR="00F60E54" w:rsidRPr="001416ED">
        <w:rPr>
          <w:lang w:val="uk-UA"/>
        </w:rPr>
        <w:t>а</w:t>
      </w:r>
      <w:r w:rsidRPr="001416ED">
        <w:rPr>
          <w:lang w:val="uk-UA"/>
        </w:rPr>
        <w:t xml:space="preserve">, які беруть участь в регуляції </w:t>
      </w:r>
      <w:r w:rsidR="002F4726" w:rsidRPr="001416ED">
        <w:rPr>
          <w:lang w:val="uk-UA"/>
        </w:rPr>
        <w:t>АТ</w:t>
      </w:r>
      <w:r w:rsidRPr="001416ED">
        <w:rPr>
          <w:lang w:val="uk-UA"/>
        </w:rPr>
        <w:t>. Продовжується пошук окремих генів однонуклеотидний поліморфізм яких (</w:t>
      </w:r>
      <w:r w:rsidRPr="001416ED">
        <w:rPr>
          <w:lang w:val="en-US"/>
        </w:rPr>
        <w:t>Single</w:t>
      </w:r>
      <w:r w:rsidRPr="001416ED">
        <w:rPr>
          <w:lang w:val="uk-UA"/>
        </w:rPr>
        <w:t xml:space="preserve"> </w:t>
      </w:r>
      <w:r w:rsidRPr="001416ED">
        <w:rPr>
          <w:lang w:val="en-US"/>
        </w:rPr>
        <w:t>Nucleotide</w:t>
      </w:r>
      <w:r w:rsidRPr="001416ED">
        <w:rPr>
          <w:lang w:val="uk-UA"/>
        </w:rPr>
        <w:t xml:space="preserve"> </w:t>
      </w:r>
      <w:r w:rsidRPr="001416ED">
        <w:rPr>
          <w:lang w:val="en-US"/>
        </w:rPr>
        <w:t>Polymorphism</w:t>
      </w:r>
      <w:r w:rsidRPr="001416ED">
        <w:rPr>
          <w:lang w:val="uk-UA"/>
        </w:rPr>
        <w:t xml:space="preserve"> </w:t>
      </w:r>
      <w:r w:rsidRPr="001416ED">
        <w:rPr>
          <w:rStyle w:val="a8"/>
          <w:iCs/>
          <w:lang w:val="uk-UA"/>
        </w:rPr>
        <w:t>(</w:t>
      </w:r>
      <w:r w:rsidRPr="001416ED">
        <w:rPr>
          <w:bCs/>
          <w:iCs/>
        </w:rPr>
        <w:t>SNP</w:t>
      </w:r>
      <w:r w:rsidRPr="001416ED">
        <w:rPr>
          <w:bCs/>
          <w:iCs/>
          <w:lang w:val="uk-UA"/>
        </w:rPr>
        <w:t xml:space="preserve">) сприяють </w:t>
      </w:r>
      <w:r w:rsidR="00D62C8C" w:rsidRPr="001416ED">
        <w:rPr>
          <w:bCs/>
          <w:iCs/>
          <w:lang w:val="uk-UA"/>
        </w:rPr>
        <w:t>розвитку ГХ</w:t>
      </w:r>
      <w:r w:rsidRPr="001416ED">
        <w:rPr>
          <w:lang w:val="uk-UA"/>
        </w:rPr>
        <w:t xml:space="preserve">. </w:t>
      </w:r>
      <w:r w:rsidR="006866E2" w:rsidRPr="001416ED">
        <w:rPr>
          <w:lang w:val="uk-UA"/>
        </w:rPr>
        <w:t>В останній час значну увагу привертає структурний стан генів РААС, які багатьма дослідниками розглядаються як можливі генетичні маркери ГХ</w:t>
      </w:r>
      <w:r w:rsidR="003E0FBB" w:rsidRPr="001416ED">
        <w:rPr>
          <w:lang w:val="uk-UA"/>
        </w:rPr>
        <w:t xml:space="preserve"> та ХСН</w:t>
      </w:r>
      <w:r w:rsidR="006866E2" w:rsidRPr="001416ED">
        <w:rPr>
          <w:lang w:val="uk-UA"/>
        </w:rPr>
        <w:t xml:space="preserve">. Одним з найменш дослідженим є </w:t>
      </w:r>
      <w:r w:rsidR="0070045B" w:rsidRPr="001416ED">
        <w:rPr>
          <w:lang w:val="en-US"/>
        </w:rPr>
        <w:t>SNP</w:t>
      </w:r>
      <w:r w:rsidR="006866E2" w:rsidRPr="001416ED">
        <w:rPr>
          <w:lang w:val="uk-UA"/>
        </w:rPr>
        <w:t xml:space="preserve"> гена, що кодує ЕТ</w:t>
      </w:r>
      <w:r w:rsidR="00BC0119" w:rsidRPr="001416ED">
        <w:rPr>
          <w:lang w:val="uk-UA"/>
        </w:rPr>
        <w:t>–</w:t>
      </w:r>
      <w:r w:rsidR="002F4726" w:rsidRPr="001416ED">
        <w:rPr>
          <w:lang w:val="uk-UA"/>
        </w:rPr>
        <w:t xml:space="preserve">1 та його відповідні плазмові рівні. </w:t>
      </w:r>
      <w:r w:rsidR="006866E2" w:rsidRPr="001416ED">
        <w:rPr>
          <w:lang w:val="uk-UA"/>
        </w:rPr>
        <w:t>До антагоністів ЕТ</w:t>
      </w:r>
      <w:r w:rsidR="00BC0119" w:rsidRPr="001416ED">
        <w:rPr>
          <w:lang w:val="uk-UA"/>
        </w:rPr>
        <w:t>–</w:t>
      </w:r>
      <w:r w:rsidR="006866E2" w:rsidRPr="001416ED">
        <w:rPr>
          <w:lang w:val="uk-UA"/>
        </w:rPr>
        <w:t>1 належить вазодилятатор СНП, відкритий відносно нещодавно, визначення якого також може слугувати показником важкості перебігу ГХ</w:t>
      </w:r>
      <w:r w:rsidR="003E0FBB" w:rsidRPr="001416ED">
        <w:rPr>
          <w:lang w:val="uk-UA"/>
        </w:rPr>
        <w:t xml:space="preserve"> та ХСН</w:t>
      </w:r>
      <w:r w:rsidR="006866E2" w:rsidRPr="001416ED">
        <w:rPr>
          <w:lang w:val="uk-UA"/>
        </w:rPr>
        <w:t>.</w:t>
      </w:r>
    </w:p>
    <w:p w:rsidR="00E80D05" w:rsidRPr="001416ED" w:rsidRDefault="00E80D05" w:rsidP="00E80D05">
      <w:pPr>
        <w:pStyle w:val="13"/>
        <w:numPr>
          <w:ilvl w:val="1"/>
          <w:numId w:val="4"/>
        </w:numPr>
        <w:spacing w:before="240" w:after="240" w:line="360" w:lineRule="auto"/>
        <w:ind w:left="0" w:firstLine="0"/>
        <w:jc w:val="both"/>
        <w:rPr>
          <w:b/>
          <w:color w:val="auto"/>
          <w:sz w:val="28"/>
          <w:szCs w:val="28"/>
          <w:lang w:val="uk-UA"/>
        </w:rPr>
      </w:pPr>
      <w:r w:rsidRPr="001416ED">
        <w:rPr>
          <w:b/>
          <w:color w:val="auto"/>
          <w:sz w:val="28"/>
          <w:szCs w:val="28"/>
          <w:lang w:val="uk-UA"/>
        </w:rPr>
        <w:t>Вплив генетичного поліморфізму гена ендотеліну – 1 та вазоактивних пептидів на розвиток гіпертонічної хвороби</w:t>
      </w:r>
      <w:r w:rsidR="00326316" w:rsidRPr="001416ED">
        <w:rPr>
          <w:b/>
          <w:color w:val="auto"/>
          <w:sz w:val="28"/>
          <w:szCs w:val="28"/>
          <w:lang w:val="uk-UA"/>
        </w:rPr>
        <w:t xml:space="preserve">, що </w:t>
      </w:r>
      <w:r w:rsidRPr="001416ED">
        <w:rPr>
          <w:b/>
          <w:color w:val="auto"/>
          <w:sz w:val="28"/>
          <w:szCs w:val="28"/>
          <w:lang w:val="uk-UA"/>
        </w:rPr>
        <w:t>ускладнен</w:t>
      </w:r>
      <w:r w:rsidR="00326316" w:rsidRPr="001416ED">
        <w:rPr>
          <w:b/>
          <w:color w:val="auto"/>
          <w:sz w:val="28"/>
          <w:szCs w:val="28"/>
          <w:lang w:val="uk-UA"/>
        </w:rPr>
        <w:t>а</w:t>
      </w:r>
      <w:r w:rsidR="00096AA1" w:rsidRPr="001416ED">
        <w:rPr>
          <w:b/>
          <w:color w:val="auto"/>
          <w:sz w:val="28"/>
          <w:szCs w:val="28"/>
          <w:lang w:val="uk-UA"/>
        </w:rPr>
        <w:t xml:space="preserve"> та неускладнена</w:t>
      </w:r>
      <w:r w:rsidRPr="001416ED">
        <w:rPr>
          <w:b/>
          <w:color w:val="auto"/>
          <w:sz w:val="28"/>
          <w:szCs w:val="28"/>
          <w:lang w:val="uk-UA"/>
        </w:rPr>
        <w:t xml:space="preserve"> хронічною серцевою </w:t>
      </w:r>
      <w:r w:rsidR="001403EA" w:rsidRPr="001416ED">
        <w:rPr>
          <w:b/>
          <w:color w:val="auto"/>
          <w:sz w:val="28"/>
          <w:szCs w:val="28"/>
          <w:lang w:val="uk-UA"/>
        </w:rPr>
        <w:t>недостатністю</w:t>
      </w:r>
    </w:p>
    <w:p w:rsidR="00E80D05" w:rsidRPr="001416ED" w:rsidRDefault="00E80D05" w:rsidP="00E80D05">
      <w:pPr>
        <w:pStyle w:val="13"/>
        <w:spacing w:line="360" w:lineRule="auto"/>
        <w:ind w:left="0" w:firstLine="709"/>
        <w:jc w:val="both"/>
        <w:rPr>
          <w:b/>
          <w:color w:val="auto"/>
          <w:sz w:val="28"/>
          <w:szCs w:val="28"/>
          <w:lang w:val="uk-UA"/>
        </w:rPr>
      </w:pPr>
      <w:r w:rsidRPr="001416ED">
        <w:rPr>
          <w:color w:val="auto"/>
          <w:sz w:val="28"/>
          <w:szCs w:val="28"/>
          <w:lang w:val="uk-UA"/>
        </w:rPr>
        <w:t xml:space="preserve">   Дослідження останніх років переконливо показали важливу </w:t>
      </w:r>
      <w:r w:rsidR="007407C6">
        <w:rPr>
          <w:color w:val="auto"/>
          <w:sz w:val="28"/>
          <w:szCs w:val="28"/>
          <w:lang w:val="uk-UA"/>
        </w:rPr>
        <w:t>і</w:t>
      </w:r>
      <w:r w:rsidRPr="001416ED">
        <w:rPr>
          <w:color w:val="auto"/>
          <w:sz w:val="28"/>
          <w:szCs w:val="28"/>
          <w:lang w:val="uk-UA"/>
        </w:rPr>
        <w:t xml:space="preserve"> самостійну роль ендотелію в розвитку серцево</w:t>
      </w:r>
      <w:r w:rsidR="00BC0119" w:rsidRPr="001416ED">
        <w:rPr>
          <w:color w:val="auto"/>
          <w:sz w:val="28"/>
          <w:szCs w:val="28"/>
          <w:lang w:val="uk-UA"/>
        </w:rPr>
        <w:t>–</w:t>
      </w:r>
      <w:r w:rsidR="00CD496E" w:rsidRPr="001416ED">
        <w:rPr>
          <w:color w:val="auto"/>
          <w:sz w:val="28"/>
          <w:szCs w:val="28"/>
          <w:lang w:val="uk-UA"/>
        </w:rPr>
        <w:t>судинних захворювань</w:t>
      </w:r>
      <w:r w:rsidRPr="001416ED">
        <w:rPr>
          <w:color w:val="auto"/>
          <w:sz w:val="28"/>
          <w:szCs w:val="28"/>
          <w:lang w:val="uk-UA"/>
        </w:rPr>
        <w:t>.</w:t>
      </w:r>
      <w:r w:rsidRPr="001416ED">
        <w:rPr>
          <w:color w:val="auto"/>
          <w:lang w:val="uk-UA"/>
        </w:rPr>
        <w:t xml:space="preserve"> </w:t>
      </w:r>
      <w:r w:rsidRPr="001416ED">
        <w:rPr>
          <w:color w:val="auto"/>
          <w:sz w:val="28"/>
          <w:szCs w:val="28"/>
          <w:lang w:val="uk-UA"/>
        </w:rPr>
        <w:t>Ендотелій по праву називають найбільшою ендокринною залозою організму. У звичному людській свідомості вигляді ендотелій являє собою орган масою 1,5</w:t>
      </w:r>
      <w:r w:rsidR="00BC0119" w:rsidRPr="001416ED">
        <w:rPr>
          <w:color w:val="auto"/>
          <w:sz w:val="28"/>
          <w:szCs w:val="28"/>
          <w:lang w:val="uk-UA"/>
        </w:rPr>
        <w:t>–</w:t>
      </w:r>
      <w:r w:rsidRPr="001416ED">
        <w:rPr>
          <w:color w:val="auto"/>
          <w:sz w:val="28"/>
          <w:szCs w:val="28"/>
          <w:lang w:val="uk-UA"/>
        </w:rPr>
        <w:t>1,8 кг або безперервний моношар ендотеліальних клітин довжиною 7 км; площа поверхні ендотелію становить близько 600 м</w:t>
      </w:r>
      <w:r w:rsidRPr="001416ED">
        <w:rPr>
          <w:color w:val="auto"/>
          <w:sz w:val="28"/>
          <w:szCs w:val="28"/>
          <w:vertAlign w:val="superscript"/>
          <w:lang w:val="uk-UA"/>
        </w:rPr>
        <w:t>2</w:t>
      </w:r>
      <w:r w:rsidRPr="001416ED">
        <w:rPr>
          <w:color w:val="auto"/>
          <w:sz w:val="28"/>
          <w:szCs w:val="28"/>
          <w:lang w:val="uk-UA"/>
        </w:rPr>
        <w:t xml:space="preserve">, кількість клітин </w:t>
      </w:r>
      <w:r w:rsidR="00BC0119" w:rsidRPr="001416ED">
        <w:rPr>
          <w:color w:val="auto"/>
          <w:sz w:val="28"/>
          <w:szCs w:val="28"/>
          <w:lang w:val="uk-UA"/>
        </w:rPr>
        <w:t>–</w:t>
      </w:r>
      <w:r w:rsidRPr="001416ED">
        <w:rPr>
          <w:color w:val="auto"/>
          <w:sz w:val="28"/>
          <w:szCs w:val="28"/>
          <w:lang w:val="uk-UA"/>
        </w:rPr>
        <w:t xml:space="preserve"> 1×10</w:t>
      </w:r>
      <w:r w:rsidRPr="001416ED">
        <w:rPr>
          <w:color w:val="auto"/>
          <w:sz w:val="28"/>
          <w:szCs w:val="28"/>
          <w:vertAlign w:val="superscript"/>
          <w:lang w:val="uk-UA"/>
        </w:rPr>
        <w:t>10</w:t>
      </w:r>
      <w:r w:rsidRPr="001416ED">
        <w:rPr>
          <w:color w:val="auto"/>
          <w:sz w:val="28"/>
          <w:szCs w:val="28"/>
          <w:lang w:val="uk-UA"/>
        </w:rPr>
        <w:t xml:space="preserve"> [</w:t>
      </w:r>
      <w:r w:rsidR="00E142D7" w:rsidRPr="001416ED">
        <w:rPr>
          <w:color w:val="auto"/>
          <w:sz w:val="28"/>
          <w:szCs w:val="28"/>
          <w:lang w:val="uk-UA"/>
        </w:rPr>
        <w:t>8</w:t>
      </w:r>
      <w:r w:rsidR="00CD496E" w:rsidRPr="001416ED">
        <w:rPr>
          <w:color w:val="auto"/>
          <w:sz w:val="28"/>
          <w:szCs w:val="28"/>
          <w:lang w:val="uk-UA"/>
        </w:rPr>
        <w:t>0</w:t>
      </w:r>
      <w:r w:rsidRPr="001416ED">
        <w:rPr>
          <w:color w:val="auto"/>
          <w:sz w:val="28"/>
          <w:szCs w:val="28"/>
          <w:lang w:val="uk-UA"/>
        </w:rPr>
        <w:t>]. Ця тонка напівпроникна мембрана, що вистилає зсередини серце і судини, безперервно виробляє величезну кількість найважливіших біологічно активних речовин, тому в даний час комплекс клітин ендотелію розглядають як гігантський паракринний орган, розподілений по всій поверхні людського тіла [</w:t>
      </w:r>
      <w:r w:rsidR="00DB4118" w:rsidRPr="001416ED">
        <w:rPr>
          <w:color w:val="auto"/>
          <w:sz w:val="28"/>
          <w:szCs w:val="28"/>
          <w:lang w:val="uk-UA"/>
        </w:rPr>
        <w:t>8</w:t>
      </w:r>
      <w:r w:rsidR="00CD496E" w:rsidRPr="001416ED">
        <w:rPr>
          <w:color w:val="auto"/>
          <w:sz w:val="28"/>
          <w:szCs w:val="28"/>
          <w:lang w:val="uk-UA"/>
        </w:rPr>
        <w:t>0</w:t>
      </w:r>
      <w:r w:rsidRPr="001416ED">
        <w:rPr>
          <w:color w:val="auto"/>
          <w:sz w:val="28"/>
          <w:szCs w:val="28"/>
          <w:lang w:val="uk-UA"/>
        </w:rPr>
        <w:t>,</w:t>
      </w:r>
      <w:r w:rsidR="001B2C7A" w:rsidRPr="001416ED">
        <w:rPr>
          <w:color w:val="auto"/>
          <w:sz w:val="28"/>
          <w:szCs w:val="28"/>
          <w:lang w:val="uk-UA"/>
        </w:rPr>
        <w:t xml:space="preserve"> </w:t>
      </w:r>
      <w:r w:rsidR="00B81FAB" w:rsidRPr="001416ED">
        <w:rPr>
          <w:color w:val="auto"/>
          <w:sz w:val="28"/>
          <w:szCs w:val="28"/>
          <w:lang w:val="uk-UA"/>
        </w:rPr>
        <w:t>1</w:t>
      </w:r>
      <w:r w:rsidR="00CD496E" w:rsidRPr="001416ED">
        <w:rPr>
          <w:color w:val="auto"/>
          <w:sz w:val="28"/>
          <w:szCs w:val="28"/>
          <w:lang w:val="uk-UA"/>
        </w:rPr>
        <w:t>13</w:t>
      </w:r>
      <w:r w:rsidRPr="001416ED">
        <w:rPr>
          <w:color w:val="auto"/>
          <w:sz w:val="28"/>
          <w:szCs w:val="28"/>
          <w:lang w:val="uk-UA"/>
        </w:rPr>
        <w:t>].</w:t>
      </w:r>
    </w:p>
    <w:p w:rsidR="00E80D05" w:rsidRPr="001416ED" w:rsidRDefault="00E80D05" w:rsidP="00E80D05">
      <w:pPr>
        <w:pStyle w:val="25"/>
        <w:spacing w:line="360" w:lineRule="auto"/>
        <w:ind w:left="0" w:firstLine="709"/>
        <w:jc w:val="both"/>
        <w:rPr>
          <w:color w:val="auto"/>
          <w:sz w:val="28"/>
          <w:szCs w:val="28"/>
          <w:lang w:val="uk-UA"/>
        </w:rPr>
      </w:pPr>
      <w:r w:rsidRPr="001416ED">
        <w:rPr>
          <w:color w:val="auto"/>
          <w:sz w:val="28"/>
          <w:szCs w:val="28"/>
          <w:lang w:val="uk-UA"/>
        </w:rPr>
        <w:t xml:space="preserve">В останні роки публікується багато експериментальних і клінічних робіт, присвячених ролі </w:t>
      </w:r>
      <w:r w:rsidR="00EF039E">
        <w:rPr>
          <w:color w:val="auto"/>
          <w:sz w:val="28"/>
          <w:szCs w:val="28"/>
          <w:lang w:val="uk-UA"/>
        </w:rPr>
        <w:t>ендотеліальної дисфункції (</w:t>
      </w:r>
      <w:r w:rsidRPr="001416ED">
        <w:rPr>
          <w:color w:val="auto"/>
          <w:sz w:val="28"/>
          <w:szCs w:val="28"/>
          <w:lang w:val="uk-UA"/>
        </w:rPr>
        <w:t>ЕД</w:t>
      </w:r>
      <w:r w:rsidR="00EF039E">
        <w:rPr>
          <w:color w:val="auto"/>
          <w:sz w:val="28"/>
          <w:szCs w:val="28"/>
          <w:lang w:val="uk-UA"/>
        </w:rPr>
        <w:t>)</w:t>
      </w:r>
      <w:r w:rsidRPr="001416ED">
        <w:rPr>
          <w:color w:val="auto"/>
          <w:sz w:val="28"/>
          <w:szCs w:val="28"/>
          <w:lang w:val="uk-UA"/>
        </w:rPr>
        <w:t xml:space="preserve"> у виникненні та прогресуванні ряду захворювань серцево </w:t>
      </w:r>
      <w:r w:rsidR="00BC0119" w:rsidRPr="001416ED">
        <w:rPr>
          <w:color w:val="auto"/>
          <w:sz w:val="28"/>
          <w:szCs w:val="28"/>
          <w:lang w:val="uk-UA"/>
        </w:rPr>
        <w:t>–</w:t>
      </w:r>
      <w:r w:rsidRPr="001416ED">
        <w:rPr>
          <w:color w:val="auto"/>
          <w:sz w:val="28"/>
          <w:szCs w:val="28"/>
          <w:lang w:val="uk-UA"/>
        </w:rPr>
        <w:t xml:space="preserve"> судинної системи (атеросклероз, ГХ, ХСН, ІХС, ІМ та ін.) [</w:t>
      </w:r>
      <w:r w:rsidR="00DB4118" w:rsidRPr="001416ED">
        <w:rPr>
          <w:color w:val="auto"/>
          <w:sz w:val="28"/>
          <w:szCs w:val="28"/>
          <w:lang w:val="uk-UA"/>
        </w:rPr>
        <w:t>7</w:t>
      </w:r>
      <w:r w:rsidR="0039060F" w:rsidRPr="001416ED">
        <w:rPr>
          <w:color w:val="auto"/>
          <w:sz w:val="28"/>
          <w:szCs w:val="28"/>
          <w:lang w:val="uk-UA"/>
        </w:rPr>
        <w:t>1</w:t>
      </w:r>
      <w:r w:rsidRPr="001416ED">
        <w:rPr>
          <w:color w:val="auto"/>
          <w:sz w:val="28"/>
          <w:szCs w:val="28"/>
          <w:lang w:val="uk-UA"/>
        </w:rPr>
        <w:t xml:space="preserve">]. Прояви дисфункції ендотелію деякі дослідники пов'язують з дисбалансом між продукцією вазодилятуючих, ангіопротективних, антипроліферативних факторів, з одного боку </w:t>
      </w:r>
      <w:r w:rsidRPr="001416ED">
        <w:rPr>
          <w:color w:val="auto"/>
          <w:sz w:val="28"/>
          <w:szCs w:val="28"/>
          <w:lang w:val="uk-UA" w:eastAsia="uk-UA"/>
        </w:rPr>
        <w:t>(оксид азоту (</w:t>
      </w:r>
      <w:r w:rsidRPr="001416ED">
        <w:rPr>
          <w:color w:val="auto"/>
          <w:sz w:val="28"/>
          <w:szCs w:val="28"/>
          <w:lang w:eastAsia="uk-UA"/>
        </w:rPr>
        <w:t>NO</w:t>
      </w:r>
      <w:r w:rsidRPr="001416ED">
        <w:rPr>
          <w:color w:val="auto"/>
          <w:sz w:val="28"/>
          <w:szCs w:val="28"/>
          <w:lang w:val="uk-UA" w:eastAsia="uk-UA"/>
        </w:rPr>
        <w:t xml:space="preserve">), простациклін, тканинний активатор </w:t>
      </w:r>
      <w:r w:rsidRPr="001416ED">
        <w:rPr>
          <w:color w:val="auto"/>
          <w:sz w:val="28"/>
          <w:szCs w:val="28"/>
          <w:lang w:val="uk-UA" w:eastAsia="uk-UA"/>
        </w:rPr>
        <w:lastRenderedPageBreak/>
        <w:t>плазміногену, СНП, ендотеліальний гіперполяризуючий фактор)</w:t>
      </w:r>
      <w:r w:rsidRPr="001416ED">
        <w:rPr>
          <w:color w:val="auto"/>
          <w:sz w:val="28"/>
          <w:szCs w:val="28"/>
          <w:lang w:val="uk-UA"/>
        </w:rPr>
        <w:t>, і вазоконстрикторних, протромботичних, проліферативних факторів з іншого</w:t>
      </w:r>
      <w:r w:rsidRPr="001416ED">
        <w:rPr>
          <w:color w:val="auto"/>
          <w:sz w:val="28"/>
          <w:szCs w:val="28"/>
          <w:lang w:val="uk-UA" w:eastAsia="uk-UA"/>
        </w:rPr>
        <w:t xml:space="preserve"> (ЕТ</w:t>
      </w:r>
      <w:r w:rsidR="00BC0119" w:rsidRPr="001416ED">
        <w:rPr>
          <w:color w:val="auto"/>
          <w:sz w:val="28"/>
          <w:szCs w:val="28"/>
          <w:lang w:val="uk-UA" w:eastAsia="uk-UA"/>
        </w:rPr>
        <w:t>–</w:t>
      </w:r>
      <w:r w:rsidRPr="001416ED">
        <w:rPr>
          <w:color w:val="auto"/>
          <w:sz w:val="28"/>
          <w:szCs w:val="28"/>
          <w:lang w:val="uk-UA" w:eastAsia="uk-UA"/>
        </w:rPr>
        <w:t>1, супероксиданіон, тромбоксан А</w:t>
      </w:r>
      <w:r w:rsidRPr="001416ED">
        <w:rPr>
          <w:color w:val="auto"/>
          <w:sz w:val="28"/>
          <w:szCs w:val="28"/>
          <w:vertAlign w:val="subscript"/>
          <w:lang w:val="uk-UA" w:eastAsia="uk-UA"/>
        </w:rPr>
        <w:t>2</w:t>
      </w:r>
      <w:r w:rsidRPr="001416ED">
        <w:rPr>
          <w:color w:val="auto"/>
          <w:sz w:val="28"/>
          <w:szCs w:val="28"/>
          <w:lang w:val="uk-UA" w:eastAsia="uk-UA"/>
        </w:rPr>
        <w:t>, інгібітор тканинного активатора плазміногену)</w:t>
      </w:r>
      <w:r w:rsidR="00DB4118" w:rsidRPr="001416ED">
        <w:rPr>
          <w:color w:val="auto"/>
          <w:sz w:val="28"/>
          <w:szCs w:val="28"/>
          <w:lang w:val="uk-UA" w:eastAsia="uk-UA"/>
        </w:rPr>
        <w:t xml:space="preserve"> </w:t>
      </w:r>
      <w:r w:rsidR="0039060F" w:rsidRPr="001416ED">
        <w:rPr>
          <w:color w:val="auto"/>
          <w:sz w:val="28"/>
          <w:szCs w:val="28"/>
          <w:lang w:val="uk-UA" w:eastAsia="uk-UA"/>
        </w:rPr>
        <w:t>[</w:t>
      </w:r>
      <w:r w:rsidR="00B81FAB" w:rsidRPr="001416ED">
        <w:rPr>
          <w:color w:val="auto"/>
          <w:sz w:val="28"/>
          <w:szCs w:val="28"/>
          <w:lang w:val="uk-UA" w:eastAsia="uk-UA"/>
        </w:rPr>
        <w:t>1</w:t>
      </w:r>
      <w:r w:rsidR="0039060F" w:rsidRPr="001416ED">
        <w:rPr>
          <w:color w:val="auto"/>
          <w:sz w:val="28"/>
          <w:szCs w:val="28"/>
          <w:lang w:val="uk-UA" w:eastAsia="uk-UA"/>
        </w:rPr>
        <w:t>46</w:t>
      </w:r>
      <w:r w:rsidRPr="001416ED">
        <w:rPr>
          <w:color w:val="auto"/>
          <w:sz w:val="28"/>
          <w:szCs w:val="28"/>
          <w:lang w:val="uk-UA" w:eastAsia="uk-UA"/>
        </w:rPr>
        <w:t>]</w:t>
      </w:r>
      <w:r w:rsidRPr="001416ED">
        <w:rPr>
          <w:color w:val="auto"/>
          <w:sz w:val="28"/>
          <w:szCs w:val="28"/>
          <w:lang w:val="uk-UA"/>
        </w:rPr>
        <w:t>. При тривалому впливі пошкоджуючих факторів (гемодинамічне перевантаження, гіпоксія, інтоксикація, запалення) відбувається виснаження і спотворення функції ендотелію, і відповіддю на звичайні стимули стають вазоконстрикція, проліферація елементів судинної стінки і тромбоутворення [7</w:t>
      </w:r>
      <w:r w:rsidR="00070AA6" w:rsidRPr="001416ED">
        <w:rPr>
          <w:color w:val="auto"/>
          <w:sz w:val="28"/>
          <w:szCs w:val="28"/>
          <w:lang w:val="uk-UA"/>
        </w:rPr>
        <w:t>0</w:t>
      </w:r>
      <w:r w:rsidR="00B81FAB" w:rsidRPr="001416ED">
        <w:rPr>
          <w:color w:val="auto"/>
          <w:sz w:val="28"/>
          <w:szCs w:val="28"/>
          <w:lang w:val="uk-UA"/>
        </w:rPr>
        <w:t>,</w:t>
      </w:r>
      <w:r w:rsidR="00A74A0A" w:rsidRPr="001416ED">
        <w:rPr>
          <w:color w:val="auto"/>
          <w:sz w:val="28"/>
          <w:szCs w:val="28"/>
          <w:lang w:val="uk-UA"/>
        </w:rPr>
        <w:t xml:space="preserve"> </w:t>
      </w:r>
      <w:r w:rsidR="00070AA6" w:rsidRPr="001416ED">
        <w:rPr>
          <w:color w:val="auto"/>
          <w:sz w:val="28"/>
          <w:szCs w:val="28"/>
          <w:lang w:val="uk-UA"/>
        </w:rPr>
        <w:t>94</w:t>
      </w:r>
      <w:r w:rsidRPr="001416ED">
        <w:rPr>
          <w:color w:val="auto"/>
          <w:sz w:val="28"/>
          <w:szCs w:val="28"/>
          <w:lang w:val="uk-UA"/>
        </w:rPr>
        <w:t xml:space="preserve">]. Крім названих факторів ЕД викликають: 1) гіперхолестеринемія, гіперліпідемія; 2) АГ; 3) спазм судин; 4) гіперглікемія і цукровий діабет;  5) </w:t>
      </w:r>
      <w:r w:rsidR="00E750CD" w:rsidRPr="001416ED">
        <w:rPr>
          <w:color w:val="auto"/>
          <w:sz w:val="28"/>
          <w:szCs w:val="28"/>
          <w:lang w:val="uk-UA"/>
        </w:rPr>
        <w:t>палі</w:t>
      </w:r>
      <w:r w:rsidRPr="001416ED">
        <w:rPr>
          <w:color w:val="auto"/>
          <w:sz w:val="28"/>
          <w:szCs w:val="28"/>
          <w:lang w:val="uk-UA"/>
        </w:rPr>
        <w:t>ння;  6) часті стресові ситуації; 7) ішемія; 8) вік [</w:t>
      </w:r>
      <w:r w:rsidR="00DB4118" w:rsidRPr="001416ED">
        <w:rPr>
          <w:color w:val="auto"/>
          <w:sz w:val="28"/>
          <w:szCs w:val="28"/>
          <w:lang w:val="uk-UA"/>
        </w:rPr>
        <w:t>5</w:t>
      </w:r>
      <w:r w:rsidR="00070AA6" w:rsidRPr="001416ED">
        <w:rPr>
          <w:color w:val="auto"/>
          <w:sz w:val="28"/>
          <w:szCs w:val="28"/>
          <w:lang w:val="uk-UA"/>
        </w:rPr>
        <w:t>2</w:t>
      </w:r>
      <w:r w:rsidRPr="001416ED">
        <w:rPr>
          <w:color w:val="auto"/>
          <w:sz w:val="28"/>
          <w:szCs w:val="28"/>
          <w:lang w:val="uk-UA"/>
        </w:rPr>
        <w:t xml:space="preserve">]. </w:t>
      </w:r>
    </w:p>
    <w:p w:rsidR="00E80D05" w:rsidRPr="001416ED" w:rsidRDefault="00E80D05" w:rsidP="00E80D05">
      <w:pPr>
        <w:pStyle w:val="25"/>
        <w:spacing w:line="360" w:lineRule="auto"/>
        <w:ind w:left="0" w:firstLine="709"/>
        <w:jc w:val="both"/>
        <w:rPr>
          <w:color w:val="auto"/>
          <w:sz w:val="28"/>
          <w:szCs w:val="28"/>
          <w:lang w:val="uk-UA"/>
        </w:rPr>
      </w:pPr>
      <w:r w:rsidRPr="001416ED">
        <w:rPr>
          <w:color w:val="auto"/>
          <w:sz w:val="28"/>
          <w:szCs w:val="28"/>
          <w:lang w:val="uk-UA"/>
        </w:rPr>
        <w:t>В даний час ЕД розглядають як один із основних механізм</w:t>
      </w:r>
      <w:r w:rsidR="00A74A0A" w:rsidRPr="001416ED">
        <w:rPr>
          <w:color w:val="auto"/>
          <w:sz w:val="28"/>
          <w:szCs w:val="28"/>
          <w:lang w:val="uk-UA"/>
        </w:rPr>
        <w:t>ів</w:t>
      </w:r>
      <w:r w:rsidRPr="001416ED">
        <w:rPr>
          <w:color w:val="auto"/>
          <w:sz w:val="28"/>
          <w:szCs w:val="28"/>
          <w:lang w:val="uk-UA"/>
        </w:rPr>
        <w:t xml:space="preserve"> формування ГХ та її ускладнень, </w:t>
      </w:r>
      <w:r w:rsidR="00A74A0A" w:rsidRPr="001416ED">
        <w:rPr>
          <w:color w:val="auto"/>
          <w:sz w:val="28"/>
          <w:szCs w:val="28"/>
          <w:lang w:val="uk-UA"/>
        </w:rPr>
        <w:t xml:space="preserve">зокрема, </w:t>
      </w:r>
      <w:r w:rsidRPr="001416ED">
        <w:rPr>
          <w:color w:val="auto"/>
          <w:sz w:val="28"/>
          <w:szCs w:val="28"/>
          <w:lang w:val="uk-UA"/>
        </w:rPr>
        <w:t>таких як ХСН, а ЕТ</w:t>
      </w:r>
      <w:r w:rsidR="00BC0119" w:rsidRPr="001416ED">
        <w:rPr>
          <w:color w:val="auto"/>
          <w:sz w:val="28"/>
          <w:szCs w:val="28"/>
          <w:lang w:val="uk-UA"/>
        </w:rPr>
        <w:t>–</w:t>
      </w:r>
      <w:r w:rsidRPr="001416ED">
        <w:rPr>
          <w:color w:val="auto"/>
          <w:sz w:val="28"/>
          <w:szCs w:val="28"/>
          <w:lang w:val="uk-UA"/>
        </w:rPr>
        <w:t>1 відіграє в цьому одну із ключових ролей [</w:t>
      </w:r>
      <w:r w:rsidR="00070AA6" w:rsidRPr="001416ED">
        <w:rPr>
          <w:color w:val="auto"/>
          <w:sz w:val="28"/>
          <w:szCs w:val="28"/>
          <w:lang w:val="uk-UA"/>
        </w:rPr>
        <w:t>3</w:t>
      </w:r>
      <w:r w:rsidR="00AC7C25" w:rsidRPr="001416ED">
        <w:rPr>
          <w:color w:val="auto"/>
          <w:sz w:val="28"/>
          <w:szCs w:val="28"/>
          <w:lang w:val="uk-UA"/>
        </w:rPr>
        <w:t>,</w:t>
      </w:r>
      <w:r w:rsidR="00070AA6" w:rsidRPr="001416ED">
        <w:rPr>
          <w:color w:val="auto"/>
          <w:sz w:val="28"/>
          <w:szCs w:val="28"/>
          <w:lang w:val="uk-UA"/>
        </w:rPr>
        <w:t xml:space="preserve"> </w:t>
      </w:r>
      <w:r w:rsidR="00944965" w:rsidRPr="001416ED">
        <w:rPr>
          <w:color w:val="auto"/>
          <w:sz w:val="28"/>
          <w:szCs w:val="28"/>
          <w:lang w:val="uk-UA"/>
        </w:rPr>
        <w:t>1</w:t>
      </w:r>
      <w:r w:rsidR="00070AA6" w:rsidRPr="001416ED">
        <w:rPr>
          <w:color w:val="auto"/>
          <w:sz w:val="28"/>
          <w:szCs w:val="28"/>
          <w:lang w:val="uk-UA"/>
        </w:rPr>
        <w:t>38</w:t>
      </w:r>
      <w:r w:rsidRPr="001416ED">
        <w:rPr>
          <w:color w:val="auto"/>
          <w:sz w:val="28"/>
          <w:szCs w:val="28"/>
          <w:lang w:val="uk-UA"/>
        </w:rPr>
        <w:t xml:space="preserve">]. Ендотелій втягується в патологічний процес на найбільш ранніх </w:t>
      </w:r>
      <w:r w:rsidR="00A74A0A" w:rsidRPr="001416ED">
        <w:rPr>
          <w:color w:val="auto"/>
          <w:sz w:val="28"/>
          <w:szCs w:val="28"/>
          <w:lang w:val="uk-UA"/>
        </w:rPr>
        <w:t>етапах розвитку</w:t>
      </w:r>
      <w:r w:rsidRPr="001416ED">
        <w:rPr>
          <w:color w:val="auto"/>
          <w:sz w:val="28"/>
          <w:szCs w:val="28"/>
          <w:lang w:val="uk-UA"/>
        </w:rPr>
        <w:t xml:space="preserve"> ГХ та ХСН [</w:t>
      </w:r>
      <w:r w:rsidR="003A2EA5" w:rsidRPr="001416ED">
        <w:rPr>
          <w:color w:val="auto"/>
          <w:sz w:val="28"/>
          <w:szCs w:val="28"/>
          <w:lang w:val="uk-UA"/>
        </w:rPr>
        <w:t>1</w:t>
      </w:r>
      <w:r w:rsidR="00522E97" w:rsidRPr="001416ED">
        <w:rPr>
          <w:color w:val="auto"/>
          <w:sz w:val="28"/>
          <w:szCs w:val="28"/>
          <w:lang w:val="uk-UA"/>
        </w:rPr>
        <w:t>69</w:t>
      </w:r>
      <w:r w:rsidRPr="001416ED">
        <w:rPr>
          <w:color w:val="auto"/>
          <w:sz w:val="28"/>
          <w:szCs w:val="28"/>
          <w:lang w:val="uk-UA"/>
        </w:rPr>
        <w:t>].</w:t>
      </w:r>
    </w:p>
    <w:p w:rsidR="00E80D05" w:rsidRPr="001416ED" w:rsidRDefault="00E80D05" w:rsidP="00E80D05">
      <w:pPr>
        <w:pStyle w:val="a5"/>
        <w:ind w:left="0" w:right="-1" w:firstLine="709"/>
        <w:jc w:val="both"/>
        <w:rPr>
          <w:b w:val="0"/>
          <w:szCs w:val="28"/>
        </w:rPr>
      </w:pPr>
      <w:r w:rsidRPr="001416ED">
        <w:rPr>
          <w:b w:val="0"/>
          <w:szCs w:val="28"/>
        </w:rPr>
        <w:t xml:space="preserve">Ендотеліни </w:t>
      </w:r>
      <w:r w:rsidR="00BC0119" w:rsidRPr="001416ED">
        <w:rPr>
          <w:b w:val="0"/>
          <w:szCs w:val="28"/>
        </w:rPr>
        <w:t>–</w:t>
      </w:r>
      <w:r w:rsidRPr="001416ED">
        <w:rPr>
          <w:b w:val="0"/>
          <w:szCs w:val="28"/>
        </w:rPr>
        <w:t xml:space="preserve"> група біологічно активних пептидів широкого спектру дії, що є одними з найважливіших регуляторів функціонального стану ендотелію, морфологічно сполучених з кров'ю, з одного боку, і з м'язово</w:t>
      </w:r>
      <w:r w:rsidR="00E26559" w:rsidRPr="001416ED">
        <w:rPr>
          <w:b w:val="0"/>
          <w:szCs w:val="28"/>
        </w:rPr>
        <w:t>ю</w:t>
      </w:r>
      <w:r w:rsidRPr="001416ED">
        <w:rPr>
          <w:b w:val="0"/>
          <w:szCs w:val="28"/>
        </w:rPr>
        <w:t xml:space="preserve"> стінкою судин </w:t>
      </w:r>
      <w:r w:rsidR="00BC0119" w:rsidRPr="001416ED">
        <w:rPr>
          <w:b w:val="0"/>
          <w:szCs w:val="28"/>
        </w:rPr>
        <w:t>–</w:t>
      </w:r>
      <w:r w:rsidRPr="001416ED">
        <w:rPr>
          <w:b w:val="0"/>
          <w:szCs w:val="28"/>
        </w:rPr>
        <w:t xml:space="preserve"> з іншого. Їх вазоконстрикторні ефекти супроводжуються змінами системної та регіонарної гемодинаміки.</w:t>
      </w:r>
      <w:r w:rsidRPr="001416ED">
        <w:t xml:space="preserve"> </w:t>
      </w:r>
      <w:r w:rsidR="00E26559" w:rsidRPr="001416ED">
        <w:rPr>
          <w:b w:val="0"/>
          <w:szCs w:val="28"/>
        </w:rPr>
        <w:t xml:space="preserve">Найвідоміший з ендотелінів – </w:t>
      </w:r>
      <w:r w:rsidRPr="001416ED">
        <w:rPr>
          <w:b w:val="0"/>
          <w:szCs w:val="28"/>
        </w:rPr>
        <w:t>ЕТ</w:t>
      </w:r>
      <w:r w:rsidR="00BC0119" w:rsidRPr="001416ED">
        <w:rPr>
          <w:b w:val="0"/>
          <w:szCs w:val="28"/>
        </w:rPr>
        <w:t>–</w:t>
      </w:r>
      <w:r w:rsidRPr="001416ED">
        <w:rPr>
          <w:b w:val="0"/>
          <w:szCs w:val="28"/>
        </w:rPr>
        <w:t>1 є потужним і тривало діючим судинним констриктором, за ефективністю на порядок перевищує вазоконстрикторний потенціал АТ</w:t>
      </w:r>
      <w:r w:rsidR="00BC0119" w:rsidRPr="001416ED">
        <w:rPr>
          <w:b w:val="0"/>
          <w:szCs w:val="28"/>
        </w:rPr>
        <w:t>–</w:t>
      </w:r>
      <w:r w:rsidRPr="001416ED">
        <w:rPr>
          <w:b w:val="0"/>
          <w:szCs w:val="28"/>
        </w:rPr>
        <w:t>II [</w:t>
      </w:r>
      <w:r w:rsidR="00F619E3" w:rsidRPr="001416ED">
        <w:rPr>
          <w:b w:val="0"/>
          <w:szCs w:val="28"/>
        </w:rPr>
        <w:t>173</w:t>
      </w:r>
      <w:r w:rsidRPr="001416ED">
        <w:rPr>
          <w:b w:val="0"/>
          <w:szCs w:val="28"/>
        </w:rPr>
        <w:t>], за що справедливо отримав характеристику "найпотужнішого з усіх відомих короткоживучих, але довготривалих медіаторів" [1</w:t>
      </w:r>
      <w:r w:rsidR="003A2EA5" w:rsidRPr="001416ED">
        <w:rPr>
          <w:b w:val="0"/>
          <w:szCs w:val="28"/>
        </w:rPr>
        <w:t>6</w:t>
      </w:r>
      <w:r w:rsidR="00F619E3" w:rsidRPr="001416ED">
        <w:rPr>
          <w:b w:val="0"/>
          <w:szCs w:val="28"/>
        </w:rPr>
        <w:t>0</w:t>
      </w:r>
      <w:r w:rsidRPr="001416ED">
        <w:rPr>
          <w:b w:val="0"/>
          <w:szCs w:val="28"/>
        </w:rPr>
        <w:t>].</w:t>
      </w:r>
    </w:p>
    <w:p w:rsidR="00E80D05" w:rsidRPr="001416ED" w:rsidRDefault="00E80D05" w:rsidP="00E80D05">
      <w:pPr>
        <w:pStyle w:val="a5"/>
        <w:ind w:left="0" w:right="-1" w:firstLine="709"/>
        <w:jc w:val="both"/>
        <w:rPr>
          <w:b w:val="0"/>
          <w:szCs w:val="28"/>
        </w:rPr>
      </w:pPr>
      <w:r w:rsidRPr="001416ED">
        <w:rPr>
          <w:b w:val="0"/>
          <w:szCs w:val="28"/>
        </w:rPr>
        <w:t>ЕТ</w:t>
      </w:r>
      <w:r w:rsidR="00BC0119" w:rsidRPr="001416ED">
        <w:rPr>
          <w:b w:val="0"/>
          <w:szCs w:val="28"/>
        </w:rPr>
        <w:t>–</w:t>
      </w:r>
      <w:r w:rsidRPr="001416ED">
        <w:rPr>
          <w:b w:val="0"/>
          <w:szCs w:val="28"/>
        </w:rPr>
        <w:t xml:space="preserve">1 </w:t>
      </w:r>
      <w:r w:rsidR="00BC0119" w:rsidRPr="001416ED">
        <w:rPr>
          <w:b w:val="0"/>
          <w:szCs w:val="28"/>
        </w:rPr>
        <w:t>–</w:t>
      </w:r>
      <w:r w:rsidRPr="001416ED">
        <w:rPr>
          <w:b w:val="0"/>
          <w:szCs w:val="28"/>
        </w:rPr>
        <w:t xml:space="preserve"> в даний час розглядають як маркер і предиктор </w:t>
      </w:r>
      <w:r w:rsidR="00046A18" w:rsidRPr="001416ED">
        <w:rPr>
          <w:b w:val="0"/>
          <w:szCs w:val="28"/>
        </w:rPr>
        <w:t>стадії</w:t>
      </w:r>
      <w:r w:rsidRPr="001416ED">
        <w:rPr>
          <w:b w:val="0"/>
          <w:szCs w:val="28"/>
        </w:rPr>
        <w:t xml:space="preserve"> і наслідків АГ, ХСН, ІХС, зокрема гострого ІМ, порушень ритму серця, легеневої гіпертензії, атеросклеротичного пошкодження судин, специфічних судинних порушень (рестеноз після коронарної ангіопластики). Вважають, що він також причетний і до несерцевих патологій </w:t>
      </w:r>
      <w:r w:rsidR="00BC0119" w:rsidRPr="001416ED">
        <w:rPr>
          <w:b w:val="0"/>
          <w:szCs w:val="28"/>
        </w:rPr>
        <w:t>–</w:t>
      </w:r>
      <w:r w:rsidRPr="001416ED">
        <w:rPr>
          <w:b w:val="0"/>
          <w:szCs w:val="28"/>
        </w:rPr>
        <w:t xml:space="preserve"> таких як післяпологові судинні ускладнення, ураження нирок (гломерулонефрит), ішемічні ушкодження мозку, цукровий діабет і т. д.</w:t>
      </w:r>
      <w:r w:rsidRPr="001416ED">
        <w:rPr>
          <w:szCs w:val="28"/>
        </w:rPr>
        <w:t xml:space="preserve"> </w:t>
      </w:r>
      <w:r w:rsidRPr="001416ED">
        <w:rPr>
          <w:b w:val="0"/>
          <w:szCs w:val="28"/>
        </w:rPr>
        <w:t>[</w:t>
      </w:r>
      <w:r w:rsidR="006F1E82" w:rsidRPr="001416ED">
        <w:rPr>
          <w:b w:val="0"/>
          <w:szCs w:val="28"/>
        </w:rPr>
        <w:t>19</w:t>
      </w:r>
      <w:r w:rsidRPr="001416ED">
        <w:rPr>
          <w:b w:val="0"/>
          <w:szCs w:val="28"/>
        </w:rPr>
        <w:t>].</w:t>
      </w:r>
    </w:p>
    <w:p w:rsidR="00E80D05" w:rsidRPr="001416ED" w:rsidRDefault="00E80D05" w:rsidP="00E26559">
      <w:pPr>
        <w:pStyle w:val="a5"/>
        <w:spacing w:after="240"/>
        <w:ind w:left="0" w:right="-1" w:firstLine="709"/>
        <w:jc w:val="both"/>
        <w:rPr>
          <w:b w:val="0"/>
          <w:szCs w:val="28"/>
          <w:lang w:eastAsia="uk-UA" w:bidi="uk-UA"/>
        </w:rPr>
      </w:pPr>
      <w:r w:rsidRPr="001416ED">
        <w:rPr>
          <w:b w:val="0"/>
          <w:szCs w:val="28"/>
        </w:rPr>
        <w:lastRenderedPageBreak/>
        <w:t>ЕТ</w:t>
      </w:r>
      <w:r w:rsidR="00BC0119" w:rsidRPr="001416ED">
        <w:rPr>
          <w:b w:val="0"/>
          <w:szCs w:val="28"/>
        </w:rPr>
        <w:t>–</w:t>
      </w:r>
      <w:r w:rsidRPr="001416ED">
        <w:rPr>
          <w:b w:val="0"/>
          <w:szCs w:val="28"/>
        </w:rPr>
        <w:t xml:space="preserve">1 був відкритий у 1988 р. </w:t>
      </w:r>
      <w:hyperlink r:id="rId11" w:history="1">
        <w:r w:rsidRPr="001416ED">
          <w:rPr>
            <w:rStyle w:val="ad"/>
            <w:b w:val="0"/>
            <w:color w:val="auto"/>
            <w:szCs w:val="28"/>
            <w:u w:val="none"/>
            <w:shd w:val="clear" w:color="auto" w:fill="FFFFFF"/>
          </w:rPr>
          <w:t>M</w:t>
        </w:r>
        <w:r w:rsidR="00B5511E" w:rsidRPr="001416ED">
          <w:rPr>
            <w:rStyle w:val="ad"/>
            <w:b w:val="0"/>
            <w:color w:val="auto"/>
            <w:szCs w:val="28"/>
            <w:u w:val="none"/>
            <w:shd w:val="clear" w:color="auto" w:fill="FFFFFF"/>
          </w:rPr>
          <w:t>.</w:t>
        </w:r>
        <w:r w:rsidRPr="001416ED">
          <w:rPr>
            <w:rStyle w:val="ad"/>
            <w:b w:val="0"/>
            <w:color w:val="auto"/>
            <w:szCs w:val="28"/>
            <w:u w:val="none"/>
            <w:shd w:val="clear" w:color="auto" w:fill="FFFFFF"/>
          </w:rPr>
          <w:t xml:space="preserve"> Yanagisawa</w:t>
        </w:r>
      </w:hyperlink>
      <w:r w:rsidRPr="001416ED">
        <w:rPr>
          <w:b w:val="0"/>
          <w:szCs w:val="28"/>
        </w:rPr>
        <w:t xml:space="preserve"> з культури ендотеліоцитів аорти морської свинки</w:t>
      </w:r>
      <w:r w:rsidR="0038707F" w:rsidRPr="001416ED">
        <w:rPr>
          <w:b w:val="0"/>
          <w:szCs w:val="28"/>
        </w:rPr>
        <w:t xml:space="preserve"> [</w:t>
      </w:r>
      <w:r w:rsidR="006F1E82" w:rsidRPr="001416ED">
        <w:rPr>
          <w:b w:val="0"/>
          <w:szCs w:val="28"/>
        </w:rPr>
        <w:t>198</w:t>
      </w:r>
      <w:r w:rsidR="0038707F" w:rsidRPr="001416ED">
        <w:rPr>
          <w:b w:val="0"/>
          <w:szCs w:val="28"/>
        </w:rPr>
        <w:t>]</w:t>
      </w:r>
      <w:r w:rsidRPr="001416ED">
        <w:rPr>
          <w:b w:val="0"/>
          <w:szCs w:val="28"/>
        </w:rPr>
        <w:t>. ЕТ</w:t>
      </w:r>
      <w:r w:rsidR="00BC0119" w:rsidRPr="001416ED">
        <w:rPr>
          <w:b w:val="0"/>
          <w:szCs w:val="28"/>
        </w:rPr>
        <w:t>–</w:t>
      </w:r>
      <w:r w:rsidRPr="001416ED">
        <w:rPr>
          <w:b w:val="0"/>
          <w:szCs w:val="28"/>
        </w:rPr>
        <w:t>1 являє собою великий біциклічний поліпептид, що складається з комбінації 21 амінокислоти</w:t>
      </w:r>
      <w:r w:rsidR="00E26559" w:rsidRPr="001416ED">
        <w:rPr>
          <w:b w:val="0"/>
          <w:szCs w:val="28"/>
        </w:rPr>
        <w:t xml:space="preserve"> </w:t>
      </w:r>
      <w:r w:rsidR="00E26559" w:rsidRPr="001416ED">
        <w:rPr>
          <w:b w:val="0"/>
          <w:szCs w:val="28"/>
          <w:lang w:eastAsia="uk-UA" w:bidi="uk-UA"/>
        </w:rPr>
        <w:t>(рис.1.1)</w:t>
      </w:r>
      <w:r w:rsidRPr="001416ED">
        <w:rPr>
          <w:b w:val="0"/>
          <w:szCs w:val="28"/>
        </w:rPr>
        <w:t xml:space="preserve">. </w:t>
      </w:r>
      <w:r w:rsidRPr="001416ED">
        <w:rPr>
          <w:b w:val="0"/>
          <w:szCs w:val="28"/>
          <w:lang w:eastAsia="uk-UA" w:bidi="uk-UA"/>
        </w:rPr>
        <w:t>Подібно до інших біологічно активних пептидів ЕТ спочатку синтезуються у вигляді попередників з більшою молекулярною масою. Утворення ЕТ</w:t>
      </w:r>
      <w:r w:rsidR="00BC0119" w:rsidRPr="001416ED">
        <w:rPr>
          <w:b w:val="0"/>
          <w:szCs w:val="28"/>
          <w:lang w:eastAsia="uk-UA" w:bidi="uk-UA"/>
        </w:rPr>
        <w:t>–</w:t>
      </w:r>
      <w:r w:rsidRPr="001416ED">
        <w:rPr>
          <w:b w:val="0"/>
          <w:szCs w:val="28"/>
          <w:lang w:eastAsia="uk-UA" w:bidi="uk-UA"/>
        </w:rPr>
        <w:t>1 починається з синтезу відповідного препроендотеліна, що складається з 212 амінокислотних залишків. У цитозолі препроендотелін</w:t>
      </w:r>
      <w:r w:rsidR="00BC0119" w:rsidRPr="001416ED">
        <w:rPr>
          <w:b w:val="0"/>
          <w:szCs w:val="28"/>
          <w:lang w:eastAsia="uk-UA" w:bidi="uk-UA"/>
        </w:rPr>
        <w:t>–</w:t>
      </w:r>
      <w:r w:rsidRPr="001416ED">
        <w:rPr>
          <w:b w:val="0"/>
          <w:szCs w:val="28"/>
          <w:lang w:eastAsia="uk-UA" w:bidi="uk-UA"/>
        </w:rPr>
        <w:t>1 розщеплюється за допомогою специфічних ендопептидаз, з утворенням проендотеліна</w:t>
      </w:r>
      <w:r w:rsidR="00BC0119" w:rsidRPr="001416ED">
        <w:rPr>
          <w:b w:val="0"/>
          <w:szCs w:val="28"/>
          <w:lang w:eastAsia="uk-UA" w:bidi="uk-UA"/>
        </w:rPr>
        <w:t>–</w:t>
      </w:r>
      <w:r w:rsidRPr="001416ED">
        <w:rPr>
          <w:b w:val="0"/>
          <w:szCs w:val="28"/>
          <w:lang w:eastAsia="uk-UA" w:bidi="uk-UA"/>
        </w:rPr>
        <w:t>1 (38 амінокислотних залишків), що секретується клітинами ендотелію і циркулює в плазмі крові. Під впливом ендотелінперетворюючого фермента, що знаходиться всередині і на поверхні ендотелію, з «великого» ендотеліну утворюються три ізомери ендотеліну, що складаються з 21 амінокислотного залишку з двома бісульфідним</w:t>
      </w:r>
      <w:r w:rsidR="00D35C70" w:rsidRPr="001416ED">
        <w:rPr>
          <w:b w:val="0"/>
          <w:szCs w:val="28"/>
          <w:lang w:eastAsia="uk-UA" w:bidi="uk-UA"/>
        </w:rPr>
        <w:t>и</w:t>
      </w:r>
      <w:r w:rsidRPr="001416ED">
        <w:rPr>
          <w:b w:val="0"/>
          <w:szCs w:val="28"/>
          <w:lang w:eastAsia="uk-UA" w:bidi="uk-UA"/>
        </w:rPr>
        <w:t xml:space="preserve"> зв'язками</w:t>
      </w:r>
      <w:r w:rsidR="00AB0E33" w:rsidRPr="001416ED">
        <w:rPr>
          <w:b w:val="0"/>
          <w:szCs w:val="28"/>
          <w:lang w:eastAsia="uk-UA" w:bidi="uk-UA"/>
        </w:rPr>
        <w:t xml:space="preserve"> </w:t>
      </w:r>
      <w:r w:rsidRPr="001416ED">
        <w:rPr>
          <w:b w:val="0"/>
          <w:szCs w:val="28"/>
          <w:lang w:eastAsia="uk-UA" w:bidi="uk-UA"/>
        </w:rPr>
        <w:t>[</w:t>
      </w:r>
      <w:r w:rsidR="00D35C70" w:rsidRPr="001416ED">
        <w:rPr>
          <w:b w:val="0"/>
          <w:szCs w:val="28"/>
          <w:lang w:eastAsia="uk-UA" w:bidi="uk-UA"/>
        </w:rPr>
        <w:t>9</w:t>
      </w:r>
      <w:r w:rsidRPr="001416ED">
        <w:rPr>
          <w:b w:val="0"/>
          <w:szCs w:val="28"/>
          <w:lang w:eastAsia="uk-UA" w:bidi="uk-UA"/>
        </w:rPr>
        <w:t xml:space="preserve">3]. </w:t>
      </w:r>
    </w:p>
    <w:p w:rsidR="00AB0E33" w:rsidRPr="001416ED" w:rsidRDefault="00AB0E33" w:rsidP="00AB0E33">
      <w:pPr>
        <w:pStyle w:val="a5"/>
        <w:ind w:left="0" w:right="-1" w:firstLine="709"/>
        <w:jc w:val="left"/>
        <w:rPr>
          <w:b w:val="0"/>
          <w:szCs w:val="28"/>
        </w:rPr>
      </w:pPr>
      <w:r w:rsidRPr="001416ED">
        <w:rPr>
          <w:b w:val="0"/>
          <w:noProof/>
          <w:szCs w:val="28"/>
          <w:lang w:eastAsia="uk-UA"/>
        </w:rPr>
        <w:drawing>
          <wp:inline distT="0" distB="0" distL="0" distR="0" wp14:anchorId="2264885D" wp14:editId="05D0245E">
            <wp:extent cx="5182679" cy="1172510"/>
            <wp:effectExtent l="19050" t="0" r="0" b="0"/>
            <wp:docPr id="3" name="Рисунок 3" descr="D:\мой дисер\Палагнюк диссер\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й дисер\Палагнюк диссер\35.jpg"/>
                    <pic:cNvPicPr>
                      <a:picLocks noChangeAspect="1" noChangeArrowheads="1"/>
                    </pic:cNvPicPr>
                  </pic:nvPicPr>
                  <pic:blipFill>
                    <a:blip r:embed="rId12" cstate="print"/>
                    <a:srcRect/>
                    <a:stretch>
                      <a:fillRect/>
                    </a:stretch>
                  </pic:blipFill>
                  <pic:spPr bwMode="auto">
                    <a:xfrm>
                      <a:off x="0" y="0"/>
                      <a:ext cx="5193180" cy="1174886"/>
                    </a:xfrm>
                    <a:prstGeom prst="rect">
                      <a:avLst/>
                    </a:prstGeom>
                    <a:noFill/>
                    <a:ln w="9525">
                      <a:noFill/>
                      <a:miter lim="800000"/>
                      <a:headEnd/>
                      <a:tailEnd/>
                    </a:ln>
                  </pic:spPr>
                </pic:pic>
              </a:graphicData>
            </a:graphic>
          </wp:inline>
        </w:drawing>
      </w:r>
    </w:p>
    <w:p w:rsidR="00AB0E33" w:rsidRPr="001416ED" w:rsidRDefault="00AB0E33" w:rsidP="00AB0E33">
      <w:pPr>
        <w:spacing w:before="240" w:after="240" w:line="360" w:lineRule="auto"/>
        <w:jc w:val="both"/>
        <w:rPr>
          <w:b/>
          <w:lang w:val="uk-UA"/>
        </w:rPr>
      </w:pPr>
      <w:r w:rsidRPr="001416ED">
        <w:rPr>
          <w:b/>
          <w:lang w:val="uk-UA"/>
        </w:rPr>
        <w:t>Рис. 1.</w:t>
      </w:r>
      <w:r w:rsidR="008048A4" w:rsidRPr="001416ED">
        <w:rPr>
          <w:b/>
          <w:lang w:val="uk-UA"/>
        </w:rPr>
        <w:t>1</w:t>
      </w:r>
      <w:r w:rsidRPr="001416ED">
        <w:rPr>
          <w:b/>
          <w:lang w:val="uk-UA"/>
        </w:rPr>
        <w:t xml:space="preserve"> Структура ЕТ</w:t>
      </w:r>
      <w:r w:rsidR="00BC0119" w:rsidRPr="001416ED">
        <w:rPr>
          <w:b/>
          <w:lang w:val="uk-UA"/>
        </w:rPr>
        <w:t>–</w:t>
      </w:r>
      <w:r w:rsidRPr="001416ED">
        <w:rPr>
          <w:b/>
          <w:lang w:val="uk-UA"/>
        </w:rPr>
        <w:t>1 (</w:t>
      </w:r>
      <w:r w:rsidRPr="001416ED">
        <w:rPr>
          <w:b/>
          <w:iCs/>
          <w:lang w:eastAsia="uk-UA"/>
        </w:rPr>
        <w:t xml:space="preserve">Хромов О. С., Доломан Л. Б., Добреля Н. В. та </w:t>
      </w:r>
      <w:r w:rsidR="0070325E" w:rsidRPr="001416ED">
        <w:rPr>
          <w:b/>
          <w:iCs/>
          <w:lang w:val="uk-UA" w:eastAsia="uk-UA"/>
        </w:rPr>
        <w:t>співавт</w:t>
      </w:r>
      <w:r w:rsidRPr="001416ED">
        <w:rPr>
          <w:b/>
          <w:iCs/>
          <w:lang w:eastAsia="uk-UA"/>
        </w:rPr>
        <w:t>.</w:t>
      </w:r>
      <w:r w:rsidRPr="001416ED">
        <w:rPr>
          <w:b/>
          <w:iCs/>
          <w:lang w:val="uk-UA" w:eastAsia="uk-UA"/>
        </w:rPr>
        <w:t>, 2004</w:t>
      </w:r>
      <w:r w:rsidRPr="001416ED">
        <w:rPr>
          <w:b/>
          <w:lang w:val="uk-UA"/>
        </w:rPr>
        <w:t>).</w:t>
      </w:r>
    </w:p>
    <w:p w:rsidR="00E80D05" w:rsidRPr="001416ED" w:rsidRDefault="00E80D05" w:rsidP="00E80D05">
      <w:pPr>
        <w:pStyle w:val="a5"/>
        <w:ind w:left="0" w:right="-1" w:firstLine="709"/>
        <w:jc w:val="both"/>
        <w:rPr>
          <w:b w:val="0"/>
          <w:szCs w:val="28"/>
        </w:rPr>
      </w:pPr>
      <w:r w:rsidRPr="001416ED">
        <w:rPr>
          <w:b w:val="0"/>
          <w:szCs w:val="28"/>
        </w:rPr>
        <w:t>Е</w:t>
      </w:r>
      <w:r w:rsidR="0042111B" w:rsidRPr="001416ED">
        <w:rPr>
          <w:b w:val="0"/>
          <w:szCs w:val="28"/>
        </w:rPr>
        <w:t>Т</w:t>
      </w:r>
      <w:r w:rsidR="00BC0119" w:rsidRPr="001416ED">
        <w:rPr>
          <w:b w:val="0"/>
          <w:szCs w:val="28"/>
        </w:rPr>
        <w:t>–</w:t>
      </w:r>
      <w:r w:rsidRPr="001416ED">
        <w:rPr>
          <w:b w:val="0"/>
          <w:szCs w:val="28"/>
        </w:rPr>
        <w:t xml:space="preserve">1 в більшості випадків утворюється в ендотеліальних клітинах, але, на відміну від інших ендотелінів, може синтезуватися в </w:t>
      </w:r>
      <w:r w:rsidR="0078489E" w:rsidRPr="001416ED">
        <w:rPr>
          <w:b w:val="0"/>
          <w:szCs w:val="28"/>
          <w:lang w:val="ru-RU"/>
        </w:rPr>
        <w:t>гладком’язових клітинах</w:t>
      </w:r>
      <w:r w:rsidR="0078489E" w:rsidRPr="001416ED">
        <w:rPr>
          <w:szCs w:val="28"/>
          <w:lang w:val="ru-RU"/>
        </w:rPr>
        <w:t xml:space="preserve"> (</w:t>
      </w:r>
      <w:r w:rsidRPr="001416ED">
        <w:rPr>
          <w:b w:val="0"/>
          <w:szCs w:val="28"/>
        </w:rPr>
        <w:t>ГМК</w:t>
      </w:r>
      <w:r w:rsidR="0078489E" w:rsidRPr="001416ED">
        <w:rPr>
          <w:b w:val="0"/>
          <w:szCs w:val="28"/>
        </w:rPr>
        <w:t>)</w:t>
      </w:r>
      <w:r w:rsidRPr="001416ED">
        <w:rPr>
          <w:b w:val="0"/>
          <w:szCs w:val="28"/>
        </w:rPr>
        <w:t xml:space="preserve"> судин, нейронах, астроцитах, ендометрії, гепатоцитах, мезангіоцитах, клітинах Сертолі, ендотеліоцитах молочних залоз, тканинних базофілах [</w:t>
      </w:r>
      <w:r w:rsidR="00C2726A" w:rsidRPr="001416ED">
        <w:rPr>
          <w:b w:val="0"/>
          <w:szCs w:val="28"/>
        </w:rPr>
        <w:t>2</w:t>
      </w:r>
      <w:r w:rsidR="006F1E82" w:rsidRPr="001416ED">
        <w:rPr>
          <w:b w:val="0"/>
          <w:szCs w:val="28"/>
        </w:rPr>
        <w:t>8</w:t>
      </w:r>
      <w:r w:rsidRPr="001416ED">
        <w:rPr>
          <w:b w:val="0"/>
          <w:szCs w:val="28"/>
        </w:rPr>
        <w:t>].</w:t>
      </w:r>
      <w:r w:rsidRPr="001416ED">
        <w:rPr>
          <w:szCs w:val="28"/>
        </w:rPr>
        <w:t xml:space="preserve"> </w:t>
      </w:r>
      <w:r w:rsidRPr="001416ED">
        <w:rPr>
          <w:b w:val="0"/>
          <w:szCs w:val="28"/>
        </w:rPr>
        <w:t>Ізоформи ендотеліну</w:t>
      </w:r>
      <w:r w:rsidR="00BC0119" w:rsidRPr="001416ED">
        <w:rPr>
          <w:b w:val="0"/>
          <w:szCs w:val="28"/>
        </w:rPr>
        <w:t>–</w:t>
      </w:r>
      <w:r w:rsidRPr="001416ED">
        <w:rPr>
          <w:b w:val="0"/>
          <w:szCs w:val="28"/>
        </w:rPr>
        <w:t>1 секретуються ендотеліальними клітинами різної локалізації. Так ендотелін</w:t>
      </w:r>
      <w:r w:rsidR="00BC0119" w:rsidRPr="001416ED">
        <w:rPr>
          <w:b w:val="0"/>
          <w:szCs w:val="28"/>
        </w:rPr>
        <w:t>–</w:t>
      </w:r>
      <w:r w:rsidRPr="001416ED">
        <w:rPr>
          <w:b w:val="0"/>
          <w:szCs w:val="28"/>
        </w:rPr>
        <w:t>2 знаходять у нирках, кишечнику, міокарді, плаценті, матці; ізоформа ендотеліну</w:t>
      </w:r>
      <w:r w:rsidR="00BC0119" w:rsidRPr="001416ED">
        <w:rPr>
          <w:b w:val="0"/>
          <w:szCs w:val="28"/>
        </w:rPr>
        <w:t>–</w:t>
      </w:r>
      <w:r w:rsidRPr="001416ED">
        <w:rPr>
          <w:b w:val="0"/>
          <w:szCs w:val="28"/>
        </w:rPr>
        <w:t>3 виявлена ​​в головному мозку, травному тракті, легенях, нирках [</w:t>
      </w:r>
      <w:r w:rsidR="00C2726A" w:rsidRPr="001416ED">
        <w:rPr>
          <w:b w:val="0"/>
          <w:szCs w:val="28"/>
        </w:rPr>
        <w:t>1</w:t>
      </w:r>
      <w:r w:rsidR="006F1E82" w:rsidRPr="001416ED">
        <w:rPr>
          <w:b w:val="0"/>
          <w:szCs w:val="28"/>
        </w:rPr>
        <w:t>0</w:t>
      </w:r>
      <w:r w:rsidRPr="001416ED">
        <w:rPr>
          <w:b w:val="0"/>
          <w:szCs w:val="28"/>
        </w:rPr>
        <w:t>].</w:t>
      </w:r>
    </w:p>
    <w:p w:rsidR="00E80D05" w:rsidRPr="001416ED" w:rsidRDefault="00E80D05" w:rsidP="00C97800">
      <w:pPr>
        <w:pStyle w:val="a5"/>
        <w:ind w:left="0" w:right="-1" w:firstLine="709"/>
        <w:jc w:val="both"/>
        <w:rPr>
          <w:b w:val="0"/>
          <w:szCs w:val="28"/>
        </w:rPr>
      </w:pPr>
      <w:r w:rsidRPr="001416ED">
        <w:rPr>
          <w:b w:val="0"/>
          <w:szCs w:val="28"/>
        </w:rPr>
        <w:t>У нормі концентрація ЕТ</w:t>
      </w:r>
      <w:r w:rsidR="00BC0119" w:rsidRPr="001416ED">
        <w:rPr>
          <w:b w:val="0"/>
          <w:szCs w:val="28"/>
        </w:rPr>
        <w:t>–</w:t>
      </w:r>
      <w:r w:rsidRPr="001416ED">
        <w:rPr>
          <w:b w:val="0"/>
          <w:szCs w:val="28"/>
        </w:rPr>
        <w:t xml:space="preserve">1 в плазмі крові людини становить </w:t>
      </w:r>
      <w:r w:rsidR="00593783" w:rsidRPr="001416ED">
        <w:rPr>
          <w:b w:val="0"/>
          <w:szCs w:val="28"/>
        </w:rPr>
        <w:t>(</w:t>
      </w:r>
      <w:r w:rsidRPr="001416ED">
        <w:rPr>
          <w:b w:val="0"/>
          <w:szCs w:val="28"/>
        </w:rPr>
        <w:t>0,1</w:t>
      </w:r>
      <w:r w:rsidR="00BC0119" w:rsidRPr="001416ED">
        <w:rPr>
          <w:b w:val="0"/>
          <w:szCs w:val="28"/>
        </w:rPr>
        <w:t>–</w:t>
      </w:r>
      <w:r w:rsidR="00593783" w:rsidRPr="001416ED">
        <w:rPr>
          <w:b w:val="0"/>
          <w:szCs w:val="28"/>
        </w:rPr>
        <w:t>1</w:t>
      </w:r>
      <w:r w:rsidR="00593783" w:rsidRPr="001416ED">
        <w:rPr>
          <w:b w:val="0"/>
          <w:szCs w:val="28"/>
          <w:lang w:eastAsia="uk-UA" w:bidi="uk-UA"/>
        </w:rPr>
        <w:t xml:space="preserve">) </w:t>
      </w:r>
      <w:r w:rsidRPr="001416ED">
        <w:rPr>
          <w:b w:val="0"/>
          <w:szCs w:val="28"/>
        </w:rPr>
        <w:t xml:space="preserve">фмоль/мл </w:t>
      </w:r>
      <w:r w:rsidR="00593783" w:rsidRPr="001416ED">
        <w:rPr>
          <w:b w:val="0"/>
          <w:szCs w:val="28"/>
        </w:rPr>
        <w:t xml:space="preserve">або </w:t>
      </w:r>
      <w:r w:rsidRPr="001416ED">
        <w:rPr>
          <w:b w:val="0"/>
          <w:szCs w:val="28"/>
          <w:lang w:eastAsia="uk-UA" w:bidi="uk-UA"/>
        </w:rPr>
        <w:t>(1,0</w:t>
      </w:r>
      <w:r w:rsidR="007A07A9" w:rsidRPr="001416ED">
        <w:rPr>
          <w:b w:val="0"/>
          <w:szCs w:val="28"/>
          <w:lang w:eastAsia="uk-UA" w:bidi="uk-UA"/>
        </w:rPr>
        <w:t xml:space="preserve"> ± </w:t>
      </w:r>
      <w:r w:rsidR="00593783" w:rsidRPr="001416ED">
        <w:rPr>
          <w:b w:val="0"/>
          <w:szCs w:val="28"/>
          <w:lang w:eastAsia="uk-UA" w:bidi="uk-UA"/>
        </w:rPr>
        <w:t xml:space="preserve">0,4) </w:t>
      </w:r>
      <w:r w:rsidR="00023CB5" w:rsidRPr="001416ED">
        <w:rPr>
          <w:b w:val="0"/>
          <w:szCs w:val="28"/>
          <w:lang w:eastAsia="uk-UA" w:bidi="uk-UA"/>
        </w:rPr>
        <w:t>пмоль/мл</w:t>
      </w:r>
      <w:r w:rsidRPr="001416ED">
        <w:rPr>
          <w:szCs w:val="28"/>
          <w:lang w:eastAsia="uk-UA" w:bidi="uk-UA"/>
        </w:rPr>
        <w:t xml:space="preserve"> </w:t>
      </w:r>
      <w:r w:rsidRPr="001416ED">
        <w:rPr>
          <w:b w:val="0"/>
          <w:szCs w:val="28"/>
        </w:rPr>
        <w:t>або не виявляється зовсім. 75</w:t>
      </w:r>
      <w:r w:rsidR="00BC0119" w:rsidRPr="001416ED">
        <w:rPr>
          <w:b w:val="0"/>
          <w:szCs w:val="28"/>
        </w:rPr>
        <w:t>–</w:t>
      </w:r>
      <w:r w:rsidRPr="001416ED">
        <w:rPr>
          <w:b w:val="0"/>
          <w:szCs w:val="28"/>
        </w:rPr>
        <w:t>80</w:t>
      </w:r>
      <w:r w:rsidR="00D4219F" w:rsidRPr="001416ED">
        <w:rPr>
          <w:b w:val="0"/>
          <w:szCs w:val="28"/>
        </w:rPr>
        <w:t xml:space="preserve"> %</w:t>
      </w:r>
      <w:r w:rsidRPr="001416ED">
        <w:rPr>
          <w:b w:val="0"/>
          <w:szCs w:val="28"/>
        </w:rPr>
        <w:t xml:space="preserve"> </w:t>
      </w:r>
      <w:r w:rsidRPr="001416ED">
        <w:rPr>
          <w:b w:val="0"/>
          <w:szCs w:val="28"/>
        </w:rPr>
        <w:lastRenderedPageBreak/>
        <w:t>вивільненого ендотелієм ЕТ</w:t>
      </w:r>
      <w:r w:rsidR="00BC0119" w:rsidRPr="001416ED">
        <w:rPr>
          <w:b w:val="0"/>
          <w:szCs w:val="28"/>
        </w:rPr>
        <w:t>–</w:t>
      </w:r>
      <w:r w:rsidRPr="001416ED">
        <w:rPr>
          <w:b w:val="0"/>
          <w:szCs w:val="28"/>
        </w:rPr>
        <w:t>1 виявляють у ГМК судин. Період напіврозпаду ЕТ</w:t>
      </w:r>
      <w:r w:rsidR="00BC0119" w:rsidRPr="001416ED">
        <w:rPr>
          <w:b w:val="0"/>
          <w:szCs w:val="28"/>
        </w:rPr>
        <w:t>–</w:t>
      </w:r>
      <w:r w:rsidRPr="001416ED">
        <w:rPr>
          <w:b w:val="0"/>
          <w:szCs w:val="28"/>
        </w:rPr>
        <w:t>1 в плазмі крові становить 4</w:t>
      </w:r>
      <w:r w:rsidR="00BC0119" w:rsidRPr="001416ED">
        <w:rPr>
          <w:b w:val="0"/>
          <w:szCs w:val="28"/>
        </w:rPr>
        <w:t>–</w:t>
      </w:r>
      <w:r w:rsidRPr="001416ED">
        <w:rPr>
          <w:b w:val="0"/>
          <w:szCs w:val="28"/>
        </w:rPr>
        <w:t>7 хв. [</w:t>
      </w:r>
      <w:r w:rsidR="00C2726A" w:rsidRPr="001416ED">
        <w:rPr>
          <w:b w:val="0"/>
          <w:szCs w:val="28"/>
        </w:rPr>
        <w:t>1</w:t>
      </w:r>
      <w:r w:rsidRPr="001416ED">
        <w:rPr>
          <w:b w:val="0"/>
          <w:szCs w:val="28"/>
        </w:rPr>
        <w:t>].</w:t>
      </w:r>
      <w:r w:rsidRPr="001416ED">
        <w:t xml:space="preserve"> </w:t>
      </w:r>
      <w:r w:rsidRPr="001416ED">
        <w:rPr>
          <w:b w:val="0"/>
          <w:szCs w:val="28"/>
        </w:rPr>
        <w:t>Експериментально встановлено, що важлива роль у видаленні циркулюючого ЕT</w:t>
      </w:r>
      <w:r w:rsidR="00BC0119" w:rsidRPr="001416ED">
        <w:rPr>
          <w:b w:val="0"/>
          <w:szCs w:val="28"/>
        </w:rPr>
        <w:t>–</w:t>
      </w:r>
      <w:r w:rsidRPr="001416ED">
        <w:rPr>
          <w:b w:val="0"/>
          <w:szCs w:val="28"/>
        </w:rPr>
        <w:t>1 належить малому колу кровообігу: 82</w:t>
      </w:r>
      <w:r w:rsidR="00D4219F" w:rsidRPr="001416ED">
        <w:rPr>
          <w:b w:val="0"/>
          <w:szCs w:val="28"/>
        </w:rPr>
        <w:t xml:space="preserve"> %</w:t>
      </w:r>
      <w:r w:rsidRPr="001416ED">
        <w:rPr>
          <w:b w:val="0"/>
          <w:szCs w:val="28"/>
        </w:rPr>
        <w:t xml:space="preserve"> введеного ЕT</w:t>
      </w:r>
      <w:r w:rsidR="00BC0119" w:rsidRPr="001416ED">
        <w:rPr>
          <w:b w:val="0"/>
          <w:szCs w:val="28"/>
        </w:rPr>
        <w:t>–</w:t>
      </w:r>
      <w:r w:rsidRPr="001416ED">
        <w:rPr>
          <w:b w:val="0"/>
          <w:szCs w:val="28"/>
        </w:rPr>
        <w:t xml:space="preserve">1 визначається в легенях, менша частка </w:t>
      </w:r>
      <w:r w:rsidR="00BC0119" w:rsidRPr="001416ED">
        <w:rPr>
          <w:b w:val="0"/>
          <w:szCs w:val="28"/>
        </w:rPr>
        <w:t>–</w:t>
      </w:r>
      <w:r w:rsidRPr="001416ED">
        <w:rPr>
          <w:b w:val="0"/>
          <w:szCs w:val="28"/>
        </w:rPr>
        <w:t xml:space="preserve"> в нирках. Використовуючи різні методи, було показано, що легені здатні елімінувати від 40</w:t>
      </w:r>
      <w:r w:rsidR="00D4219F" w:rsidRPr="001416ED">
        <w:rPr>
          <w:b w:val="0"/>
          <w:szCs w:val="28"/>
        </w:rPr>
        <w:t xml:space="preserve"> %</w:t>
      </w:r>
      <w:r w:rsidRPr="001416ED">
        <w:rPr>
          <w:b w:val="0"/>
          <w:szCs w:val="28"/>
        </w:rPr>
        <w:t xml:space="preserve"> до 80</w:t>
      </w:r>
      <w:r w:rsidR="00D4219F" w:rsidRPr="001416ED">
        <w:rPr>
          <w:b w:val="0"/>
          <w:szCs w:val="28"/>
        </w:rPr>
        <w:t xml:space="preserve"> %</w:t>
      </w:r>
      <w:r w:rsidRPr="001416ED">
        <w:rPr>
          <w:b w:val="0"/>
          <w:szCs w:val="28"/>
        </w:rPr>
        <w:t xml:space="preserve"> циркулюючого ЕT</w:t>
      </w:r>
      <w:r w:rsidR="00BC0119" w:rsidRPr="001416ED">
        <w:rPr>
          <w:b w:val="0"/>
          <w:szCs w:val="28"/>
        </w:rPr>
        <w:t>–</w:t>
      </w:r>
      <w:r w:rsidRPr="001416ED">
        <w:rPr>
          <w:b w:val="0"/>
          <w:szCs w:val="28"/>
        </w:rPr>
        <w:t>1 [</w:t>
      </w:r>
      <w:r w:rsidR="003A2EA5" w:rsidRPr="001416ED">
        <w:rPr>
          <w:b w:val="0"/>
          <w:szCs w:val="28"/>
        </w:rPr>
        <w:t>1</w:t>
      </w:r>
      <w:r w:rsidR="006F1E82" w:rsidRPr="001416ED">
        <w:rPr>
          <w:b w:val="0"/>
          <w:szCs w:val="28"/>
        </w:rPr>
        <w:t>29</w:t>
      </w:r>
      <w:r w:rsidRPr="001416ED">
        <w:rPr>
          <w:b w:val="0"/>
          <w:szCs w:val="28"/>
        </w:rPr>
        <w:t>].</w:t>
      </w:r>
    </w:p>
    <w:p w:rsidR="00E80D05" w:rsidRPr="001416ED" w:rsidRDefault="00E80D05" w:rsidP="00E80D05">
      <w:pPr>
        <w:pStyle w:val="a5"/>
        <w:ind w:left="0" w:right="-1" w:firstLine="709"/>
        <w:jc w:val="both"/>
        <w:rPr>
          <w:b w:val="0"/>
          <w:szCs w:val="28"/>
          <w:lang w:eastAsia="uk-UA" w:bidi="uk-UA"/>
        </w:rPr>
      </w:pPr>
      <w:r w:rsidRPr="001416ED">
        <w:rPr>
          <w:b w:val="0"/>
          <w:szCs w:val="28"/>
        </w:rPr>
        <w:t>Синтез ЕТ</w:t>
      </w:r>
      <w:r w:rsidR="00BC0119" w:rsidRPr="001416ED">
        <w:rPr>
          <w:b w:val="0"/>
          <w:szCs w:val="28"/>
        </w:rPr>
        <w:t>–</w:t>
      </w:r>
      <w:r w:rsidRPr="001416ED">
        <w:rPr>
          <w:b w:val="0"/>
          <w:szCs w:val="28"/>
        </w:rPr>
        <w:t>1 стимулюється тромбіном, катехоламінами, ангіотензином</w:t>
      </w:r>
      <w:r w:rsidR="00205F76" w:rsidRPr="001416ED">
        <w:rPr>
          <w:b w:val="0"/>
          <w:szCs w:val="28"/>
        </w:rPr>
        <w:t>, (потім зв’язується з АТ1</w:t>
      </w:r>
      <w:r w:rsidR="00BC0119" w:rsidRPr="001416ED">
        <w:rPr>
          <w:b w:val="0"/>
          <w:szCs w:val="28"/>
        </w:rPr>
        <w:t>–</w:t>
      </w:r>
      <w:r w:rsidR="00205F76" w:rsidRPr="001416ED">
        <w:rPr>
          <w:b w:val="0"/>
          <w:szCs w:val="28"/>
        </w:rPr>
        <w:t>Р)</w:t>
      </w:r>
      <w:r w:rsidRPr="001416ED">
        <w:rPr>
          <w:b w:val="0"/>
          <w:szCs w:val="28"/>
        </w:rPr>
        <w:t>, вазопресином, інсуліном, інтерлейкіном, клітинними факторами росту, тромбоксаном А</w:t>
      </w:r>
      <w:r w:rsidRPr="001416ED">
        <w:rPr>
          <w:b w:val="0"/>
          <w:szCs w:val="28"/>
          <w:vertAlign w:val="subscript"/>
        </w:rPr>
        <w:t>2</w:t>
      </w:r>
      <w:r w:rsidRPr="001416ED">
        <w:rPr>
          <w:b w:val="0"/>
          <w:szCs w:val="28"/>
        </w:rPr>
        <w:t xml:space="preserve">, окисленими </w:t>
      </w:r>
      <w:r w:rsidR="0042111B" w:rsidRPr="001416ED">
        <w:rPr>
          <w:b w:val="0"/>
          <w:szCs w:val="28"/>
        </w:rPr>
        <w:t>ліпопротеїдами низької щільності (</w:t>
      </w:r>
      <w:r w:rsidRPr="001416ED">
        <w:rPr>
          <w:b w:val="0"/>
          <w:szCs w:val="28"/>
        </w:rPr>
        <w:t>ЛПНЩ</w:t>
      </w:r>
      <w:r w:rsidR="0078489E" w:rsidRPr="001416ED">
        <w:rPr>
          <w:b w:val="0"/>
          <w:szCs w:val="28"/>
        </w:rPr>
        <w:t>)</w:t>
      </w:r>
      <w:r w:rsidRPr="001416ED">
        <w:rPr>
          <w:b w:val="0"/>
          <w:szCs w:val="28"/>
        </w:rPr>
        <w:t xml:space="preserve">, </w:t>
      </w:r>
      <w:r w:rsidR="0078489E" w:rsidRPr="001416ED">
        <w:rPr>
          <w:b w:val="0"/>
          <w:szCs w:val="28"/>
        </w:rPr>
        <w:t>ліпопротеїдами високої щільності (</w:t>
      </w:r>
      <w:r w:rsidRPr="001416ED">
        <w:rPr>
          <w:b w:val="0"/>
          <w:szCs w:val="28"/>
        </w:rPr>
        <w:t>ЛПВЩ</w:t>
      </w:r>
      <w:r w:rsidR="0078489E" w:rsidRPr="001416ED">
        <w:rPr>
          <w:b w:val="0"/>
          <w:szCs w:val="28"/>
        </w:rPr>
        <w:t>)</w:t>
      </w:r>
      <w:r w:rsidRPr="001416ED">
        <w:rPr>
          <w:b w:val="0"/>
          <w:szCs w:val="28"/>
        </w:rPr>
        <w:t xml:space="preserve">, </w:t>
      </w:r>
      <w:r w:rsidRPr="001416ED">
        <w:rPr>
          <w:b w:val="0"/>
          <w:szCs w:val="28"/>
          <w:lang w:eastAsia="uk-UA" w:bidi="uk-UA"/>
        </w:rPr>
        <w:t>гіпоксією, ішемією, механічним подразненням</w:t>
      </w:r>
      <w:r w:rsidRPr="001416ED">
        <w:rPr>
          <w:b w:val="0"/>
          <w:szCs w:val="28"/>
        </w:rPr>
        <w:t xml:space="preserve"> та ін. До інгібіторів синтезу ЕТ</w:t>
      </w:r>
      <w:r w:rsidR="00BC0119" w:rsidRPr="001416ED">
        <w:rPr>
          <w:b w:val="0"/>
          <w:szCs w:val="28"/>
        </w:rPr>
        <w:t>–</w:t>
      </w:r>
      <w:r w:rsidRPr="001416ED">
        <w:rPr>
          <w:b w:val="0"/>
          <w:szCs w:val="28"/>
        </w:rPr>
        <w:t>1 відносять натрійуретичні пептиди,</w:t>
      </w:r>
      <w:r w:rsidRPr="001416ED">
        <w:rPr>
          <w:b w:val="0"/>
          <w:lang w:eastAsia="uk-UA" w:bidi="uk-UA"/>
        </w:rPr>
        <w:t xml:space="preserve"> </w:t>
      </w:r>
      <w:r w:rsidRPr="001416ED">
        <w:rPr>
          <w:b w:val="0"/>
          <w:szCs w:val="28"/>
          <w:lang w:eastAsia="uk-UA" w:bidi="uk-UA"/>
        </w:rPr>
        <w:t>ендотелін</w:t>
      </w:r>
      <w:r w:rsidR="00BC0119" w:rsidRPr="001416ED">
        <w:rPr>
          <w:b w:val="0"/>
          <w:szCs w:val="28"/>
          <w:lang w:eastAsia="uk-UA" w:bidi="uk-UA"/>
        </w:rPr>
        <w:t>–</w:t>
      </w:r>
      <w:r w:rsidRPr="001416ED">
        <w:rPr>
          <w:b w:val="0"/>
          <w:szCs w:val="28"/>
          <w:lang w:eastAsia="uk-UA" w:bidi="uk-UA"/>
        </w:rPr>
        <w:t>3, простаг</w:t>
      </w:r>
      <w:r w:rsidRPr="001416ED">
        <w:rPr>
          <w:b w:val="0"/>
          <w:szCs w:val="28"/>
          <w:lang w:eastAsia="uk-UA" w:bidi="uk-UA"/>
        </w:rPr>
        <w:softHyphen/>
        <w:t>ландини Е</w:t>
      </w:r>
      <w:r w:rsidRPr="001416ED">
        <w:rPr>
          <w:b w:val="0"/>
          <w:szCs w:val="28"/>
          <w:vertAlign w:val="subscript"/>
          <w:lang w:eastAsia="uk-UA" w:bidi="uk-UA"/>
        </w:rPr>
        <w:t xml:space="preserve">2 </w:t>
      </w:r>
      <w:r w:rsidRPr="001416ED">
        <w:rPr>
          <w:b w:val="0"/>
          <w:szCs w:val="28"/>
          <w:lang w:eastAsia="uk-UA" w:bidi="uk-UA"/>
        </w:rPr>
        <w:t>та І</w:t>
      </w:r>
      <w:r w:rsidRPr="001416ED">
        <w:rPr>
          <w:b w:val="0"/>
          <w:szCs w:val="28"/>
          <w:vertAlign w:val="subscript"/>
          <w:lang w:eastAsia="uk-UA" w:bidi="uk-UA"/>
        </w:rPr>
        <w:t>2</w:t>
      </w:r>
      <w:r w:rsidRPr="001416ED">
        <w:rPr>
          <w:b w:val="0"/>
          <w:szCs w:val="28"/>
          <w:lang w:eastAsia="uk-UA" w:bidi="uk-UA"/>
        </w:rPr>
        <w:t xml:space="preserve"> (простациклін), NО [</w:t>
      </w:r>
      <w:r w:rsidR="00C2726A" w:rsidRPr="001416ED">
        <w:rPr>
          <w:b w:val="0"/>
          <w:szCs w:val="28"/>
          <w:lang w:eastAsia="uk-UA" w:bidi="uk-UA"/>
        </w:rPr>
        <w:t>1</w:t>
      </w:r>
      <w:r w:rsidRPr="001416ED">
        <w:rPr>
          <w:b w:val="0"/>
          <w:szCs w:val="28"/>
          <w:lang w:eastAsia="uk-UA" w:bidi="uk-UA"/>
        </w:rPr>
        <w:t>].</w:t>
      </w:r>
    </w:p>
    <w:p w:rsidR="00E80D05" w:rsidRPr="001416ED" w:rsidRDefault="00E80D05" w:rsidP="000317EC">
      <w:pPr>
        <w:spacing w:line="360" w:lineRule="auto"/>
        <w:ind w:firstLine="709"/>
        <w:jc w:val="both"/>
        <w:rPr>
          <w:lang w:eastAsia="uk-UA" w:bidi="uk-UA"/>
        </w:rPr>
      </w:pPr>
      <w:r w:rsidRPr="001416ED">
        <w:rPr>
          <w:lang w:eastAsia="uk-UA" w:bidi="uk-UA"/>
        </w:rPr>
        <w:t>Докладно вивчено два підтипи ЕТ</w:t>
      </w:r>
      <w:r w:rsidR="00BC0119" w:rsidRPr="001416ED">
        <w:rPr>
          <w:lang w:eastAsia="uk-UA" w:bidi="uk-UA"/>
        </w:rPr>
        <w:t>–</w:t>
      </w:r>
      <w:r w:rsidRPr="001416ED">
        <w:rPr>
          <w:lang w:eastAsia="uk-UA" w:bidi="uk-UA"/>
        </w:rPr>
        <w:t>рецептор</w:t>
      </w:r>
      <w:r w:rsidRPr="001416ED">
        <w:rPr>
          <w:lang w:val="uk-UA" w:eastAsia="uk-UA" w:bidi="uk-UA"/>
        </w:rPr>
        <w:t>ів</w:t>
      </w:r>
      <w:r w:rsidRPr="001416ED">
        <w:rPr>
          <w:lang w:eastAsia="uk-UA" w:bidi="uk-UA"/>
        </w:rPr>
        <w:t xml:space="preserve"> </w:t>
      </w:r>
      <w:r w:rsidR="00236882" w:rsidRPr="001416ED">
        <w:rPr>
          <w:lang w:eastAsia="uk-UA" w:bidi="uk-UA"/>
        </w:rPr>
        <w:t>–</w:t>
      </w:r>
      <w:r w:rsidRPr="001416ED">
        <w:rPr>
          <w:lang w:eastAsia="uk-UA" w:bidi="uk-UA"/>
        </w:rPr>
        <w:t xml:space="preserve"> </w:t>
      </w:r>
      <w:r w:rsidRPr="001416ED">
        <w:rPr>
          <w:rStyle w:val="af3"/>
          <w:rFonts w:eastAsia="Consolas"/>
          <w:dstrike w:val="0"/>
          <w:color w:val="auto"/>
          <w:sz w:val="28"/>
          <w:szCs w:val="28"/>
        </w:rPr>
        <w:t>ЕТ</w:t>
      </w:r>
      <w:r w:rsidRPr="001416ED">
        <w:rPr>
          <w:rStyle w:val="af3"/>
          <w:rFonts w:eastAsia="Consolas"/>
          <w:dstrike w:val="0"/>
          <w:color w:val="auto"/>
          <w:sz w:val="28"/>
          <w:szCs w:val="28"/>
          <w:vertAlign w:val="subscript"/>
        </w:rPr>
        <w:t>а</w:t>
      </w:r>
      <w:r w:rsidRPr="001416ED">
        <w:rPr>
          <w:lang w:eastAsia="uk-UA" w:bidi="uk-UA"/>
        </w:rPr>
        <w:t xml:space="preserve"> і ЕТ</w:t>
      </w:r>
      <w:r w:rsidRPr="001416ED">
        <w:rPr>
          <w:vertAlign w:val="subscript"/>
          <w:lang w:eastAsia="uk-UA" w:bidi="uk-UA"/>
        </w:rPr>
        <w:t>В</w:t>
      </w:r>
      <w:r w:rsidR="004813C2" w:rsidRPr="001416ED">
        <w:rPr>
          <w:vertAlign w:val="subscript"/>
          <w:lang w:val="uk-UA" w:eastAsia="uk-UA" w:bidi="uk-UA"/>
        </w:rPr>
        <w:t xml:space="preserve"> </w:t>
      </w:r>
      <w:r w:rsidR="004813C2" w:rsidRPr="001416ED">
        <w:rPr>
          <w:lang w:val="uk-UA" w:eastAsia="uk-UA" w:bidi="uk-UA"/>
        </w:rPr>
        <w:t>(рис. 1.2)</w:t>
      </w:r>
      <w:r w:rsidRPr="001416ED">
        <w:rPr>
          <w:lang w:eastAsia="uk-UA" w:bidi="uk-UA"/>
        </w:rPr>
        <w:t xml:space="preserve">. Афінітет </w:t>
      </w:r>
      <w:r w:rsidRPr="001416ED">
        <w:rPr>
          <w:rStyle w:val="af3"/>
          <w:rFonts w:eastAsia="Consolas"/>
          <w:dstrike w:val="0"/>
          <w:color w:val="auto"/>
          <w:sz w:val="28"/>
          <w:szCs w:val="28"/>
        </w:rPr>
        <w:t>ЕТ</w:t>
      </w:r>
      <w:r w:rsidRPr="001416ED">
        <w:rPr>
          <w:rStyle w:val="af3"/>
          <w:rFonts w:eastAsia="Consolas"/>
          <w:dstrike w:val="0"/>
          <w:color w:val="auto"/>
          <w:sz w:val="28"/>
          <w:szCs w:val="28"/>
          <w:vertAlign w:val="subscript"/>
        </w:rPr>
        <w:t>а</w:t>
      </w:r>
      <w:r w:rsidRPr="001416ED">
        <w:rPr>
          <w:lang w:eastAsia="uk-UA" w:bidi="uk-UA"/>
        </w:rPr>
        <w:t xml:space="preserve"> до ЕТ</w:t>
      </w:r>
      <w:r w:rsidR="00BC0119" w:rsidRPr="001416ED">
        <w:rPr>
          <w:lang w:eastAsia="uk-UA" w:bidi="uk-UA"/>
        </w:rPr>
        <w:t>–</w:t>
      </w:r>
      <w:r w:rsidRPr="001416ED">
        <w:rPr>
          <w:lang w:eastAsia="uk-UA" w:bidi="uk-UA"/>
        </w:rPr>
        <w:t xml:space="preserve">1 більший, ніж до </w:t>
      </w:r>
      <w:r w:rsidRPr="001416ED">
        <w:rPr>
          <w:lang w:val="uk-UA" w:eastAsia="uk-UA" w:bidi="uk-UA"/>
        </w:rPr>
        <w:t>ендотеліна</w:t>
      </w:r>
      <w:r w:rsidR="00BC0119" w:rsidRPr="001416ED">
        <w:rPr>
          <w:lang w:eastAsia="uk-UA" w:bidi="uk-UA"/>
        </w:rPr>
        <w:t>–</w:t>
      </w:r>
      <w:r w:rsidRPr="001416ED">
        <w:rPr>
          <w:lang w:eastAsia="uk-UA" w:bidi="uk-UA"/>
        </w:rPr>
        <w:t xml:space="preserve">2, та менший у 10 разів до </w:t>
      </w:r>
      <w:r w:rsidRPr="001416ED">
        <w:rPr>
          <w:lang w:val="uk-UA" w:eastAsia="uk-UA" w:bidi="uk-UA"/>
        </w:rPr>
        <w:t>ендотеліна</w:t>
      </w:r>
      <w:r w:rsidR="00BC0119" w:rsidRPr="001416ED">
        <w:rPr>
          <w:lang w:eastAsia="uk-UA" w:bidi="uk-UA"/>
        </w:rPr>
        <w:t>–</w:t>
      </w:r>
      <w:r w:rsidRPr="001416ED">
        <w:rPr>
          <w:lang w:eastAsia="uk-UA" w:bidi="uk-UA"/>
        </w:rPr>
        <w:t>3. ЕТ</w:t>
      </w:r>
      <w:r w:rsidRPr="001416ED">
        <w:rPr>
          <w:vertAlign w:val="subscript"/>
          <w:lang w:eastAsia="uk-UA" w:bidi="uk-UA"/>
        </w:rPr>
        <w:t>В</w:t>
      </w:r>
      <w:r w:rsidRPr="001416ED">
        <w:rPr>
          <w:lang w:eastAsia="uk-UA" w:bidi="uk-UA"/>
        </w:rPr>
        <w:t xml:space="preserve"> володіє</w:t>
      </w:r>
      <w:r w:rsidRPr="001416ED">
        <w:rPr>
          <w:lang w:val="uk-UA" w:eastAsia="uk-UA" w:bidi="uk-UA"/>
        </w:rPr>
        <w:t xml:space="preserve"> майже</w:t>
      </w:r>
      <w:r w:rsidRPr="001416ED">
        <w:rPr>
          <w:lang w:eastAsia="uk-UA" w:bidi="uk-UA"/>
        </w:rPr>
        <w:t xml:space="preserve"> однаковою спо</w:t>
      </w:r>
      <w:r w:rsidRPr="001416ED">
        <w:rPr>
          <w:lang w:eastAsia="uk-UA" w:bidi="uk-UA"/>
        </w:rPr>
        <w:softHyphen/>
        <w:t>рідненістю до кожної з трьох ізоформ ЕТ. Локалізація підтипів ЕТ</w:t>
      </w:r>
      <w:r w:rsidR="00BC0119" w:rsidRPr="001416ED">
        <w:rPr>
          <w:lang w:eastAsia="uk-UA" w:bidi="uk-UA"/>
        </w:rPr>
        <w:t>–</w:t>
      </w:r>
      <w:r w:rsidRPr="001416ED">
        <w:rPr>
          <w:lang w:eastAsia="uk-UA" w:bidi="uk-UA"/>
        </w:rPr>
        <w:t xml:space="preserve">рецептора: </w:t>
      </w:r>
      <w:r w:rsidRPr="001416ED">
        <w:rPr>
          <w:rStyle w:val="af3"/>
          <w:rFonts w:eastAsia="Consolas"/>
          <w:dstrike w:val="0"/>
          <w:color w:val="auto"/>
          <w:sz w:val="28"/>
          <w:szCs w:val="28"/>
        </w:rPr>
        <w:t>ЕТ</w:t>
      </w:r>
      <w:r w:rsidRPr="001416ED">
        <w:rPr>
          <w:rStyle w:val="af3"/>
          <w:rFonts w:eastAsia="Consolas"/>
          <w:dstrike w:val="0"/>
          <w:color w:val="auto"/>
          <w:sz w:val="28"/>
          <w:szCs w:val="28"/>
          <w:vertAlign w:val="subscript"/>
        </w:rPr>
        <w:t>а</w:t>
      </w:r>
      <w:r w:rsidRPr="001416ED">
        <w:rPr>
          <w:lang w:eastAsia="uk-UA" w:bidi="uk-UA"/>
        </w:rPr>
        <w:t xml:space="preserve"> </w:t>
      </w:r>
      <w:r w:rsidR="00236882" w:rsidRPr="001416ED">
        <w:rPr>
          <w:lang w:eastAsia="uk-UA" w:bidi="uk-UA"/>
        </w:rPr>
        <w:t>–</w:t>
      </w:r>
      <w:r w:rsidRPr="001416ED">
        <w:rPr>
          <w:lang w:eastAsia="uk-UA" w:bidi="uk-UA"/>
        </w:rPr>
        <w:t xml:space="preserve"> су</w:t>
      </w:r>
      <w:r w:rsidRPr="001416ED">
        <w:rPr>
          <w:lang w:eastAsia="uk-UA" w:bidi="uk-UA"/>
        </w:rPr>
        <w:softHyphen/>
        <w:t>динні ГМК, кардіоміоцити, мозочок, ГМК шлунка та циркулярної пластинки м’язового шару сліпої кишки; ЕТ</w:t>
      </w:r>
      <w:r w:rsidRPr="001416ED">
        <w:rPr>
          <w:vertAlign w:val="subscript"/>
          <w:lang w:eastAsia="uk-UA" w:bidi="uk-UA"/>
        </w:rPr>
        <w:t>В</w:t>
      </w:r>
      <w:r w:rsidR="00236882" w:rsidRPr="001416ED">
        <w:rPr>
          <w:lang w:eastAsia="uk-UA" w:bidi="uk-UA"/>
        </w:rPr>
        <w:t>–</w:t>
      </w:r>
      <w:r w:rsidRPr="001416ED">
        <w:rPr>
          <w:lang w:eastAsia="uk-UA" w:bidi="uk-UA"/>
        </w:rPr>
        <w:t xml:space="preserve"> ендотелій судин (найбільше), </w:t>
      </w:r>
      <w:r w:rsidR="002E31F7" w:rsidRPr="001416ED">
        <w:rPr>
          <w:lang w:eastAsia="uk-UA" w:bidi="uk-UA"/>
        </w:rPr>
        <w:t>судинні</w:t>
      </w:r>
      <w:r w:rsidRPr="001416ED">
        <w:rPr>
          <w:lang w:eastAsia="uk-UA" w:bidi="uk-UA"/>
        </w:rPr>
        <w:t xml:space="preserve"> ГМК, кардіоміоцити, юкстагломерулоцити, мезангіоцити, мозочок, ГМК поздовжньої пластинки м’язового шару сліпої кишки, підшкірні вени [</w:t>
      </w:r>
      <w:r w:rsidR="003A2EA5" w:rsidRPr="001416ED">
        <w:rPr>
          <w:lang w:val="uk-UA" w:eastAsia="uk-UA" w:bidi="uk-UA"/>
        </w:rPr>
        <w:t>1</w:t>
      </w:r>
      <w:r w:rsidR="006F1E82" w:rsidRPr="001416ED">
        <w:rPr>
          <w:lang w:val="uk-UA" w:eastAsia="uk-UA" w:bidi="uk-UA"/>
        </w:rPr>
        <w:t>59</w:t>
      </w:r>
      <w:r w:rsidRPr="001416ED">
        <w:rPr>
          <w:lang w:eastAsia="uk-UA" w:bidi="uk-UA"/>
        </w:rPr>
        <w:t>]. У ЦНС та інших тканинах відкрито підтип ЕТ</w:t>
      </w:r>
      <w:r w:rsidRPr="001416ED">
        <w:rPr>
          <w:vertAlign w:val="subscript"/>
          <w:lang w:eastAsia="uk-UA" w:bidi="uk-UA"/>
        </w:rPr>
        <w:t>С</w:t>
      </w:r>
      <w:r w:rsidRPr="001416ED">
        <w:rPr>
          <w:lang w:eastAsia="uk-UA" w:bidi="uk-UA"/>
        </w:rPr>
        <w:t>, який характеризується</w:t>
      </w:r>
      <w:r w:rsidR="00832C5A" w:rsidRPr="001416ED">
        <w:rPr>
          <w:lang w:eastAsia="uk-UA" w:bidi="uk-UA"/>
        </w:rPr>
        <w:t xml:space="preserve"> надвисокою спорідненістю до ЕТ</w:t>
      </w:r>
      <w:r w:rsidR="00BC0119" w:rsidRPr="001416ED">
        <w:rPr>
          <w:lang w:eastAsia="uk-UA" w:bidi="uk-UA"/>
        </w:rPr>
        <w:t>–</w:t>
      </w:r>
      <w:r w:rsidRPr="001416ED">
        <w:rPr>
          <w:lang w:eastAsia="uk-UA" w:bidi="uk-UA"/>
        </w:rPr>
        <w:t>1. Вазодилятаційні ефекти низьких доз ЕТ</w:t>
      </w:r>
      <w:r w:rsidR="00BC0119" w:rsidRPr="001416ED">
        <w:rPr>
          <w:lang w:eastAsia="uk-UA" w:bidi="uk-UA"/>
        </w:rPr>
        <w:t>–</w:t>
      </w:r>
      <w:r w:rsidRPr="001416ED">
        <w:rPr>
          <w:lang w:eastAsia="uk-UA" w:bidi="uk-UA"/>
        </w:rPr>
        <w:t>1 пов’язують саме з цим підтипом рецептора [</w:t>
      </w:r>
      <w:r w:rsidR="006F1E82" w:rsidRPr="001416ED">
        <w:rPr>
          <w:lang w:val="uk-UA" w:eastAsia="uk-UA" w:bidi="uk-UA"/>
        </w:rPr>
        <w:t>192</w:t>
      </w:r>
      <w:r w:rsidRPr="001416ED">
        <w:rPr>
          <w:lang w:eastAsia="uk-UA" w:bidi="uk-UA"/>
        </w:rPr>
        <w:t xml:space="preserve">]. </w:t>
      </w:r>
    </w:p>
    <w:p w:rsidR="00E80D05" w:rsidRPr="001416ED" w:rsidRDefault="00E80D05" w:rsidP="008048A4">
      <w:pPr>
        <w:spacing w:line="360" w:lineRule="auto"/>
        <w:ind w:left="20" w:right="20" w:firstLine="709"/>
        <w:jc w:val="both"/>
        <w:rPr>
          <w:lang w:val="uk-UA" w:eastAsia="uk-UA" w:bidi="uk-UA"/>
        </w:rPr>
      </w:pPr>
      <w:r w:rsidRPr="001416ED">
        <w:rPr>
          <w:lang w:eastAsia="uk-UA" w:bidi="uk-UA"/>
        </w:rPr>
        <w:t xml:space="preserve">     </w:t>
      </w:r>
      <w:r w:rsidRPr="001416ED">
        <w:rPr>
          <w:lang w:val="uk-UA" w:eastAsia="uk-UA" w:bidi="uk-UA"/>
        </w:rPr>
        <w:t>Активація</w:t>
      </w:r>
      <w:r w:rsidRPr="001416ED">
        <w:rPr>
          <w:lang w:eastAsia="uk-UA" w:bidi="uk-UA"/>
        </w:rPr>
        <w:t xml:space="preserve"> ЕТ</w:t>
      </w:r>
      <w:r w:rsidRPr="001416ED">
        <w:rPr>
          <w:vertAlign w:val="subscript"/>
          <w:lang w:eastAsia="uk-UA" w:bidi="uk-UA"/>
        </w:rPr>
        <w:t>А</w:t>
      </w:r>
      <w:r w:rsidR="00BC0119" w:rsidRPr="001416ED">
        <w:rPr>
          <w:lang w:eastAsia="uk-UA" w:bidi="uk-UA"/>
        </w:rPr>
        <w:t>–</w:t>
      </w:r>
      <w:r w:rsidRPr="001416ED">
        <w:rPr>
          <w:lang w:eastAsia="uk-UA" w:bidi="uk-UA"/>
        </w:rPr>
        <w:t xml:space="preserve"> і ЕТ</w:t>
      </w:r>
      <w:r w:rsidRPr="001416ED">
        <w:rPr>
          <w:vertAlign w:val="subscript"/>
          <w:lang w:eastAsia="uk-UA" w:bidi="uk-UA"/>
        </w:rPr>
        <w:t>В</w:t>
      </w:r>
      <w:r w:rsidR="00BC0119" w:rsidRPr="001416ED">
        <w:rPr>
          <w:lang w:val="uk-UA" w:eastAsia="uk-UA" w:bidi="uk-UA"/>
        </w:rPr>
        <w:t>–</w:t>
      </w:r>
      <w:r w:rsidRPr="001416ED">
        <w:rPr>
          <w:lang w:val="uk-UA" w:eastAsia="uk-UA" w:bidi="uk-UA"/>
        </w:rPr>
        <w:t>рецепторів</w:t>
      </w:r>
      <w:r w:rsidRPr="001416ED">
        <w:rPr>
          <w:lang w:eastAsia="uk-UA" w:bidi="uk-UA"/>
        </w:rPr>
        <w:t xml:space="preserve"> проявляється вазоконстрикцією або вазодилатацією залежно від біологічного виду та судинного регіону. Так, ін’єкція однієї дози ЕТ</w:t>
      </w:r>
      <w:r w:rsidR="00BC0119" w:rsidRPr="001416ED">
        <w:rPr>
          <w:lang w:eastAsia="uk-UA" w:bidi="uk-UA"/>
        </w:rPr>
        <w:t>–</w:t>
      </w:r>
      <w:r w:rsidRPr="001416ED">
        <w:rPr>
          <w:lang w:eastAsia="uk-UA" w:bidi="uk-UA"/>
        </w:rPr>
        <w:t>1 призводить спочатку до зниження кров’яного</w:t>
      </w:r>
      <w:r w:rsidR="00832C5A" w:rsidRPr="001416ED">
        <w:rPr>
          <w:lang w:eastAsia="uk-UA" w:bidi="uk-UA"/>
        </w:rPr>
        <w:t xml:space="preserve"> тиску, а  протягом наступних 1</w:t>
      </w:r>
      <w:r w:rsidR="00236882" w:rsidRPr="001416ED">
        <w:rPr>
          <w:lang w:eastAsia="uk-UA" w:bidi="uk-UA"/>
        </w:rPr>
        <w:t>–</w:t>
      </w:r>
      <w:r w:rsidRPr="001416ED">
        <w:rPr>
          <w:lang w:eastAsia="uk-UA" w:bidi="uk-UA"/>
        </w:rPr>
        <w:t xml:space="preserve">3 год </w:t>
      </w:r>
      <w:r w:rsidR="00236882" w:rsidRPr="001416ED">
        <w:rPr>
          <w:lang w:eastAsia="uk-UA" w:bidi="uk-UA"/>
        </w:rPr>
        <w:t>–</w:t>
      </w:r>
      <w:r w:rsidRPr="001416ED">
        <w:rPr>
          <w:lang w:eastAsia="uk-UA" w:bidi="uk-UA"/>
        </w:rPr>
        <w:t xml:space="preserve"> до його </w:t>
      </w:r>
      <w:proofErr w:type="gramStart"/>
      <w:r w:rsidRPr="001416ED">
        <w:rPr>
          <w:lang w:eastAsia="uk-UA" w:bidi="uk-UA"/>
        </w:rPr>
        <w:t>п</w:t>
      </w:r>
      <w:proofErr w:type="gramEnd"/>
      <w:r w:rsidRPr="001416ED">
        <w:rPr>
          <w:lang w:eastAsia="uk-UA" w:bidi="uk-UA"/>
        </w:rPr>
        <w:t xml:space="preserve">ідвищення. </w:t>
      </w:r>
      <w:proofErr w:type="gramStart"/>
      <w:r w:rsidRPr="001416ED">
        <w:rPr>
          <w:lang w:eastAsia="uk-UA" w:bidi="uk-UA"/>
        </w:rPr>
        <w:t>Кр</w:t>
      </w:r>
      <w:proofErr w:type="gramEnd"/>
      <w:r w:rsidRPr="001416ED">
        <w:rPr>
          <w:lang w:eastAsia="uk-UA" w:bidi="uk-UA"/>
        </w:rPr>
        <w:t>ім того, введення ЕТ</w:t>
      </w:r>
      <w:r w:rsidR="00BC0119" w:rsidRPr="001416ED">
        <w:rPr>
          <w:lang w:eastAsia="uk-UA" w:bidi="uk-UA"/>
        </w:rPr>
        <w:t>–</w:t>
      </w:r>
      <w:r w:rsidRPr="001416ED">
        <w:rPr>
          <w:lang w:eastAsia="uk-UA" w:bidi="uk-UA"/>
        </w:rPr>
        <w:t>1 в низь</w:t>
      </w:r>
      <w:r w:rsidRPr="001416ED">
        <w:rPr>
          <w:lang w:eastAsia="uk-UA" w:bidi="uk-UA"/>
        </w:rPr>
        <w:softHyphen/>
        <w:t>ких дозах спричинює вазодилятацію, у разі підви</w:t>
      </w:r>
      <w:r w:rsidRPr="001416ED">
        <w:rPr>
          <w:lang w:eastAsia="uk-UA" w:bidi="uk-UA"/>
        </w:rPr>
        <w:softHyphen/>
        <w:t xml:space="preserve">щення дози відбувається вазоконстрикція. Якщо в більшості випадків активація </w:t>
      </w:r>
      <w:r w:rsidRPr="001416ED">
        <w:rPr>
          <w:rStyle w:val="af3"/>
          <w:rFonts w:eastAsia="Consolas"/>
          <w:dstrike w:val="0"/>
          <w:color w:val="auto"/>
          <w:sz w:val="28"/>
          <w:szCs w:val="28"/>
        </w:rPr>
        <w:t>ЕТ</w:t>
      </w:r>
      <w:r w:rsidRPr="001416ED">
        <w:rPr>
          <w:rStyle w:val="af3"/>
          <w:rFonts w:eastAsia="Consolas"/>
          <w:dstrike w:val="0"/>
          <w:color w:val="auto"/>
          <w:sz w:val="28"/>
          <w:szCs w:val="28"/>
          <w:vertAlign w:val="subscript"/>
        </w:rPr>
        <w:t>а</w:t>
      </w:r>
      <w:r w:rsidR="00BC0119" w:rsidRPr="001416ED">
        <w:rPr>
          <w:lang w:eastAsia="uk-UA" w:bidi="uk-UA"/>
        </w:rPr>
        <w:t>–</w:t>
      </w:r>
      <w:r w:rsidRPr="001416ED">
        <w:rPr>
          <w:lang w:eastAsia="uk-UA" w:bidi="uk-UA"/>
        </w:rPr>
        <w:t xml:space="preserve">рецепторів </w:t>
      </w:r>
      <w:r w:rsidRPr="001416ED">
        <w:rPr>
          <w:lang w:eastAsia="uk-UA" w:bidi="uk-UA"/>
        </w:rPr>
        <w:lastRenderedPageBreak/>
        <w:t>супроводжується вазоконстрикцією, то ендотелійзалежна релаксація ГМК судин опосередковується впливом на ЕТ</w:t>
      </w:r>
      <w:r w:rsidRPr="001416ED">
        <w:rPr>
          <w:vertAlign w:val="subscript"/>
          <w:lang w:eastAsia="uk-UA" w:bidi="uk-UA"/>
        </w:rPr>
        <w:t xml:space="preserve">В2 </w:t>
      </w:r>
      <w:r w:rsidRPr="001416ED">
        <w:rPr>
          <w:lang w:eastAsia="uk-UA" w:bidi="uk-UA"/>
        </w:rPr>
        <w:t>з подальшим вивільненням NО або простацикліну</w:t>
      </w:r>
      <w:r w:rsidR="00975C0F" w:rsidRPr="001416ED">
        <w:rPr>
          <w:lang w:val="uk-UA" w:eastAsia="uk-UA" w:bidi="uk-UA"/>
        </w:rPr>
        <w:t xml:space="preserve"> </w:t>
      </w:r>
      <w:r w:rsidRPr="001416ED">
        <w:rPr>
          <w:lang w:eastAsia="uk-UA" w:bidi="uk-UA"/>
        </w:rPr>
        <w:t>[</w:t>
      </w:r>
      <w:r w:rsidR="003A2EA5" w:rsidRPr="001416ED">
        <w:rPr>
          <w:lang w:val="uk-UA" w:eastAsia="uk-UA" w:bidi="uk-UA"/>
        </w:rPr>
        <w:t>12</w:t>
      </w:r>
      <w:r w:rsidR="006F1E82" w:rsidRPr="001416ED">
        <w:rPr>
          <w:lang w:val="uk-UA" w:eastAsia="uk-UA" w:bidi="uk-UA"/>
        </w:rPr>
        <w:t>0</w:t>
      </w:r>
      <w:r w:rsidRPr="001416ED">
        <w:rPr>
          <w:lang w:eastAsia="uk-UA" w:bidi="uk-UA"/>
        </w:rPr>
        <w:t>].</w:t>
      </w:r>
      <w:r w:rsidRPr="001416ED">
        <w:rPr>
          <w:lang w:val="uk-UA" w:eastAsia="uk-UA" w:bidi="uk-UA"/>
        </w:rPr>
        <w:t xml:space="preserve"> Було</w:t>
      </w:r>
      <w:r w:rsidRPr="001416ED">
        <w:rPr>
          <w:lang w:eastAsia="uk-UA" w:bidi="uk-UA"/>
        </w:rPr>
        <w:t xml:space="preserve"> досліджено, що у чоловіків кількість ЕТ</w:t>
      </w:r>
      <w:r w:rsidRPr="001416ED">
        <w:rPr>
          <w:vertAlign w:val="subscript"/>
          <w:lang w:eastAsia="uk-UA" w:bidi="uk-UA"/>
        </w:rPr>
        <w:t>А</w:t>
      </w:r>
      <w:r w:rsidR="00BC0119" w:rsidRPr="001416ED">
        <w:rPr>
          <w:lang w:eastAsia="uk-UA" w:bidi="uk-UA"/>
        </w:rPr>
        <w:t>–</w:t>
      </w:r>
      <w:r w:rsidRPr="001416ED">
        <w:rPr>
          <w:lang w:eastAsia="uk-UA" w:bidi="uk-UA"/>
        </w:rPr>
        <w:t xml:space="preserve"> рецепторів вища, ніж у жінок, що в свою чергу пояснює відповідно більш інтенсивну вазоконстрикцію [</w:t>
      </w:r>
      <w:r w:rsidR="003A2EA5" w:rsidRPr="001416ED">
        <w:rPr>
          <w:lang w:val="uk-UA" w:eastAsia="uk-UA" w:bidi="uk-UA"/>
        </w:rPr>
        <w:t>1</w:t>
      </w:r>
      <w:r w:rsidR="006F1E82" w:rsidRPr="001416ED">
        <w:rPr>
          <w:lang w:val="uk-UA" w:eastAsia="uk-UA" w:bidi="uk-UA"/>
        </w:rPr>
        <w:t>80</w:t>
      </w:r>
      <w:r w:rsidRPr="001416ED">
        <w:rPr>
          <w:lang w:eastAsia="uk-UA" w:bidi="uk-UA"/>
        </w:rPr>
        <w:t xml:space="preserve">]. </w:t>
      </w:r>
    </w:p>
    <w:p w:rsidR="00231F7B" w:rsidRPr="001416ED" w:rsidRDefault="00A9327B" w:rsidP="00E80D05">
      <w:pPr>
        <w:spacing w:line="360" w:lineRule="auto"/>
        <w:ind w:left="20" w:right="20" w:firstLine="709"/>
        <w:jc w:val="both"/>
        <w:rPr>
          <w:lang w:val="uk-UA" w:eastAsia="uk-UA" w:bidi="uk-UA"/>
        </w:rPr>
      </w:pPr>
      <w:r>
        <w:rPr>
          <w:noProof/>
          <w:sz w:val="16"/>
          <w:szCs w:val="16"/>
          <w:lang w:val="uk-UA" w:eastAsia="uk-UA"/>
        </w:rPr>
        <w:pict>
          <v:rect id="Rectangle 12" o:spid="_x0000_s1026" style="position:absolute;left:0;text-align:left;margin-left:358.4pt;margin-top:110.75pt;width:32.6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">
            <v:textbox style="mso-next-textbox:#Rectangle 12">
              <w:txbxContent>
                <w:p w:rsidR="00A9327B" w:rsidRPr="00A07CE4" w:rsidRDefault="00A9327B">
                  <w:pPr>
                    <w:rPr>
                      <w:sz w:val="12"/>
                      <w:szCs w:val="12"/>
                      <w:lang w:val="uk-UA"/>
                    </w:rPr>
                  </w:pPr>
                  <w:r>
                    <w:rPr>
                      <w:sz w:val="12"/>
                      <w:szCs w:val="12"/>
                      <w:lang w:val="uk-UA"/>
                    </w:rPr>
                    <w:t>Е</w:t>
                  </w:r>
                  <w:r w:rsidRPr="00A07CE4">
                    <w:rPr>
                      <w:sz w:val="12"/>
                      <w:szCs w:val="12"/>
                      <w:lang w:val="uk-UA"/>
                    </w:rPr>
                    <w:t>ПФ</w:t>
                  </w:r>
                </w:p>
              </w:txbxContent>
            </v:textbox>
          </v:rect>
        </w:pict>
      </w:r>
      <w:r>
        <w:rPr>
          <w:noProof/>
          <w:sz w:val="16"/>
          <w:szCs w:val="16"/>
          <w:lang w:val="uk-UA" w:eastAsia="uk-UA"/>
        </w:rPr>
        <w:pict>
          <v:rect id="Rectangle 13" o:spid="_x0000_s1027" style="position:absolute;left:0;text-align:left;margin-left:180.35pt;margin-top:102.3pt;width:68.6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">
            <v:textbox style="mso-next-textbox:#Rectangle 13">
              <w:txbxContent>
                <w:p w:rsidR="00A9327B" w:rsidRPr="00807C4C" w:rsidRDefault="00A9327B">
                  <w:pPr>
                    <w:rPr>
                      <w:sz w:val="20"/>
                      <w:szCs w:val="20"/>
                      <w:lang w:val="uk-UA"/>
                    </w:rPr>
                  </w:pPr>
                  <w:r>
                    <w:rPr>
                      <w:sz w:val="20"/>
                      <w:szCs w:val="20"/>
                      <w:lang w:val="uk-UA"/>
                    </w:rPr>
                    <w:t>Крововилив і запалення</w:t>
                  </w:r>
                </w:p>
              </w:txbxContent>
            </v:textbox>
          </v:rect>
        </w:pict>
      </w:r>
      <w:r>
        <w:rPr>
          <w:noProof/>
          <w:sz w:val="16"/>
          <w:szCs w:val="16"/>
          <w:lang w:val="uk-UA" w:eastAsia="uk-UA"/>
        </w:rPr>
        <w:pict>
          <v:rect id="Rectangle 9" o:spid="_x0000_s1028" style="position:absolute;left:0;text-align:left;margin-left:312.15pt;margin-top:94.15pt;width:70.6pt;height: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">
            <v:textbox style="mso-next-textbox:#Rectangle 9">
              <w:txbxContent>
                <w:p w:rsidR="00A9327B" w:rsidRPr="00E6245F" w:rsidRDefault="00A9327B">
                  <w:pPr>
                    <w:rPr>
                      <w:sz w:val="18"/>
                      <w:szCs w:val="18"/>
                      <w:lang w:val="uk-UA"/>
                    </w:rPr>
                  </w:pPr>
                  <w:r>
                    <w:rPr>
                      <w:sz w:val="18"/>
                      <w:szCs w:val="18"/>
                      <w:lang w:val="uk-UA"/>
                    </w:rPr>
                    <w:t>Великий ЕТ</w:t>
                  </w:r>
                </w:p>
              </w:txbxContent>
            </v:textbox>
          </v:rect>
        </w:pict>
      </w:r>
      <w:r>
        <w:rPr>
          <w:noProof/>
          <w:sz w:val="16"/>
          <w:szCs w:val="16"/>
          <w:lang w:val="uk-UA" w:eastAsia="uk-UA"/>
        </w:rPr>
        <w:pict>
          <v:rect id="Rectangle 11" o:spid="_x0000_s1029" style="position:absolute;left:0;text-align:left;margin-left:325.7pt;margin-top:304pt;width:102.6pt;height:2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">
            <v:textbox style="mso-next-textbox:#Rectangle 11">
              <w:txbxContent>
                <w:p w:rsidR="00A9327B" w:rsidRPr="0093079B" w:rsidRDefault="00A9327B" w:rsidP="0093079B">
                  <w:pPr>
                    <w:jc w:val="center"/>
                    <w:rPr>
                      <w:sz w:val="24"/>
                      <w:szCs w:val="24"/>
                      <w:lang w:val="uk-UA"/>
                    </w:rPr>
                  </w:pPr>
                  <w:r>
                    <w:rPr>
                      <w:sz w:val="24"/>
                      <w:szCs w:val="24"/>
                      <w:lang w:val="uk-UA"/>
                    </w:rPr>
                    <w:t>Фібробласт</w:t>
                  </w:r>
                </w:p>
              </w:txbxContent>
            </v:textbox>
          </v:rect>
        </w:pict>
      </w:r>
      <w:r>
        <w:rPr>
          <w:noProof/>
          <w:sz w:val="16"/>
          <w:szCs w:val="16"/>
          <w:lang w:val="uk-UA" w:eastAsia="uk-UA"/>
        </w:rPr>
        <w:pict>
          <v:rect id="Rectangle 10" o:spid="_x0000_s1030" style="position:absolute;left:0;text-align:left;margin-left:117.2pt;margin-top:304pt;width:131.75pt;height:2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">
            <v:textbox style="mso-next-textbox:#Rectangle 10">
              <w:txbxContent>
                <w:p w:rsidR="00A9327B" w:rsidRPr="0093079B" w:rsidRDefault="00A9327B" w:rsidP="0093079B">
                  <w:pPr>
                    <w:jc w:val="center"/>
                    <w:rPr>
                      <w:sz w:val="24"/>
                      <w:szCs w:val="24"/>
                      <w:lang w:val="uk-UA"/>
                    </w:rPr>
                  </w:pPr>
                  <w:r w:rsidRPr="0093079B">
                    <w:rPr>
                      <w:sz w:val="24"/>
                      <w:szCs w:val="24"/>
                      <w:lang w:val="uk-UA"/>
                    </w:rPr>
                    <w:t>ГМК судини</w:t>
                  </w:r>
                </w:p>
              </w:txbxContent>
            </v:textbox>
          </v:rect>
        </w:pict>
      </w:r>
      <w:r>
        <w:rPr>
          <w:noProof/>
          <w:sz w:val="16"/>
          <w:szCs w:val="16"/>
          <w:lang w:val="uk-UA" w:eastAsia="uk-UA"/>
        </w:rPr>
        <w:pict>
          <v:rect id="Rectangle 8" o:spid="_x0000_s1031" style="position:absolute;left:0;text-align:left;margin-left:325.7pt;margin-top:236.1pt;width:65.2pt;height:3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">
            <v:textbox style="mso-next-textbox:#Rectangle 8">
              <w:txbxContent>
                <w:p w:rsidR="00A9327B" w:rsidRPr="007C2A7C" w:rsidRDefault="00A9327B" w:rsidP="007C2A7C">
                  <w:pPr>
                    <w:jc w:val="center"/>
                    <w:rPr>
                      <w:lang w:val="uk-UA"/>
                    </w:rPr>
                  </w:pPr>
                  <w:r w:rsidRPr="007C2A7C">
                    <w:rPr>
                      <w:lang w:val="uk-UA"/>
                    </w:rPr>
                    <w:t>Фіброз</w:t>
                  </w:r>
                </w:p>
              </w:txbxContent>
            </v:textbox>
          </v:rect>
        </w:pict>
      </w:r>
      <w:r>
        <w:rPr>
          <w:noProof/>
          <w:sz w:val="16"/>
          <w:szCs w:val="16"/>
          <w:lang w:val="uk-UA" w:eastAsia="uk-UA"/>
        </w:rPr>
        <w:pict>
          <v:rect id="Rectangle 7" o:spid="_x0000_s1032" style="position:absolute;left:0;text-align:left;margin-left:193.95pt;margin-top:236.1pt;width:67.25pt;height:3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">
            <v:textbox style="mso-next-textbox:#Rectangle 7">
              <w:txbxContent>
                <w:p w:rsidR="00A9327B" w:rsidRPr="00B1054C" w:rsidRDefault="00A9327B">
                  <w:pPr>
                    <w:rPr>
                      <w:b/>
                      <w:sz w:val="16"/>
                      <w:szCs w:val="16"/>
                      <w:lang w:val="uk-UA"/>
                    </w:rPr>
                  </w:pPr>
                  <w:r w:rsidRPr="00B1054C">
                    <w:rPr>
                      <w:b/>
                      <w:sz w:val="16"/>
                      <w:szCs w:val="16"/>
                      <w:lang w:val="uk-UA"/>
                    </w:rPr>
                    <w:t>Скорочення і проліферація</w:t>
                  </w:r>
                </w:p>
              </w:txbxContent>
            </v:textbox>
          </v:rect>
        </w:pict>
      </w:r>
      <w:r>
        <w:rPr>
          <w:noProof/>
          <w:lang w:val="uk-UA" w:eastAsia="uk-UA"/>
        </w:rPr>
        <w:pict>
          <v:rect id="Rectangle 6" o:spid="_x0000_s1033" style="position:absolute;left:0;text-align:left;margin-left:101.55pt;margin-top:242.2pt;width:71.35pt;height:2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bBKQIAAE0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">
            <v:textbox style="mso-next-textbox:#Rectangle 6">
              <w:txbxContent>
                <w:p w:rsidR="00A9327B" w:rsidRPr="00B1054C" w:rsidRDefault="00A9327B" w:rsidP="00B1054C">
                  <w:pPr>
                    <w:jc w:val="center"/>
                    <w:rPr>
                      <w:b/>
                      <w:lang w:val="uk-UA"/>
                    </w:rPr>
                  </w:pPr>
                  <w:r w:rsidRPr="00B1054C">
                    <w:rPr>
                      <w:b/>
                      <w:sz w:val="16"/>
                      <w:szCs w:val="16"/>
                      <w:lang w:val="uk-UA"/>
                    </w:rPr>
                    <w:t>Розслаблення</w:t>
                  </w:r>
                </w:p>
              </w:txbxContent>
            </v:textbox>
          </v:rect>
        </w:pict>
      </w:r>
      <w:r>
        <w:rPr>
          <w:noProof/>
          <w:lang w:val="uk-UA" w:eastAsia="uk-UA"/>
        </w:rPr>
        <w:pict>
          <v:rect id="Rectangle 5" o:spid="_x0000_s1034" style="position:absolute;left:0;text-align:left;margin-left:208.2pt;margin-top:58.8pt;width:83.5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6TLAIAAE4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">
            <v:textbox style="mso-next-textbox:#Rectangle 5">
              <w:txbxContent>
                <w:p w:rsidR="00A9327B" w:rsidRPr="00231F7B" w:rsidRDefault="00A9327B" w:rsidP="00231F7B">
                  <w:pPr>
                    <w:jc w:val="center"/>
                    <w:rPr>
                      <w:sz w:val="22"/>
                      <w:szCs w:val="22"/>
                      <w:lang w:val="uk-UA"/>
                    </w:rPr>
                  </w:pPr>
                  <w:r w:rsidRPr="00231F7B">
                    <w:rPr>
                      <w:sz w:val="22"/>
                      <w:szCs w:val="22"/>
                      <w:lang w:val="uk-UA"/>
                    </w:rPr>
                    <w:t>Ендотелій</w:t>
                  </w:r>
                </w:p>
              </w:txbxContent>
            </v:textbox>
          </v:rect>
        </w:pict>
      </w:r>
      <w:r w:rsidR="00231F7B" w:rsidRPr="001416ED">
        <w:rPr>
          <w:noProof/>
          <w:lang w:val="uk-UA" w:eastAsia="uk-UA"/>
        </w:rPr>
        <w:drawing>
          <wp:inline distT="0" distB="0" distL="0" distR="0" wp14:anchorId="1D0FCFB1" wp14:editId="029F6CDB">
            <wp:extent cx="5710555" cy="4287520"/>
            <wp:effectExtent l="19050" t="0" r="4445" b="0"/>
            <wp:docPr id="4" name="Рисунок 4" descr="http://fundamed.ru/images/all/nphys/endo/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undamed.ru/images/all/nphys/endo/36.jpg"/>
                    <pic:cNvPicPr>
                      <a:picLocks noChangeAspect="1" noChangeArrowheads="1"/>
                    </pic:cNvPicPr>
                  </pic:nvPicPr>
                  <pic:blipFill>
                    <a:blip r:embed="rId13" cstate="print"/>
                    <a:srcRect/>
                    <a:stretch>
                      <a:fillRect/>
                    </a:stretch>
                  </pic:blipFill>
                  <pic:spPr bwMode="auto">
                    <a:xfrm>
                      <a:off x="0" y="0"/>
                      <a:ext cx="5710555" cy="4287520"/>
                    </a:xfrm>
                    <a:prstGeom prst="rect">
                      <a:avLst/>
                    </a:prstGeom>
                    <a:noFill/>
                    <a:ln w="9525">
                      <a:noFill/>
                      <a:miter lim="800000"/>
                      <a:headEnd/>
                      <a:tailEnd/>
                    </a:ln>
                  </pic:spPr>
                </pic:pic>
              </a:graphicData>
            </a:graphic>
          </wp:inline>
        </w:drawing>
      </w:r>
    </w:p>
    <w:p w:rsidR="008048A4" w:rsidRPr="001416ED" w:rsidRDefault="008048A4" w:rsidP="00D7793E">
      <w:pPr>
        <w:spacing w:after="240" w:line="360" w:lineRule="auto"/>
        <w:ind w:left="20" w:right="20" w:firstLine="709"/>
        <w:jc w:val="both"/>
        <w:rPr>
          <w:b/>
          <w:lang w:val="uk-UA"/>
        </w:rPr>
      </w:pPr>
      <w:r w:rsidRPr="001416ED">
        <w:rPr>
          <w:b/>
          <w:lang w:val="uk-UA"/>
        </w:rPr>
        <w:t>Рис.</w:t>
      </w:r>
      <w:r w:rsidR="00484D2A" w:rsidRPr="001416ED">
        <w:rPr>
          <w:b/>
          <w:lang w:val="uk-UA"/>
        </w:rPr>
        <w:t xml:space="preserve"> 1.2</w:t>
      </w:r>
      <w:r w:rsidRPr="001416ED">
        <w:rPr>
          <w:b/>
          <w:lang w:val="uk-UA"/>
        </w:rPr>
        <w:t xml:space="preserve"> Механізм реалізації дії </w:t>
      </w:r>
      <w:r w:rsidR="00D7793E" w:rsidRPr="001416ED">
        <w:rPr>
          <w:b/>
          <w:lang w:val="uk-UA"/>
        </w:rPr>
        <w:t>ЕТ</w:t>
      </w:r>
      <w:r w:rsidR="00BC0119" w:rsidRPr="001416ED">
        <w:rPr>
          <w:b/>
          <w:lang w:val="uk-UA"/>
        </w:rPr>
        <w:t>–</w:t>
      </w:r>
      <w:r w:rsidRPr="001416ED">
        <w:rPr>
          <w:b/>
          <w:lang w:val="uk-UA"/>
        </w:rPr>
        <w:t xml:space="preserve">1 на ГМК судини в нормі та </w:t>
      </w:r>
      <w:r w:rsidR="00D7793E" w:rsidRPr="001416ED">
        <w:rPr>
          <w:b/>
          <w:lang w:val="uk-UA"/>
        </w:rPr>
        <w:t xml:space="preserve">при </w:t>
      </w:r>
      <w:r w:rsidRPr="001416ED">
        <w:rPr>
          <w:b/>
          <w:lang w:val="uk-UA"/>
        </w:rPr>
        <w:t>патології</w:t>
      </w:r>
    </w:p>
    <w:p w:rsidR="00E80D05" w:rsidRPr="001416ED" w:rsidRDefault="00E80D05" w:rsidP="00E80D05">
      <w:pPr>
        <w:spacing w:line="360" w:lineRule="auto"/>
        <w:ind w:left="23" w:right="23" w:firstLine="709"/>
        <w:jc w:val="both"/>
        <w:rPr>
          <w:lang w:val="uk-UA"/>
        </w:rPr>
      </w:pPr>
      <w:r w:rsidRPr="001416ED">
        <w:t>Е</w:t>
      </w:r>
      <w:r w:rsidR="006050AE" w:rsidRPr="001416ED">
        <w:rPr>
          <w:lang w:val="uk-UA"/>
        </w:rPr>
        <w:t>Т</w:t>
      </w:r>
      <w:r w:rsidR="00BC0119" w:rsidRPr="001416ED">
        <w:t>–</w:t>
      </w:r>
      <w:r w:rsidRPr="001416ED">
        <w:t>1 здатний надавати антинатрійуретичний ефект, який реалізується внаслідок констрикції артерій клубочка нирки, а також безпосередньо констр</w:t>
      </w:r>
      <w:r w:rsidRPr="001416ED">
        <w:rPr>
          <w:lang w:val="uk-UA"/>
        </w:rPr>
        <w:t>и</w:t>
      </w:r>
      <w:r w:rsidRPr="001416ED">
        <w:t xml:space="preserve">кторного впливу на </w:t>
      </w:r>
      <w:proofErr w:type="gramStart"/>
      <w:r w:rsidRPr="001416ED">
        <w:t>ст</w:t>
      </w:r>
      <w:proofErr w:type="gramEnd"/>
      <w:r w:rsidRPr="001416ED">
        <w:t xml:space="preserve">інку судини як артерій, так і вен. До того ж </w:t>
      </w:r>
      <w:r w:rsidRPr="001416ED">
        <w:rPr>
          <w:lang w:val="uk-UA"/>
        </w:rPr>
        <w:t>ЕТ</w:t>
      </w:r>
      <w:r w:rsidR="00BC0119" w:rsidRPr="001416ED">
        <w:t>–</w:t>
      </w:r>
      <w:r w:rsidRPr="001416ED">
        <w:t>1 бере безпосередню участь у аутопаракр</w:t>
      </w:r>
      <w:r w:rsidRPr="001416ED">
        <w:rPr>
          <w:lang w:val="uk-UA"/>
        </w:rPr>
        <w:t>и</w:t>
      </w:r>
      <w:r w:rsidRPr="001416ED">
        <w:t>нному контролі секреції альдостерону, адреномедуліна і вазопресину</w:t>
      </w:r>
      <w:r w:rsidR="00832C5A" w:rsidRPr="001416ED">
        <w:rPr>
          <w:lang w:val="uk-UA"/>
        </w:rPr>
        <w:t>,</w:t>
      </w:r>
      <w:r w:rsidRPr="001416ED">
        <w:t xml:space="preserve"> і здатний індукувати тимчасову вазодилатацию, пов'язану з </w:t>
      </w:r>
      <w:proofErr w:type="gramStart"/>
      <w:r w:rsidRPr="001416ED">
        <w:t>п</w:t>
      </w:r>
      <w:proofErr w:type="gramEnd"/>
      <w:r w:rsidRPr="001416ED">
        <w:t>ідвищенням вивільнення NO з ендотеліальних клітин. Цей процес опосередковується рецепторами ендотеліну типу</w:t>
      </w:r>
      <w:proofErr w:type="gramStart"/>
      <w:r w:rsidRPr="001416ED">
        <w:t xml:space="preserve"> В</w:t>
      </w:r>
      <w:proofErr w:type="gramEnd"/>
      <w:r w:rsidRPr="001416ED">
        <w:t xml:space="preserve"> і можливий тільки при збереженій функції ендотелію [</w:t>
      </w:r>
      <w:r w:rsidR="006F1E82" w:rsidRPr="001416ED">
        <w:rPr>
          <w:lang w:val="uk-UA"/>
        </w:rPr>
        <w:t>163</w:t>
      </w:r>
      <w:r w:rsidRPr="001416ED">
        <w:t xml:space="preserve">]. </w:t>
      </w:r>
    </w:p>
    <w:p w:rsidR="00E80D05" w:rsidRPr="001416ED" w:rsidRDefault="00E80D05" w:rsidP="00E80D05">
      <w:pPr>
        <w:spacing w:line="360" w:lineRule="auto"/>
        <w:ind w:left="23" w:right="23" w:firstLine="709"/>
        <w:jc w:val="both"/>
      </w:pPr>
      <w:proofErr w:type="gramStart"/>
      <w:r w:rsidRPr="001416ED">
        <w:rPr>
          <w:lang w:eastAsia="uk-UA" w:bidi="uk-UA"/>
        </w:rPr>
        <w:lastRenderedPageBreak/>
        <w:t>Досл</w:t>
      </w:r>
      <w:proofErr w:type="gramEnd"/>
      <w:r w:rsidRPr="001416ED">
        <w:rPr>
          <w:lang w:eastAsia="uk-UA" w:bidi="uk-UA"/>
        </w:rPr>
        <w:t>іджен</w:t>
      </w:r>
      <w:r w:rsidR="00D7793E" w:rsidRPr="001416ED">
        <w:rPr>
          <w:lang w:val="uk-UA" w:eastAsia="uk-UA" w:bidi="uk-UA"/>
        </w:rPr>
        <w:t>і</w:t>
      </w:r>
      <w:r w:rsidRPr="001416ED">
        <w:rPr>
          <w:lang w:eastAsia="uk-UA" w:bidi="uk-UA"/>
        </w:rPr>
        <w:t xml:space="preserve"> впливи ЕТ</w:t>
      </w:r>
      <w:r w:rsidR="00BC0119" w:rsidRPr="001416ED">
        <w:rPr>
          <w:lang w:val="uk-UA" w:eastAsia="uk-UA" w:bidi="uk-UA"/>
        </w:rPr>
        <w:t>–</w:t>
      </w:r>
      <w:r w:rsidRPr="001416ED">
        <w:rPr>
          <w:lang w:val="uk-UA" w:eastAsia="uk-UA" w:bidi="uk-UA"/>
        </w:rPr>
        <w:t>1</w:t>
      </w:r>
      <w:r w:rsidRPr="001416ED">
        <w:rPr>
          <w:lang w:eastAsia="uk-UA" w:bidi="uk-UA"/>
        </w:rPr>
        <w:t xml:space="preserve"> на діяльність серця. Пе</w:t>
      </w:r>
      <w:r w:rsidRPr="001416ED">
        <w:rPr>
          <w:lang w:eastAsia="uk-UA" w:bidi="uk-UA"/>
        </w:rPr>
        <w:softHyphen/>
        <w:t>редсердя мають більше ЕТ</w:t>
      </w:r>
      <w:r w:rsidR="00BC0119" w:rsidRPr="001416ED">
        <w:rPr>
          <w:lang w:eastAsia="uk-UA" w:bidi="uk-UA"/>
        </w:rPr>
        <w:t>–</w:t>
      </w:r>
      <w:r w:rsidRPr="001416ED">
        <w:rPr>
          <w:lang w:eastAsia="uk-UA" w:bidi="uk-UA"/>
        </w:rPr>
        <w:t>рецепторів, ніж шлуноч</w:t>
      </w:r>
      <w:r w:rsidRPr="001416ED">
        <w:rPr>
          <w:lang w:eastAsia="uk-UA" w:bidi="uk-UA"/>
        </w:rPr>
        <w:softHyphen/>
        <w:t xml:space="preserve">ки. На відміну від </w:t>
      </w:r>
      <w:proofErr w:type="gramStart"/>
      <w:r w:rsidRPr="001416ED">
        <w:rPr>
          <w:lang w:eastAsia="uk-UA" w:bidi="uk-UA"/>
        </w:rPr>
        <w:t>д</w:t>
      </w:r>
      <w:proofErr w:type="gramEnd"/>
      <w:r w:rsidRPr="001416ED">
        <w:rPr>
          <w:lang w:eastAsia="uk-UA" w:bidi="uk-UA"/>
        </w:rPr>
        <w:t>ії інших вазоактивних і кардіостимулюючих пептидів, інотропні ефекти ЕТ</w:t>
      </w:r>
      <w:r w:rsidR="00BC0119" w:rsidRPr="001416ED">
        <w:rPr>
          <w:lang w:eastAsia="uk-UA" w:bidi="uk-UA"/>
        </w:rPr>
        <w:t>–</w:t>
      </w:r>
      <w:r w:rsidRPr="001416ED">
        <w:rPr>
          <w:lang w:eastAsia="uk-UA" w:bidi="uk-UA"/>
        </w:rPr>
        <w:t>1 роз</w:t>
      </w:r>
      <w:r w:rsidRPr="001416ED">
        <w:rPr>
          <w:lang w:eastAsia="uk-UA" w:bidi="uk-UA"/>
        </w:rPr>
        <w:softHyphen/>
        <w:t>виваються повільно, але тривають довше. ЕТ</w:t>
      </w:r>
      <w:r w:rsidR="00BC0119" w:rsidRPr="001416ED">
        <w:rPr>
          <w:lang w:eastAsia="uk-UA" w:bidi="uk-UA"/>
        </w:rPr>
        <w:t>–</w:t>
      </w:r>
      <w:r w:rsidRPr="001416ED">
        <w:rPr>
          <w:lang w:eastAsia="uk-UA" w:bidi="uk-UA"/>
        </w:rPr>
        <w:t>1 здатний здійснювати прямі кардіостимулювальні та кардіодепресивні впливи протягом відповідно гіп</w:t>
      </w:r>
      <w:proofErr w:type="gramStart"/>
      <w:r w:rsidRPr="001416ED">
        <w:rPr>
          <w:lang w:eastAsia="uk-UA" w:bidi="uk-UA"/>
        </w:rPr>
        <w:t>о</w:t>
      </w:r>
      <w:r w:rsidR="00BC0119" w:rsidRPr="001416ED">
        <w:rPr>
          <w:lang w:eastAsia="uk-UA" w:bidi="uk-UA"/>
        </w:rPr>
        <w:t>–</w:t>
      </w:r>
      <w:proofErr w:type="gramEnd"/>
      <w:r w:rsidRPr="001416ED">
        <w:rPr>
          <w:lang w:eastAsia="uk-UA" w:bidi="uk-UA"/>
        </w:rPr>
        <w:t xml:space="preserve"> і гіпертензивної фаз дії гормону на судини [</w:t>
      </w:r>
      <w:r w:rsidRPr="001416ED">
        <w:rPr>
          <w:lang w:val="uk-UA" w:eastAsia="uk-UA" w:bidi="uk-UA"/>
        </w:rPr>
        <w:t>1</w:t>
      </w:r>
      <w:r w:rsidR="006F1E82" w:rsidRPr="001416ED">
        <w:rPr>
          <w:lang w:val="uk-UA" w:eastAsia="uk-UA" w:bidi="uk-UA"/>
        </w:rPr>
        <w:t>86</w:t>
      </w:r>
      <w:r w:rsidRPr="001416ED">
        <w:rPr>
          <w:lang w:eastAsia="uk-UA" w:bidi="uk-UA"/>
        </w:rPr>
        <w:t>].</w:t>
      </w:r>
      <w:r w:rsidRPr="001416ED">
        <w:rPr>
          <w:sz w:val="27"/>
          <w:szCs w:val="27"/>
        </w:rPr>
        <w:t xml:space="preserve"> </w:t>
      </w:r>
      <w:r w:rsidRPr="001416ED">
        <w:rPr>
          <w:lang w:val="uk-UA"/>
        </w:rPr>
        <w:t>ЕТ</w:t>
      </w:r>
      <w:r w:rsidR="00BC0119" w:rsidRPr="001416ED">
        <w:rPr>
          <w:lang w:val="uk-UA"/>
        </w:rPr>
        <w:t>–</w:t>
      </w:r>
      <w:r w:rsidRPr="001416ED">
        <w:rPr>
          <w:lang w:val="uk-UA"/>
        </w:rPr>
        <w:t xml:space="preserve">1 </w:t>
      </w:r>
      <w:r w:rsidRPr="001416ED">
        <w:t xml:space="preserve">впливає не лише на тонус судин, призводячи до вираженої і стійкої вазоконстрикції, а й на скоротливість міокарда, величину переднавантаження і післянавантаження, агрегацію тромбоцитів тощо. Важливими властивостями </w:t>
      </w:r>
      <w:r w:rsidRPr="001416ED">
        <w:rPr>
          <w:lang w:val="uk-UA"/>
        </w:rPr>
        <w:t>ЕТ</w:t>
      </w:r>
      <w:r w:rsidR="00BC0119" w:rsidRPr="001416ED">
        <w:t>–</w:t>
      </w:r>
      <w:r w:rsidRPr="001416ED">
        <w:t xml:space="preserve">1 є його здатність “запускати” внутрішньоклітинні механізми, що призводять до посилення білкового синтезу і розвитку гіпертрофії серцевого м’яза. </w:t>
      </w:r>
      <w:proofErr w:type="gramStart"/>
      <w:r w:rsidRPr="001416ED">
        <w:t>Окр</w:t>
      </w:r>
      <w:proofErr w:type="gramEnd"/>
      <w:r w:rsidRPr="001416ED">
        <w:t xml:space="preserve">ім цього, </w:t>
      </w:r>
      <w:r w:rsidRPr="001416ED">
        <w:rPr>
          <w:lang w:val="uk-UA"/>
        </w:rPr>
        <w:t>ЕТ</w:t>
      </w:r>
      <w:r w:rsidR="00BC0119" w:rsidRPr="001416ED">
        <w:t>–</w:t>
      </w:r>
      <w:r w:rsidRPr="001416ED">
        <w:t xml:space="preserve">1 сприяє синтезу колагену в серцевому м’язі і розвитку кардіофіброзу. Важливу роль цей вазоконстриктор відіграє і в процесі </w:t>
      </w:r>
      <w:proofErr w:type="gramStart"/>
      <w:r w:rsidRPr="001416ED">
        <w:t>прист</w:t>
      </w:r>
      <w:proofErr w:type="gramEnd"/>
      <w:r w:rsidRPr="001416ED">
        <w:t>інкового тромбоутворення [</w:t>
      </w:r>
      <w:r w:rsidR="003A2EA5" w:rsidRPr="001416ED">
        <w:rPr>
          <w:lang w:val="uk-UA"/>
        </w:rPr>
        <w:t>1</w:t>
      </w:r>
      <w:r w:rsidR="006F1E82" w:rsidRPr="001416ED">
        <w:rPr>
          <w:lang w:val="uk-UA"/>
        </w:rPr>
        <w:t>46</w:t>
      </w:r>
      <w:r w:rsidRPr="001416ED">
        <w:t xml:space="preserve">, </w:t>
      </w:r>
      <w:r w:rsidRPr="001416ED">
        <w:rPr>
          <w:lang w:val="uk-UA"/>
        </w:rPr>
        <w:t>1</w:t>
      </w:r>
      <w:r w:rsidR="003A2EA5" w:rsidRPr="001416ED">
        <w:rPr>
          <w:lang w:val="uk-UA"/>
        </w:rPr>
        <w:t>5</w:t>
      </w:r>
      <w:r w:rsidR="004319E0" w:rsidRPr="001416ED">
        <w:rPr>
          <w:lang w:val="uk-UA"/>
        </w:rPr>
        <w:t>0</w:t>
      </w:r>
      <w:r w:rsidRPr="001416ED">
        <w:t xml:space="preserve">, </w:t>
      </w:r>
      <w:r w:rsidRPr="001416ED">
        <w:rPr>
          <w:lang w:val="uk-UA"/>
        </w:rPr>
        <w:t>1</w:t>
      </w:r>
      <w:r w:rsidR="004319E0" w:rsidRPr="001416ED">
        <w:rPr>
          <w:lang w:val="uk-UA"/>
        </w:rPr>
        <w:t>65</w:t>
      </w:r>
      <w:r w:rsidRPr="001416ED">
        <w:t>].</w:t>
      </w:r>
    </w:p>
    <w:p w:rsidR="00E80D05" w:rsidRPr="001416ED" w:rsidRDefault="00E80D05" w:rsidP="00E80D05">
      <w:pPr>
        <w:pStyle w:val="a5"/>
        <w:ind w:left="0" w:right="-1" w:firstLine="709"/>
        <w:jc w:val="both"/>
        <w:rPr>
          <w:b w:val="0"/>
          <w:szCs w:val="28"/>
          <w:lang w:val="ru-RU"/>
        </w:rPr>
      </w:pPr>
      <w:r w:rsidRPr="001416ED">
        <w:rPr>
          <w:b w:val="0"/>
          <w:szCs w:val="28"/>
          <w:lang w:eastAsia="uk-UA"/>
        </w:rPr>
        <w:t>Є свідчення про зворотний зв’язок між рівнем</w:t>
      </w:r>
      <w:r w:rsidR="00D7793E" w:rsidRPr="001416ED">
        <w:rPr>
          <w:b w:val="0"/>
          <w:szCs w:val="28"/>
          <w:lang w:eastAsia="uk-UA"/>
        </w:rPr>
        <w:t xml:space="preserve"> холестерину</w:t>
      </w:r>
      <w:r w:rsidRPr="001416ED">
        <w:rPr>
          <w:b w:val="0"/>
          <w:szCs w:val="28"/>
          <w:lang w:eastAsia="uk-UA"/>
        </w:rPr>
        <w:t xml:space="preserve"> </w:t>
      </w:r>
      <w:r w:rsidR="00D7793E" w:rsidRPr="001416ED">
        <w:rPr>
          <w:b w:val="0"/>
          <w:szCs w:val="28"/>
          <w:lang w:eastAsia="uk-UA"/>
        </w:rPr>
        <w:t>(</w:t>
      </w:r>
      <w:r w:rsidRPr="001416ED">
        <w:rPr>
          <w:b w:val="0"/>
          <w:szCs w:val="28"/>
          <w:lang w:eastAsia="uk-UA"/>
        </w:rPr>
        <w:t>ХС</w:t>
      </w:r>
      <w:r w:rsidR="00D7793E" w:rsidRPr="001416ED">
        <w:rPr>
          <w:b w:val="0"/>
          <w:szCs w:val="28"/>
          <w:lang w:eastAsia="uk-UA"/>
        </w:rPr>
        <w:t>)</w:t>
      </w:r>
      <w:r w:rsidRPr="001416ED">
        <w:rPr>
          <w:b w:val="0"/>
          <w:szCs w:val="28"/>
          <w:lang w:eastAsia="uk-UA"/>
        </w:rPr>
        <w:t xml:space="preserve"> плазми та ендотелійзалежною вазодилатацією: у пацієнтів з більш тяжкими формами дисліпідемії відзначають більш виражений ступінь ЕД [</w:t>
      </w:r>
      <w:r w:rsidR="003A2EA5" w:rsidRPr="001416ED">
        <w:rPr>
          <w:b w:val="0"/>
          <w:szCs w:val="28"/>
          <w:lang w:eastAsia="uk-UA"/>
        </w:rPr>
        <w:t>1</w:t>
      </w:r>
      <w:r w:rsidR="004319E0" w:rsidRPr="001416ED">
        <w:rPr>
          <w:b w:val="0"/>
          <w:szCs w:val="28"/>
          <w:lang w:eastAsia="uk-UA"/>
        </w:rPr>
        <w:t>08</w:t>
      </w:r>
      <w:r w:rsidRPr="001416ED">
        <w:rPr>
          <w:b w:val="0"/>
          <w:szCs w:val="28"/>
          <w:lang w:eastAsia="uk-UA"/>
        </w:rPr>
        <w:t xml:space="preserve">, </w:t>
      </w:r>
      <w:r w:rsidR="003A2EA5" w:rsidRPr="001416ED">
        <w:rPr>
          <w:b w:val="0"/>
          <w:szCs w:val="28"/>
          <w:lang w:eastAsia="uk-UA"/>
        </w:rPr>
        <w:t>1</w:t>
      </w:r>
      <w:r w:rsidR="004319E0" w:rsidRPr="001416ED">
        <w:rPr>
          <w:b w:val="0"/>
          <w:szCs w:val="28"/>
          <w:lang w:eastAsia="uk-UA"/>
        </w:rPr>
        <w:t>46</w:t>
      </w:r>
      <w:r w:rsidRPr="001416ED">
        <w:rPr>
          <w:b w:val="0"/>
          <w:szCs w:val="28"/>
          <w:lang w:eastAsia="uk-UA"/>
        </w:rPr>
        <w:t>].</w:t>
      </w:r>
      <w:r w:rsidRPr="001416ED">
        <w:rPr>
          <w:szCs w:val="28"/>
        </w:rPr>
        <w:t xml:space="preserve"> </w:t>
      </w:r>
      <w:r w:rsidRPr="001416ED">
        <w:rPr>
          <w:b w:val="0"/>
          <w:szCs w:val="28"/>
        </w:rPr>
        <w:t>На культурі ендотеліальних клітин пуповини людини було показано, що ЛПНЩ збільшували секрецію ЕТ</w:t>
      </w:r>
      <w:r w:rsidR="00BC0119" w:rsidRPr="001416ED">
        <w:rPr>
          <w:b w:val="0"/>
          <w:szCs w:val="28"/>
        </w:rPr>
        <w:t>–</w:t>
      </w:r>
      <w:r w:rsidRPr="001416ED">
        <w:rPr>
          <w:b w:val="0"/>
          <w:szCs w:val="28"/>
        </w:rPr>
        <w:t>1, тоді як ЛПВЩ, навпаки, цей процес гальмували [</w:t>
      </w:r>
      <w:r w:rsidR="000F693D" w:rsidRPr="001416ED">
        <w:rPr>
          <w:b w:val="0"/>
          <w:szCs w:val="28"/>
        </w:rPr>
        <w:t>1</w:t>
      </w:r>
      <w:r w:rsidR="004319E0" w:rsidRPr="001416ED">
        <w:rPr>
          <w:b w:val="0"/>
          <w:szCs w:val="28"/>
        </w:rPr>
        <w:t>09</w:t>
      </w:r>
      <w:r w:rsidRPr="001416ED">
        <w:rPr>
          <w:b w:val="0"/>
          <w:szCs w:val="28"/>
        </w:rPr>
        <w:t>]. У хворих</w:t>
      </w:r>
      <w:r w:rsidR="00D7793E" w:rsidRPr="001416ED">
        <w:rPr>
          <w:b w:val="0"/>
          <w:szCs w:val="28"/>
        </w:rPr>
        <w:t xml:space="preserve"> з</w:t>
      </w:r>
      <w:r w:rsidRPr="001416ED">
        <w:rPr>
          <w:b w:val="0"/>
          <w:szCs w:val="28"/>
        </w:rPr>
        <w:t xml:space="preserve"> атеросклерозом відзначають зміни активності </w:t>
      </w:r>
      <w:r w:rsidR="003C6184" w:rsidRPr="001416ED">
        <w:rPr>
          <w:b w:val="0"/>
          <w:szCs w:val="28"/>
        </w:rPr>
        <w:t>ендотелінперетворюючого</w:t>
      </w:r>
      <w:r w:rsidRPr="001416ED">
        <w:rPr>
          <w:b w:val="0"/>
          <w:szCs w:val="28"/>
        </w:rPr>
        <w:t xml:space="preserve"> ферменту. Було виявлено особливо високе конвертування ЕТ</w:t>
      </w:r>
      <w:r w:rsidR="00BC0119" w:rsidRPr="001416ED">
        <w:rPr>
          <w:b w:val="0"/>
          <w:szCs w:val="28"/>
        </w:rPr>
        <w:t>–</w:t>
      </w:r>
      <w:r w:rsidRPr="001416ED">
        <w:rPr>
          <w:b w:val="0"/>
          <w:szCs w:val="28"/>
        </w:rPr>
        <w:t>1 в артеріях пацієнтів, що страждали коронарним атеросклерозом [1</w:t>
      </w:r>
      <w:r w:rsidR="000F693D" w:rsidRPr="001416ED">
        <w:rPr>
          <w:b w:val="0"/>
          <w:szCs w:val="28"/>
        </w:rPr>
        <w:t>4</w:t>
      </w:r>
      <w:r w:rsidR="004319E0" w:rsidRPr="001416ED">
        <w:rPr>
          <w:b w:val="0"/>
          <w:szCs w:val="28"/>
        </w:rPr>
        <w:t>0</w:t>
      </w:r>
      <w:r w:rsidRPr="001416ED">
        <w:rPr>
          <w:b w:val="0"/>
          <w:szCs w:val="28"/>
        </w:rPr>
        <w:t xml:space="preserve">]. Таким чином, пошкодження інтими вінцевих судин, що веде до розвитку атеросклерозу, також супроводжується експресією </w:t>
      </w:r>
      <w:r w:rsidR="003C6184" w:rsidRPr="001416ED">
        <w:rPr>
          <w:b w:val="0"/>
          <w:szCs w:val="28"/>
        </w:rPr>
        <w:t>ендотелінперетворюючого</w:t>
      </w:r>
      <w:r w:rsidRPr="001416ED">
        <w:rPr>
          <w:b w:val="0"/>
          <w:szCs w:val="28"/>
        </w:rPr>
        <w:t xml:space="preserve"> ферменту і одночасним інтенсивним локальним синтезом пептиду.  Цілком ймовірно, ЕТ</w:t>
      </w:r>
      <w:r w:rsidR="00BC0119" w:rsidRPr="001416ED">
        <w:rPr>
          <w:b w:val="0"/>
          <w:szCs w:val="28"/>
        </w:rPr>
        <w:t>–</w:t>
      </w:r>
      <w:r w:rsidRPr="001416ED">
        <w:rPr>
          <w:b w:val="0"/>
          <w:szCs w:val="28"/>
        </w:rPr>
        <w:t>1 впливає не тільки на процеси формування атеросклеротичної бляшки, але і її дестабілізації. Це підтверджує той факт, що вміст ЕТ</w:t>
      </w:r>
      <w:r w:rsidR="00BC0119" w:rsidRPr="001416ED">
        <w:rPr>
          <w:b w:val="0"/>
          <w:szCs w:val="28"/>
        </w:rPr>
        <w:t>–</w:t>
      </w:r>
      <w:r w:rsidRPr="001416ED">
        <w:rPr>
          <w:b w:val="0"/>
          <w:szCs w:val="28"/>
        </w:rPr>
        <w:t>1 в нестабільних атеросклеротичних бляшках значно вище, ніж у стабільних [</w:t>
      </w:r>
      <w:r w:rsidR="008E5BE9" w:rsidRPr="001416ED">
        <w:rPr>
          <w:b w:val="0"/>
          <w:szCs w:val="28"/>
        </w:rPr>
        <w:t>3</w:t>
      </w:r>
      <w:r w:rsidR="004319E0" w:rsidRPr="001416ED">
        <w:rPr>
          <w:b w:val="0"/>
          <w:szCs w:val="28"/>
        </w:rPr>
        <w:t>1</w:t>
      </w:r>
      <w:r w:rsidRPr="001416ED">
        <w:rPr>
          <w:b w:val="0"/>
          <w:szCs w:val="28"/>
        </w:rPr>
        <w:t>].</w:t>
      </w:r>
      <w:r w:rsidR="00BC3A36" w:rsidRPr="001416ED">
        <w:rPr>
          <w:b w:val="0"/>
          <w:szCs w:val="28"/>
        </w:rPr>
        <w:t xml:space="preserve"> </w:t>
      </w:r>
    </w:p>
    <w:p w:rsidR="00E80D05" w:rsidRPr="001416ED" w:rsidRDefault="00E80D05" w:rsidP="00E80D05">
      <w:pPr>
        <w:autoSpaceDE w:val="0"/>
        <w:autoSpaceDN w:val="0"/>
        <w:adjustRightInd w:val="0"/>
        <w:spacing w:line="360" w:lineRule="auto"/>
        <w:ind w:firstLine="709"/>
        <w:jc w:val="both"/>
        <w:rPr>
          <w:rFonts w:eastAsiaTheme="minorHAnsi"/>
          <w:lang w:val="uk-UA" w:eastAsia="en-US"/>
        </w:rPr>
      </w:pPr>
      <w:r w:rsidRPr="001416ED">
        <w:t>Доведено, що ЕТ</w:t>
      </w:r>
      <w:r w:rsidR="00BC0119" w:rsidRPr="001416ED">
        <w:t>–</w:t>
      </w:r>
      <w:r w:rsidRPr="001416ED">
        <w:t xml:space="preserve">1 є одним із маркерів </w:t>
      </w:r>
      <w:r w:rsidR="006F773F" w:rsidRPr="001416ED">
        <w:rPr>
          <w:lang w:val="uk-UA"/>
        </w:rPr>
        <w:t>важкості</w:t>
      </w:r>
      <w:r w:rsidRPr="001416ED">
        <w:t xml:space="preserve"> ГХ, що визначається </w:t>
      </w:r>
      <w:proofErr w:type="gramStart"/>
      <w:r w:rsidRPr="001416ED">
        <w:t>п</w:t>
      </w:r>
      <w:proofErr w:type="gramEnd"/>
      <w:r w:rsidRPr="001416ED">
        <w:rPr>
          <w:lang w:val="uk-UA"/>
        </w:rPr>
        <w:t>ідвищення</w:t>
      </w:r>
      <w:r w:rsidRPr="001416ED">
        <w:t>м</w:t>
      </w:r>
      <w:r w:rsidRPr="001416ED">
        <w:rPr>
          <w:lang w:val="uk-UA"/>
        </w:rPr>
        <w:t xml:space="preserve"> </w:t>
      </w:r>
      <w:r w:rsidRPr="001416ED">
        <w:t xml:space="preserve">його </w:t>
      </w:r>
      <w:r w:rsidRPr="001416ED">
        <w:rPr>
          <w:lang w:val="uk-UA"/>
        </w:rPr>
        <w:t>вмісту в периферичн</w:t>
      </w:r>
      <w:r w:rsidRPr="001416ED">
        <w:t xml:space="preserve">ій </w:t>
      </w:r>
      <w:r w:rsidRPr="001416ED">
        <w:rPr>
          <w:lang w:val="uk-UA"/>
        </w:rPr>
        <w:t xml:space="preserve">крові. На кафедрі внутрішньої медицини медичного факультету №2 ВНМУ ім. М.І. Пирогова </w:t>
      </w:r>
      <w:r w:rsidRPr="001416ED">
        <w:rPr>
          <w:rFonts w:eastAsia="TimesNewRomanPSMT"/>
          <w:lang w:val="uk-UA" w:eastAsia="en-US"/>
        </w:rPr>
        <w:t xml:space="preserve">було здійснено </w:t>
      </w:r>
      <w:r w:rsidRPr="001416ED">
        <w:rPr>
          <w:rFonts w:eastAsia="TimesNewRomanPSMT"/>
          <w:lang w:val="uk-UA" w:eastAsia="en-US"/>
        </w:rPr>
        <w:lastRenderedPageBreak/>
        <w:t>дослідження плазмових рівнів ЕТ</w:t>
      </w:r>
      <w:r w:rsidR="00BC0119" w:rsidRPr="001416ED">
        <w:rPr>
          <w:rFonts w:eastAsia="TimesNewRomanPSMT"/>
          <w:lang w:val="uk-UA" w:eastAsia="en-US"/>
        </w:rPr>
        <w:t>–</w:t>
      </w:r>
      <w:r w:rsidRPr="001416ED">
        <w:rPr>
          <w:rFonts w:eastAsia="TimesNewRomanPSMT"/>
          <w:lang w:val="uk-UA" w:eastAsia="en-US"/>
        </w:rPr>
        <w:t xml:space="preserve">1 у жінок </w:t>
      </w:r>
      <w:r w:rsidR="005523C8">
        <w:rPr>
          <w:rFonts w:eastAsia="TimesNewRomanPSMT"/>
          <w:lang w:val="uk-UA" w:eastAsia="en-US"/>
        </w:rPr>
        <w:t>в</w:t>
      </w:r>
      <w:r w:rsidRPr="001416ED">
        <w:rPr>
          <w:rFonts w:eastAsia="TimesNewRomanPSMT"/>
          <w:lang w:val="uk-UA" w:eastAsia="en-US"/>
        </w:rPr>
        <w:t xml:space="preserve"> період постменопаузи, хворих на ГХ І та ІІ стаді</w:t>
      </w:r>
      <w:r w:rsidR="00D7793E" w:rsidRPr="001416ED">
        <w:rPr>
          <w:rFonts w:eastAsia="TimesNewRomanPSMT"/>
          <w:lang w:val="uk-UA" w:eastAsia="en-US"/>
        </w:rPr>
        <w:t>ї</w:t>
      </w:r>
      <w:r w:rsidRPr="001416ED">
        <w:rPr>
          <w:rFonts w:eastAsia="TimesNewRomanPSMT"/>
          <w:lang w:val="uk-UA" w:eastAsia="en-US"/>
        </w:rPr>
        <w:t>, що проживають у м. Вінниця та Вінницькій області. Визначений найв</w:t>
      </w:r>
      <w:r w:rsidRPr="001416ED">
        <w:rPr>
          <w:lang w:val="uk-UA"/>
        </w:rPr>
        <w:t>ищий рівень ЕТ</w:t>
      </w:r>
      <w:r w:rsidR="00BC0119" w:rsidRPr="001416ED">
        <w:rPr>
          <w:lang w:val="uk-UA"/>
        </w:rPr>
        <w:t>–</w:t>
      </w:r>
      <w:r w:rsidRPr="001416ED">
        <w:rPr>
          <w:lang w:val="uk-UA"/>
        </w:rPr>
        <w:t xml:space="preserve">1 у плазмі крові </w:t>
      </w:r>
      <w:r w:rsidR="00D7793E" w:rsidRPr="001416ED">
        <w:rPr>
          <w:lang w:val="uk-UA"/>
        </w:rPr>
        <w:t>жінок, які хворі на ГХ ІІ ст.</w:t>
      </w:r>
      <w:r w:rsidRPr="001416ED">
        <w:rPr>
          <w:lang w:val="uk-UA"/>
        </w:rPr>
        <w:t>, що асоцію</w:t>
      </w:r>
      <w:r w:rsidR="00491AA9">
        <w:rPr>
          <w:lang w:val="uk-UA"/>
        </w:rPr>
        <w:t>є</w:t>
      </w:r>
      <w:r w:rsidRPr="001416ED">
        <w:rPr>
          <w:lang w:val="uk-UA"/>
        </w:rPr>
        <w:t xml:space="preserve">ться з </w:t>
      </w:r>
      <w:r w:rsidR="000C20E0">
        <w:rPr>
          <w:lang w:val="uk-UA"/>
        </w:rPr>
        <w:t>вираженою гіпертрофією лівого шлуночка (ГЛШ)</w:t>
      </w:r>
      <w:r w:rsidRPr="001416ED">
        <w:rPr>
          <w:lang w:val="uk-UA"/>
        </w:rPr>
        <w:t xml:space="preserve"> [</w:t>
      </w:r>
      <w:r w:rsidR="008E5BE9" w:rsidRPr="001416ED">
        <w:rPr>
          <w:lang w:val="uk-UA"/>
        </w:rPr>
        <w:t>6</w:t>
      </w:r>
      <w:r w:rsidR="00AC0AB4" w:rsidRPr="001416ED">
        <w:rPr>
          <w:lang w:val="uk-UA"/>
        </w:rPr>
        <w:t>4</w:t>
      </w:r>
      <w:r w:rsidRPr="001416ED">
        <w:rPr>
          <w:lang w:val="uk-UA"/>
        </w:rPr>
        <w:t>].</w:t>
      </w:r>
      <w:r w:rsidRPr="001416ED">
        <w:rPr>
          <w:rFonts w:eastAsia="TimesNewRomanPSMT"/>
          <w:lang w:val="uk-UA" w:eastAsia="en-US"/>
        </w:rPr>
        <w:t xml:space="preserve"> </w:t>
      </w:r>
      <w:r w:rsidR="00376F32" w:rsidRPr="001416ED">
        <w:rPr>
          <w:rFonts w:eastAsia="TimesNewRomanPSMT"/>
          <w:lang w:val="uk-UA" w:eastAsia="en-US"/>
        </w:rPr>
        <w:t>У</w:t>
      </w:r>
      <w:r w:rsidRPr="001416ED">
        <w:rPr>
          <w:rFonts w:eastAsia="TimesNewRomanPSMT"/>
          <w:lang w:val="uk-UA" w:eastAsia="en-US"/>
        </w:rPr>
        <w:t xml:space="preserve"> пацієнток постменопаузного віку з ГХ ІІ та ІІІ стадій (які перенесли ІМ або МІ), мешканок Вінницької області, визначалися достовірно вищі плазмові концентрації ЕТ</w:t>
      </w:r>
      <w:r w:rsidR="00BC0119" w:rsidRPr="001416ED">
        <w:rPr>
          <w:rFonts w:eastAsia="TimesNewRomanPSMT"/>
          <w:lang w:val="uk-UA" w:eastAsia="en-US"/>
        </w:rPr>
        <w:t>–</w:t>
      </w:r>
      <w:r w:rsidRPr="001416ED">
        <w:rPr>
          <w:rFonts w:eastAsia="TimesNewRomanPSMT"/>
          <w:lang w:val="uk-UA" w:eastAsia="en-US"/>
        </w:rPr>
        <w:t xml:space="preserve">1 порівняно з практично здоровими особами. При чому найвищий рівень вказаного пептиду встановлений у пацієнток з ГХ, що перенесли ІМ або МІ </w:t>
      </w:r>
      <w:r w:rsidRPr="001416ED">
        <w:rPr>
          <w:lang w:val="uk-UA"/>
        </w:rPr>
        <w:t>[1</w:t>
      </w:r>
      <w:r w:rsidR="00AC0AB4" w:rsidRPr="001416ED">
        <w:rPr>
          <w:lang w:val="uk-UA"/>
        </w:rPr>
        <w:t>5</w:t>
      </w:r>
      <w:r w:rsidRPr="001416ED">
        <w:rPr>
          <w:lang w:val="uk-UA"/>
        </w:rPr>
        <w:t xml:space="preserve">]. </w:t>
      </w:r>
      <w:r w:rsidRPr="001416ED">
        <w:rPr>
          <w:rFonts w:eastAsia="TimesNewRomanPSMT"/>
          <w:lang w:val="uk-UA" w:eastAsia="en-US"/>
        </w:rPr>
        <w:t>Виявлено, що плазмова концентрація ЕТ</w:t>
      </w:r>
      <w:r w:rsidR="00BC0119" w:rsidRPr="001416ED">
        <w:rPr>
          <w:rFonts w:eastAsia="TimesNewRomanPSMT"/>
          <w:lang w:val="uk-UA" w:eastAsia="en-US"/>
        </w:rPr>
        <w:t>–</w:t>
      </w:r>
      <w:r w:rsidRPr="001416ED">
        <w:rPr>
          <w:rFonts w:eastAsia="TimesNewRomanPSMT"/>
          <w:lang w:val="uk-UA" w:eastAsia="en-US"/>
        </w:rPr>
        <w:t>1 достовірно вища у носіїв генотипу АС та СС гена АТ1</w:t>
      </w:r>
      <w:r w:rsidR="00BC0119" w:rsidRPr="001416ED">
        <w:rPr>
          <w:rFonts w:eastAsia="TimesNewRomanPSMT"/>
          <w:lang w:val="uk-UA" w:eastAsia="en-US"/>
        </w:rPr>
        <w:t>–</w:t>
      </w:r>
      <w:r w:rsidRPr="001416ED">
        <w:rPr>
          <w:rFonts w:eastAsia="TimesNewRomanPSMT"/>
          <w:lang w:val="uk-UA" w:eastAsia="en-US"/>
        </w:rPr>
        <w:t>Р порівняно з генотипом АА у всіх досліджуваних групах хворих (р&lt;0,05). При носійстві алелі С (А1166С) визначено найбільшу плазмову концентрацію ЕТ</w:t>
      </w:r>
      <w:r w:rsidR="00BC0119" w:rsidRPr="001416ED">
        <w:rPr>
          <w:rFonts w:eastAsia="TimesNewRomanPSMT"/>
          <w:lang w:val="uk-UA" w:eastAsia="en-US"/>
        </w:rPr>
        <w:t>–</w:t>
      </w:r>
      <w:r w:rsidRPr="001416ED">
        <w:rPr>
          <w:rFonts w:eastAsia="TimesNewRomanPSMT"/>
          <w:lang w:val="uk-UA" w:eastAsia="en-US"/>
        </w:rPr>
        <w:t xml:space="preserve">1 </w:t>
      </w:r>
      <w:r w:rsidRPr="001416ED">
        <w:rPr>
          <w:lang w:val="uk-UA"/>
        </w:rPr>
        <w:t>[</w:t>
      </w:r>
      <w:r w:rsidR="00AC0AB4" w:rsidRPr="001416ED">
        <w:rPr>
          <w:lang w:val="uk-UA"/>
        </w:rPr>
        <w:t>85</w:t>
      </w:r>
      <w:r w:rsidRPr="001416ED">
        <w:rPr>
          <w:lang w:val="uk-UA"/>
        </w:rPr>
        <w:t>].</w:t>
      </w:r>
      <w:r w:rsidR="00376F32" w:rsidRPr="001416ED">
        <w:rPr>
          <w:lang w:val="uk-UA"/>
        </w:rPr>
        <w:t xml:space="preserve"> Порівнюючи</w:t>
      </w:r>
      <w:r w:rsidRPr="001416ED">
        <w:rPr>
          <w:lang w:val="uk-UA"/>
        </w:rPr>
        <w:t xml:space="preserve"> практично здорових жінок та пацієнток з </w:t>
      </w:r>
      <w:r w:rsidR="00376F32" w:rsidRPr="001416ED">
        <w:rPr>
          <w:lang w:val="uk-UA"/>
        </w:rPr>
        <w:t xml:space="preserve">ГХ </w:t>
      </w:r>
      <w:r w:rsidRPr="001416ED">
        <w:rPr>
          <w:lang w:val="uk-UA"/>
        </w:rPr>
        <w:t>ІІ та ІІІ стаді</w:t>
      </w:r>
      <w:r w:rsidR="00376F32" w:rsidRPr="001416ED">
        <w:rPr>
          <w:lang w:val="uk-UA"/>
        </w:rPr>
        <w:t>ї</w:t>
      </w:r>
      <w:r w:rsidRPr="001416ED">
        <w:rPr>
          <w:lang w:val="uk-UA"/>
        </w:rPr>
        <w:t xml:space="preserve"> (</w:t>
      </w:r>
      <w:r w:rsidR="00376F32" w:rsidRPr="001416ED">
        <w:rPr>
          <w:lang w:val="uk-UA"/>
        </w:rPr>
        <w:t xml:space="preserve">що </w:t>
      </w:r>
      <w:r w:rsidRPr="001416ED">
        <w:rPr>
          <w:lang w:val="uk-UA"/>
        </w:rPr>
        <w:t>ускладнен</w:t>
      </w:r>
      <w:r w:rsidR="00376F32" w:rsidRPr="001416ED">
        <w:rPr>
          <w:lang w:val="uk-UA"/>
        </w:rPr>
        <w:t>а</w:t>
      </w:r>
      <w:r w:rsidRPr="001416ED">
        <w:rPr>
          <w:lang w:val="uk-UA"/>
        </w:rPr>
        <w:t xml:space="preserve"> ХСН </w:t>
      </w:r>
      <w:r w:rsidR="004A4E68" w:rsidRPr="001416ED">
        <w:rPr>
          <w:lang w:val="uk-UA"/>
        </w:rPr>
        <w:t>ІІ А</w:t>
      </w:r>
      <w:r w:rsidRPr="001416ED">
        <w:rPr>
          <w:lang w:val="uk-UA"/>
        </w:rPr>
        <w:t xml:space="preserve"> </w:t>
      </w:r>
      <w:r w:rsidR="00376F32" w:rsidRPr="001416ED">
        <w:rPr>
          <w:lang w:val="uk-UA"/>
        </w:rPr>
        <w:t>ст.</w:t>
      </w:r>
      <w:r w:rsidRPr="001416ED">
        <w:rPr>
          <w:lang w:val="uk-UA"/>
        </w:rPr>
        <w:t>) постменопаузного віку, визначено, що концентрація ЕТ</w:t>
      </w:r>
      <w:r w:rsidR="00BC0119" w:rsidRPr="001416ED">
        <w:rPr>
          <w:lang w:val="uk-UA"/>
        </w:rPr>
        <w:t>–</w:t>
      </w:r>
      <w:r w:rsidRPr="001416ED">
        <w:rPr>
          <w:lang w:val="uk-UA"/>
        </w:rPr>
        <w:t xml:space="preserve">1 є найвищою у пацієнток із ознаками ХСН. </w:t>
      </w:r>
      <w:r w:rsidRPr="001416ED">
        <w:t xml:space="preserve">У хворих з </w:t>
      </w:r>
      <w:r w:rsidR="00376F32" w:rsidRPr="001416ED">
        <w:rPr>
          <w:lang w:val="uk-UA"/>
        </w:rPr>
        <w:t>ГХ</w:t>
      </w:r>
      <w:r w:rsidRPr="001416ED">
        <w:t xml:space="preserve"> та ХСН </w:t>
      </w:r>
      <w:r w:rsidR="004A4E68" w:rsidRPr="001416ED">
        <w:t>ІІ А</w:t>
      </w:r>
      <w:r w:rsidRPr="001416ED">
        <w:t xml:space="preserve"> стадії </w:t>
      </w:r>
      <w:r w:rsidR="00376F32" w:rsidRPr="001416ED">
        <w:rPr>
          <w:lang w:val="uk-UA"/>
        </w:rPr>
        <w:t>з</w:t>
      </w:r>
      <w:r w:rsidRPr="001416ED">
        <w:t xml:space="preserve"> </w:t>
      </w:r>
      <w:r w:rsidR="008C117F" w:rsidRPr="001416ED">
        <w:rPr>
          <w:lang w:val="uk-UA"/>
        </w:rPr>
        <w:t>ФВ &lt; 45 %</w:t>
      </w:r>
      <w:r w:rsidRPr="001416ED">
        <w:t xml:space="preserve"> ЛШ </w:t>
      </w:r>
      <w:proofErr w:type="gramStart"/>
      <w:r w:rsidRPr="001416ED">
        <w:t>р</w:t>
      </w:r>
      <w:proofErr w:type="gramEnd"/>
      <w:r w:rsidRPr="001416ED">
        <w:t>івень ЕТ</w:t>
      </w:r>
      <w:r w:rsidR="00BC0119" w:rsidRPr="001416ED">
        <w:t>–</w:t>
      </w:r>
      <w:r w:rsidRPr="001416ED">
        <w:t>1 в плазмі крові вищий, ніж у жінок із Х</w:t>
      </w:r>
      <w:r w:rsidR="009D144F">
        <w:t xml:space="preserve">СН та збереженою </w:t>
      </w:r>
      <w:r w:rsidR="009D144F">
        <w:rPr>
          <w:lang w:val="uk-UA"/>
        </w:rPr>
        <w:t>ФВ</w:t>
      </w:r>
      <w:r w:rsidRPr="001416ED">
        <w:t xml:space="preserve"> [</w:t>
      </w:r>
      <w:r w:rsidR="00F81FF5" w:rsidRPr="001416ED">
        <w:rPr>
          <w:lang w:val="uk-UA"/>
        </w:rPr>
        <w:t>7</w:t>
      </w:r>
      <w:r w:rsidR="00AC0AB4" w:rsidRPr="001416ED">
        <w:rPr>
          <w:lang w:val="uk-UA"/>
        </w:rPr>
        <w:t>3</w:t>
      </w:r>
      <w:r w:rsidRPr="001416ED">
        <w:t>].</w:t>
      </w:r>
      <w:r w:rsidRPr="001416ED">
        <w:rPr>
          <w:rFonts w:eastAsia="TimesNewRomanPSMT"/>
          <w:lang w:val="uk-UA" w:eastAsia="en-US"/>
        </w:rPr>
        <w:t xml:space="preserve"> </w:t>
      </w:r>
      <w:r w:rsidRPr="001416ED">
        <w:rPr>
          <w:rFonts w:eastAsiaTheme="minorHAnsi"/>
          <w:iCs/>
          <w:lang w:val="uk-UA" w:eastAsia="en-US"/>
        </w:rPr>
        <w:t xml:space="preserve">У роботі </w:t>
      </w:r>
      <w:r w:rsidR="00E855AE" w:rsidRPr="001416ED">
        <w:rPr>
          <w:rFonts w:eastAsiaTheme="minorHAnsi"/>
          <w:iCs/>
          <w:lang w:val="uk-UA" w:eastAsia="en-US"/>
        </w:rPr>
        <w:t xml:space="preserve">С. О. </w:t>
      </w:r>
      <w:r w:rsidRPr="001416ED">
        <w:rPr>
          <w:rFonts w:eastAsiaTheme="minorHAnsi"/>
          <w:iCs/>
          <w:lang w:val="uk-UA" w:eastAsia="en-US"/>
        </w:rPr>
        <w:t>Степанця вивчались особливості продукції ЕТ</w:t>
      </w:r>
      <w:r w:rsidR="00BC0119" w:rsidRPr="001416ED">
        <w:rPr>
          <w:rFonts w:eastAsiaTheme="minorHAnsi"/>
          <w:iCs/>
          <w:lang w:val="uk-UA" w:eastAsia="en-US"/>
        </w:rPr>
        <w:t>–</w:t>
      </w:r>
      <w:r w:rsidRPr="001416ED">
        <w:rPr>
          <w:rFonts w:eastAsiaTheme="minorHAnsi"/>
          <w:iCs/>
          <w:lang w:val="uk-UA" w:eastAsia="en-US"/>
        </w:rPr>
        <w:t>1 у чоловіків, хворих на ГХ І та ІІ стадій мешканців Подільського регіону з різними генотипами гена пероксисом</w:t>
      </w:r>
      <w:r w:rsidR="00BC0119" w:rsidRPr="001416ED">
        <w:rPr>
          <w:rFonts w:eastAsiaTheme="minorHAnsi"/>
          <w:iCs/>
          <w:lang w:val="uk-UA" w:eastAsia="en-US"/>
        </w:rPr>
        <w:t>–</w:t>
      </w:r>
      <w:r w:rsidRPr="001416ED">
        <w:rPr>
          <w:rFonts w:eastAsiaTheme="minorHAnsi"/>
          <w:iCs/>
          <w:lang w:val="uk-UA" w:eastAsia="en-US"/>
        </w:rPr>
        <w:t>проліфера</w:t>
      </w:r>
      <w:r w:rsidR="000A2541">
        <w:rPr>
          <w:rFonts w:eastAsiaTheme="minorHAnsi"/>
          <w:iCs/>
          <w:lang w:val="uk-UA" w:eastAsia="en-US"/>
        </w:rPr>
        <w:t>тор активуючих рецепторів гамма</w:t>
      </w:r>
      <w:r w:rsidRPr="001416ED">
        <w:rPr>
          <w:rFonts w:eastAsiaTheme="minorHAnsi"/>
          <w:iCs/>
          <w:lang w:val="uk-UA" w:eastAsia="en-US"/>
        </w:rPr>
        <w:t>.</w:t>
      </w:r>
      <w:r w:rsidRPr="001416ED">
        <w:rPr>
          <w:rFonts w:eastAsiaTheme="minorHAnsi"/>
          <w:lang w:val="uk-UA" w:eastAsia="en-US"/>
        </w:rPr>
        <w:t xml:space="preserve"> Показано, що плазмові концентрації ЕТ</w:t>
      </w:r>
      <w:r w:rsidR="00BC0119" w:rsidRPr="001416ED">
        <w:rPr>
          <w:rFonts w:eastAsiaTheme="minorHAnsi"/>
          <w:lang w:val="uk-UA" w:eastAsia="en-US"/>
        </w:rPr>
        <w:t>–</w:t>
      </w:r>
      <w:r w:rsidRPr="001416ED">
        <w:rPr>
          <w:rFonts w:eastAsiaTheme="minorHAnsi"/>
          <w:lang w:val="uk-UA" w:eastAsia="en-US"/>
        </w:rPr>
        <w:t xml:space="preserve">1 у чоловіків з ГХ, достовірно вищі порівняно з практично здоровими особами. При цьому найвищий рівень зазначеного пептиду виявлений у пацієнтів </w:t>
      </w:r>
      <w:r w:rsidR="00376F32" w:rsidRPr="001416ED">
        <w:rPr>
          <w:rFonts w:eastAsiaTheme="minorHAnsi"/>
          <w:lang w:val="uk-UA" w:eastAsia="en-US"/>
        </w:rPr>
        <w:t>з</w:t>
      </w:r>
      <w:r w:rsidRPr="001416ED">
        <w:rPr>
          <w:rFonts w:eastAsiaTheme="minorHAnsi"/>
          <w:lang w:val="uk-UA" w:eastAsia="en-US"/>
        </w:rPr>
        <w:t xml:space="preserve"> ГХ ІІ </w:t>
      </w:r>
      <w:r w:rsidR="00376F32" w:rsidRPr="001416ED">
        <w:rPr>
          <w:rFonts w:eastAsiaTheme="minorHAnsi"/>
          <w:lang w:val="uk-UA" w:eastAsia="en-US"/>
        </w:rPr>
        <w:t xml:space="preserve">ст. </w:t>
      </w:r>
      <w:r w:rsidRPr="001416ED">
        <w:rPr>
          <w:rFonts w:eastAsiaTheme="minorHAnsi"/>
          <w:lang w:val="uk-UA" w:eastAsia="en-US"/>
        </w:rPr>
        <w:t>[</w:t>
      </w:r>
      <w:r w:rsidR="00AC0AB4" w:rsidRPr="001416ED">
        <w:rPr>
          <w:rFonts w:eastAsiaTheme="minorHAnsi"/>
          <w:lang w:val="uk-UA" w:eastAsia="en-US"/>
        </w:rPr>
        <w:t>79</w:t>
      </w:r>
      <w:r w:rsidRPr="001416ED">
        <w:rPr>
          <w:rFonts w:eastAsiaTheme="minorHAnsi"/>
          <w:lang w:val="uk-UA" w:eastAsia="en-US"/>
        </w:rPr>
        <w:t>].</w:t>
      </w:r>
    </w:p>
    <w:p w:rsidR="00E80D05" w:rsidRPr="001416ED" w:rsidRDefault="00E80D05" w:rsidP="00E80D05">
      <w:pPr>
        <w:spacing w:line="360" w:lineRule="auto"/>
        <w:ind w:firstLine="720"/>
        <w:jc w:val="both"/>
        <w:rPr>
          <w:lang w:val="uk-UA"/>
        </w:rPr>
      </w:pPr>
      <w:r w:rsidRPr="001416ED">
        <w:t>На кафедрі</w:t>
      </w:r>
      <w:r w:rsidRPr="001416ED">
        <w:rPr>
          <w:rFonts w:eastAsia="Calibri"/>
          <w:iCs/>
        </w:rPr>
        <w:t xml:space="preserve"> внутрішньої медицини №1 ВНМУ ім. М.І. Пирогова</w:t>
      </w:r>
      <w:r w:rsidRPr="001416ED">
        <w:rPr>
          <w:iCs/>
        </w:rPr>
        <w:t xml:space="preserve"> проводиться вивчення ЕТ</w:t>
      </w:r>
      <w:r w:rsidR="00BC0119" w:rsidRPr="001416ED">
        <w:rPr>
          <w:iCs/>
        </w:rPr>
        <w:t>–</w:t>
      </w:r>
      <w:r w:rsidRPr="001416ED">
        <w:rPr>
          <w:iCs/>
        </w:rPr>
        <w:t xml:space="preserve">1 як маркера </w:t>
      </w:r>
      <w:proofErr w:type="gramStart"/>
      <w:r w:rsidRPr="001416ED">
        <w:rPr>
          <w:iCs/>
        </w:rPr>
        <w:t>ЕД</w:t>
      </w:r>
      <w:proofErr w:type="gramEnd"/>
      <w:r w:rsidRPr="001416ED">
        <w:rPr>
          <w:iCs/>
        </w:rPr>
        <w:t xml:space="preserve"> при ІХС та ЕГ. </w:t>
      </w:r>
      <w:r w:rsidR="00376F32" w:rsidRPr="001416ED">
        <w:rPr>
          <w:iCs/>
          <w:lang w:val="uk-UA"/>
        </w:rPr>
        <w:t>П</w:t>
      </w:r>
      <w:r w:rsidRPr="001416ED">
        <w:rPr>
          <w:iCs/>
        </w:rPr>
        <w:t>оказано, що</w:t>
      </w:r>
      <w:r w:rsidRPr="001416ED">
        <w:rPr>
          <w:iCs/>
          <w:lang w:val="uk-UA"/>
        </w:rPr>
        <w:t xml:space="preserve"> функціональний</w:t>
      </w:r>
      <w:r w:rsidRPr="001416ED">
        <w:rPr>
          <w:iCs/>
        </w:rPr>
        <w:t xml:space="preserve"> стан судинного ендотелію є фактором, що впливає на</w:t>
      </w:r>
      <w:r w:rsidRPr="001416ED">
        <w:rPr>
          <w:iCs/>
          <w:lang w:val="uk-UA"/>
        </w:rPr>
        <w:t xml:space="preserve"> процеси ремоделювання</w:t>
      </w:r>
      <w:r w:rsidRPr="001416ED">
        <w:rPr>
          <w:iCs/>
        </w:rPr>
        <w:t xml:space="preserve"> серця і судин, і</w:t>
      </w:r>
      <w:r w:rsidRPr="001416ED">
        <w:rPr>
          <w:iCs/>
          <w:lang w:val="uk-UA"/>
        </w:rPr>
        <w:t xml:space="preserve"> грає важливу</w:t>
      </w:r>
      <w:r w:rsidRPr="001416ED">
        <w:rPr>
          <w:iCs/>
        </w:rPr>
        <w:t xml:space="preserve"> роль в</w:t>
      </w:r>
      <w:r w:rsidRPr="001416ED">
        <w:rPr>
          <w:iCs/>
          <w:lang w:val="uk-UA"/>
        </w:rPr>
        <w:t xml:space="preserve"> прогресуванні</w:t>
      </w:r>
      <w:r w:rsidRPr="001416ED">
        <w:rPr>
          <w:iCs/>
        </w:rPr>
        <w:t xml:space="preserve"> серцево</w:t>
      </w:r>
      <w:r w:rsidR="00BC0119" w:rsidRPr="001416ED">
        <w:rPr>
          <w:iCs/>
          <w:lang w:val="uk-UA"/>
        </w:rPr>
        <w:t>–</w:t>
      </w:r>
      <w:r w:rsidRPr="001416ED">
        <w:rPr>
          <w:iCs/>
          <w:lang w:val="uk-UA"/>
        </w:rPr>
        <w:t>судинної патології</w:t>
      </w:r>
      <w:r w:rsidRPr="001416ED">
        <w:rPr>
          <w:iCs/>
        </w:rPr>
        <w:t xml:space="preserve"> і ЕГ</w:t>
      </w:r>
      <w:r w:rsidR="004D0B76" w:rsidRPr="001416ED">
        <w:rPr>
          <w:iCs/>
          <w:lang w:val="uk-UA"/>
        </w:rPr>
        <w:t>,</w:t>
      </w:r>
      <w:r w:rsidRPr="001416ED">
        <w:rPr>
          <w:iCs/>
          <w:lang w:val="uk-UA"/>
        </w:rPr>
        <w:t xml:space="preserve"> зокрема</w:t>
      </w:r>
      <w:r w:rsidRPr="001416ED">
        <w:rPr>
          <w:iCs/>
        </w:rPr>
        <w:t xml:space="preserve"> </w:t>
      </w:r>
      <w:r w:rsidRPr="001416ED">
        <w:t>[</w:t>
      </w:r>
      <w:r w:rsidR="00AC0AB4" w:rsidRPr="001416ED">
        <w:rPr>
          <w:lang w:val="uk-UA"/>
        </w:rPr>
        <w:t>48</w:t>
      </w:r>
      <w:r w:rsidRPr="001416ED">
        <w:t>]</w:t>
      </w:r>
      <w:r w:rsidRPr="001416ED">
        <w:rPr>
          <w:iCs/>
        </w:rPr>
        <w:t xml:space="preserve">.  </w:t>
      </w:r>
      <w:r w:rsidRPr="001416ED">
        <w:rPr>
          <w:lang w:eastAsia="uk-UA"/>
        </w:rPr>
        <w:t>У</w:t>
      </w:r>
      <w:r w:rsidRPr="001416ED">
        <w:rPr>
          <w:lang w:val="uk-UA" w:eastAsia="uk-UA"/>
        </w:rPr>
        <w:t xml:space="preserve"> роботі</w:t>
      </w:r>
      <w:r w:rsidRPr="001416ED">
        <w:rPr>
          <w:lang w:eastAsia="uk-UA"/>
        </w:rPr>
        <w:t xml:space="preserve"> В. К. Сєркової та Н. М. Горобець показано, що</w:t>
      </w:r>
      <w:r w:rsidRPr="001416ED">
        <w:t xml:space="preserve"> АГ,</w:t>
      </w:r>
      <w:r w:rsidRPr="001416ED">
        <w:rPr>
          <w:lang w:val="uk-UA"/>
        </w:rPr>
        <w:t xml:space="preserve"> незалежно</w:t>
      </w:r>
      <w:r w:rsidRPr="001416ED">
        <w:t xml:space="preserve"> від причини</w:t>
      </w:r>
      <w:r w:rsidRPr="001416ED">
        <w:rPr>
          <w:lang w:val="uk-UA"/>
        </w:rPr>
        <w:t xml:space="preserve"> її виникнення</w:t>
      </w:r>
      <w:r w:rsidRPr="001416ED">
        <w:t>, супроводжується</w:t>
      </w:r>
      <w:r w:rsidRPr="001416ED">
        <w:rPr>
          <w:lang w:val="uk-UA"/>
        </w:rPr>
        <w:t xml:space="preserve"> значним</w:t>
      </w:r>
      <w:r w:rsidRPr="001416ED">
        <w:t xml:space="preserve"> </w:t>
      </w:r>
      <w:proofErr w:type="gramStart"/>
      <w:r w:rsidRPr="001416ED">
        <w:t>п</w:t>
      </w:r>
      <w:proofErr w:type="gramEnd"/>
      <w:r w:rsidRPr="001416ED">
        <w:t>ідвищенням</w:t>
      </w:r>
      <w:r w:rsidRPr="001416ED">
        <w:rPr>
          <w:lang w:val="uk-UA"/>
        </w:rPr>
        <w:t xml:space="preserve"> рівня</w:t>
      </w:r>
      <w:r w:rsidRPr="001416ED">
        <w:t xml:space="preserve"> ЕТ</w:t>
      </w:r>
      <w:r w:rsidR="00BC0119" w:rsidRPr="001416ED">
        <w:t>–</w:t>
      </w:r>
      <w:r w:rsidRPr="001416ED">
        <w:t>1 у плазмі крові. Більш</w:t>
      </w:r>
      <w:r w:rsidRPr="001416ED">
        <w:rPr>
          <w:lang w:val="uk-UA"/>
        </w:rPr>
        <w:t xml:space="preserve"> виражене збільшення плазмової концентрації</w:t>
      </w:r>
      <w:r w:rsidRPr="001416ED">
        <w:t xml:space="preserve"> ЕТ</w:t>
      </w:r>
      <w:r w:rsidR="00BC0119" w:rsidRPr="001416ED">
        <w:t>–</w:t>
      </w:r>
      <w:r w:rsidRPr="001416ED">
        <w:t>1 у</w:t>
      </w:r>
      <w:r w:rsidRPr="001416ED">
        <w:rPr>
          <w:lang w:val="uk-UA"/>
        </w:rPr>
        <w:t xml:space="preserve"> пацієнтів</w:t>
      </w:r>
      <w:r w:rsidRPr="001416ED">
        <w:t xml:space="preserve"> з АГ</w:t>
      </w:r>
      <w:r w:rsidRPr="001416ED">
        <w:rPr>
          <w:lang w:val="uk-UA"/>
        </w:rPr>
        <w:t xml:space="preserve"> ниркового ґенезу</w:t>
      </w:r>
      <w:r w:rsidRPr="001416ED">
        <w:t>,</w:t>
      </w:r>
      <w:r w:rsidRPr="001416ED">
        <w:rPr>
          <w:lang w:val="uk-UA"/>
        </w:rPr>
        <w:t xml:space="preserve"> порівняно</w:t>
      </w:r>
      <w:r w:rsidRPr="001416ED">
        <w:t xml:space="preserve"> з</w:t>
      </w:r>
      <w:r w:rsidRPr="001416ED">
        <w:rPr>
          <w:lang w:val="uk-UA"/>
        </w:rPr>
        <w:t xml:space="preserve"> хворими</w:t>
      </w:r>
      <w:r w:rsidRPr="001416ED">
        <w:t xml:space="preserve"> на ЕГ,</w:t>
      </w:r>
      <w:r w:rsidRPr="001416ED">
        <w:rPr>
          <w:lang w:val="uk-UA"/>
        </w:rPr>
        <w:t xml:space="preserve"> може</w:t>
      </w:r>
      <w:r w:rsidRPr="001416ED">
        <w:t xml:space="preserve"> бути</w:t>
      </w:r>
      <w:r w:rsidRPr="001416ED">
        <w:rPr>
          <w:lang w:val="uk-UA"/>
        </w:rPr>
        <w:t xml:space="preserve"> підґрунтям</w:t>
      </w:r>
      <w:r w:rsidRPr="001416ED">
        <w:t xml:space="preserve"> для</w:t>
      </w:r>
      <w:r w:rsidRPr="001416ED">
        <w:rPr>
          <w:lang w:val="uk-UA"/>
        </w:rPr>
        <w:t xml:space="preserve"> використання визначення рівня</w:t>
      </w:r>
      <w:r w:rsidRPr="001416ED">
        <w:t xml:space="preserve"> ЕТ</w:t>
      </w:r>
      <w:r w:rsidR="00BC0119" w:rsidRPr="001416ED">
        <w:t>–</w:t>
      </w:r>
      <w:r w:rsidRPr="001416ED">
        <w:t xml:space="preserve">1 </w:t>
      </w:r>
      <w:r w:rsidR="000F6800" w:rsidRPr="001416ED">
        <w:rPr>
          <w:lang w:val="uk-UA"/>
        </w:rPr>
        <w:t xml:space="preserve">в плазмі крові </w:t>
      </w:r>
      <w:r w:rsidRPr="001416ED">
        <w:t xml:space="preserve">як </w:t>
      </w:r>
      <w:r w:rsidRPr="001416ED">
        <w:lastRenderedPageBreak/>
        <w:t>одного з</w:t>
      </w:r>
      <w:r w:rsidRPr="001416ED">
        <w:rPr>
          <w:lang w:val="uk-UA"/>
        </w:rPr>
        <w:t xml:space="preserve"> диференційно</w:t>
      </w:r>
      <w:r w:rsidR="00BC0119" w:rsidRPr="001416ED">
        <w:rPr>
          <w:lang w:val="uk-UA"/>
        </w:rPr>
        <w:t>–</w:t>
      </w:r>
      <w:r w:rsidRPr="001416ED">
        <w:rPr>
          <w:lang w:val="uk-UA"/>
        </w:rPr>
        <w:t>діагностичних критеріїв</w:t>
      </w:r>
      <w:r w:rsidRPr="001416ED">
        <w:t xml:space="preserve"> АГ [</w:t>
      </w:r>
      <w:r w:rsidR="00AC0AB4" w:rsidRPr="001416ED">
        <w:rPr>
          <w:lang w:val="uk-UA"/>
        </w:rPr>
        <w:t>76</w:t>
      </w:r>
      <w:r w:rsidRPr="001416ED">
        <w:t>].</w:t>
      </w:r>
      <w:r w:rsidRPr="001416ED">
        <w:rPr>
          <w:rFonts w:eastAsia="Calibri"/>
          <w:lang w:eastAsia="uk-UA"/>
        </w:rPr>
        <w:t xml:space="preserve"> Н. </w:t>
      </w:r>
      <w:r w:rsidR="006C2A48" w:rsidRPr="001416ED">
        <w:rPr>
          <w:rFonts w:eastAsia="Calibri"/>
          <w:lang w:val="uk-UA" w:eastAsia="uk-UA"/>
        </w:rPr>
        <w:t>В</w:t>
      </w:r>
      <w:r w:rsidRPr="001416ED">
        <w:rPr>
          <w:rFonts w:eastAsia="Calibri"/>
          <w:lang w:eastAsia="uk-UA"/>
        </w:rPr>
        <w:t>.</w:t>
      </w:r>
      <w:r w:rsidRPr="001416ED">
        <w:rPr>
          <w:rFonts w:eastAsia="Calibri"/>
          <w:lang w:val="uk-UA" w:eastAsia="uk-UA"/>
        </w:rPr>
        <w:t xml:space="preserve"> Кузьмінова </w:t>
      </w:r>
      <w:proofErr w:type="gramStart"/>
      <w:r w:rsidRPr="001416ED">
        <w:rPr>
          <w:rFonts w:eastAsia="Calibri"/>
          <w:lang w:val="uk-UA" w:eastAsia="uk-UA"/>
        </w:rPr>
        <w:t>досл</w:t>
      </w:r>
      <w:proofErr w:type="gramEnd"/>
      <w:r w:rsidRPr="001416ED">
        <w:rPr>
          <w:rFonts w:eastAsia="Calibri"/>
          <w:lang w:val="uk-UA" w:eastAsia="uk-UA"/>
        </w:rPr>
        <w:t>ідила</w:t>
      </w:r>
      <w:r w:rsidRPr="001416ED">
        <w:rPr>
          <w:rFonts w:eastAsia="Calibri"/>
          <w:lang w:eastAsia="uk-UA"/>
        </w:rPr>
        <w:t xml:space="preserve">, що у </w:t>
      </w:r>
      <w:r w:rsidRPr="001416ED">
        <w:t xml:space="preserve">хворих на </w:t>
      </w:r>
      <w:r w:rsidR="000F6800" w:rsidRPr="001416ED">
        <w:rPr>
          <w:lang w:val="uk-UA"/>
        </w:rPr>
        <w:t>ГХ</w:t>
      </w:r>
      <w:r w:rsidRPr="001416ED">
        <w:t xml:space="preserve"> ІІ ст</w:t>
      </w:r>
      <w:r w:rsidR="000F6800" w:rsidRPr="001416ED">
        <w:rPr>
          <w:lang w:val="uk-UA"/>
        </w:rPr>
        <w:t xml:space="preserve">. </w:t>
      </w:r>
      <w:r w:rsidRPr="001416ED">
        <w:rPr>
          <w:lang w:val="uk-UA"/>
        </w:rPr>
        <w:t>спостерігається</w:t>
      </w:r>
      <w:r w:rsidRPr="001416ED">
        <w:t xml:space="preserve"> підвищення</w:t>
      </w:r>
      <w:r w:rsidRPr="001416ED">
        <w:rPr>
          <w:lang w:val="uk-UA"/>
        </w:rPr>
        <w:t xml:space="preserve"> рівня</w:t>
      </w:r>
      <w:r w:rsidRPr="001416ED">
        <w:t xml:space="preserve"> основного вазоконстриктора ЕТ</w:t>
      </w:r>
      <w:r w:rsidR="00BC0119" w:rsidRPr="001416ED">
        <w:t>–</w:t>
      </w:r>
      <w:r w:rsidRPr="001416ED">
        <w:t>1. У</w:t>
      </w:r>
      <w:r w:rsidRPr="001416ED">
        <w:rPr>
          <w:lang w:val="uk-UA"/>
        </w:rPr>
        <w:t xml:space="preserve"> пацієнтів</w:t>
      </w:r>
      <w:r w:rsidRPr="001416ED">
        <w:t xml:space="preserve"> з </w:t>
      </w:r>
      <w:r w:rsidR="000F6800" w:rsidRPr="001416ED">
        <w:rPr>
          <w:lang w:val="uk-UA"/>
        </w:rPr>
        <w:t>ГХ</w:t>
      </w:r>
      <w:r w:rsidRPr="001416ED">
        <w:t xml:space="preserve"> ІІІ стадії відбувається</w:t>
      </w:r>
      <w:r w:rsidRPr="001416ED">
        <w:rPr>
          <w:lang w:val="uk-UA"/>
        </w:rPr>
        <w:t xml:space="preserve"> значне зростання </w:t>
      </w:r>
      <w:proofErr w:type="gramStart"/>
      <w:r w:rsidRPr="001416ED">
        <w:rPr>
          <w:lang w:val="uk-UA"/>
        </w:rPr>
        <w:t>р</w:t>
      </w:r>
      <w:proofErr w:type="gramEnd"/>
      <w:r w:rsidRPr="001416ED">
        <w:rPr>
          <w:lang w:val="uk-UA"/>
        </w:rPr>
        <w:t>івня</w:t>
      </w:r>
      <w:r w:rsidRPr="001416ED">
        <w:t xml:space="preserve"> ЕТ</w:t>
      </w:r>
      <w:r w:rsidR="00BC0119" w:rsidRPr="001416ED">
        <w:t>–</w:t>
      </w:r>
      <w:r w:rsidRPr="001416ED">
        <w:t>1</w:t>
      </w:r>
      <w:r w:rsidRPr="001416ED">
        <w:rPr>
          <w:lang w:val="uk-UA"/>
        </w:rPr>
        <w:t xml:space="preserve"> порівняно</w:t>
      </w:r>
      <w:r w:rsidRPr="001416ED">
        <w:t xml:space="preserve"> з</w:t>
      </w:r>
      <w:r w:rsidRPr="001416ED">
        <w:rPr>
          <w:lang w:val="uk-UA"/>
        </w:rPr>
        <w:t xml:space="preserve"> хворими</w:t>
      </w:r>
      <w:r w:rsidRPr="001416ED">
        <w:t xml:space="preserve"> на </w:t>
      </w:r>
      <w:r w:rsidR="000F6800" w:rsidRPr="001416ED">
        <w:rPr>
          <w:lang w:val="uk-UA"/>
        </w:rPr>
        <w:t>ГХ</w:t>
      </w:r>
      <w:r w:rsidRPr="001416ED">
        <w:t xml:space="preserve"> ІІ стадії, що</w:t>
      </w:r>
      <w:r w:rsidRPr="001416ED">
        <w:rPr>
          <w:lang w:val="uk-UA"/>
        </w:rPr>
        <w:t xml:space="preserve"> може служити несприятливим прогностичним критерієм</w:t>
      </w:r>
      <w:r w:rsidRPr="001416ED">
        <w:t xml:space="preserve">  для хворих на ЕГ [</w:t>
      </w:r>
      <w:r w:rsidR="00AC0AB4" w:rsidRPr="001416ED">
        <w:rPr>
          <w:lang w:val="uk-UA"/>
        </w:rPr>
        <w:t>49</w:t>
      </w:r>
      <w:r w:rsidRPr="001416ED">
        <w:t xml:space="preserve">]. </w:t>
      </w:r>
    </w:p>
    <w:p w:rsidR="00E80D05" w:rsidRPr="001416ED" w:rsidRDefault="00E80D05" w:rsidP="00E80D05">
      <w:pPr>
        <w:pStyle w:val="32"/>
        <w:spacing w:line="360" w:lineRule="auto"/>
        <w:ind w:left="0" w:firstLine="709"/>
        <w:jc w:val="both"/>
        <w:rPr>
          <w:color w:val="auto"/>
          <w:lang w:val="uk-UA"/>
        </w:rPr>
      </w:pPr>
      <w:r w:rsidRPr="001416ED">
        <w:rPr>
          <w:rFonts w:eastAsiaTheme="minorHAnsi"/>
          <w:color w:val="auto"/>
          <w:sz w:val="28"/>
          <w:szCs w:val="28"/>
          <w:lang w:val="uk-UA" w:eastAsia="en-US"/>
        </w:rPr>
        <w:t>У</w:t>
      </w:r>
      <w:r w:rsidRPr="001416ED">
        <w:rPr>
          <w:rFonts w:eastAsiaTheme="minorHAnsi"/>
          <w:color w:val="auto"/>
          <w:lang w:val="uk-UA" w:eastAsia="en-US"/>
        </w:rPr>
        <w:t xml:space="preserve"> </w:t>
      </w:r>
      <w:r w:rsidRPr="001416ED">
        <w:rPr>
          <w:rFonts w:eastAsiaTheme="minorHAnsi"/>
          <w:color w:val="auto"/>
          <w:sz w:val="28"/>
          <w:szCs w:val="28"/>
          <w:lang w:val="uk-UA" w:eastAsia="en-US"/>
        </w:rPr>
        <w:t xml:space="preserve">роботі </w:t>
      </w:r>
      <w:r w:rsidR="00E855AE" w:rsidRPr="001416ED">
        <w:rPr>
          <w:rFonts w:eastAsiaTheme="minorHAnsi"/>
          <w:color w:val="auto"/>
          <w:sz w:val="28"/>
          <w:szCs w:val="28"/>
          <w:lang w:val="uk-UA" w:eastAsia="en-US"/>
        </w:rPr>
        <w:t xml:space="preserve">С. І. </w:t>
      </w:r>
      <w:r w:rsidRPr="001416ED">
        <w:rPr>
          <w:rFonts w:eastAsiaTheme="minorHAnsi"/>
          <w:color w:val="auto"/>
          <w:sz w:val="28"/>
          <w:szCs w:val="28"/>
          <w:lang w:val="uk-UA" w:eastAsia="en-US"/>
        </w:rPr>
        <w:t>Треумової (Україна, м. Полтава) показано, що у пацієнтів, що мають хронічне обструктивне захворювання легень</w:t>
      </w:r>
      <w:r w:rsidR="00E855AE" w:rsidRPr="001416ED">
        <w:rPr>
          <w:rFonts w:eastAsiaTheme="minorHAnsi"/>
          <w:color w:val="auto"/>
          <w:sz w:val="28"/>
          <w:szCs w:val="28"/>
          <w:lang w:val="uk-UA" w:eastAsia="en-US"/>
        </w:rPr>
        <w:t xml:space="preserve"> та</w:t>
      </w:r>
      <w:r w:rsidRPr="001416ED">
        <w:rPr>
          <w:rFonts w:eastAsiaTheme="minorHAnsi"/>
          <w:color w:val="auto"/>
          <w:sz w:val="28"/>
          <w:szCs w:val="28"/>
          <w:lang w:val="uk-UA" w:eastAsia="en-US"/>
        </w:rPr>
        <w:t xml:space="preserve"> хронічне легеневе серце, що поєднуються з ГХ, рівень ЕТ</w:t>
      </w:r>
      <w:r w:rsidR="00BC0119" w:rsidRPr="001416ED">
        <w:rPr>
          <w:rFonts w:eastAsiaTheme="minorHAnsi"/>
          <w:color w:val="auto"/>
          <w:sz w:val="28"/>
          <w:szCs w:val="28"/>
          <w:lang w:val="uk-UA" w:eastAsia="en-US"/>
        </w:rPr>
        <w:t>–</w:t>
      </w:r>
      <w:r w:rsidRPr="001416ED">
        <w:rPr>
          <w:rFonts w:eastAsiaTheme="minorHAnsi"/>
          <w:color w:val="auto"/>
          <w:sz w:val="28"/>
          <w:szCs w:val="28"/>
          <w:lang w:val="uk-UA" w:eastAsia="en-US"/>
        </w:rPr>
        <w:t>1 достовірно вище, ніж у осіб зі згаданими захворюваннями без ГХ [</w:t>
      </w:r>
      <w:r w:rsidR="007A032C" w:rsidRPr="001416ED">
        <w:rPr>
          <w:rFonts w:eastAsiaTheme="minorHAnsi"/>
          <w:color w:val="auto"/>
          <w:sz w:val="28"/>
          <w:szCs w:val="28"/>
          <w:lang w:val="uk-UA" w:eastAsia="en-US"/>
        </w:rPr>
        <w:t>8</w:t>
      </w:r>
      <w:r w:rsidR="00AC0AB4" w:rsidRPr="001416ED">
        <w:rPr>
          <w:rFonts w:eastAsiaTheme="minorHAnsi"/>
          <w:color w:val="auto"/>
          <w:sz w:val="28"/>
          <w:szCs w:val="28"/>
          <w:lang w:val="uk-UA" w:eastAsia="en-US"/>
        </w:rPr>
        <w:t>4</w:t>
      </w:r>
      <w:r w:rsidRPr="001416ED">
        <w:rPr>
          <w:rFonts w:eastAsiaTheme="minorHAnsi"/>
          <w:color w:val="auto"/>
          <w:sz w:val="28"/>
          <w:szCs w:val="28"/>
          <w:lang w:val="uk-UA" w:eastAsia="en-US"/>
        </w:rPr>
        <w:t>].</w:t>
      </w:r>
      <w:r w:rsidRPr="001416ED">
        <w:rPr>
          <w:color w:val="auto"/>
          <w:lang w:val="uk-UA"/>
        </w:rPr>
        <w:t xml:space="preserve"> </w:t>
      </w:r>
    </w:p>
    <w:p w:rsidR="00E80D05" w:rsidRPr="001416ED" w:rsidRDefault="00E80D05" w:rsidP="00E80D05">
      <w:pPr>
        <w:pStyle w:val="32"/>
        <w:spacing w:line="360" w:lineRule="auto"/>
        <w:ind w:left="0" w:firstLine="709"/>
        <w:jc w:val="both"/>
        <w:rPr>
          <w:color w:val="auto"/>
          <w:sz w:val="28"/>
          <w:szCs w:val="28"/>
          <w:lang w:val="uk-UA"/>
        </w:rPr>
      </w:pPr>
      <w:r w:rsidRPr="001416ED">
        <w:rPr>
          <w:color w:val="auto"/>
          <w:sz w:val="28"/>
          <w:szCs w:val="28"/>
          <w:lang w:val="uk-UA"/>
        </w:rPr>
        <w:t>За даними Л. А. Лапшиной і співавт., рівень ЕТ</w:t>
      </w:r>
      <w:r w:rsidR="00BC0119" w:rsidRPr="001416ED">
        <w:rPr>
          <w:color w:val="auto"/>
          <w:sz w:val="28"/>
          <w:szCs w:val="28"/>
          <w:lang w:val="uk-UA"/>
        </w:rPr>
        <w:t>–</w:t>
      </w:r>
      <w:r w:rsidRPr="001416ED">
        <w:rPr>
          <w:color w:val="auto"/>
          <w:sz w:val="28"/>
          <w:szCs w:val="28"/>
          <w:lang w:val="uk-UA"/>
        </w:rPr>
        <w:t>1 в плазмі крові у пацієнтів при початкових стадіях ГХ достовірно перевищує такий у здорових осіб [</w:t>
      </w:r>
      <w:r w:rsidR="007A032C" w:rsidRPr="001416ED">
        <w:rPr>
          <w:color w:val="auto"/>
          <w:sz w:val="28"/>
          <w:szCs w:val="28"/>
          <w:lang w:val="uk-UA"/>
        </w:rPr>
        <w:t>5</w:t>
      </w:r>
      <w:r w:rsidR="000A6DF7" w:rsidRPr="001416ED">
        <w:rPr>
          <w:color w:val="auto"/>
          <w:sz w:val="28"/>
          <w:szCs w:val="28"/>
          <w:lang w:val="uk-UA"/>
        </w:rPr>
        <w:t>1</w:t>
      </w:r>
      <w:r w:rsidRPr="001416ED">
        <w:rPr>
          <w:color w:val="auto"/>
          <w:sz w:val="28"/>
          <w:szCs w:val="28"/>
          <w:lang w:val="uk-UA"/>
        </w:rPr>
        <w:t>]. Одним з проявів ЕД у хворих ГХ є зниження ендотелійопосредкованої дилятації артерій [1</w:t>
      </w:r>
      <w:r w:rsidR="00AC0AB4" w:rsidRPr="001416ED">
        <w:rPr>
          <w:color w:val="auto"/>
          <w:sz w:val="28"/>
          <w:szCs w:val="28"/>
          <w:lang w:val="uk-UA"/>
        </w:rPr>
        <w:t>7</w:t>
      </w:r>
      <w:r w:rsidR="000F693D" w:rsidRPr="001416ED">
        <w:rPr>
          <w:color w:val="auto"/>
          <w:sz w:val="28"/>
          <w:szCs w:val="28"/>
          <w:lang w:val="uk-UA"/>
        </w:rPr>
        <w:t>7</w:t>
      </w:r>
      <w:r w:rsidRPr="001416ED">
        <w:rPr>
          <w:color w:val="auto"/>
          <w:sz w:val="28"/>
          <w:szCs w:val="28"/>
          <w:lang w:val="uk-UA"/>
        </w:rPr>
        <w:t xml:space="preserve">]. </w:t>
      </w:r>
    </w:p>
    <w:p w:rsidR="00E80D05" w:rsidRPr="001416ED" w:rsidRDefault="00E80D05" w:rsidP="00E80D05">
      <w:pPr>
        <w:pStyle w:val="32"/>
        <w:spacing w:line="360" w:lineRule="auto"/>
        <w:ind w:left="0" w:firstLine="709"/>
        <w:jc w:val="both"/>
        <w:rPr>
          <w:color w:val="auto"/>
          <w:sz w:val="28"/>
          <w:szCs w:val="28"/>
          <w:lang w:val="uk-UA"/>
        </w:rPr>
      </w:pPr>
      <w:r w:rsidRPr="001416ED">
        <w:rPr>
          <w:color w:val="auto"/>
          <w:sz w:val="28"/>
          <w:szCs w:val="28"/>
          <w:lang w:val="uk-UA"/>
        </w:rPr>
        <w:t xml:space="preserve">Встановлено порушення функції ендотелію у </w:t>
      </w:r>
      <w:r w:rsidR="000D5585" w:rsidRPr="001416ED">
        <w:rPr>
          <w:color w:val="auto"/>
          <w:sz w:val="28"/>
          <w:szCs w:val="28"/>
          <w:lang w:val="uk-UA"/>
        </w:rPr>
        <w:t xml:space="preserve">харківських </w:t>
      </w:r>
      <w:r w:rsidRPr="001416ED">
        <w:rPr>
          <w:color w:val="auto"/>
          <w:sz w:val="28"/>
          <w:szCs w:val="28"/>
          <w:lang w:val="uk-UA"/>
        </w:rPr>
        <w:t>хворих на ГХ</w:t>
      </w:r>
      <w:r w:rsidR="000E4720">
        <w:rPr>
          <w:color w:val="auto"/>
          <w:sz w:val="28"/>
          <w:szCs w:val="28"/>
          <w:lang w:val="uk-UA"/>
        </w:rPr>
        <w:t>,</w:t>
      </w:r>
      <w:r w:rsidRPr="001416ED">
        <w:rPr>
          <w:color w:val="auto"/>
          <w:sz w:val="28"/>
          <w:szCs w:val="28"/>
          <w:lang w:val="uk-UA"/>
        </w:rPr>
        <w:t xml:space="preserve"> робочих машинобудування, про що свідчить підвищення в периферичній крові рівня ЕТ</w:t>
      </w:r>
      <w:r w:rsidR="00BC0119" w:rsidRPr="001416ED">
        <w:rPr>
          <w:color w:val="auto"/>
          <w:sz w:val="28"/>
          <w:szCs w:val="28"/>
          <w:lang w:val="uk-UA"/>
        </w:rPr>
        <w:t>–</w:t>
      </w:r>
      <w:r w:rsidRPr="001416ED">
        <w:rPr>
          <w:color w:val="auto"/>
          <w:sz w:val="28"/>
          <w:szCs w:val="28"/>
          <w:lang w:val="uk-UA"/>
        </w:rPr>
        <w:t xml:space="preserve">1 та вмісту </w:t>
      </w:r>
      <w:r w:rsidRPr="001416ED">
        <w:rPr>
          <w:color w:val="auto"/>
          <w:sz w:val="28"/>
          <w:szCs w:val="28"/>
        </w:rPr>
        <w:t>NO</w:t>
      </w:r>
      <w:r w:rsidRPr="001416ED">
        <w:rPr>
          <w:color w:val="auto"/>
          <w:sz w:val="28"/>
          <w:szCs w:val="28"/>
          <w:lang w:val="uk-UA"/>
        </w:rPr>
        <w:t>. Більш високий рівень ЕТ</w:t>
      </w:r>
      <w:r w:rsidR="00BC0119" w:rsidRPr="001416ED">
        <w:rPr>
          <w:color w:val="auto"/>
          <w:sz w:val="28"/>
          <w:szCs w:val="28"/>
          <w:lang w:val="uk-UA"/>
        </w:rPr>
        <w:t>–</w:t>
      </w:r>
      <w:r w:rsidRPr="001416ED">
        <w:rPr>
          <w:color w:val="auto"/>
          <w:sz w:val="28"/>
          <w:szCs w:val="28"/>
          <w:lang w:val="uk-UA"/>
        </w:rPr>
        <w:t xml:space="preserve">1 спостерігається при ГХ </w:t>
      </w:r>
      <w:r w:rsidRPr="001416ED">
        <w:rPr>
          <w:color w:val="auto"/>
          <w:sz w:val="28"/>
          <w:szCs w:val="28"/>
        </w:rPr>
        <w:t>II</w:t>
      </w:r>
      <w:r w:rsidRPr="001416ED">
        <w:rPr>
          <w:color w:val="auto"/>
          <w:sz w:val="28"/>
          <w:szCs w:val="28"/>
          <w:lang w:val="uk-UA"/>
        </w:rPr>
        <w:t xml:space="preserve"> ст. і концентричній ГЛШ. Автором виявлено помірний кореляційний зв'язок між вмістом ЕТ</w:t>
      </w:r>
      <w:r w:rsidR="00BC0119" w:rsidRPr="001416ED">
        <w:rPr>
          <w:color w:val="auto"/>
          <w:sz w:val="28"/>
          <w:szCs w:val="28"/>
          <w:lang w:val="uk-UA"/>
        </w:rPr>
        <w:t>–</w:t>
      </w:r>
      <w:r w:rsidRPr="001416ED">
        <w:rPr>
          <w:color w:val="auto"/>
          <w:sz w:val="28"/>
          <w:szCs w:val="28"/>
          <w:lang w:val="uk-UA"/>
        </w:rPr>
        <w:t>1 і ФВ ЛШ [</w:t>
      </w:r>
      <w:r w:rsidR="007A032C" w:rsidRPr="001416ED">
        <w:rPr>
          <w:color w:val="auto"/>
          <w:sz w:val="28"/>
          <w:szCs w:val="28"/>
          <w:lang w:val="uk-UA"/>
        </w:rPr>
        <w:t>4</w:t>
      </w:r>
      <w:r w:rsidR="00AC0AB4" w:rsidRPr="001416ED">
        <w:rPr>
          <w:color w:val="auto"/>
          <w:sz w:val="28"/>
          <w:szCs w:val="28"/>
          <w:lang w:val="uk-UA"/>
        </w:rPr>
        <w:t>6</w:t>
      </w:r>
      <w:r w:rsidRPr="001416ED">
        <w:rPr>
          <w:color w:val="auto"/>
          <w:sz w:val="28"/>
          <w:szCs w:val="28"/>
          <w:lang w:val="uk-UA"/>
        </w:rPr>
        <w:t xml:space="preserve">]. </w:t>
      </w:r>
    </w:p>
    <w:p w:rsidR="00E80D05" w:rsidRPr="001416ED" w:rsidRDefault="00E855AE" w:rsidP="00E80D05">
      <w:pPr>
        <w:pStyle w:val="a5"/>
        <w:ind w:left="0" w:right="-1" w:firstLine="709"/>
        <w:jc w:val="both"/>
        <w:rPr>
          <w:b w:val="0"/>
          <w:szCs w:val="28"/>
        </w:rPr>
      </w:pPr>
      <w:r w:rsidRPr="001416ED">
        <w:rPr>
          <w:b w:val="0"/>
          <w:szCs w:val="28"/>
          <w:lang w:eastAsia="uk-UA"/>
        </w:rPr>
        <w:t>В. А.</w:t>
      </w:r>
      <w:r w:rsidRPr="001416ED">
        <w:rPr>
          <w:b w:val="0"/>
          <w:sz w:val="24"/>
          <w:lang w:eastAsia="uk-UA"/>
        </w:rPr>
        <w:t xml:space="preserve"> </w:t>
      </w:r>
      <w:r w:rsidR="00E80D05" w:rsidRPr="001416ED">
        <w:rPr>
          <w:b w:val="0"/>
          <w:szCs w:val="28"/>
          <w:lang w:eastAsia="uk-UA"/>
        </w:rPr>
        <w:t>Візир</w:t>
      </w:r>
      <w:r w:rsidR="00E80D05" w:rsidRPr="001416ED">
        <w:rPr>
          <w:b w:val="0"/>
          <w:szCs w:val="28"/>
        </w:rPr>
        <w:t xml:space="preserve"> </w:t>
      </w:r>
      <w:r w:rsidR="00E80D05" w:rsidRPr="001416ED">
        <w:rPr>
          <w:b w:val="0"/>
          <w:szCs w:val="28"/>
          <w:lang w:eastAsia="uk-UA"/>
        </w:rPr>
        <w:t xml:space="preserve">та </w:t>
      </w:r>
      <w:r w:rsidR="00211C65" w:rsidRPr="001416ED">
        <w:rPr>
          <w:b w:val="0"/>
          <w:szCs w:val="28"/>
          <w:lang w:eastAsia="uk-UA"/>
        </w:rPr>
        <w:t>співавт.</w:t>
      </w:r>
      <w:r w:rsidR="00E80D05" w:rsidRPr="001416ED">
        <w:rPr>
          <w:b w:val="0"/>
          <w:szCs w:val="28"/>
          <w:lang w:eastAsia="uk-UA"/>
        </w:rPr>
        <w:t xml:space="preserve"> пропонують використовувати</w:t>
      </w:r>
      <w:r w:rsidR="00E80D05" w:rsidRPr="001416ED">
        <w:rPr>
          <w:b w:val="0"/>
          <w:lang w:eastAsia="uk-UA"/>
        </w:rPr>
        <w:t xml:space="preserve"> </w:t>
      </w:r>
      <w:r w:rsidR="00E80D05" w:rsidRPr="001416ED">
        <w:rPr>
          <w:b w:val="0"/>
          <w:szCs w:val="28"/>
        </w:rPr>
        <w:t>рівень ЕТ</w:t>
      </w:r>
      <w:r w:rsidR="00BC0119" w:rsidRPr="001416ED">
        <w:rPr>
          <w:b w:val="0"/>
          <w:szCs w:val="28"/>
        </w:rPr>
        <w:t>–</w:t>
      </w:r>
      <w:r w:rsidR="00E80D05" w:rsidRPr="001416ED">
        <w:rPr>
          <w:b w:val="0"/>
          <w:szCs w:val="28"/>
        </w:rPr>
        <w:t>1 плазми крові як чутливий маркер стенотичних уражень брахіоцефальних артерій і одного з додаткових факторів стратифікації хворих з АГ в групи високого цереброваскулярного ризику [</w:t>
      </w:r>
      <w:r w:rsidR="007A032C" w:rsidRPr="001416ED">
        <w:rPr>
          <w:b w:val="0"/>
          <w:szCs w:val="28"/>
        </w:rPr>
        <w:t>1</w:t>
      </w:r>
      <w:r w:rsidR="00AC0AB4" w:rsidRPr="001416ED">
        <w:rPr>
          <w:b w:val="0"/>
          <w:szCs w:val="28"/>
        </w:rPr>
        <w:t>3</w:t>
      </w:r>
      <w:r w:rsidR="00E80D05" w:rsidRPr="001416ED">
        <w:rPr>
          <w:b w:val="0"/>
          <w:szCs w:val="28"/>
        </w:rPr>
        <w:t xml:space="preserve">]. </w:t>
      </w:r>
    </w:p>
    <w:p w:rsidR="00E80D05" w:rsidRPr="001416ED" w:rsidRDefault="00E80D05" w:rsidP="00E80D05">
      <w:pPr>
        <w:pStyle w:val="a5"/>
        <w:ind w:left="0" w:right="-1" w:firstLine="709"/>
        <w:jc w:val="both"/>
        <w:rPr>
          <w:b w:val="0"/>
          <w:szCs w:val="28"/>
        </w:rPr>
      </w:pPr>
      <w:r w:rsidRPr="001416ED">
        <w:rPr>
          <w:b w:val="0"/>
          <w:szCs w:val="28"/>
        </w:rPr>
        <w:t>При дослідженні рівнів ЕТ</w:t>
      </w:r>
      <w:r w:rsidR="00BC0119" w:rsidRPr="001416ED">
        <w:rPr>
          <w:b w:val="0"/>
          <w:szCs w:val="28"/>
        </w:rPr>
        <w:t>–</w:t>
      </w:r>
      <w:r w:rsidRPr="001416ED">
        <w:rPr>
          <w:b w:val="0"/>
          <w:szCs w:val="28"/>
        </w:rPr>
        <w:t>1 у італійській популяції, встановлено, що плазмова концентрація даного пептиду достовірно вища у пацієнтів з ЕГ  в порівнянні з практично здоровими особами, однак вірогідно нижча ніж у пацієнтів з вторинною (ренопаренхіматозною) гіпертензією [</w:t>
      </w:r>
      <w:r w:rsidR="000F693D" w:rsidRPr="001416ED">
        <w:rPr>
          <w:b w:val="0"/>
          <w:szCs w:val="28"/>
        </w:rPr>
        <w:t>2</w:t>
      </w:r>
      <w:r w:rsidR="00CC5DF4" w:rsidRPr="001416ED">
        <w:rPr>
          <w:b w:val="0"/>
          <w:szCs w:val="28"/>
        </w:rPr>
        <w:t>00</w:t>
      </w:r>
      <w:r w:rsidRPr="001416ED">
        <w:rPr>
          <w:b w:val="0"/>
          <w:szCs w:val="28"/>
        </w:rPr>
        <w:t xml:space="preserve">]. </w:t>
      </w:r>
    </w:p>
    <w:p w:rsidR="00E80D05" w:rsidRPr="001416ED" w:rsidRDefault="00E80D05" w:rsidP="00E80D05">
      <w:pPr>
        <w:pStyle w:val="a5"/>
        <w:ind w:left="0" w:right="-1" w:firstLine="709"/>
        <w:jc w:val="both"/>
        <w:rPr>
          <w:b w:val="0"/>
          <w:szCs w:val="28"/>
        </w:rPr>
      </w:pPr>
      <w:r w:rsidRPr="001416ED">
        <w:rPr>
          <w:b w:val="0"/>
          <w:szCs w:val="28"/>
        </w:rPr>
        <w:t xml:space="preserve">У роботі </w:t>
      </w:r>
      <w:r w:rsidR="00E855AE" w:rsidRPr="001416ED">
        <w:rPr>
          <w:b w:val="0"/>
          <w:szCs w:val="28"/>
        </w:rPr>
        <w:t xml:space="preserve">С. В. </w:t>
      </w:r>
      <w:r w:rsidRPr="001416ED">
        <w:rPr>
          <w:b w:val="0"/>
          <w:szCs w:val="28"/>
        </w:rPr>
        <w:t xml:space="preserve">Ляміної </w:t>
      </w:r>
      <w:r w:rsidR="000D5585" w:rsidRPr="001416ED">
        <w:rPr>
          <w:b w:val="0"/>
          <w:szCs w:val="28"/>
        </w:rPr>
        <w:t xml:space="preserve">(м. Санкт-Петербург) </w:t>
      </w:r>
      <w:r w:rsidRPr="001416ED">
        <w:rPr>
          <w:b w:val="0"/>
          <w:szCs w:val="28"/>
        </w:rPr>
        <w:t>показано, що</w:t>
      </w:r>
      <w:r w:rsidRPr="001416ED">
        <w:t xml:space="preserve"> </w:t>
      </w:r>
      <w:r w:rsidRPr="001416ED">
        <w:rPr>
          <w:b w:val="0"/>
        </w:rPr>
        <w:t>р</w:t>
      </w:r>
      <w:r w:rsidRPr="001416ED">
        <w:rPr>
          <w:b w:val="0"/>
          <w:szCs w:val="28"/>
        </w:rPr>
        <w:t>івень вазоконстриктора ЕТ</w:t>
      </w:r>
      <w:r w:rsidR="00BC0119" w:rsidRPr="001416ED">
        <w:rPr>
          <w:b w:val="0"/>
          <w:szCs w:val="28"/>
        </w:rPr>
        <w:t>–</w:t>
      </w:r>
      <w:r w:rsidRPr="001416ED">
        <w:rPr>
          <w:b w:val="0"/>
          <w:szCs w:val="28"/>
        </w:rPr>
        <w:t xml:space="preserve">1 в плазмі у осіб молодого віку </w:t>
      </w:r>
      <w:r w:rsidR="0042291E" w:rsidRPr="001416ED">
        <w:rPr>
          <w:b w:val="0"/>
          <w:szCs w:val="28"/>
        </w:rPr>
        <w:t xml:space="preserve">з </w:t>
      </w:r>
      <w:r w:rsidRPr="001416ED">
        <w:rPr>
          <w:b w:val="0"/>
          <w:szCs w:val="28"/>
        </w:rPr>
        <w:t>АГ I ступеня збільшений в 2,4 рази, в порівнянні зі здоровими і зростає зі збільшенням тривалості гіпертензивного анамнезу [</w:t>
      </w:r>
      <w:r w:rsidR="00C24D88" w:rsidRPr="001416ED">
        <w:rPr>
          <w:b w:val="0"/>
          <w:szCs w:val="28"/>
        </w:rPr>
        <w:t>7</w:t>
      </w:r>
      <w:r w:rsidR="00CC5DF4" w:rsidRPr="001416ED">
        <w:rPr>
          <w:b w:val="0"/>
          <w:szCs w:val="28"/>
        </w:rPr>
        <w:t>1</w:t>
      </w:r>
      <w:r w:rsidRPr="001416ED">
        <w:rPr>
          <w:b w:val="0"/>
          <w:szCs w:val="28"/>
        </w:rPr>
        <w:t xml:space="preserve">]. </w:t>
      </w:r>
    </w:p>
    <w:p w:rsidR="006F6E93" w:rsidRPr="001416ED" w:rsidRDefault="006F6E93" w:rsidP="00E80D05">
      <w:pPr>
        <w:pStyle w:val="a5"/>
        <w:ind w:left="0" w:right="-1" w:firstLine="709"/>
        <w:jc w:val="both"/>
        <w:rPr>
          <w:b w:val="0"/>
          <w:szCs w:val="28"/>
        </w:rPr>
      </w:pPr>
      <w:r w:rsidRPr="001416ED">
        <w:rPr>
          <w:b w:val="0"/>
          <w:szCs w:val="28"/>
        </w:rPr>
        <w:lastRenderedPageBreak/>
        <w:t>У японській популяції жінок відмічена позитивна кореляція ЕТ</w:t>
      </w:r>
      <w:r w:rsidR="00BC0119" w:rsidRPr="001416ED">
        <w:rPr>
          <w:b w:val="0"/>
          <w:szCs w:val="28"/>
        </w:rPr>
        <w:t>–</w:t>
      </w:r>
      <w:r w:rsidRPr="001416ED">
        <w:rPr>
          <w:b w:val="0"/>
          <w:szCs w:val="28"/>
        </w:rPr>
        <w:t xml:space="preserve">1 в плазмі крові з САТ та ДАТ, а також </w:t>
      </w:r>
      <w:r w:rsidR="0042291E" w:rsidRPr="001416ED">
        <w:rPr>
          <w:b w:val="0"/>
          <w:szCs w:val="28"/>
        </w:rPr>
        <w:t xml:space="preserve">у осіб з метаболічним синдромом </w:t>
      </w:r>
      <w:r w:rsidRPr="001416ED">
        <w:rPr>
          <w:b w:val="0"/>
          <w:szCs w:val="28"/>
        </w:rPr>
        <w:t>плазмова концентрація пептиду виявилась вищою, ніж при його відсутності [1</w:t>
      </w:r>
      <w:r w:rsidR="00B77DD6" w:rsidRPr="001416ED">
        <w:rPr>
          <w:b w:val="0"/>
          <w:szCs w:val="28"/>
        </w:rPr>
        <w:t>72</w:t>
      </w:r>
      <w:r w:rsidRPr="001416ED">
        <w:rPr>
          <w:b w:val="0"/>
          <w:szCs w:val="28"/>
        </w:rPr>
        <w:t>].</w:t>
      </w:r>
    </w:p>
    <w:p w:rsidR="00E80D05" w:rsidRPr="001416ED" w:rsidRDefault="00E80D05" w:rsidP="00E80D05">
      <w:pPr>
        <w:pStyle w:val="a5"/>
        <w:ind w:left="0" w:right="-1" w:firstLine="709"/>
        <w:jc w:val="both"/>
        <w:rPr>
          <w:b w:val="0"/>
          <w:szCs w:val="28"/>
        </w:rPr>
      </w:pPr>
      <w:r w:rsidRPr="001416ED">
        <w:rPr>
          <w:b w:val="0"/>
          <w:szCs w:val="28"/>
        </w:rPr>
        <w:t>Концентрація ЕТ</w:t>
      </w:r>
      <w:r w:rsidR="00BC0119" w:rsidRPr="001416ED">
        <w:rPr>
          <w:b w:val="0"/>
          <w:szCs w:val="28"/>
        </w:rPr>
        <w:t>–</w:t>
      </w:r>
      <w:r w:rsidRPr="001416ED">
        <w:rPr>
          <w:b w:val="0"/>
          <w:szCs w:val="28"/>
        </w:rPr>
        <w:t>1 в плазмі крові найбільш висока у хворих з АГ, що поєднується з атеросклеротичним ураженням артерій, а також у хворих, які перенесли МІ або транзиторні ішемічні атаки [</w:t>
      </w:r>
      <w:r w:rsidR="00C24D88" w:rsidRPr="001416ED">
        <w:rPr>
          <w:b w:val="0"/>
          <w:szCs w:val="28"/>
        </w:rPr>
        <w:t>1,</w:t>
      </w:r>
      <w:r w:rsidR="0042291E" w:rsidRPr="001416ED">
        <w:rPr>
          <w:b w:val="0"/>
          <w:szCs w:val="28"/>
        </w:rPr>
        <w:t xml:space="preserve"> </w:t>
      </w:r>
      <w:r w:rsidR="000F693D" w:rsidRPr="001416ED">
        <w:rPr>
          <w:b w:val="0"/>
          <w:szCs w:val="28"/>
          <w:lang w:eastAsia="uk-UA"/>
        </w:rPr>
        <w:t>1</w:t>
      </w:r>
      <w:r w:rsidR="00B77DD6" w:rsidRPr="001416ED">
        <w:rPr>
          <w:b w:val="0"/>
          <w:szCs w:val="28"/>
          <w:lang w:eastAsia="uk-UA"/>
        </w:rPr>
        <w:t>61</w:t>
      </w:r>
      <w:r w:rsidRPr="001416ED">
        <w:rPr>
          <w:b w:val="0"/>
          <w:szCs w:val="28"/>
        </w:rPr>
        <w:t>].</w:t>
      </w:r>
    </w:p>
    <w:p w:rsidR="00E80D05" w:rsidRPr="001416ED" w:rsidRDefault="00E80D05" w:rsidP="00E80D05">
      <w:pPr>
        <w:pStyle w:val="a5"/>
        <w:ind w:left="0" w:right="-1" w:firstLine="709"/>
        <w:jc w:val="both"/>
        <w:rPr>
          <w:b w:val="0"/>
          <w:szCs w:val="28"/>
        </w:rPr>
      </w:pPr>
      <w:r w:rsidRPr="001416ED">
        <w:rPr>
          <w:b w:val="0"/>
          <w:szCs w:val="28"/>
        </w:rPr>
        <w:t xml:space="preserve">Однак, в світовій літературі представлені і інші результати. Зокрема,  </w:t>
      </w:r>
      <w:r w:rsidRPr="001416ED">
        <w:rPr>
          <w:rFonts w:eastAsia="TimesNewRomanPSMT"/>
          <w:b w:val="0"/>
          <w:szCs w:val="28"/>
        </w:rPr>
        <w:t xml:space="preserve">А. </w:t>
      </w:r>
      <w:r w:rsidRPr="001416ED">
        <w:rPr>
          <w:b w:val="0"/>
          <w:szCs w:val="28"/>
          <w:shd w:val="clear" w:color="auto" w:fill="FFFFFF"/>
        </w:rPr>
        <w:t xml:space="preserve">Hoffman </w:t>
      </w:r>
      <w:r w:rsidR="00B86142" w:rsidRPr="001416ED">
        <w:rPr>
          <w:b w:val="0"/>
          <w:szCs w:val="28"/>
          <w:shd w:val="clear" w:color="auto" w:fill="FFFFFF"/>
          <w:lang w:val="ru-RU"/>
        </w:rPr>
        <w:t xml:space="preserve">та співавт. </w:t>
      </w:r>
      <w:r w:rsidRPr="001416ED">
        <w:rPr>
          <w:rFonts w:eastAsia="TimesNewRomanPSMT"/>
          <w:b w:val="0"/>
          <w:szCs w:val="28"/>
        </w:rPr>
        <w:t xml:space="preserve">[1994], </w:t>
      </w:r>
      <w:r w:rsidRPr="001416ED">
        <w:rPr>
          <w:b w:val="0"/>
          <w:szCs w:val="28"/>
        </w:rPr>
        <w:t xml:space="preserve">В. Halawa </w:t>
      </w:r>
      <w:r w:rsidRPr="001416ED">
        <w:rPr>
          <w:rFonts w:eastAsia="TimesNewRomanPSMT"/>
          <w:b w:val="0"/>
          <w:szCs w:val="28"/>
        </w:rPr>
        <w:t>[1999],</w:t>
      </w:r>
      <w:r w:rsidRPr="001416ED">
        <w:rPr>
          <w:b w:val="0"/>
          <w:szCs w:val="28"/>
        </w:rPr>
        <w:t xml:space="preserve"> C. Letizia </w:t>
      </w:r>
      <w:r w:rsidR="00B86142" w:rsidRPr="001416ED">
        <w:rPr>
          <w:b w:val="0"/>
          <w:szCs w:val="28"/>
          <w:lang w:val="ru-RU"/>
        </w:rPr>
        <w:t xml:space="preserve">та співавт. </w:t>
      </w:r>
      <w:r w:rsidRPr="001416ED">
        <w:rPr>
          <w:b w:val="0"/>
          <w:szCs w:val="28"/>
        </w:rPr>
        <w:t xml:space="preserve"> </w:t>
      </w:r>
      <w:r w:rsidRPr="001416ED">
        <w:rPr>
          <w:rFonts w:eastAsia="TimesNewRomanPSMT"/>
          <w:b w:val="0"/>
          <w:szCs w:val="28"/>
        </w:rPr>
        <w:t xml:space="preserve">[1999], L. Aziza </w:t>
      </w:r>
      <w:r w:rsidR="00B86142" w:rsidRPr="001416ED">
        <w:rPr>
          <w:rFonts w:eastAsia="TimesNewRomanPSMT"/>
          <w:b w:val="0"/>
          <w:szCs w:val="28"/>
          <w:lang w:val="ru-RU"/>
        </w:rPr>
        <w:t xml:space="preserve">та співавт. </w:t>
      </w:r>
      <w:r w:rsidRPr="001416ED">
        <w:rPr>
          <w:rFonts w:eastAsia="TimesNewRomanPSMT"/>
          <w:b w:val="0"/>
          <w:szCs w:val="28"/>
        </w:rPr>
        <w:t xml:space="preserve">[2011] </w:t>
      </w:r>
      <w:r w:rsidRPr="001416ED">
        <w:rPr>
          <w:b w:val="0"/>
          <w:szCs w:val="28"/>
        </w:rPr>
        <w:t>показали відсутність істотного розходження в середньому рівні ЕТ</w:t>
      </w:r>
      <w:r w:rsidR="00BC0119" w:rsidRPr="001416ED">
        <w:rPr>
          <w:b w:val="0"/>
          <w:szCs w:val="28"/>
        </w:rPr>
        <w:t>–</w:t>
      </w:r>
      <w:r w:rsidRPr="001416ED">
        <w:rPr>
          <w:b w:val="0"/>
          <w:szCs w:val="28"/>
        </w:rPr>
        <w:t>1 між пацієнтами з ЕГ в порівнянні з контрольною групою</w:t>
      </w:r>
      <w:r w:rsidRPr="001416ED">
        <w:rPr>
          <w:rFonts w:eastAsia="TimesNewRomanPSMT"/>
          <w:b w:val="0"/>
          <w:szCs w:val="28"/>
          <w:lang w:eastAsia="en-US"/>
        </w:rPr>
        <w:t xml:space="preserve"> [1</w:t>
      </w:r>
      <w:r w:rsidR="000F693D" w:rsidRPr="001416ED">
        <w:rPr>
          <w:rFonts w:eastAsia="TimesNewRomanPSMT"/>
          <w:b w:val="0"/>
          <w:szCs w:val="28"/>
          <w:lang w:eastAsia="en-US"/>
        </w:rPr>
        <w:t>0</w:t>
      </w:r>
      <w:r w:rsidR="00B77DD6" w:rsidRPr="001416ED">
        <w:rPr>
          <w:rFonts w:eastAsia="TimesNewRomanPSMT"/>
          <w:b w:val="0"/>
          <w:szCs w:val="28"/>
          <w:lang w:eastAsia="en-US"/>
        </w:rPr>
        <w:t>1</w:t>
      </w:r>
      <w:r w:rsidRPr="001416ED">
        <w:rPr>
          <w:rFonts w:eastAsia="TimesNewRomanPSMT"/>
          <w:b w:val="0"/>
          <w:szCs w:val="28"/>
          <w:lang w:eastAsia="en-US"/>
        </w:rPr>
        <w:t>,</w:t>
      </w:r>
      <w:r w:rsidR="0042291E" w:rsidRPr="001416ED">
        <w:rPr>
          <w:rFonts w:eastAsia="TimesNewRomanPSMT"/>
          <w:b w:val="0"/>
          <w:szCs w:val="28"/>
          <w:lang w:eastAsia="en-US"/>
        </w:rPr>
        <w:t xml:space="preserve"> </w:t>
      </w:r>
      <w:r w:rsidR="000F693D" w:rsidRPr="001416ED">
        <w:rPr>
          <w:rFonts w:eastAsia="TimesNewRomanPSMT"/>
          <w:b w:val="0"/>
          <w:szCs w:val="28"/>
          <w:lang w:eastAsia="en-US"/>
        </w:rPr>
        <w:t>1</w:t>
      </w:r>
      <w:r w:rsidR="00B77DD6" w:rsidRPr="001416ED">
        <w:rPr>
          <w:rFonts w:eastAsia="TimesNewRomanPSMT"/>
          <w:b w:val="0"/>
          <w:szCs w:val="28"/>
          <w:lang w:eastAsia="en-US"/>
        </w:rPr>
        <w:t>36</w:t>
      </w:r>
      <w:r w:rsidR="000F693D" w:rsidRPr="001416ED">
        <w:rPr>
          <w:rFonts w:eastAsia="TimesNewRomanPSMT"/>
          <w:b w:val="0"/>
          <w:szCs w:val="28"/>
          <w:lang w:eastAsia="en-US"/>
        </w:rPr>
        <w:t>,</w:t>
      </w:r>
      <w:r w:rsidR="0042291E" w:rsidRPr="001416ED">
        <w:rPr>
          <w:rFonts w:eastAsia="TimesNewRomanPSMT"/>
          <w:b w:val="0"/>
          <w:szCs w:val="28"/>
          <w:lang w:eastAsia="en-US"/>
        </w:rPr>
        <w:t xml:space="preserve"> </w:t>
      </w:r>
      <w:r w:rsidR="000F693D" w:rsidRPr="001416ED">
        <w:rPr>
          <w:rFonts w:eastAsia="TimesNewRomanPSMT"/>
          <w:b w:val="0"/>
          <w:szCs w:val="28"/>
          <w:lang w:eastAsia="en-US"/>
        </w:rPr>
        <w:t>1</w:t>
      </w:r>
      <w:r w:rsidRPr="001416ED">
        <w:rPr>
          <w:rFonts w:eastAsia="TimesNewRomanPSMT"/>
          <w:b w:val="0"/>
          <w:szCs w:val="28"/>
          <w:lang w:eastAsia="en-US"/>
        </w:rPr>
        <w:t>,</w:t>
      </w:r>
      <w:r w:rsidR="0042291E" w:rsidRPr="001416ED">
        <w:rPr>
          <w:rFonts w:eastAsia="TimesNewRomanPSMT"/>
          <w:b w:val="0"/>
          <w:szCs w:val="28"/>
          <w:lang w:eastAsia="en-US"/>
        </w:rPr>
        <w:t xml:space="preserve"> </w:t>
      </w:r>
      <w:r w:rsidRPr="001416ED">
        <w:rPr>
          <w:rFonts w:eastAsia="TimesNewRomanPSMT"/>
          <w:b w:val="0"/>
          <w:szCs w:val="28"/>
          <w:lang w:eastAsia="en-US"/>
        </w:rPr>
        <w:t>1</w:t>
      </w:r>
      <w:r w:rsidR="00B77DD6" w:rsidRPr="001416ED">
        <w:rPr>
          <w:rFonts w:eastAsia="TimesNewRomanPSMT"/>
          <w:b w:val="0"/>
          <w:szCs w:val="28"/>
          <w:lang w:eastAsia="en-US"/>
        </w:rPr>
        <w:t>58</w:t>
      </w:r>
      <w:r w:rsidRPr="001416ED">
        <w:rPr>
          <w:rFonts w:eastAsia="TimesNewRomanPSMT"/>
          <w:b w:val="0"/>
          <w:szCs w:val="28"/>
          <w:lang w:eastAsia="en-US"/>
        </w:rPr>
        <w:t>].</w:t>
      </w:r>
      <w:r w:rsidRPr="001416ED">
        <w:t xml:space="preserve"> </w:t>
      </w:r>
      <w:r w:rsidRPr="001416ED">
        <w:rPr>
          <w:b w:val="0"/>
          <w:szCs w:val="28"/>
        </w:rPr>
        <w:t xml:space="preserve">У роботі </w:t>
      </w:r>
      <w:r w:rsidR="0042291E" w:rsidRPr="001416ED">
        <w:rPr>
          <w:b w:val="0"/>
          <w:szCs w:val="28"/>
        </w:rPr>
        <w:t xml:space="preserve">В. </w:t>
      </w:r>
      <w:hyperlink r:id="rId14" w:history="1">
        <w:r w:rsidRPr="001416ED">
          <w:rPr>
            <w:rStyle w:val="ad"/>
            <w:b w:val="0"/>
            <w:color w:val="auto"/>
            <w:szCs w:val="28"/>
            <w:u w:val="none"/>
            <w:shd w:val="clear" w:color="auto" w:fill="FFFFFF"/>
          </w:rPr>
          <w:t xml:space="preserve">Halawa </w:t>
        </w:r>
      </w:hyperlink>
      <w:r w:rsidRPr="001416ED">
        <w:rPr>
          <w:rFonts w:eastAsia="TimesNewRomanPSMT"/>
          <w:b w:val="0"/>
          <w:szCs w:val="28"/>
          <w:lang w:eastAsia="en-US"/>
        </w:rPr>
        <w:t>плазмовий рівень ET</w:t>
      </w:r>
      <w:r w:rsidR="00BC0119" w:rsidRPr="001416ED">
        <w:rPr>
          <w:rFonts w:eastAsia="TimesNewRomanPSMT"/>
          <w:b w:val="0"/>
          <w:szCs w:val="28"/>
          <w:lang w:eastAsia="en-US"/>
        </w:rPr>
        <w:t>–</w:t>
      </w:r>
      <w:r w:rsidRPr="001416ED">
        <w:rPr>
          <w:rFonts w:eastAsia="TimesNewRomanPSMT"/>
          <w:b w:val="0"/>
          <w:szCs w:val="28"/>
          <w:lang w:eastAsia="en-US"/>
        </w:rPr>
        <w:t>1 був значно вищим у пацієнтів з тяжкою АГ, ніж у пацієнтів з м'якою та помірною гіпертензією. У пацієнтів з тяжкою АГ був знайдений кореляційний зв'язок  між рівнем ЕТ</w:t>
      </w:r>
      <w:r w:rsidR="00BC0119" w:rsidRPr="001416ED">
        <w:rPr>
          <w:rFonts w:eastAsia="TimesNewRomanPSMT"/>
          <w:b w:val="0"/>
          <w:szCs w:val="28"/>
          <w:lang w:eastAsia="en-US"/>
        </w:rPr>
        <w:t>–</w:t>
      </w:r>
      <w:r w:rsidRPr="001416ED">
        <w:rPr>
          <w:rFonts w:eastAsia="TimesNewRomanPSMT"/>
          <w:b w:val="0"/>
          <w:szCs w:val="28"/>
          <w:lang w:eastAsia="en-US"/>
        </w:rPr>
        <w:t>1 і мікроальбумінурією. Проте не було кореляції між плазмовою концентрацією  ET</w:t>
      </w:r>
      <w:r w:rsidR="00BC0119" w:rsidRPr="001416ED">
        <w:rPr>
          <w:rFonts w:eastAsia="TimesNewRomanPSMT"/>
          <w:b w:val="0"/>
          <w:szCs w:val="28"/>
          <w:lang w:eastAsia="en-US"/>
        </w:rPr>
        <w:t>–</w:t>
      </w:r>
      <w:r w:rsidRPr="001416ED">
        <w:rPr>
          <w:rFonts w:eastAsia="TimesNewRomanPSMT"/>
          <w:b w:val="0"/>
          <w:szCs w:val="28"/>
          <w:lang w:eastAsia="en-US"/>
        </w:rPr>
        <w:t>1 і САТ, ДАТ у хворих з ГХ [1</w:t>
      </w:r>
      <w:r w:rsidR="00E027B3" w:rsidRPr="001416ED">
        <w:rPr>
          <w:rFonts w:eastAsia="TimesNewRomanPSMT"/>
          <w:b w:val="0"/>
          <w:szCs w:val="28"/>
          <w:lang w:eastAsia="en-US"/>
        </w:rPr>
        <w:t>36</w:t>
      </w:r>
      <w:r w:rsidRPr="001416ED">
        <w:rPr>
          <w:rFonts w:eastAsia="TimesNewRomanPSMT"/>
          <w:b w:val="0"/>
          <w:szCs w:val="28"/>
          <w:lang w:eastAsia="en-US"/>
        </w:rPr>
        <w:t>].</w:t>
      </w:r>
    </w:p>
    <w:p w:rsidR="00E80D05" w:rsidRPr="001416ED" w:rsidRDefault="00E80D05" w:rsidP="00E80D05">
      <w:pPr>
        <w:pStyle w:val="a5"/>
        <w:ind w:left="0" w:right="-1" w:firstLine="709"/>
        <w:jc w:val="both"/>
        <w:rPr>
          <w:b w:val="0"/>
          <w:szCs w:val="28"/>
        </w:rPr>
      </w:pPr>
      <w:r w:rsidRPr="001416ED">
        <w:rPr>
          <w:b w:val="0"/>
          <w:szCs w:val="28"/>
        </w:rPr>
        <w:t>Формування ГХ супров</w:t>
      </w:r>
      <w:r w:rsidR="0042291E" w:rsidRPr="001416ED">
        <w:rPr>
          <w:b w:val="0"/>
          <w:szCs w:val="28"/>
        </w:rPr>
        <w:t>оджується розвитком Г</w:t>
      </w:r>
      <w:r w:rsidRPr="001416ED">
        <w:rPr>
          <w:b w:val="0"/>
          <w:szCs w:val="28"/>
        </w:rPr>
        <w:t>ЛШ, і ЕТ</w:t>
      </w:r>
      <w:r w:rsidR="00BC0119" w:rsidRPr="001416ED">
        <w:rPr>
          <w:b w:val="0"/>
          <w:szCs w:val="28"/>
        </w:rPr>
        <w:t>–</w:t>
      </w:r>
      <w:r w:rsidRPr="001416ED">
        <w:rPr>
          <w:b w:val="0"/>
          <w:szCs w:val="28"/>
        </w:rPr>
        <w:t>1, володіючи мітогенною активністю, стимулює клітинну проліферацію. Біохімічні механізми цих процесів також припускають експресію генів, що беруть участь в біосинтезі ЕТ</w:t>
      </w:r>
      <w:r w:rsidR="00BC0119" w:rsidRPr="001416ED">
        <w:rPr>
          <w:b w:val="0"/>
          <w:szCs w:val="28"/>
        </w:rPr>
        <w:t>–</w:t>
      </w:r>
      <w:r w:rsidRPr="001416ED">
        <w:rPr>
          <w:b w:val="0"/>
          <w:szCs w:val="28"/>
        </w:rPr>
        <w:t>1. Таким при формуван</w:t>
      </w:r>
      <w:r w:rsidR="00766701">
        <w:rPr>
          <w:b w:val="0"/>
          <w:szCs w:val="28"/>
        </w:rPr>
        <w:t>ні гіпертрофії кардіоміоцитів є</w:t>
      </w:r>
      <w:r w:rsidRPr="001416ED">
        <w:rPr>
          <w:b w:val="0"/>
          <w:szCs w:val="28"/>
        </w:rPr>
        <w:t xml:space="preserve"> поряд з ЕТ</w:t>
      </w:r>
      <w:r w:rsidR="00BC0119" w:rsidRPr="001416ED">
        <w:rPr>
          <w:b w:val="0"/>
          <w:szCs w:val="28"/>
        </w:rPr>
        <w:t>–</w:t>
      </w:r>
      <w:r w:rsidRPr="001416ED">
        <w:rPr>
          <w:b w:val="0"/>
          <w:szCs w:val="28"/>
        </w:rPr>
        <w:t>1 АТ</w:t>
      </w:r>
      <w:r w:rsidR="00BC0119" w:rsidRPr="001416ED">
        <w:rPr>
          <w:b w:val="0"/>
          <w:szCs w:val="28"/>
        </w:rPr>
        <w:t>–</w:t>
      </w:r>
      <w:r w:rsidRPr="001416ED">
        <w:rPr>
          <w:b w:val="0"/>
          <w:szCs w:val="28"/>
        </w:rPr>
        <w:t>II [1</w:t>
      </w:r>
      <w:r w:rsidR="00E027B3" w:rsidRPr="001416ED">
        <w:rPr>
          <w:b w:val="0"/>
          <w:szCs w:val="28"/>
        </w:rPr>
        <w:t>04</w:t>
      </w:r>
      <w:r w:rsidRPr="001416ED">
        <w:rPr>
          <w:b w:val="0"/>
          <w:szCs w:val="28"/>
        </w:rPr>
        <w:t xml:space="preserve">]. </w:t>
      </w:r>
    </w:p>
    <w:p w:rsidR="00E80D05" w:rsidRPr="001416ED" w:rsidRDefault="00E80D05" w:rsidP="00E80D05">
      <w:pPr>
        <w:pStyle w:val="a5"/>
        <w:ind w:left="0" w:right="-1" w:firstLine="709"/>
        <w:jc w:val="both"/>
        <w:rPr>
          <w:b w:val="0"/>
          <w:szCs w:val="28"/>
        </w:rPr>
      </w:pPr>
      <w:r w:rsidRPr="001416ED">
        <w:rPr>
          <w:b w:val="0"/>
          <w:szCs w:val="28"/>
        </w:rPr>
        <w:t xml:space="preserve">У роботі P. Qing </w:t>
      </w:r>
      <w:r w:rsidR="0070325E" w:rsidRPr="001416ED">
        <w:rPr>
          <w:b w:val="0"/>
          <w:szCs w:val="28"/>
        </w:rPr>
        <w:t>та співавт.</w:t>
      </w:r>
      <w:r w:rsidRPr="001416ED">
        <w:rPr>
          <w:b w:val="0"/>
          <w:szCs w:val="28"/>
        </w:rPr>
        <w:t xml:space="preserve"> показано, що ЕТ</w:t>
      </w:r>
      <w:r w:rsidR="00BC0119" w:rsidRPr="001416ED">
        <w:rPr>
          <w:b w:val="0"/>
          <w:szCs w:val="28"/>
        </w:rPr>
        <w:t>–</w:t>
      </w:r>
      <w:r w:rsidRPr="001416ED">
        <w:rPr>
          <w:b w:val="0"/>
          <w:szCs w:val="28"/>
        </w:rPr>
        <w:t>1 був цінним незалежним предиктором кальцифікації коронарних судин [1</w:t>
      </w:r>
      <w:r w:rsidR="00E027B3" w:rsidRPr="001416ED">
        <w:rPr>
          <w:b w:val="0"/>
          <w:szCs w:val="28"/>
        </w:rPr>
        <w:t>71</w:t>
      </w:r>
      <w:r w:rsidRPr="001416ED">
        <w:rPr>
          <w:b w:val="0"/>
          <w:szCs w:val="28"/>
        </w:rPr>
        <w:t>]. При гострій ішемії міокарда рівень ЕТ</w:t>
      </w:r>
      <w:r w:rsidR="00BC0119" w:rsidRPr="001416ED">
        <w:rPr>
          <w:b w:val="0"/>
          <w:szCs w:val="28"/>
        </w:rPr>
        <w:t>–</w:t>
      </w:r>
      <w:r w:rsidRPr="001416ED">
        <w:rPr>
          <w:b w:val="0"/>
          <w:szCs w:val="28"/>
        </w:rPr>
        <w:t xml:space="preserve">1 в системній крові значно збільшується, причому вміст пептиду, як правило, корелює з </w:t>
      </w:r>
      <w:r w:rsidR="00A94D2B">
        <w:rPr>
          <w:b w:val="0"/>
          <w:szCs w:val="28"/>
        </w:rPr>
        <w:t>тяжкістю патологічного процесу</w:t>
      </w:r>
      <w:r w:rsidRPr="001416ED">
        <w:rPr>
          <w:b w:val="0"/>
          <w:szCs w:val="28"/>
        </w:rPr>
        <w:t>.</w:t>
      </w:r>
      <w:r w:rsidRPr="001416ED">
        <w:rPr>
          <w:szCs w:val="28"/>
        </w:rPr>
        <w:t xml:space="preserve"> </w:t>
      </w:r>
      <w:r w:rsidRPr="001416ED">
        <w:rPr>
          <w:b w:val="0"/>
          <w:szCs w:val="28"/>
        </w:rPr>
        <w:t>Навіть при неускладненому перебігу ІМ концентрація ЕТ</w:t>
      </w:r>
      <w:r w:rsidR="00BC0119" w:rsidRPr="001416ED">
        <w:rPr>
          <w:b w:val="0"/>
          <w:szCs w:val="28"/>
        </w:rPr>
        <w:t>–</w:t>
      </w:r>
      <w:r w:rsidRPr="001416ED">
        <w:rPr>
          <w:b w:val="0"/>
          <w:szCs w:val="28"/>
        </w:rPr>
        <w:t>1 вже в першу добу захворювання значно підвищується і зберігається на цьому рівні до кінця гострого періоду</w:t>
      </w:r>
      <w:r w:rsidR="004813C2" w:rsidRPr="001416ED">
        <w:rPr>
          <w:b w:val="0"/>
          <w:szCs w:val="28"/>
        </w:rPr>
        <w:t>.</w:t>
      </w:r>
      <w:r w:rsidRPr="001416ED">
        <w:rPr>
          <w:b w:val="0"/>
          <w:szCs w:val="28"/>
        </w:rPr>
        <w:t xml:space="preserve"> В підгострий період концентрація ЕТ</w:t>
      </w:r>
      <w:r w:rsidR="00BC0119" w:rsidRPr="001416ED">
        <w:rPr>
          <w:b w:val="0"/>
          <w:szCs w:val="28"/>
        </w:rPr>
        <w:t>–</w:t>
      </w:r>
      <w:r w:rsidRPr="001416ED">
        <w:rPr>
          <w:b w:val="0"/>
          <w:szCs w:val="28"/>
        </w:rPr>
        <w:t>1 дещо знижується, але як і раніше значно перевищує рівень у контрольній групі</w:t>
      </w:r>
      <w:r w:rsidR="004813C2" w:rsidRPr="001416ED">
        <w:rPr>
          <w:b w:val="0"/>
          <w:szCs w:val="28"/>
        </w:rPr>
        <w:t xml:space="preserve"> [14</w:t>
      </w:r>
      <w:r w:rsidR="00E027B3" w:rsidRPr="001416ED">
        <w:rPr>
          <w:b w:val="0"/>
          <w:szCs w:val="28"/>
        </w:rPr>
        <w:t>1</w:t>
      </w:r>
      <w:r w:rsidR="004813C2" w:rsidRPr="001416ED">
        <w:rPr>
          <w:b w:val="0"/>
          <w:szCs w:val="28"/>
        </w:rPr>
        <w:t xml:space="preserve">]. </w:t>
      </w:r>
      <w:r w:rsidRPr="001416ED">
        <w:rPr>
          <w:b w:val="0"/>
          <w:szCs w:val="28"/>
        </w:rPr>
        <w:t>У хворих з ускладненим ІМ (пристінковий тромбоз, дил</w:t>
      </w:r>
      <w:r w:rsidR="00007F7D" w:rsidRPr="001416ED">
        <w:rPr>
          <w:b w:val="0"/>
          <w:szCs w:val="28"/>
        </w:rPr>
        <w:t>я</w:t>
      </w:r>
      <w:r w:rsidRPr="001416ED">
        <w:rPr>
          <w:b w:val="0"/>
          <w:szCs w:val="28"/>
        </w:rPr>
        <w:t xml:space="preserve">тація лівих відділів серця, зниження </w:t>
      </w:r>
      <w:r w:rsidR="0042291E" w:rsidRPr="001416ED">
        <w:rPr>
          <w:b w:val="0"/>
          <w:szCs w:val="28"/>
        </w:rPr>
        <w:t>ФВ</w:t>
      </w:r>
      <w:r w:rsidRPr="001416ED">
        <w:rPr>
          <w:b w:val="0"/>
          <w:szCs w:val="28"/>
        </w:rPr>
        <w:t xml:space="preserve">, </w:t>
      </w:r>
      <w:r w:rsidR="00824D14">
        <w:rPr>
          <w:b w:val="0"/>
          <w:szCs w:val="28"/>
        </w:rPr>
        <w:t>діастолічна дисфункція (</w:t>
      </w:r>
      <w:r w:rsidR="0042291E" w:rsidRPr="001416ED">
        <w:rPr>
          <w:b w:val="0"/>
          <w:szCs w:val="28"/>
        </w:rPr>
        <w:t>ДД</w:t>
      </w:r>
      <w:r w:rsidR="00824D14">
        <w:rPr>
          <w:b w:val="0"/>
          <w:szCs w:val="28"/>
        </w:rPr>
        <w:t>)</w:t>
      </w:r>
      <w:r w:rsidRPr="001416ED">
        <w:rPr>
          <w:b w:val="0"/>
          <w:szCs w:val="28"/>
        </w:rPr>
        <w:t xml:space="preserve"> ЛШ</w:t>
      </w:r>
      <w:r w:rsidR="00007F7D" w:rsidRPr="001416ED">
        <w:rPr>
          <w:b w:val="0"/>
          <w:szCs w:val="28"/>
        </w:rPr>
        <w:t>)</w:t>
      </w:r>
      <w:r w:rsidRPr="001416ED">
        <w:rPr>
          <w:b w:val="0"/>
          <w:szCs w:val="28"/>
        </w:rPr>
        <w:t xml:space="preserve"> рівень ЕТ</w:t>
      </w:r>
      <w:r w:rsidR="00BC0119" w:rsidRPr="001416ED">
        <w:rPr>
          <w:b w:val="0"/>
          <w:szCs w:val="28"/>
        </w:rPr>
        <w:t>–</w:t>
      </w:r>
      <w:r w:rsidRPr="001416ED">
        <w:rPr>
          <w:b w:val="0"/>
          <w:szCs w:val="28"/>
        </w:rPr>
        <w:t xml:space="preserve">1 в плазмі поступово підвищується з першої </w:t>
      </w:r>
      <w:r w:rsidRPr="001416ED">
        <w:rPr>
          <w:b w:val="0"/>
          <w:szCs w:val="28"/>
        </w:rPr>
        <w:lastRenderedPageBreak/>
        <w:t>доби гострого періоду захворювання без подальшого зниження концентрації в підгострий період [1</w:t>
      </w:r>
      <w:r w:rsidR="000250BA" w:rsidRPr="001416ED">
        <w:rPr>
          <w:b w:val="0"/>
          <w:szCs w:val="28"/>
        </w:rPr>
        <w:t>1</w:t>
      </w:r>
      <w:r w:rsidR="00E027B3" w:rsidRPr="001416ED">
        <w:rPr>
          <w:b w:val="0"/>
          <w:szCs w:val="28"/>
        </w:rPr>
        <w:t>1</w:t>
      </w:r>
      <w:r w:rsidRPr="001416ED">
        <w:rPr>
          <w:b w:val="0"/>
          <w:szCs w:val="28"/>
        </w:rPr>
        <w:t>].</w:t>
      </w:r>
    </w:p>
    <w:p w:rsidR="00E80D05" w:rsidRPr="001416ED" w:rsidRDefault="00E80D05" w:rsidP="00E80D05">
      <w:pPr>
        <w:pStyle w:val="a5"/>
        <w:ind w:left="0" w:right="0" w:firstLine="709"/>
        <w:jc w:val="both"/>
        <w:rPr>
          <w:b w:val="0"/>
          <w:szCs w:val="28"/>
        </w:rPr>
      </w:pPr>
      <w:r w:rsidRPr="001416ED">
        <w:rPr>
          <w:b w:val="0"/>
          <w:szCs w:val="28"/>
        </w:rPr>
        <w:t>Простежується наявність тісного взаємозв'язку між вмістом ЕТ</w:t>
      </w:r>
      <w:r w:rsidR="00BC0119" w:rsidRPr="001416ED">
        <w:rPr>
          <w:b w:val="0"/>
          <w:szCs w:val="28"/>
        </w:rPr>
        <w:t>–</w:t>
      </w:r>
      <w:r w:rsidRPr="001416ED">
        <w:rPr>
          <w:b w:val="0"/>
          <w:szCs w:val="28"/>
        </w:rPr>
        <w:t>1 в плазмі крові і виразністю симптомів при стенокардії напруги. Так, навіть при стабільній стенокардії рівень ЕТ</w:t>
      </w:r>
      <w:r w:rsidR="00BC0119" w:rsidRPr="001416ED">
        <w:rPr>
          <w:b w:val="0"/>
          <w:szCs w:val="28"/>
        </w:rPr>
        <w:t>–</w:t>
      </w:r>
      <w:r w:rsidRPr="001416ED">
        <w:rPr>
          <w:b w:val="0"/>
          <w:szCs w:val="28"/>
        </w:rPr>
        <w:t>1 значно вище, ніж у групі контролю [</w:t>
      </w:r>
      <w:r w:rsidR="00E027B3" w:rsidRPr="001416ED">
        <w:rPr>
          <w:b w:val="0"/>
          <w:szCs w:val="28"/>
        </w:rPr>
        <w:t>57</w:t>
      </w:r>
      <w:r w:rsidRPr="001416ED">
        <w:rPr>
          <w:b w:val="0"/>
          <w:szCs w:val="28"/>
        </w:rPr>
        <w:t>]. При прогресуванні стенокардії одночасно з підвищенням рівня ЕТ</w:t>
      </w:r>
      <w:r w:rsidR="00BC0119" w:rsidRPr="001416ED">
        <w:rPr>
          <w:b w:val="0"/>
          <w:szCs w:val="28"/>
        </w:rPr>
        <w:t>–</w:t>
      </w:r>
      <w:r w:rsidRPr="001416ED">
        <w:rPr>
          <w:b w:val="0"/>
          <w:szCs w:val="28"/>
        </w:rPr>
        <w:t>1 суттєво погіршується ендотелійзалежна вазодилятація судин [</w:t>
      </w:r>
      <w:r w:rsidR="00E027B3" w:rsidRPr="001416ED">
        <w:rPr>
          <w:b w:val="0"/>
          <w:szCs w:val="28"/>
        </w:rPr>
        <w:t>199</w:t>
      </w:r>
      <w:r w:rsidRPr="001416ED">
        <w:rPr>
          <w:b w:val="0"/>
          <w:szCs w:val="28"/>
        </w:rPr>
        <w:t>].</w:t>
      </w:r>
    </w:p>
    <w:p w:rsidR="00E80D05" w:rsidRPr="001416ED" w:rsidRDefault="00E80D05" w:rsidP="00E80D05">
      <w:pPr>
        <w:pStyle w:val="a5"/>
        <w:ind w:left="0" w:right="0" w:firstLine="709"/>
        <w:jc w:val="both"/>
        <w:rPr>
          <w:b w:val="0"/>
          <w:szCs w:val="28"/>
        </w:rPr>
      </w:pPr>
      <w:r w:rsidRPr="001416ED">
        <w:rPr>
          <w:b w:val="0"/>
          <w:szCs w:val="28"/>
        </w:rPr>
        <w:t xml:space="preserve">У хворих із ХСН, які перенесли ІМ, також значно </w:t>
      </w:r>
      <w:r w:rsidR="00007F7D" w:rsidRPr="001416ED">
        <w:rPr>
          <w:b w:val="0"/>
          <w:szCs w:val="28"/>
        </w:rPr>
        <w:t xml:space="preserve">зростає </w:t>
      </w:r>
      <w:r w:rsidRPr="001416ED">
        <w:rPr>
          <w:b w:val="0"/>
          <w:szCs w:val="28"/>
        </w:rPr>
        <w:t>концентрація ЕТ</w:t>
      </w:r>
      <w:r w:rsidR="00BC0119" w:rsidRPr="001416ED">
        <w:rPr>
          <w:b w:val="0"/>
          <w:szCs w:val="28"/>
        </w:rPr>
        <w:t>–</w:t>
      </w:r>
      <w:r w:rsidRPr="001416ED">
        <w:rPr>
          <w:b w:val="0"/>
          <w:szCs w:val="28"/>
        </w:rPr>
        <w:t>1 в крові. Абсолютне значення плазмового вмісту гормону є прогностичним фактором виживання для таких пацієнтів. Вважають, що ЕТ</w:t>
      </w:r>
      <w:r w:rsidR="00BC0119" w:rsidRPr="001416ED">
        <w:rPr>
          <w:b w:val="0"/>
          <w:szCs w:val="28"/>
        </w:rPr>
        <w:t>–</w:t>
      </w:r>
      <w:r w:rsidRPr="001416ED">
        <w:rPr>
          <w:b w:val="0"/>
          <w:szCs w:val="28"/>
        </w:rPr>
        <w:t>1 відіграє важливу роль в ініціації і стимуляції процесів ремоделювання міокарда та судин в постінфарктний період [1</w:t>
      </w:r>
      <w:r w:rsidR="000250BA" w:rsidRPr="001416ED">
        <w:rPr>
          <w:b w:val="0"/>
          <w:szCs w:val="28"/>
        </w:rPr>
        <w:t>4</w:t>
      </w:r>
      <w:r w:rsidR="00E027B3" w:rsidRPr="001416ED">
        <w:rPr>
          <w:b w:val="0"/>
          <w:szCs w:val="28"/>
        </w:rPr>
        <w:t>1</w:t>
      </w:r>
      <w:r w:rsidRPr="001416ED">
        <w:rPr>
          <w:b w:val="0"/>
          <w:szCs w:val="28"/>
        </w:rPr>
        <w:t>].</w:t>
      </w:r>
      <w:r w:rsidRPr="001416ED">
        <w:rPr>
          <w:szCs w:val="28"/>
        </w:rPr>
        <w:t xml:space="preserve"> </w:t>
      </w:r>
      <w:r w:rsidRPr="001416ED">
        <w:rPr>
          <w:b w:val="0"/>
          <w:szCs w:val="28"/>
        </w:rPr>
        <w:t>Причини підвищення тканинної концентрації ЕТ</w:t>
      </w:r>
      <w:r w:rsidR="00BC0119" w:rsidRPr="001416ED">
        <w:rPr>
          <w:b w:val="0"/>
          <w:szCs w:val="28"/>
        </w:rPr>
        <w:t>–</w:t>
      </w:r>
      <w:r w:rsidRPr="001416ED">
        <w:rPr>
          <w:b w:val="0"/>
          <w:szCs w:val="28"/>
        </w:rPr>
        <w:t>1 при ХСН в даний час дискутуються. Доведено, що гіпертрофія ЛШ і ХСН асоціюються з підвищенням міокардіальної експресії мРНК препроендотеліна</w:t>
      </w:r>
      <w:r w:rsidR="00BC0119" w:rsidRPr="001416ED">
        <w:rPr>
          <w:b w:val="0"/>
          <w:szCs w:val="28"/>
        </w:rPr>
        <w:t>–</w:t>
      </w:r>
      <w:r w:rsidRPr="001416ED">
        <w:rPr>
          <w:b w:val="0"/>
          <w:szCs w:val="28"/>
        </w:rPr>
        <w:t>1 [</w:t>
      </w:r>
      <w:r w:rsidR="00652999" w:rsidRPr="001416ED">
        <w:rPr>
          <w:b w:val="0"/>
          <w:szCs w:val="28"/>
        </w:rPr>
        <w:t>2</w:t>
      </w:r>
      <w:r w:rsidR="00DB29C0" w:rsidRPr="001416ED">
        <w:rPr>
          <w:b w:val="0"/>
          <w:szCs w:val="28"/>
        </w:rPr>
        <w:t>01</w:t>
      </w:r>
      <w:r w:rsidRPr="001416ED">
        <w:rPr>
          <w:b w:val="0"/>
          <w:szCs w:val="28"/>
        </w:rPr>
        <w:t>]. Ці дослідження підтверджують припущення про збільшення утворення ЕТ</w:t>
      </w:r>
      <w:r w:rsidR="00BC0119" w:rsidRPr="001416ED">
        <w:rPr>
          <w:b w:val="0"/>
          <w:szCs w:val="28"/>
        </w:rPr>
        <w:t>–</w:t>
      </w:r>
      <w:r w:rsidRPr="001416ED">
        <w:rPr>
          <w:b w:val="0"/>
          <w:szCs w:val="28"/>
        </w:rPr>
        <w:t>1 внаслідок підвищення продукції препроендотеліна</w:t>
      </w:r>
      <w:r w:rsidR="00BC0119" w:rsidRPr="001416ED">
        <w:rPr>
          <w:b w:val="0"/>
          <w:szCs w:val="28"/>
        </w:rPr>
        <w:t>–</w:t>
      </w:r>
      <w:r w:rsidRPr="001416ED">
        <w:rPr>
          <w:b w:val="0"/>
          <w:szCs w:val="28"/>
        </w:rPr>
        <w:t>1.</w:t>
      </w:r>
    </w:p>
    <w:p w:rsidR="00E80D05" w:rsidRPr="001416ED" w:rsidRDefault="00E80D05" w:rsidP="00E80D05">
      <w:pPr>
        <w:pStyle w:val="a5"/>
        <w:ind w:left="0" w:right="0" w:firstLine="709"/>
        <w:jc w:val="both"/>
        <w:rPr>
          <w:b w:val="0"/>
          <w:szCs w:val="28"/>
        </w:rPr>
      </w:pPr>
      <w:r w:rsidRPr="001416ED">
        <w:rPr>
          <w:b w:val="0"/>
          <w:szCs w:val="28"/>
        </w:rPr>
        <w:t>Можна виділити принаймні кілька механізмів, за допомогою яких ЕТ</w:t>
      </w:r>
      <w:r w:rsidR="00BC0119" w:rsidRPr="001416ED">
        <w:rPr>
          <w:b w:val="0"/>
          <w:szCs w:val="28"/>
        </w:rPr>
        <w:t>–</w:t>
      </w:r>
      <w:r w:rsidRPr="001416ED">
        <w:rPr>
          <w:b w:val="0"/>
          <w:szCs w:val="28"/>
        </w:rPr>
        <w:t>1 погіршує перебіг ХСН. Так, відомо, що ЕТ</w:t>
      </w:r>
      <w:r w:rsidR="00BC0119" w:rsidRPr="001416ED">
        <w:rPr>
          <w:b w:val="0"/>
          <w:szCs w:val="28"/>
        </w:rPr>
        <w:t>–</w:t>
      </w:r>
      <w:r w:rsidRPr="001416ED">
        <w:rPr>
          <w:b w:val="0"/>
          <w:szCs w:val="28"/>
        </w:rPr>
        <w:t>1 здатний надавати безпосередню токсичну дію на серцевий м'яз і приводити до розвитку і прогресування ХСН. ЕТ</w:t>
      </w:r>
      <w:r w:rsidR="00BC0119" w:rsidRPr="001416ED">
        <w:rPr>
          <w:b w:val="0"/>
          <w:szCs w:val="28"/>
        </w:rPr>
        <w:t>–</w:t>
      </w:r>
      <w:r w:rsidRPr="001416ED">
        <w:rPr>
          <w:b w:val="0"/>
          <w:szCs w:val="28"/>
        </w:rPr>
        <w:t>1 може потенціювати мітотичний вплив інших факторів на серцевий м'яз, а також індукувати розвиток вентрикулярних аритмій. Крім того, експресія рецепторів ЕТ</w:t>
      </w:r>
      <w:r w:rsidR="00BC0119" w:rsidRPr="001416ED">
        <w:rPr>
          <w:b w:val="0"/>
          <w:szCs w:val="28"/>
        </w:rPr>
        <w:t>–</w:t>
      </w:r>
      <w:r w:rsidRPr="001416ED">
        <w:rPr>
          <w:b w:val="0"/>
          <w:szCs w:val="28"/>
        </w:rPr>
        <w:t xml:space="preserve">1 в серці здатна викликати </w:t>
      </w:r>
      <w:r w:rsidR="000C20E0">
        <w:rPr>
          <w:b w:val="0"/>
          <w:szCs w:val="28"/>
        </w:rPr>
        <w:t xml:space="preserve">ексцентричну </w:t>
      </w:r>
      <w:r w:rsidR="00143DCD" w:rsidRPr="001416ED">
        <w:rPr>
          <w:b w:val="0"/>
          <w:szCs w:val="28"/>
        </w:rPr>
        <w:t>Г</w:t>
      </w:r>
      <w:r w:rsidRPr="001416ED">
        <w:rPr>
          <w:b w:val="0"/>
          <w:szCs w:val="28"/>
        </w:rPr>
        <w:t>ЛШ. Не виключена можливість того, що порушення ендотелійзалежної вазодил</w:t>
      </w:r>
      <w:r w:rsidR="00AE25B4" w:rsidRPr="001416ED">
        <w:rPr>
          <w:b w:val="0"/>
          <w:szCs w:val="28"/>
        </w:rPr>
        <w:t>я</w:t>
      </w:r>
      <w:r w:rsidRPr="001416ED">
        <w:rPr>
          <w:b w:val="0"/>
          <w:szCs w:val="28"/>
        </w:rPr>
        <w:t>тації можуть бути обумовлені десенсибілізацією рецепторів ендотеліну типу В [</w:t>
      </w:r>
      <w:r w:rsidR="00DB29C0" w:rsidRPr="001416ED">
        <w:rPr>
          <w:b w:val="0"/>
          <w:szCs w:val="28"/>
        </w:rPr>
        <w:t>57</w:t>
      </w:r>
      <w:r w:rsidRPr="001416ED">
        <w:rPr>
          <w:b w:val="0"/>
          <w:szCs w:val="28"/>
        </w:rPr>
        <w:t>].</w:t>
      </w:r>
    </w:p>
    <w:p w:rsidR="00E80D05" w:rsidRPr="001416ED" w:rsidRDefault="00E80D05" w:rsidP="00E80D05">
      <w:pPr>
        <w:pStyle w:val="a5"/>
        <w:ind w:left="0" w:right="-1" w:firstLine="709"/>
        <w:jc w:val="both"/>
        <w:rPr>
          <w:rFonts w:eastAsia="TimesNewRomanPSMT"/>
          <w:b w:val="0"/>
          <w:szCs w:val="28"/>
          <w:lang w:val="ru-RU" w:eastAsia="en-US"/>
        </w:rPr>
      </w:pPr>
      <w:r w:rsidRPr="001416ED">
        <w:rPr>
          <w:b w:val="0"/>
          <w:iCs/>
          <w:szCs w:val="28"/>
          <w:shd w:val="clear" w:color="auto" w:fill="FFFFFF"/>
        </w:rPr>
        <w:t xml:space="preserve">У роботі </w:t>
      </w:r>
      <w:r w:rsidR="00143DCD" w:rsidRPr="001416ED">
        <w:rPr>
          <w:b w:val="0"/>
          <w:iCs/>
          <w:szCs w:val="28"/>
          <w:shd w:val="clear" w:color="auto" w:fill="FFFFFF"/>
        </w:rPr>
        <w:t>Н. В.</w:t>
      </w:r>
      <w:r w:rsidR="00143DCD" w:rsidRPr="001416ED">
        <w:rPr>
          <w:b w:val="0"/>
          <w:szCs w:val="28"/>
        </w:rPr>
        <w:t xml:space="preserve"> </w:t>
      </w:r>
      <w:r w:rsidRPr="001416ED">
        <w:rPr>
          <w:b w:val="0"/>
          <w:iCs/>
          <w:szCs w:val="28"/>
          <w:shd w:val="clear" w:color="auto" w:fill="FFFFFF"/>
        </w:rPr>
        <w:t xml:space="preserve">Карсанова </w:t>
      </w:r>
      <w:r w:rsidRPr="001416ED">
        <w:rPr>
          <w:b w:val="0"/>
          <w:szCs w:val="28"/>
        </w:rPr>
        <w:t xml:space="preserve">показано, що при ХСН I </w:t>
      </w:r>
      <w:r w:rsidR="00143DCD" w:rsidRPr="001416ED">
        <w:rPr>
          <w:b w:val="0"/>
          <w:szCs w:val="28"/>
        </w:rPr>
        <w:t>функціонального класу (</w:t>
      </w:r>
      <w:r w:rsidRPr="001416ED">
        <w:rPr>
          <w:b w:val="0"/>
          <w:szCs w:val="28"/>
        </w:rPr>
        <w:t>ФК</w:t>
      </w:r>
      <w:r w:rsidR="00143DCD" w:rsidRPr="001416ED">
        <w:rPr>
          <w:b w:val="0"/>
          <w:szCs w:val="28"/>
        </w:rPr>
        <w:t>)</w:t>
      </w:r>
      <w:r w:rsidRPr="001416ED">
        <w:rPr>
          <w:b w:val="0"/>
          <w:szCs w:val="28"/>
        </w:rPr>
        <w:t xml:space="preserve"> по NYHA на тлі миготливої аритмії вміст ЕТ</w:t>
      </w:r>
      <w:r w:rsidR="00BC0119" w:rsidRPr="001416ED">
        <w:rPr>
          <w:b w:val="0"/>
          <w:szCs w:val="28"/>
        </w:rPr>
        <w:t>–</w:t>
      </w:r>
      <w:r w:rsidRPr="001416ED">
        <w:rPr>
          <w:b w:val="0"/>
          <w:szCs w:val="28"/>
        </w:rPr>
        <w:t>1 підвищується на 47</w:t>
      </w:r>
      <w:r w:rsidR="00D4219F" w:rsidRPr="001416ED">
        <w:rPr>
          <w:b w:val="0"/>
          <w:szCs w:val="28"/>
        </w:rPr>
        <w:t xml:space="preserve"> %</w:t>
      </w:r>
      <w:r w:rsidRPr="001416ED">
        <w:rPr>
          <w:b w:val="0"/>
          <w:szCs w:val="28"/>
        </w:rPr>
        <w:t xml:space="preserve">, при II ФК </w:t>
      </w:r>
      <w:r w:rsidR="00BC0119" w:rsidRPr="001416ED">
        <w:rPr>
          <w:b w:val="0"/>
          <w:szCs w:val="28"/>
        </w:rPr>
        <w:t>–</w:t>
      </w:r>
      <w:r w:rsidRPr="001416ED">
        <w:rPr>
          <w:b w:val="0"/>
          <w:szCs w:val="28"/>
        </w:rPr>
        <w:t xml:space="preserve"> на 82</w:t>
      </w:r>
      <w:r w:rsidR="00D4219F" w:rsidRPr="001416ED">
        <w:rPr>
          <w:b w:val="0"/>
          <w:szCs w:val="28"/>
        </w:rPr>
        <w:t xml:space="preserve"> %</w:t>
      </w:r>
      <w:r w:rsidRPr="001416ED">
        <w:rPr>
          <w:b w:val="0"/>
          <w:szCs w:val="28"/>
        </w:rPr>
        <w:t xml:space="preserve">, при III ФК </w:t>
      </w:r>
      <w:r w:rsidR="00BC0119" w:rsidRPr="001416ED">
        <w:rPr>
          <w:b w:val="0"/>
          <w:szCs w:val="28"/>
        </w:rPr>
        <w:t>–</w:t>
      </w:r>
      <w:r w:rsidRPr="001416ED">
        <w:rPr>
          <w:b w:val="0"/>
          <w:szCs w:val="28"/>
        </w:rPr>
        <w:t xml:space="preserve"> на 165</w:t>
      </w:r>
      <w:r w:rsidR="00D4219F" w:rsidRPr="001416ED">
        <w:rPr>
          <w:b w:val="0"/>
          <w:szCs w:val="28"/>
        </w:rPr>
        <w:t xml:space="preserve"> %</w:t>
      </w:r>
      <w:r w:rsidRPr="001416ED">
        <w:rPr>
          <w:b w:val="0"/>
          <w:szCs w:val="28"/>
        </w:rPr>
        <w:t xml:space="preserve">, а при IV </w:t>
      </w:r>
      <w:r w:rsidR="00BC0119" w:rsidRPr="001416ED">
        <w:rPr>
          <w:b w:val="0"/>
          <w:szCs w:val="28"/>
        </w:rPr>
        <w:t>–</w:t>
      </w:r>
      <w:r w:rsidRPr="001416ED">
        <w:rPr>
          <w:b w:val="0"/>
          <w:szCs w:val="28"/>
        </w:rPr>
        <w:t xml:space="preserve"> на 288</w:t>
      </w:r>
      <w:r w:rsidR="00D4219F" w:rsidRPr="001416ED">
        <w:rPr>
          <w:b w:val="0"/>
          <w:szCs w:val="28"/>
        </w:rPr>
        <w:t xml:space="preserve"> %</w:t>
      </w:r>
      <w:r w:rsidRPr="001416ED">
        <w:rPr>
          <w:b w:val="0"/>
          <w:szCs w:val="28"/>
        </w:rPr>
        <w:t xml:space="preserve"> щодо нормальних значень</w:t>
      </w:r>
      <w:r w:rsidRPr="001416ED">
        <w:rPr>
          <w:b w:val="0"/>
          <w:szCs w:val="28"/>
          <w:lang w:val="ru-RU"/>
        </w:rPr>
        <w:t xml:space="preserve"> </w:t>
      </w:r>
      <w:r w:rsidRPr="001416ED">
        <w:rPr>
          <w:rFonts w:eastAsia="TimesNewRomanPSMT"/>
          <w:b w:val="0"/>
          <w:szCs w:val="28"/>
          <w:lang w:eastAsia="en-US"/>
        </w:rPr>
        <w:t>[</w:t>
      </w:r>
      <w:r w:rsidR="00A96234" w:rsidRPr="001416ED">
        <w:rPr>
          <w:rFonts w:eastAsia="TimesNewRomanPSMT"/>
          <w:b w:val="0"/>
          <w:szCs w:val="28"/>
          <w:lang w:eastAsia="en-US"/>
        </w:rPr>
        <w:t>3</w:t>
      </w:r>
      <w:r w:rsidR="00DB29C0" w:rsidRPr="001416ED">
        <w:rPr>
          <w:rFonts w:eastAsia="TimesNewRomanPSMT"/>
          <w:b w:val="0"/>
          <w:szCs w:val="28"/>
          <w:lang w:eastAsia="en-US"/>
        </w:rPr>
        <w:t>8</w:t>
      </w:r>
      <w:r w:rsidRPr="001416ED">
        <w:rPr>
          <w:rFonts w:eastAsia="TimesNewRomanPSMT"/>
          <w:b w:val="0"/>
          <w:szCs w:val="28"/>
          <w:lang w:eastAsia="en-US"/>
        </w:rPr>
        <w:t>].</w:t>
      </w:r>
    </w:p>
    <w:p w:rsidR="00E80D05" w:rsidRPr="001416ED" w:rsidRDefault="00143DCD" w:rsidP="00E80D05">
      <w:pPr>
        <w:pStyle w:val="a5"/>
        <w:ind w:left="0" w:right="-1" w:firstLine="709"/>
        <w:jc w:val="both"/>
        <w:rPr>
          <w:b w:val="0"/>
          <w:szCs w:val="28"/>
          <w:lang w:val="ru-RU"/>
        </w:rPr>
      </w:pPr>
      <w:r w:rsidRPr="001416ED">
        <w:rPr>
          <w:b w:val="0"/>
        </w:rPr>
        <w:t xml:space="preserve">Т. І. </w:t>
      </w:r>
      <w:r w:rsidR="00E80D05" w:rsidRPr="001416ED">
        <w:rPr>
          <w:b w:val="0"/>
        </w:rPr>
        <w:t>Магдаліц</w:t>
      </w:r>
      <w:r w:rsidR="00E80D05" w:rsidRPr="001416ED">
        <w:rPr>
          <w:b w:val="0"/>
          <w:szCs w:val="28"/>
          <w:lang w:val="ru-RU"/>
        </w:rPr>
        <w:t xml:space="preserve"> </w:t>
      </w:r>
      <w:r w:rsidR="00E80D05" w:rsidRPr="001416ED">
        <w:rPr>
          <w:b w:val="0"/>
        </w:rPr>
        <w:t>продемонструвала, що</w:t>
      </w:r>
      <w:r w:rsidR="00E80D05" w:rsidRPr="001416ED">
        <w:t xml:space="preserve"> </w:t>
      </w:r>
      <w:r w:rsidR="00E80D05" w:rsidRPr="001416ED">
        <w:rPr>
          <w:b w:val="0"/>
          <w:szCs w:val="28"/>
          <w:lang w:val="ru-RU"/>
        </w:rPr>
        <w:t>ХСН на</w:t>
      </w:r>
      <w:r w:rsidR="00E80D05" w:rsidRPr="001416ED">
        <w:rPr>
          <w:b w:val="0"/>
          <w:szCs w:val="28"/>
        </w:rPr>
        <w:t xml:space="preserve"> тлі</w:t>
      </w:r>
      <w:r w:rsidR="00E80D05" w:rsidRPr="001416ED">
        <w:rPr>
          <w:b w:val="0"/>
          <w:szCs w:val="28"/>
          <w:lang w:val="ru-RU"/>
        </w:rPr>
        <w:t xml:space="preserve"> ІХС</w:t>
      </w:r>
      <w:r w:rsidR="00E80D05" w:rsidRPr="001416ED">
        <w:rPr>
          <w:b w:val="0"/>
          <w:szCs w:val="28"/>
        </w:rPr>
        <w:t xml:space="preserve"> характеризується прогресуючим збільшенням вмісту</w:t>
      </w:r>
      <w:r w:rsidR="00E80D05" w:rsidRPr="001416ED">
        <w:rPr>
          <w:b w:val="0"/>
          <w:szCs w:val="28"/>
          <w:lang w:val="ru-RU"/>
        </w:rPr>
        <w:t xml:space="preserve"> ЕТ</w:t>
      </w:r>
      <w:r w:rsidR="00BC0119" w:rsidRPr="001416ED">
        <w:rPr>
          <w:b w:val="0"/>
          <w:szCs w:val="28"/>
          <w:lang w:val="ru-RU"/>
        </w:rPr>
        <w:t>–</w:t>
      </w:r>
      <w:r w:rsidR="00E80D05" w:rsidRPr="001416ED">
        <w:rPr>
          <w:b w:val="0"/>
          <w:szCs w:val="28"/>
          <w:lang w:val="ru-RU"/>
        </w:rPr>
        <w:t>1 в</w:t>
      </w:r>
      <w:r w:rsidR="00E80D05" w:rsidRPr="001416ED">
        <w:rPr>
          <w:b w:val="0"/>
          <w:szCs w:val="28"/>
        </w:rPr>
        <w:t xml:space="preserve"> периферичній венозній крові</w:t>
      </w:r>
      <w:r w:rsidR="00E80D05" w:rsidRPr="001416ED">
        <w:rPr>
          <w:b w:val="0"/>
          <w:szCs w:val="28"/>
          <w:lang w:val="ru-RU"/>
        </w:rPr>
        <w:t>,</w:t>
      </w:r>
      <w:r w:rsidR="00E80D05" w:rsidRPr="001416ED">
        <w:rPr>
          <w:b w:val="0"/>
          <w:szCs w:val="28"/>
        </w:rPr>
        <w:t xml:space="preserve"> ступінь </w:t>
      </w:r>
      <w:r w:rsidR="00E80D05" w:rsidRPr="001416ED">
        <w:rPr>
          <w:b w:val="0"/>
          <w:szCs w:val="28"/>
        </w:rPr>
        <w:lastRenderedPageBreak/>
        <w:t>якого</w:t>
      </w:r>
      <w:r w:rsidR="00E80D05" w:rsidRPr="001416ED">
        <w:rPr>
          <w:b w:val="0"/>
          <w:szCs w:val="28"/>
          <w:lang w:val="ru-RU"/>
        </w:rPr>
        <w:t xml:space="preserve"> максимальна при IV ФК ХСН.</w:t>
      </w:r>
      <w:r w:rsidR="00E80D05" w:rsidRPr="001416ED">
        <w:rPr>
          <w:b w:val="0"/>
          <w:szCs w:val="28"/>
        </w:rPr>
        <w:t xml:space="preserve"> Інгібітори дії</w:t>
      </w:r>
      <w:r w:rsidR="00E80D05" w:rsidRPr="001416ED">
        <w:rPr>
          <w:b w:val="0"/>
          <w:szCs w:val="28"/>
          <w:lang w:val="ru-RU"/>
        </w:rPr>
        <w:t xml:space="preserve"> РААС </w:t>
      </w:r>
      <w:r w:rsidR="00BC0119" w:rsidRPr="001416ED">
        <w:rPr>
          <w:b w:val="0"/>
          <w:szCs w:val="28"/>
          <w:lang w:val="ru-RU"/>
        </w:rPr>
        <w:t>–</w:t>
      </w:r>
      <w:r w:rsidR="00E80D05" w:rsidRPr="001416ED">
        <w:rPr>
          <w:b w:val="0"/>
          <w:szCs w:val="28"/>
        </w:rPr>
        <w:t xml:space="preserve"> еналаприл</w:t>
      </w:r>
      <w:r w:rsidR="00E80D05" w:rsidRPr="001416ED">
        <w:rPr>
          <w:b w:val="0"/>
          <w:szCs w:val="28"/>
          <w:lang w:val="ru-RU"/>
        </w:rPr>
        <w:t xml:space="preserve"> і лозартан, зменшують вміст ЕТ</w:t>
      </w:r>
      <w:r w:rsidR="00BC0119" w:rsidRPr="001416ED">
        <w:rPr>
          <w:b w:val="0"/>
          <w:szCs w:val="28"/>
          <w:lang w:val="ru-RU"/>
        </w:rPr>
        <w:t>–</w:t>
      </w:r>
      <w:r w:rsidR="00E80D05" w:rsidRPr="001416ED">
        <w:rPr>
          <w:b w:val="0"/>
          <w:szCs w:val="28"/>
          <w:lang w:val="ru-RU"/>
        </w:rPr>
        <w:t xml:space="preserve">1 в крові, при чому </w:t>
      </w:r>
      <w:r w:rsidR="00E80D05" w:rsidRPr="001416ED">
        <w:rPr>
          <w:b w:val="0"/>
          <w:szCs w:val="28"/>
        </w:rPr>
        <w:t>еналаприл</w:t>
      </w:r>
      <w:r w:rsidR="00E80D05" w:rsidRPr="001416ED">
        <w:rPr>
          <w:b w:val="0"/>
          <w:szCs w:val="28"/>
          <w:lang w:val="ru-RU"/>
        </w:rPr>
        <w:t xml:space="preserve"> володіє більш вираженим ендотелінзнижуючою дією. Зниження вмісту ЕТ</w:t>
      </w:r>
      <w:r w:rsidR="00BC0119" w:rsidRPr="001416ED">
        <w:rPr>
          <w:b w:val="0"/>
          <w:szCs w:val="28"/>
          <w:lang w:val="ru-RU"/>
        </w:rPr>
        <w:t>–</w:t>
      </w:r>
      <w:r w:rsidR="00E80D05" w:rsidRPr="001416ED">
        <w:rPr>
          <w:b w:val="0"/>
          <w:szCs w:val="28"/>
          <w:lang w:val="ru-RU"/>
        </w:rPr>
        <w:t>1 в крові хворих з серцево</w:t>
      </w:r>
      <w:r w:rsidR="00BC0119" w:rsidRPr="001416ED">
        <w:rPr>
          <w:b w:val="0"/>
          <w:szCs w:val="28"/>
          <w:lang w:val="ru-RU"/>
        </w:rPr>
        <w:t>–</w:t>
      </w:r>
      <w:r w:rsidR="00E80D05" w:rsidRPr="001416ED">
        <w:rPr>
          <w:b w:val="0"/>
          <w:szCs w:val="28"/>
          <w:lang w:val="ru-RU"/>
        </w:rPr>
        <w:t xml:space="preserve">судинними захворюваннями </w:t>
      </w:r>
      <w:proofErr w:type="gramStart"/>
      <w:r w:rsidR="00E80D05" w:rsidRPr="001416ED">
        <w:rPr>
          <w:b w:val="0"/>
          <w:szCs w:val="28"/>
          <w:lang w:val="ru-RU"/>
        </w:rPr>
        <w:t>п</w:t>
      </w:r>
      <w:proofErr w:type="gramEnd"/>
      <w:r w:rsidR="00E80D05" w:rsidRPr="001416ED">
        <w:rPr>
          <w:b w:val="0"/>
          <w:szCs w:val="28"/>
          <w:lang w:val="ru-RU"/>
        </w:rPr>
        <w:t>ід впливом інгібіторів дії РААС ще раз підтверджує тісний взаємозв’язок між РААС та ЕТ</w:t>
      </w:r>
      <w:r w:rsidR="00BC0119" w:rsidRPr="001416ED">
        <w:rPr>
          <w:b w:val="0"/>
          <w:szCs w:val="28"/>
          <w:lang w:val="ru-RU"/>
        </w:rPr>
        <w:t>–</w:t>
      </w:r>
      <w:r w:rsidR="00E80D05" w:rsidRPr="001416ED">
        <w:rPr>
          <w:b w:val="0"/>
          <w:szCs w:val="28"/>
          <w:lang w:val="ru-RU"/>
        </w:rPr>
        <w:t xml:space="preserve">1 </w:t>
      </w:r>
      <w:r w:rsidR="00E80D05" w:rsidRPr="001416ED">
        <w:rPr>
          <w:rFonts w:eastAsia="TimesNewRomanPSMT"/>
          <w:b w:val="0"/>
          <w:szCs w:val="28"/>
          <w:lang w:eastAsia="en-US"/>
        </w:rPr>
        <w:t>[</w:t>
      </w:r>
      <w:r w:rsidR="00A96234" w:rsidRPr="001416ED">
        <w:rPr>
          <w:rFonts w:eastAsia="TimesNewRomanPSMT"/>
          <w:b w:val="0"/>
          <w:szCs w:val="28"/>
          <w:lang w:eastAsia="en-US"/>
        </w:rPr>
        <w:t>5</w:t>
      </w:r>
      <w:r w:rsidR="000E1567" w:rsidRPr="001416ED">
        <w:rPr>
          <w:rFonts w:eastAsia="TimesNewRomanPSMT"/>
          <w:b w:val="0"/>
          <w:szCs w:val="28"/>
          <w:lang w:eastAsia="en-US"/>
        </w:rPr>
        <w:t>4</w:t>
      </w:r>
      <w:r w:rsidR="00E80D05" w:rsidRPr="001416ED">
        <w:rPr>
          <w:rFonts w:eastAsia="TimesNewRomanPSMT"/>
          <w:b w:val="0"/>
          <w:szCs w:val="28"/>
          <w:lang w:eastAsia="en-US"/>
        </w:rPr>
        <w:t>]</w:t>
      </w:r>
      <w:r w:rsidR="00E80D05" w:rsidRPr="001416ED">
        <w:rPr>
          <w:b w:val="0"/>
          <w:szCs w:val="28"/>
          <w:lang w:val="ru-RU"/>
        </w:rPr>
        <w:t>.</w:t>
      </w:r>
    </w:p>
    <w:p w:rsidR="00E80D05" w:rsidRPr="001416ED" w:rsidRDefault="00E80D05" w:rsidP="00E80D05">
      <w:pPr>
        <w:pStyle w:val="a5"/>
        <w:ind w:left="0" w:right="-1" w:firstLine="709"/>
        <w:jc w:val="both"/>
        <w:rPr>
          <w:b w:val="0"/>
          <w:szCs w:val="28"/>
          <w:lang w:val="ru-RU"/>
        </w:rPr>
      </w:pPr>
      <w:r w:rsidRPr="001416ED">
        <w:rPr>
          <w:b w:val="0"/>
          <w:szCs w:val="28"/>
          <w:lang w:val="ru-RU"/>
        </w:rPr>
        <w:t>У людей літнього віку є початкова</w:t>
      </w:r>
      <w:r w:rsidR="004B0959" w:rsidRPr="001416ED">
        <w:rPr>
          <w:b w:val="0"/>
          <w:szCs w:val="28"/>
          <w:lang w:val="ru-RU"/>
        </w:rPr>
        <w:t xml:space="preserve"> «скомпроме</w:t>
      </w:r>
      <w:r w:rsidR="003A1A06" w:rsidRPr="001416ED">
        <w:rPr>
          <w:b w:val="0"/>
          <w:szCs w:val="28"/>
          <w:lang w:val="ru-RU"/>
        </w:rPr>
        <w:t>н</w:t>
      </w:r>
      <w:r w:rsidR="004B0959" w:rsidRPr="001416ED">
        <w:rPr>
          <w:b w:val="0"/>
          <w:szCs w:val="28"/>
          <w:lang w:val="ru-RU"/>
        </w:rPr>
        <w:t>тованість» нейроім</w:t>
      </w:r>
      <w:r w:rsidRPr="001416ED">
        <w:rPr>
          <w:b w:val="0"/>
          <w:szCs w:val="28"/>
          <w:lang w:val="ru-RU"/>
        </w:rPr>
        <w:t xml:space="preserve">уноендокринних взаємин. Так, при </w:t>
      </w:r>
      <w:proofErr w:type="gramStart"/>
      <w:r w:rsidRPr="001416ED">
        <w:rPr>
          <w:b w:val="0"/>
          <w:szCs w:val="28"/>
          <w:lang w:val="ru-RU"/>
        </w:rPr>
        <w:t>р</w:t>
      </w:r>
      <w:proofErr w:type="gramEnd"/>
      <w:r w:rsidRPr="001416ED">
        <w:rPr>
          <w:b w:val="0"/>
          <w:szCs w:val="28"/>
          <w:lang w:val="ru-RU"/>
        </w:rPr>
        <w:t>івні ET</w:t>
      </w:r>
      <w:r w:rsidR="00BC0119" w:rsidRPr="001416ED">
        <w:rPr>
          <w:b w:val="0"/>
          <w:szCs w:val="28"/>
          <w:lang w:val="ru-RU"/>
        </w:rPr>
        <w:t>–</w:t>
      </w:r>
      <w:r w:rsidRPr="001416ED">
        <w:rPr>
          <w:b w:val="0"/>
          <w:szCs w:val="28"/>
          <w:lang w:val="ru-RU"/>
        </w:rPr>
        <w:t>1 у людей середнього віку (40</w:t>
      </w:r>
      <w:r w:rsidR="00BC0119" w:rsidRPr="001416ED">
        <w:rPr>
          <w:b w:val="0"/>
          <w:szCs w:val="28"/>
          <w:lang w:val="ru-RU"/>
        </w:rPr>
        <w:t>–</w:t>
      </w:r>
      <w:r w:rsidRPr="001416ED">
        <w:rPr>
          <w:b w:val="0"/>
          <w:szCs w:val="28"/>
          <w:lang w:val="ru-RU"/>
        </w:rPr>
        <w:t>60</w:t>
      </w:r>
      <w:r w:rsidR="00AF3BA5" w:rsidRPr="001416ED">
        <w:rPr>
          <w:b w:val="0"/>
          <w:szCs w:val="28"/>
          <w:lang w:val="ru-RU"/>
        </w:rPr>
        <w:t>)</w:t>
      </w:r>
      <w:r w:rsidRPr="001416ED">
        <w:rPr>
          <w:b w:val="0"/>
          <w:szCs w:val="28"/>
          <w:lang w:val="ru-RU"/>
        </w:rPr>
        <w:t xml:space="preserve"> років) без ХСН в межах 7,2 </w:t>
      </w:r>
      <w:r w:rsidR="00023CB5" w:rsidRPr="001416ED">
        <w:rPr>
          <w:b w:val="0"/>
          <w:szCs w:val="28"/>
          <w:lang w:val="ru-RU"/>
        </w:rPr>
        <w:t>пмоль/мл</w:t>
      </w:r>
      <w:r w:rsidRPr="001416ED">
        <w:rPr>
          <w:b w:val="0"/>
          <w:szCs w:val="28"/>
          <w:lang w:val="ru-RU"/>
        </w:rPr>
        <w:t>, його рівень у літніх хворих без ХСН (60</w:t>
      </w:r>
      <w:r w:rsidR="00BC0119" w:rsidRPr="001416ED">
        <w:rPr>
          <w:b w:val="0"/>
          <w:szCs w:val="28"/>
          <w:lang w:val="ru-RU"/>
        </w:rPr>
        <w:t>–</w:t>
      </w:r>
      <w:r w:rsidRPr="001416ED">
        <w:rPr>
          <w:b w:val="0"/>
          <w:szCs w:val="28"/>
          <w:lang w:val="ru-RU"/>
        </w:rPr>
        <w:t>74</w:t>
      </w:r>
      <w:r w:rsidR="00AF3BA5" w:rsidRPr="001416ED">
        <w:rPr>
          <w:b w:val="0"/>
          <w:szCs w:val="28"/>
          <w:lang w:val="ru-RU"/>
        </w:rPr>
        <w:t>)</w:t>
      </w:r>
      <w:r w:rsidRPr="001416ED">
        <w:rPr>
          <w:b w:val="0"/>
          <w:szCs w:val="28"/>
          <w:lang w:val="ru-RU"/>
        </w:rPr>
        <w:t xml:space="preserve"> років) достовірно вище і знаходиться в межах 10,2 </w:t>
      </w:r>
      <w:r w:rsidR="00023CB5" w:rsidRPr="001416ED">
        <w:rPr>
          <w:b w:val="0"/>
          <w:szCs w:val="28"/>
          <w:lang w:val="ru-RU"/>
        </w:rPr>
        <w:t>пмоль/мл</w:t>
      </w:r>
      <w:r w:rsidRPr="001416ED">
        <w:rPr>
          <w:b w:val="0"/>
          <w:szCs w:val="28"/>
          <w:lang w:val="ru-RU"/>
        </w:rPr>
        <w:t>. У літньому віці механізми розвитку дисфункції ендотелію реалізуються в більшій мі</w:t>
      </w:r>
      <w:proofErr w:type="gramStart"/>
      <w:r w:rsidRPr="001416ED">
        <w:rPr>
          <w:b w:val="0"/>
          <w:szCs w:val="28"/>
          <w:lang w:val="ru-RU"/>
        </w:rPr>
        <w:t>р</w:t>
      </w:r>
      <w:proofErr w:type="gramEnd"/>
      <w:r w:rsidRPr="001416ED">
        <w:rPr>
          <w:b w:val="0"/>
          <w:szCs w:val="28"/>
          <w:lang w:val="ru-RU"/>
        </w:rPr>
        <w:t xml:space="preserve">і, ніж в середньому віці. Якщо у віці </w:t>
      </w:r>
      <w:r w:rsidR="00AF3BA5" w:rsidRPr="001416ED">
        <w:rPr>
          <w:b w:val="0"/>
          <w:szCs w:val="28"/>
          <w:lang w:val="ru-RU"/>
        </w:rPr>
        <w:t>(</w:t>
      </w:r>
      <w:r w:rsidRPr="001416ED">
        <w:rPr>
          <w:b w:val="0"/>
          <w:szCs w:val="28"/>
          <w:lang w:val="ru-RU"/>
        </w:rPr>
        <w:t>40</w:t>
      </w:r>
      <w:r w:rsidR="00BC0119" w:rsidRPr="001416ED">
        <w:rPr>
          <w:b w:val="0"/>
          <w:szCs w:val="28"/>
          <w:lang w:val="ru-RU"/>
        </w:rPr>
        <w:t>–</w:t>
      </w:r>
      <w:r w:rsidRPr="001416ED">
        <w:rPr>
          <w:b w:val="0"/>
          <w:szCs w:val="28"/>
          <w:lang w:val="ru-RU"/>
        </w:rPr>
        <w:t>60</w:t>
      </w:r>
      <w:r w:rsidR="00AF3BA5" w:rsidRPr="001416ED">
        <w:rPr>
          <w:b w:val="0"/>
          <w:szCs w:val="28"/>
          <w:lang w:val="ru-RU"/>
        </w:rPr>
        <w:t>)</w:t>
      </w:r>
      <w:r w:rsidRPr="001416ED">
        <w:rPr>
          <w:b w:val="0"/>
          <w:szCs w:val="28"/>
          <w:lang w:val="ru-RU"/>
        </w:rPr>
        <w:t xml:space="preserve"> років процеси початку ХСН і ендотеліального дисбалансу практично збігаються за часом і взаємообтяжують один одного в рівній мірі, то в літньому віці порушення функції ендотелію виявляється ще до клінічних проявів захворювання. Однак, при важких ступенях ХСН функція ендотелію порушена в </w:t>
      </w:r>
      <w:proofErr w:type="gramStart"/>
      <w:r w:rsidRPr="001416ED">
        <w:rPr>
          <w:b w:val="0"/>
          <w:szCs w:val="28"/>
          <w:lang w:val="ru-RU"/>
        </w:rPr>
        <w:t>р</w:t>
      </w:r>
      <w:proofErr w:type="gramEnd"/>
      <w:r w:rsidRPr="001416ED">
        <w:rPr>
          <w:b w:val="0"/>
          <w:szCs w:val="28"/>
          <w:lang w:val="ru-RU"/>
        </w:rPr>
        <w:t xml:space="preserve">івній мірі у хворих різного віку </w:t>
      </w:r>
      <w:r w:rsidRPr="001416ED">
        <w:rPr>
          <w:rFonts w:eastAsia="TimesNewRomanPSMT"/>
          <w:b w:val="0"/>
          <w:szCs w:val="28"/>
          <w:lang w:eastAsia="en-US"/>
        </w:rPr>
        <w:t>[</w:t>
      </w:r>
      <w:r w:rsidR="000E1567" w:rsidRPr="001416ED">
        <w:rPr>
          <w:rFonts w:eastAsia="TimesNewRomanPSMT"/>
          <w:b w:val="0"/>
          <w:szCs w:val="28"/>
          <w:lang w:eastAsia="en-US"/>
        </w:rPr>
        <w:t>9</w:t>
      </w:r>
      <w:r w:rsidRPr="001416ED">
        <w:rPr>
          <w:rFonts w:eastAsia="TimesNewRomanPSMT"/>
          <w:b w:val="0"/>
          <w:szCs w:val="28"/>
          <w:lang w:eastAsia="en-US"/>
        </w:rPr>
        <w:t>]</w:t>
      </w:r>
      <w:r w:rsidRPr="001416ED">
        <w:rPr>
          <w:b w:val="0"/>
          <w:szCs w:val="28"/>
          <w:lang w:val="ru-RU"/>
        </w:rPr>
        <w:t>.</w:t>
      </w:r>
    </w:p>
    <w:p w:rsidR="009F4E52" w:rsidRPr="001416ED" w:rsidRDefault="009F4E52" w:rsidP="00E80D05">
      <w:pPr>
        <w:pStyle w:val="a5"/>
        <w:ind w:left="0" w:right="-1" w:firstLine="709"/>
        <w:jc w:val="both"/>
        <w:rPr>
          <w:b w:val="0"/>
          <w:szCs w:val="28"/>
          <w:lang w:val="ru-RU"/>
        </w:rPr>
      </w:pPr>
      <w:r w:rsidRPr="001416ED">
        <w:rPr>
          <w:b w:val="0"/>
          <w:szCs w:val="28"/>
          <w:lang w:val="ru-RU"/>
        </w:rPr>
        <w:t xml:space="preserve">Таким чином, більшість </w:t>
      </w:r>
      <w:proofErr w:type="gramStart"/>
      <w:r w:rsidRPr="001416ED">
        <w:rPr>
          <w:b w:val="0"/>
          <w:szCs w:val="28"/>
          <w:lang w:val="ru-RU"/>
        </w:rPr>
        <w:t>досл</w:t>
      </w:r>
      <w:proofErr w:type="gramEnd"/>
      <w:r w:rsidRPr="001416ED">
        <w:rPr>
          <w:b w:val="0"/>
          <w:szCs w:val="28"/>
          <w:lang w:val="ru-RU"/>
        </w:rPr>
        <w:t>ідників засвідчують вагомість визначення плазмової концентрації ЕТ</w:t>
      </w:r>
      <w:r w:rsidR="00BC0119" w:rsidRPr="001416ED">
        <w:rPr>
          <w:b w:val="0"/>
          <w:szCs w:val="28"/>
          <w:lang w:val="ru-RU"/>
        </w:rPr>
        <w:t>–</w:t>
      </w:r>
      <w:r w:rsidRPr="001416ED">
        <w:rPr>
          <w:b w:val="0"/>
          <w:szCs w:val="28"/>
          <w:lang w:val="ru-RU"/>
        </w:rPr>
        <w:t>1 як можливого маркера серцево</w:t>
      </w:r>
      <w:r w:rsidR="00BC0119" w:rsidRPr="001416ED">
        <w:rPr>
          <w:b w:val="0"/>
          <w:szCs w:val="28"/>
          <w:lang w:val="ru-RU"/>
        </w:rPr>
        <w:t>–</w:t>
      </w:r>
      <w:r w:rsidRPr="001416ED">
        <w:rPr>
          <w:b w:val="0"/>
          <w:szCs w:val="28"/>
          <w:lang w:val="ru-RU"/>
        </w:rPr>
        <w:t xml:space="preserve">судинних подій. Не меншу зацікавленість може викликати ймовірність генетичного контролю </w:t>
      </w:r>
      <w:proofErr w:type="gramStart"/>
      <w:r w:rsidRPr="001416ED">
        <w:rPr>
          <w:b w:val="0"/>
          <w:szCs w:val="28"/>
          <w:lang w:val="ru-RU"/>
        </w:rPr>
        <w:t>р</w:t>
      </w:r>
      <w:proofErr w:type="gramEnd"/>
      <w:r w:rsidRPr="001416ED">
        <w:rPr>
          <w:b w:val="0"/>
          <w:szCs w:val="28"/>
          <w:lang w:val="ru-RU"/>
        </w:rPr>
        <w:t>івня ЕТ</w:t>
      </w:r>
      <w:r w:rsidR="00BC0119" w:rsidRPr="001416ED">
        <w:rPr>
          <w:b w:val="0"/>
          <w:szCs w:val="28"/>
          <w:lang w:val="ru-RU"/>
        </w:rPr>
        <w:t>–</w:t>
      </w:r>
      <w:r w:rsidRPr="001416ED">
        <w:rPr>
          <w:b w:val="0"/>
          <w:szCs w:val="28"/>
          <w:lang w:val="ru-RU"/>
        </w:rPr>
        <w:t>1.</w:t>
      </w:r>
    </w:p>
    <w:p w:rsidR="009A6050" w:rsidRPr="001416ED" w:rsidRDefault="00E80D05" w:rsidP="00E80D05">
      <w:pPr>
        <w:pStyle w:val="12"/>
        <w:spacing w:before="0" w:after="0" w:line="360" w:lineRule="auto"/>
        <w:ind w:right="-6" w:firstLine="709"/>
        <w:jc w:val="both"/>
        <w:rPr>
          <w:sz w:val="28"/>
          <w:szCs w:val="28"/>
          <w:lang w:val="uk-UA"/>
        </w:rPr>
      </w:pPr>
      <w:r w:rsidRPr="001416ED">
        <w:rPr>
          <w:sz w:val="28"/>
          <w:szCs w:val="28"/>
          <w:lang w:val="uk-UA"/>
        </w:rPr>
        <w:t>Ген ЕТ</w:t>
      </w:r>
      <w:r w:rsidR="00BC0119" w:rsidRPr="001416ED">
        <w:rPr>
          <w:sz w:val="28"/>
          <w:szCs w:val="28"/>
          <w:lang w:val="uk-UA"/>
        </w:rPr>
        <w:t>–</w:t>
      </w:r>
      <w:r w:rsidRPr="001416ED">
        <w:rPr>
          <w:sz w:val="28"/>
          <w:szCs w:val="28"/>
          <w:lang w:val="uk-UA"/>
        </w:rPr>
        <w:t>1, що кодує ЕТ</w:t>
      </w:r>
      <w:r w:rsidR="00BC0119" w:rsidRPr="001416ED">
        <w:rPr>
          <w:sz w:val="28"/>
          <w:szCs w:val="28"/>
          <w:lang w:val="uk-UA"/>
        </w:rPr>
        <w:t>–</w:t>
      </w:r>
      <w:r w:rsidRPr="001416ED">
        <w:rPr>
          <w:sz w:val="28"/>
          <w:szCs w:val="28"/>
          <w:lang w:val="uk-UA"/>
        </w:rPr>
        <w:t>1, знаходиться на хромосомі 6p23</w:t>
      </w:r>
      <w:r w:rsidR="00BC0119" w:rsidRPr="001416ED">
        <w:rPr>
          <w:sz w:val="28"/>
          <w:szCs w:val="28"/>
          <w:lang w:val="uk-UA"/>
        </w:rPr>
        <w:t>–</w:t>
      </w:r>
      <w:r w:rsidRPr="001416ED">
        <w:rPr>
          <w:sz w:val="28"/>
          <w:szCs w:val="28"/>
          <w:lang w:val="uk-UA"/>
        </w:rPr>
        <w:t>24. Вивчався вплив однонуклеотидного поліморфізма цього гена, що призводить до заміни амінокислот</w:t>
      </w:r>
      <w:r w:rsidR="00143DCD" w:rsidRPr="001416ED">
        <w:rPr>
          <w:sz w:val="28"/>
          <w:szCs w:val="28"/>
          <w:lang w:val="uk-UA"/>
        </w:rPr>
        <w:t>и</w:t>
      </w:r>
      <w:r w:rsidRPr="001416ED">
        <w:rPr>
          <w:sz w:val="28"/>
          <w:szCs w:val="28"/>
          <w:lang w:val="uk-UA"/>
        </w:rPr>
        <w:t xml:space="preserve"> лізину (Lys) на аспарагін (Asn) в положенні 198 поліпептидного ланцюга (G → Т), на розвиток ЕГ та її ускладнень</w:t>
      </w:r>
      <w:r w:rsidR="00143DCD" w:rsidRPr="001416ED">
        <w:rPr>
          <w:sz w:val="28"/>
          <w:szCs w:val="28"/>
          <w:lang w:val="uk-UA"/>
        </w:rPr>
        <w:t xml:space="preserve"> </w:t>
      </w:r>
      <w:r w:rsidR="00143DCD" w:rsidRPr="001416ED">
        <w:rPr>
          <w:rFonts w:eastAsia="TimesNewRomanPSMT"/>
          <w:sz w:val="28"/>
          <w:szCs w:val="28"/>
          <w:lang w:eastAsia="en-US"/>
        </w:rPr>
        <w:t>[</w:t>
      </w:r>
      <w:r w:rsidR="00143DCD" w:rsidRPr="001416ED">
        <w:rPr>
          <w:rFonts w:eastAsia="TimesNewRomanPSMT"/>
          <w:sz w:val="28"/>
          <w:szCs w:val="28"/>
          <w:lang w:val="uk-UA" w:eastAsia="en-US"/>
        </w:rPr>
        <w:t>3</w:t>
      </w:r>
      <w:r w:rsidR="000E1567" w:rsidRPr="001416ED">
        <w:rPr>
          <w:rFonts w:eastAsia="TimesNewRomanPSMT"/>
          <w:sz w:val="28"/>
          <w:szCs w:val="28"/>
          <w:lang w:val="uk-UA" w:eastAsia="en-US"/>
        </w:rPr>
        <w:t>4</w:t>
      </w:r>
      <w:r w:rsidR="00143DCD" w:rsidRPr="001416ED">
        <w:rPr>
          <w:rFonts w:eastAsia="TimesNewRomanPSMT"/>
          <w:sz w:val="28"/>
          <w:szCs w:val="28"/>
          <w:lang w:val="uk-UA" w:eastAsia="en-US"/>
        </w:rPr>
        <w:t>, 5</w:t>
      </w:r>
      <w:r w:rsidR="000E1567" w:rsidRPr="001416ED">
        <w:rPr>
          <w:rFonts w:eastAsia="TimesNewRomanPSMT"/>
          <w:sz w:val="28"/>
          <w:szCs w:val="28"/>
          <w:lang w:val="uk-UA" w:eastAsia="en-US"/>
        </w:rPr>
        <w:t>6</w:t>
      </w:r>
      <w:r w:rsidR="00143DCD" w:rsidRPr="001416ED">
        <w:rPr>
          <w:rFonts w:eastAsia="TimesNewRomanPSMT"/>
          <w:sz w:val="28"/>
          <w:szCs w:val="28"/>
          <w:lang w:val="uk-UA" w:eastAsia="en-US"/>
        </w:rPr>
        <w:t>, 13</w:t>
      </w:r>
      <w:r w:rsidR="000E1567" w:rsidRPr="001416ED">
        <w:rPr>
          <w:rFonts w:eastAsia="TimesNewRomanPSMT"/>
          <w:sz w:val="28"/>
          <w:szCs w:val="28"/>
          <w:lang w:val="uk-UA" w:eastAsia="en-US"/>
        </w:rPr>
        <w:t>1</w:t>
      </w:r>
      <w:r w:rsidR="00143DCD" w:rsidRPr="001416ED">
        <w:rPr>
          <w:rFonts w:eastAsia="TimesNewRomanPSMT"/>
          <w:sz w:val="28"/>
          <w:szCs w:val="28"/>
          <w:lang w:eastAsia="en-US"/>
        </w:rPr>
        <w:t>]</w:t>
      </w:r>
      <w:r w:rsidR="00143DCD" w:rsidRPr="001416ED">
        <w:rPr>
          <w:sz w:val="28"/>
          <w:szCs w:val="28"/>
        </w:rPr>
        <w:t>.</w:t>
      </w:r>
      <w:r w:rsidRPr="001416ED">
        <w:rPr>
          <w:sz w:val="28"/>
          <w:szCs w:val="28"/>
          <w:lang w:val="uk-UA"/>
        </w:rPr>
        <w:t xml:space="preserve"> </w:t>
      </w:r>
    </w:p>
    <w:p w:rsidR="00E80D05" w:rsidRPr="001416ED" w:rsidRDefault="00143DCD" w:rsidP="00E80D05">
      <w:pPr>
        <w:pStyle w:val="12"/>
        <w:spacing w:before="0" w:after="0" w:line="360" w:lineRule="auto"/>
        <w:ind w:right="-6" w:firstLine="709"/>
        <w:jc w:val="both"/>
        <w:rPr>
          <w:sz w:val="28"/>
          <w:szCs w:val="28"/>
          <w:lang w:val="uk-UA"/>
        </w:rPr>
      </w:pPr>
      <w:r w:rsidRPr="001416ED">
        <w:rPr>
          <w:sz w:val="28"/>
          <w:szCs w:val="28"/>
          <w:lang w:val="uk-UA"/>
        </w:rPr>
        <w:t xml:space="preserve">Е. М. </w:t>
      </w:r>
      <w:r w:rsidR="009A6050" w:rsidRPr="001416ED">
        <w:rPr>
          <w:sz w:val="28"/>
          <w:szCs w:val="28"/>
          <w:lang w:val="uk-UA"/>
        </w:rPr>
        <w:t>Березикова показала, що у чоловіків і жінок (змішан</w:t>
      </w:r>
      <w:r w:rsidRPr="001416ED">
        <w:rPr>
          <w:sz w:val="28"/>
          <w:szCs w:val="28"/>
          <w:lang w:val="uk-UA"/>
        </w:rPr>
        <w:t xml:space="preserve">а </w:t>
      </w:r>
      <w:r w:rsidR="009A6050" w:rsidRPr="001416ED">
        <w:rPr>
          <w:sz w:val="28"/>
          <w:szCs w:val="28"/>
          <w:lang w:val="uk-UA"/>
        </w:rPr>
        <w:t xml:space="preserve">група) </w:t>
      </w:r>
      <w:r w:rsidR="00FB2C1E" w:rsidRPr="001416ED">
        <w:rPr>
          <w:sz w:val="28"/>
          <w:szCs w:val="28"/>
          <w:lang w:val="uk-UA"/>
        </w:rPr>
        <w:t xml:space="preserve">з ХСН на тлі ІХС, </w:t>
      </w:r>
      <w:r w:rsidR="009A6050" w:rsidRPr="001416ED">
        <w:rPr>
          <w:sz w:val="28"/>
          <w:szCs w:val="28"/>
          <w:lang w:val="uk-UA"/>
        </w:rPr>
        <w:t>жителів Росії</w:t>
      </w:r>
      <w:r w:rsidR="00643E7A" w:rsidRPr="001416ED">
        <w:rPr>
          <w:sz w:val="28"/>
          <w:szCs w:val="28"/>
          <w:lang w:val="uk-UA"/>
        </w:rPr>
        <w:t xml:space="preserve"> (м. Томськ, м. Новосибірськ</w:t>
      </w:r>
      <w:r w:rsidR="00571660" w:rsidRPr="001416ED">
        <w:rPr>
          <w:sz w:val="28"/>
          <w:szCs w:val="28"/>
          <w:lang w:val="uk-UA"/>
        </w:rPr>
        <w:t>, Росія</w:t>
      </w:r>
      <w:r w:rsidR="00643E7A" w:rsidRPr="001416ED">
        <w:rPr>
          <w:sz w:val="28"/>
          <w:szCs w:val="28"/>
          <w:lang w:val="uk-UA"/>
        </w:rPr>
        <w:t>)</w:t>
      </w:r>
      <w:r w:rsidR="009A6050" w:rsidRPr="001416ED">
        <w:rPr>
          <w:sz w:val="28"/>
          <w:szCs w:val="28"/>
          <w:lang w:val="uk-UA"/>
        </w:rPr>
        <w:t>,</w:t>
      </w:r>
      <w:r w:rsidR="00E80D05" w:rsidRPr="001416ED">
        <w:rPr>
          <w:sz w:val="28"/>
          <w:szCs w:val="28"/>
          <w:lang w:val="uk-UA"/>
        </w:rPr>
        <w:t xml:space="preserve"> носіїв генотипу Asn/Asn поліморфного локусу гена Lys198Asn ЕТ</w:t>
      </w:r>
      <w:r w:rsidR="00BC0119" w:rsidRPr="001416ED">
        <w:rPr>
          <w:sz w:val="28"/>
          <w:szCs w:val="28"/>
          <w:lang w:val="uk-UA"/>
        </w:rPr>
        <w:t>–</w:t>
      </w:r>
      <w:r w:rsidR="00E80D05" w:rsidRPr="001416ED">
        <w:rPr>
          <w:sz w:val="28"/>
          <w:szCs w:val="28"/>
          <w:lang w:val="uk-UA"/>
        </w:rPr>
        <w:t xml:space="preserve">1 виявлено підвищений рівень експресії </w:t>
      </w:r>
      <w:r w:rsidR="009A6050" w:rsidRPr="001416ED">
        <w:rPr>
          <w:sz w:val="28"/>
          <w:szCs w:val="28"/>
          <w:lang w:val="uk-UA"/>
        </w:rPr>
        <w:t xml:space="preserve">пептиду </w:t>
      </w:r>
      <w:r w:rsidR="00E80D05" w:rsidRPr="001416ED">
        <w:rPr>
          <w:sz w:val="28"/>
          <w:szCs w:val="28"/>
          <w:lang w:val="uk-UA"/>
        </w:rPr>
        <w:t>в порівнянні з н</w:t>
      </w:r>
      <w:r w:rsidRPr="001416ED">
        <w:rPr>
          <w:sz w:val="28"/>
          <w:szCs w:val="28"/>
          <w:lang w:val="uk-UA"/>
        </w:rPr>
        <w:t>осіями генотипу Lys/Lys (0,33</w:t>
      </w:r>
      <w:r w:rsidR="007A07A9" w:rsidRPr="001416ED">
        <w:rPr>
          <w:sz w:val="28"/>
          <w:szCs w:val="28"/>
          <w:lang w:val="uk-UA"/>
        </w:rPr>
        <w:t xml:space="preserve"> ± </w:t>
      </w:r>
      <w:r w:rsidRPr="001416ED">
        <w:rPr>
          <w:sz w:val="28"/>
          <w:szCs w:val="28"/>
          <w:lang w:val="uk-UA"/>
        </w:rPr>
        <w:t>0,2</w:t>
      </w:r>
      <w:r w:rsidR="00AF3BA5" w:rsidRPr="001416ED">
        <w:rPr>
          <w:sz w:val="28"/>
          <w:szCs w:val="28"/>
          <w:lang w:val="uk-UA"/>
        </w:rPr>
        <w:t>)</w:t>
      </w:r>
      <w:r w:rsidRPr="001416ED">
        <w:rPr>
          <w:sz w:val="28"/>
          <w:szCs w:val="28"/>
          <w:lang w:val="uk-UA"/>
        </w:rPr>
        <w:t xml:space="preserve"> фмоль/мл і </w:t>
      </w:r>
      <w:r w:rsidR="00AF3BA5" w:rsidRPr="001416ED">
        <w:rPr>
          <w:sz w:val="28"/>
          <w:szCs w:val="28"/>
          <w:lang w:val="uk-UA"/>
        </w:rPr>
        <w:t>(</w:t>
      </w:r>
      <w:r w:rsidRPr="001416ED">
        <w:rPr>
          <w:sz w:val="28"/>
          <w:szCs w:val="28"/>
          <w:lang w:val="uk-UA"/>
        </w:rPr>
        <w:t>0,23</w:t>
      </w:r>
      <w:r w:rsidR="007A07A9" w:rsidRPr="001416ED">
        <w:rPr>
          <w:sz w:val="28"/>
          <w:szCs w:val="28"/>
          <w:lang w:val="uk-UA"/>
        </w:rPr>
        <w:t xml:space="preserve"> ± </w:t>
      </w:r>
      <w:r w:rsidR="00E80D05" w:rsidRPr="001416ED">
        <w:rPr>
          <w:sz w:val="28"/>
          <w:szCs w:val="28"/>
          <w:lang w:val="uk-UA"/>
        </w:rPr>
        <w:t>0,2</w:t>
      </w:r>
      <w:r w:rsidR="00AF3BA5" w:rsidRPr="001416ED">
        <w:rPr>
          <w:sz w:val="28"/>
          <w:szCs w:val="28"/>
          <w:lang w:val="uk-UA"/>
        </w:rPr>
        <w:t>)</w:t>
      </w:r>
      <w:r w:rsidR="00E80D05" w:rsidRPr="001416ED">
        <w:rPr>
          <w:sz w:val="28"/>
          <w:szCs w:val="28"/>
          <w:lang w:val="uk-UA"/>
        </w:rPr>
        <w:t xml:space="preserve"> фмоль/мл відповідно, р&lt;0,05). У носіїв генотипу Lys/Asn рівень експресії </w:t>
      </w:r>
      <w:r w:rsidR="009A6050" w:rsidRPr="001416ED">
        <w:rPr>
          <w:sz w:val="28"/>
          <w:szCs w:val="28"/>
          <w:lang w:val="uk-UA"/>
        </w:rPr>
        <w:t>ЕТ</w:t>
      </w:r>
      <w:r w:rsidR="00BC0119" w:rsidRPr="001416ED">
        <w:rPr>
          <w:sz w:val="28"/>
          <w:szCs w:val="28"/>
          <w:lang w:val="uk-UA"/>
        </w:rPr>
        <w:t>–</w:t>
      </w:r>
      <w:r w:rsidR="009A6050" w:rsidRPr="001416ED">
        <w:rPr>
          <w:sz w:val="28"/>
          <w:szCs w:val="28"/>
          <w:lang w:val="uk-UA"/>
        </w:rPr>
        <w:t>1</w:t>
      </w:r>
      <w:r w:rsidR="00E80D05" w:rsidRPr="001416ED">
        <w:rPr>
          <w:sz w:val="28"/>
          <w:szCs w:val="28"/>
          <w:lang w:val="uk-UA"/>
        </w:rPr>
        <w:t xml:space="preserve"> носив проміжний характер, однак достовірних відмінностей від носіїв генотипів Asn/Asn і Lys/Lys не виявлено. Отже, для носіїв алелі Asn </w:t>
      </w:r>
      <w:r w:rsidR="00E80D05" w:rsidRPr="001416ED">
        <w:rPr>
          <w:sz w:val="28"/>
          <w:szCs w:val="28"/>
          <w:lang w:val="uk-UA"/>
        </w:rPr>
        <w:lastRenderedPageBreak/>
        <w:t>характерний більш високий рівень ЕТ</w:t>
      </w:r>
      <w:r w:rsidR="00BC0119" w:rsidRPr="001416ED">
        <w:rPr>
          <w:sz w:val="28"/>
          <w:szCs w:val="28"/>
          <w:lang w:val="uk-UA"/>
        </w:rPr>
        <w:t>–</w:t>
      </w:r>
      <w:r w:rsidR="00E80D05" w:rsidRPr="001416ED">
        <w:rPr>
          <w:sz w:val="28"/>
          <w:szCs w:val="28"/>
          <w:lang w:val="uk-UA"/>
        </w:rPr>
        <w:t>1 в плазмі, в той час як генотип Lys/Lys асоційований з найменшим рівнем пептиду</w:t>
      </w:r>
      <w:r w:rsidR="000A6DF7" w:rsidRPr="001416ED">
        <w:rPr>
          <w:sz w:val="28"/>
          <w:szCs w:val="28"/>
          <w:lang w:val="uk-UA"/>
        </w:rPr>
        <w:t xml:space="preserve"> [6]. </w:t>
      </w:r>
      <w:r w:rsidR="009A6050" w:rsidRPr="001416ED">
        <w:rPr>
          <w:sz w:val="28"/>
          <w:szCs w:val="28"/>
          <w:lang w:val="uk-UA"/>
        </w:rPr>
        <w:t xml:space="preserve"> </w:t>
      </w:r>
      <w:r w:rsidR="000A6DF7" w:rsidRPr="001416ED">
        <w:rPr>
          <w:sz w:val="28"/>
          <w:szCs w:val="28"/>
          <w:lang w:val="uk-UA"/>
        </w:rPr>
        <w:t xml:space="preserve"> </w:t>
      </w:r>
      <w:r w:rsidR="007A07A9" w:rsidRPr="001416ED">
        <w:rPr>
          <w:sz w:val="28"/>
          <w:szCs w:val="28"/>
          <w:lang w:val="uk-UA"/>
        </w:rPr>
        <w:t xml:space="preserve"> </w:t>
      </w:r>
    </w:p>
    <w:p w:rsidR="00E80D05" w:rsidRPr="001416ED" w:rsidRDefault="00004187" w:rsidP="00E80D05">
      <w:pPr>
        <w:pStyle w:val="12"/>
        <w:spacing w:before="0" w:after="0" w:line="360" w:lineRule="auto"/>
        <w:ind w:right="-6" w:firstLine="709"/>
        <w:jc w:val="both"/>
        <w:rPr>
          <w:sz w:val="28"/>
          <w:szCs w:val="28"/>
          <w:lang w:val="uk-UA"/>
        </w:rPr>
      </w:pPr>
      <w:r w:rsidRPr="001416ED">
        <w:rPr>
          <w:sz w:val="28"/>
          <w:szCs w:val="28"/>
          <w:lang w:val="uk-UA"/>
        </w:rPr>
        <w:t xml:space="preserve">У осіб молодого віку чоловічої і жіночої статі особливо з </w:t>
      </w:r>
      <w:r w:rsidR="00484DE9" w:rsidRPr="001416ED">
        <w:rPr>
          <w:sz w:val="28"/>
          <w:szCs w:val="28"/>
          <w:lang w:val="uk-UA"/>
        </w:rPr>
        <w:t>ГХ, нейро</w:t>
      </w:r>
      <w:r w:rsidR="00BC0119" w:rsidRPr="001416ED">
        <w:rPr>
          <w:sz w:val="28"/>
          <w:szCs w:val="28"/>
          <w:lang w:val="uk-UA"/>
        </w:rPr>
        <w:t>–</w:t>
      </w:r>
      <w:r w:rsidR="00FA2ED8" w:rsidRPr="001416ED">
        <w:rPr>
          <w:sz w:val="28"/>
          <w:szCs w:val="28"/>
          <w:lang w:val="uk-UA"/>
        </w:rPr>
        <w:t>ц</w:t>
      </w:r>
      <w:r w:rsidR="00E820C3" w:rsidRPr="001416ED">
        <w:rPr>
          <w:sz w:val="28"/>
          <w:szCs w:val="28"/>
          <w:lang w:val="uk-UA"/>
        </w:rPr>
        <w:t>и</w:t>
      </w:r>
      <w:r w:rsidR="00FA2ED8" w:rsidRPr="001416ED">
        <w:rPr>
          <w:sz w:val="28"/>
          <w:szCs w:val="28"/>
          <w:lang w:val="uk-UA"/>
        </w:rPr>
        <w:t>ркуляторною дистонією по кардіальному, гіпотонічному та гіпертонічному типу</w:t>
      </w:r>
      <w:r w:rsidRPr="001416ED">
        <w:rPr>
          <w:sz w:val="28"/>
          <w:szCs w:val="28"/>
          <w:lang w:val="uk-UA"/>
        </w:rPr>
        <w:t xml:space="preserve">, що проживають в </w:t>
      </w:r>
      <w:r w:rsidR="00571660" w:rsidRPr="001416ED">
        <w:rPr>
          <w:sz w:val="28"/>
          <w:szCs w:val="28"/>
          <w:lang w:val="uk-UA"/>
        </w:rPr>
        <w:t xml:space="preserve">м. </w:t>
      </w:r>
      <w:r w:rsidRPr="001416ED">
        <w:rPr>
          <w:sz w:val="28"/>
          <w:szCs w:val="28"/>
          <w:lang w:val="uk-UA"/>
        </w:rPr>
        <w:t>Самарі (Росія)</w:t>
      </w:r>
      <w:r w:rsidR="00E80D05" w:rsidRPr="001416ED">
        <w:rPr>
          <w:sz w:val="28"/>
          <w:szCs w:val="28"/>
          <w:lang w:val="uk-UA"/>
        </w:rPr>
        <w:t xml:space="preserve"> мутація гена </w:t>
      </w:r>
      <w:r w:rsidRPr="001416ED">
        <w:rPr>
          <w:sz w:val="28"/>
          <w:szCs w:val="28"/>
          <w:lang w:val="uk-UA"/>
        </w:rPr>
        <w:t>Lys198Asn ЕТ</w:t>
      </w:r>
      <w:r w:rsidR="00BC0119" w:rsidRPr="001416ED">
        <w:rPr>
          <w:sz w:val="28"/>
          <w:szCs w:val="28"/>
          <w:lang w:val="uk-UA"/>
        </w:rPr>
        <w:t>–</w:t>
      </w:r>
      <w:r w:rsidRPr="001416ED">
        <w:rPr>
          <w:sz w:val="28"/>
          <w:szCs w:val="28"/>
          <w:lang w:val="uk-UA"/>
        </w:rPr>
        <w:t xml:space="preserve">1 </w:t>
      </w:r>
      <w:r w:rsidR="00E80D05" w:rsidRPr="001416ED">
        <w:rPr>
          <w:sz w:val="28"/>
          <w:szCs w:val="28"/>
          <w:lang w:val="uk-UA"/>
        </w:rPr>
        <w:t>приводить до підвищення АТ</w:t>
      </w:r>
      <w:r w:rsidRPr="001416ED">
        <w:rPr>
          <w:sz w:val="28"/>
          <w:szCs w:val="28"/>
          <w:lang w:val="uk-UA"/>
        </w:rPr>
        <w:t xml:space="preserve"> </w:t>
      </w:r>
      <w:r w:rsidR="00F962E1" w:rsidRPr="001416ED">
        <w:rPr>
          <w:sz w:val="28"/>
          <w:szCs w:val="28"/>
          <w:lang w:val="uk-UA"/>
        </w:rPr>
        <w:t>[</w:t>
      </w:r>
      <w:r w:rsidR="00E80D05" w:rsidRPr="001416ED">
        <w:rPr>
          <w:sz w:val="28"/>
          <w:szCs w:val="28"/>
          <w:lang w:val="uk-UA"/>
        </w:rPr>
        <w:t>3</w:t>
      </w:r>
      <w:r w:rsidR="000A6DF7" w:rsidRPr="001416ED">
        <w:rPr>
          <w:sz w:val="28"/>
          <w:szCs w:val="28"/>
          <w:lang w:val="uk-UA"/>
        </w:rPr>
        <w:t>4</w:t>
      </w:r>
      <w:r w:rsidR="00E80D05" w:rsidRPr="001416ED">
        <w:rPr>
          <w:sz w:val="28"/>
          <w:szCs w:val="28"/>
          <w:lang w:val="uk-UA"/>
        </w:rPr>
        <w:t xml:space="preserve">]. </w:t>
      </w:r>
    </w:p>
    <w:p w:rsidR="00E80D05" w:rsidRPr="001416ED" w:rsidRDefault="00351398" w:rsidP="00E80D05">
      <w:pPr>
        <w:pStyle w:val="12"/>
        <w:spacing w:before="0" w:after="0" w:line="360" w:lineRule="auto"/>
        <w:ind w:right="-6" w:firstLine="709"/>
        <w:jc w:val="both"/>
        <w:rPr>
          <w:sz w:val="28"/>
          <w:szCs w:val="28"/>
          <w:lang w:val="uk-UA"/>
        </w:rPr>
      </w:pPr>
      <w:r w:rsidRPr="001416ED">
        <w:rPr>
          <w:sz w:val="28"/>
          <w:szCs w:val="28"/>
          <w:lang w:val="uk-UA"/>
        </w:rPr>
        <w:t xml:space="preserve">Е. В.  </w:t>
      </w:r>
      <w:r w:rsidR="00E80D05" w:rsidRPr="001416ED">
        <w:rPr>
          <w:sz w:val="28"/>
          <w:szCs w:val="28"/>
          <w:lang w:val="uk-UA"/>
        </w:rPr>
        <w:t xml:space="preserve">Щеглова </w:t>
      </w:r>
      <w:r w:rsidR="00571660" w:rsidRPr="001416ED">
        <w:rPr>
          <w:sz w:val="28"/>
          <w:szCs w:val="28"/>
          <w:lang w:val="uk-UA"/>
        </w:rPr>
        <w:t>(м. Владикавказ, Росія)</w:t>
      </w:r>
      <w:r w:rsidR="007A3EA1" w:rsidRPr="001416ED">
        <w:rPr>
          <w:sz w:val="28"/>
          <w:szCs w:val="28"/>
          <w:lang w:val="uk-UA"/>
        </w:rPr>
        <w:t xml:space="preserve"> </w:t>
      </w:r>
      <w:r w:rsidR="00E80D05" w:rsidRPr="001416ED">
        <w:rPr>
          <w:sz w:val="28"/>
          <w:szCs w:val="28"/>
          <w:shd w:val="clear" w:color="auto" w:fill="FFFFFF"/>
          <w:lang w:val="uk-UA"/>
        </w:rPr>
        <w:t xml:space="preserve">продемонструвала, що </w:t>
      </w:r>
      <w:r w:rsidR="00E80D05" w:rsidRPr="001416ED">
        <w:rPr>
          <w:sz w:val="28"/>
          <w:szCs w:val="28"/>
          <w:lang w:val="uk-UA"/>
        </w:rPr>
        <w:t>хвор</w:t>
      </w:r>
      <w:r w:rsidR="00801E39" w:rsidRPr="001416ED">
        <w:rPr>
          <w:sz w:val="28"/>
          <w:szCs w:val="28"/>
          <w:lang w:val="uk-UA"/>
        </w:rPr>
        <w:t xml:space="preserve">і </w:t>
      </w:r>
      <w:r w:rsidR="00E80D05" w:rsidRPr="001416ED">
        <w:rPr>
          <w:sz w:val="28"/>
          <w:szCs w:val="28"/>
          <w:lang w:val="uk-UA"/>
        </w:rPr>
        <w:t>з варіантом Lys/Lys гена ЕТ</w:t>
      </w:r>
      <w:r w:rsidR="00BC0119" w:rsidRPr="001416ED">
        <w:rPr>
          <w:sz w:val="28"/>
          <w:szCs w:val="28"/>
          <w:lang w:val="uk-UA"/>
        </w:rPr>
        <w:t>–</w:t>
      </w:r>
      <w:r w:rsidR="00E80D05" w:rsidRPr="001416ED">
        <w:rPr>
          <w:sz w:val="28"/>
          <w:szCs w:val="28"/>
          <w:lang w:val="uk-UA"/>
        </w:rPr>
        <w:t xml:space="preserve">1 частіше мають надлишкову масу тіла, а носії алеля Asn </w:t>
      </w:r>
      <w:r w:rsidR="00BC0119" w:rsidRPr="001416ED">
        <w:rPr>
          <w:sz w:val="28"/>
          <w:szCs w:val="28"/>
          <w:lang w:val="uk-UA"/>
        </w:rPr>
        <w:t>–</w:t>
      </w:r>
      <w:r w:rsidR="00E80D05" w:rsidRPr="001416ED">
        <w:rPr>
          <w:sz w:val="28"/>
          <w:szCs w:val="28"/>
          <w:lang w:val="uk-UA"/>
        </w:rPr>
        <w:t xml:space="preserve"> порівняно більш високий, ніж у пацієнтів гомозиготних по алелю Lys, рівень ЕТ</w:t>
      </w:r>
      <w:r w:rsidR="00BC0119" w:rsidRPr="001416ED">
        <w:rPr>
          <w:sz w:val="28"/>
          <w:szCs w:val="28"/>
          <w:lang w:val="uk-UA"/>
        </w:rPr>
        <w:t>–</w:t>
      </w:r>
      <w:r w:rsidR="00E80D05" w:rsidRPr="001416ED">
        <w:rPr>
          <w:sz w:val="28"/>
          <w:szCs w:val="28"/>
          <w:lang w:val="uk-UA"/>
        </w:rPr>
        <w:t xml:space="preserve">1 в плазмі крові. </w:t>
      </w:r>
      <w:r w:rsidR="00394DCC" w:rsidRPr="001416ED">
        <w:rPr>
          <w:sz w:val="28"/>
          <w:szCs w:val="28"/>
          <w:lang w:val="uk-UA"/>
        </w:rPr>
        <w:t>В той же час, н</w:t>
      </w:r>
      <w:r w:rsidR="00E80D05" w:rsidRPr="001416ED">
        <w:rPr>
          <w:sz w:val="28"/>
          <w:szCs w:val="28"/>
          <w:lang w:val="uk-UA"/>
        </w:rPr>
        <w:t>е встановлено впливу маркера Lysl98Asn гена ЕТ</w:t>
      </w:r>
      <w:r w:rsidR="00BC0119" w:rsidRPr="001416ED">
        <w:rPr>
          <w:sz w:val="28"/>
          <w:szCs w:val="28"/>
          <w:lang w:val="uk-UA"/>
        </w:rPr>
        <w:t>–</w:t>
      </w:r>
      <w:r w:rsidR="00E80D05" w:rsidRPr="001416ED">
        <w:rPr>
          <w:sz w:val="28"/>
          <w:szCs w:val="28"/>
          <w:lang w:val="uk-UA"/>
        </w:rPr>
        <w:t>1 на прогноз у пацієнтів з ІХС після гострого коронарного синдрому [</w:t>
      </w:r>
      <w:r w:rsidR="00F962E1" w:rsidRPr="001416ED">
        <w:rPr>
          <w:sz w:val="28"/>
          <w:szCs w:val="28"/>
          <w:lang w:val="uk-UA"/>
        </w:rPr>
        <w:t>9</w:t>
      </w:r>
      <w:r w:rsidR="00AC7175" w:rsidRPr="001416ED">
        <w:rPr>
          <w:sz w:val="28"/>
          <w:szCs w:val="28"/>
          <w:lang w:val="uk-UA"/>
        </w:rPr>
        <w:t>1</w:t>
      </w:r>
      <w:r w:rsidR="00E80D05" w:rsidRPr="001416ED">
        <w:rPr>
          <w:sz w:val="28"/>
          <w:szCs w:val="28"/>
          <w:lang w:val="uk-UA"/>
        </w:rPr>
        <w:t>].</w:t>
      </w:r>
    </w:p>
    <w:p w:rsidR="00E80D05" w:rsidRPr="001416ED" w:rsidRDefault="00E80D05" w:rsidP="00E80D05">
      <w:pPr>
        <w:pStyle w:val="12"/>
        <w:spacing w:before="0" w:after="0" w:line="360" w:lineRule="auto"/>
        <w:ind w:right="-6" w:firstLine="709"/>
        <w:jc w:val="both"/>
        <w:rPr>
          <w:sz w:val="28"/>
          <w:szCs w:val="28"/>
          <w:lang w:val="uk-UA"/>
        </w:rPr>
      </w:pPr>
      <w:r w:rsidRPr="001416ED">
        <w:rPr>
          <w:sz w:val="28"/>
          <w:szCs w:val="28"/>
          <w:lang w:val="uk-UA"/>
        </w:rPr>
        <w:t xml:space="preserve">У роботі </w:t>
      </w:r>
      <w:r w:rsidR="00351398" w:rsidRPr="001416ED">
        <w:rPr>
          <w:sz w:val="28"/>
          <w:szCs w:val="28"/>
          <w:lang w:val="uk-UA"/>
        </w:rPr>
        <w:t xml:space="preserve">Л. О. </w:t>
      </w:r>
      <w:r w:rsidRPr="001416ED">
        <w:rPr>
          <w:sz w:val="28"/>
          <w:szCs w:val="28"/>
          <w:lang w:val="uk-UA"/>
        </w:rPr>
        <w:t>Мінушкіної (м. Москва) при аналізі асоціації поліморфізму гена ЕТ</w:t>
      </w:r>
      <w:r w:rsidR="00BC0119" w:rsidRPr="001416ED">
        <w:rPr>
          <w:sz w:val="28"/>
          <w:szCs w:val="28"/>
          <w:lang w:val="uk-UA"/>
        </w:rPr>
        <w:t>–</w:t>
      </w:r>
      <w:r w:rsidRPr="001416ED">
        <w:rPr>
          <w:sz w:val="28"/>
          <w:szCs w:val="28"/>
          <w:lang w:val="uk-UA"/>
        </w:rPr>
        <w:t>1 з тяжкістю АГ в групі хворих з обтяженим сімейним анамнезом було виявлено, що більш високий рівень АТ, що відповідає АГ 3 ступеня, був асоційований з носійством алелі Asn поліморфного маркера Lys198Asn гена ЕТ</w:t>
      </w:r>
      <w:r w:rsidR="00BC0119" w:rsidRPr="001416ED">
        <w:rPr>
          <w:sz w:val="28"/>
          <w:szCs w:val="28"/>
          <w:lang w:val="uk-UA"/>
        </w:rPr>
        <w:t>–</w:t>
      </w:r>
      <w:r w:rsidRPr="001416ED">
        <w:rPr>
          <w:sz w:val="28"/>
          <w:szCs w:val="28"/>
          <w:lang w:val="uk-UA"/>
        </w:rPr>
        <w:t xml:space="preserve">1, генотип Lys/Lys </w:t>
      </w:r>
      <w:r w:rsidR="00BC0119" w:rsidRPr="001416ED">
        <w:rPr>
          <w:sz w:val="28"/>
          <w:szCs w:val="28"/>
          <w:lang w:val="uk-UA"/>
        </w:rPr>
        <w:t>–</w:t>
      </w:r>
      <w:r w:rsidRPr="001416ED">
        <w:rPr>
          <w:sz w:val="28"/>
          <w:szCs w:val="28"/>
          <w:lang w:val="uk-UA"/>
        </w:rPr>
        <w:t xml:space="preserve"> був захисним.</w:t>
      </w:r>
      <w:r w:rsidRPr="001416ED">
        <w:rPr>
          <w:lang w:val="uk-UA"/>
        </w:rPr>
        <w:t xml:space="preserve"> </w:t>
      </w:r>
      <w:r w:rsidRPr="001416ED">
        <w:rPr>
          <w:sz w:val="28"/>
          <w:szCs w:val="28"/>
          <w:lang w:val="uk-UA"/>
        </w:rPr>
        <w:t>При дослідженні зв’язків</w:t>
      </w:r>
      <w:r w:rsidRPr="001416ED">
        <w:rPr>
          <w:lang w:val="uk-UA"/>
        </w:rPr>
        <w:t xml:space="preserve"> </w:t>
      </w:r>
      <w:r w:rsidRPr="001416ED">
        <w:rPr>
          <w:sz w:val="28"/>
          <w:szCs w:val="28"/>
          <w:lang w:val="uk-UA"/>
        </w:rPr>
        <w:t xml:space="preserve"> поліморфізму гена ЕТ</w:t>
      </w:r>
      <w:r w:rsidR="00BC0119" w:rsidRPr="001416ED">
        <w:rPr>
          <w:sz w:val="28"/>
          <w:szCs w:val="28"/>
          <w:lang w:val="uk-UA"/>
        </w:rPr>
        <w:t>–</w:t>
      </w:r>
      <w:r w:rsidRPr="001416ED">
        <w:rPr>
          <w:sz w:val="28"/>
          <w:szCs w:val="28"/>
          <w:lang w:val="uk-UA"/>
        </w:rPr>
        <w:t xml:space="preserve">1 зі стадією ГХ </w:t>
      </w:r>
      <w:r w:rsidR="00BC0119" w:rsidRPr="001416ED">
        <w:rPr>
          <w:sz w:val="28"/>
          <w:szCs w:val="28"/>
          <w:lang w:val="uk-UA"/>
        </w:rPr>
        <w:t>–</w:t>
      </w:r>
      <w:r w:rsidRPr="001416ED">
        <w:rPr>
          <w:sz w:val="28"/>
          <w:szCs w:val="28"/>
          <w:lang w:val="uk-UA"/>
        </w:rPr>
        <w:t xml:space="preserve"> частота генотипів достовірно не відрізнялась. У хворих на ГХ </w:t>
      </w:r>
      <w:r w:rsidR="00BC0119" w:rsidRPr="001416ED">
        <w:rPr>
          <w:sz w:val="28"/>
          <w:szCs w:val="28"/>
          <w:lang w:val="uk-UA"/>
        </w:rPr>
        <w:t>–</w:t>
      </w:r>
      <w:r w:rsidRPr="001416ED">
        <w:rPr>
          <w:sz w:val="28"/>
          <w:szCs w:val="28"/>
          <w:lang w:val="uk-UA"/>
        </w:rPr>
        <w:t xml:space="preserve"> жителів Якутії відзначена велика частота носійства генотипу Lys/Lys (</w:t>
      </w:r>
      <w:r w:rsidRPr="001416ED">
        <w:rPr>
          <w:iCs/>
          <w:sz w:val="28"/>
          <w:szCs w:val="28"/>
          <w:lang w:val="uk-UA"/>
        </w:rPr>
        <w:t>74,3</w:t>
      </w:r>
      <w:r w:rsidR="00D4219F" w:rsidRPr="001416ED">
        <w:rPr>
          <w:iCs/>
          <w:sz w:val="28"/>
          <w:szCs w:val="28"/>
          <w:lang w:val="uk-UA"/>
        </w:rPr>
        <w:t xml:space="preserve"> %</w:t>
      </w:r>
      <w:r w:rsidRPr="001416ED">
        <w:rPr>
          <w:iCs/>
          <w:sz w:val="28"/>
          <w:szCs w:val="28"/>
          <w:lang w:val="uk-UA"/>
        </w:rPr>
        <w:t xml:space="preserve">) </w:t>
      </w:r>
      <w:r w:rsidRPr="001416ED">
        <w:rPr>
          <w:sz w:val="28"/>
          <w:szCs w:val="28"/>
          <w:lang w:val="uk-UA"/>
        </w:rPr>
        <w:t>гена ЕТ</w:t>
      </w:r>
      <w:r w:rsidR="00BC0119" w:rsidRPr="001416ED">
        <w:rPr>
          <w:sz w:val="28"/>
          <w:szCs w:val="28"/>
          <w:lang w:val="uk-UA"/>
        </w:rPr>
        <w:t>–</w:t>
      </w:r>
      <w:r w:rsidRPr="001416ED">
        <w:rPr>
          <w:sz w:val="28"/>
          <w:szCs w:val="28"/>
          <w:lang w:val="uk-UA"/>
        </w:rPr>
        <w:t xml:space="preserve">1 у порівнянні з хворими ГХ </w:t>
      </w:r>
      <w:r w:rsidR="00BC0119" w:rsidRPr="001416ED">
        <w:rPr>
          <w:sz w:val="28"/>
          <w:szCs w:val="28"/>
          <w:lang w:val="uk-UA"/>
        </w:rPr>
        <w:t>–</w:t>
      </w:r>
      <w:r w:rsidRPr="001416ED">
        <w:rPr>
          <w:sz w:val="28"/>
          <w:szCs w:val="28"/>
          <w:lang w:val="uk-UA"/>
        </w:rPr>
        <w:t xml:space="preserve"> жителями </w:t>
      </w:r>
      <w:r w:rsidR="00351398" w:rsidRPr="001416ED">
        <w:rPr>
          <w:sz w:val="28"/>
          <w:szCs w:val="28"/>
          <w:lang w:val="uk-UA"/>
        </w:rPr>
        <w:t xml:space="preserve">м. </w:t>
      </w:r>
      <w:r w:rsidRPr="001416ED">
        <w:rPr>
          <w:sz w:val="28"/>
          <w:szCs w:val="28"/>
          <w:lang w:val="uk-UA"/>
        </w:rPr>
        <w:t>Москви (46,1</w:t>
      </w:r>
      <w:r w:rsidR="00D4219F" w:rsidRPr="001416ED">
        <w:rPr>
          <w:sz w:val="28"/>
          <w:szCs w:val="28"/>
          <w:lang w:val="uk-UA"/>
        </w:rPr>
        <w:t xml:space="preserve"> %</w:t>
      </w:r>
      <w:r w:rsidRPr="001416ED">
        <w:rPr>
          <w:sz w:val="28"/>
          <w:szCs w:val="28"/>
          <w:lang w:val="uk-UA"/>
        </w:rPr>
        <w:t>) [</w:t>
      </w:r>
      <w:r w:rsidR="00F962E1" w:rsidRPr="001416ED">
        <w:rPr>
          <w:sz w:val="28"/>
          <w:szCs w:val="28"/>
          <w:lang w:val="uk-UA"/>
        </w:rPr>
        <w:t>5</w:t>
      </w:r>
      <w:r w:rsidR="00D95B4C" w:rsidRPr="001416ED">
        <w:rPr>
          <w:sz w:val="28"/>
          <w:szCs w:val="28"/>
          <w:lang w:val="uk-UA"/>
        </w:rPr>
        <w:t>6</w:t>
      </w:r>
      <w:r w:rsidRPr="001416ED">
        <w:rPr>
          <w:sz w:val="28"/>
          <w:szCs w:val="28"/>
          <w:lang w:val="uk-UA"/>
        </w:rPr>
        <w:t xml:space="preserve">]. </w:t>
      </w:r>
    </w:p>
    <w:p w:rsidR="00E80D05" w:rsidRPr="001416ED" w:rsidRDefault="00E80D05" w:rsidP="00E80D05">
      <w:pPr>
        <w:pStyle w:val="12"/>
        <w:spacing w:before="0" w:after="0" w:line="360" w:lineRule="auto"/>
        <w:ind w:right="-6" w:firstLine="709"/>
        <w:jc w:val="both"/>
        <w:rPr>
          <w:sz w:val="28"/>
          <w:szCs w:val="28"/>
          <w:lang w:val="uk-UA"/>
        </w:rPr>
      </w:pPr>
      <w:r w:rsidRPr="001416ED">
        <w:rPr>
          <w:sz w:val="28"/>
          <w:szCs w:val="28"/>
          <w:lang w:val="uk-UA"/>
        </w:rPr>
        <w:t>В іншій науковій роботі були отримані подібні результат</w:t>
      </w:r>
      <w:r w:rsidR="00351398" w:rsidRPr="001416ED">
        <w:rPr>
          <w:sz w:val="28"/>
          <w:szCs w:val="28"/>
          <w:lang w:val="uk-UA"/>
        </w:rPr>
        <w:t>и</w:t>
      </w:r>
      <w:r w:rsidRPr="001416ED">
        <w:rPr>
          <w:sz w:val="28"/>
          <w:szCs w:val="28"/>
          <w:lang w:val="uk-UA"/>
        </w:rPr>
        <w:t xml:space="preserve"> </w:t>
      </w:r>
      <w:r w:rsidR="00BC0119" w:rsidRPr="001416ED">
        <w:rPr>
          <w:sz w:val="28"/>
          <w:szCs w:val="28"/>
          <w:lang w:val="uk-UA"/>
        </w:rPr>
        <w:t>–</w:t>
      </w:r>
      <w:r w:rsidRPr="001416ED">
        <w:rPr>
          <w:sz w:val="28"/>
          <w:szCs w:val="28"/>
          <w:lang w:val="uk-UA"/>
        </w:rPr>
        <w:t xml:space="preserve"> у досліджуваній групі якутських хворих з ГХ відзначена велика частота носійства генотипу Lys/Lys гена ЕТ</w:t>
      </w:r>
      <w:r w:rsidR="00BC0119" w:rsidRPr="001416ED">
        <w:rPr>
          <w:sz w:val="28"/>
          <w:szCs w:val="28"/>
          <w:lang w:val="uk-UA"/>
        </w:rPr>
        <w:t>–</w:t>
      </w:r>
      <w:r w:rsidRPr="001416ED">
        <w:rPr>
          <w:sz w:val="28"/>
          <w:szCs w:val="28"/>
          <w:lang w:val="uk-UA"/>
        </w:rPr>
        <w:t xml:space="preserve">1 у порівнянні з хворими ГХ </w:t>
      </w:r>
      <w:r w:rsidR="00BC0119" w:rsidRPr="001416ED">
        <w:rPr>
          <w:sz w:val="28"/>
          <w:szCs w:val="28"/>
          <w:lang w:val="uk-UA"/>
        </w:rPr>
        <w:t>–</w:t>
      </w:r>
      <w:r w:rsidRPr="001416ED">
        <w:rPr>
          <w:sz w:val="28"/>
          <w:szCs w:val="28"/>
          <w:lang w:val="uk-UA"/>
        </w:rPr>
        <w:t xml:space="preserve"> жителями м. Москви. Серед хворих ГХ якутів </w:t>
      </w:r>
      <w:r w:rsidR="00BC0119" w:rsidRPr="001416ED">
        <w:rPr>
          <w:sz w:val="28"/>
          <w:szCs w:val="28"/>
          <w:lang w:val="uk-UA"/>
        </w:rPr>
        <w:t>–</w:t>
      </w:r>
      <w:r w:rsidRPr="001416ED">
        <w:rPr>
          <w:sz w:val="28"/>
          <w:szCs w:val="28"/>
          <w:lang w:val="uk-UA"/>
        </w:rPr>
        <w:t xml:space="preserve"> носіїв генотипу Lys/Asn і Asn/Asn поліморфного маркера Lys198Asn гена ЕТ</w:t>
      </w:r>
      <w:r w:rsidR="00BC0119" w:rsidRPr="001416ED">
        <w:rPr>
          <w:sz w:val="28"/>
          <w:szCs w:val="28"/>
          <w:lang w:val="uk-UA"/>
        </w:rPr>
        <w:t>–</w:t>
      </w:r>
      <w:r w:rsidRPr="001416ED">
        <w:rPr>
          <w:sz w:val="28"/>
          <w:szCs w:val="28"/>
          <w:lang w:val="uk-UA"/>
        </w:rPr>
        <w:t xml:space="preserve">1 </w:t>
      </w:r>
      <w:r w:rsidR="00BC0119" w:rsidRPr="001416ED">
        <w:rPr>
          <w:sz w:val="28"/>
          <w:szCs w:val="28"/>
          <w:lang w:val="uk-UA"/>
        </w:rPr>
        <w:t>–</w:t>
      </w:r>
      <w:r w:rsidRPr="001416ED">
        <w:rPr>
          <w:sz w:val="28"/>
          <w:szCs w:val="28"/>
          <w:lang w:val="uk-UA"/>
        </w:rPr>
        <w:t xml:space="preserve"> достовірно вищий рівень варіабельності нічного ДАТ. Генотип Lys/Lys асоційований з діастолічною дисфункцією ЛШ I типу (порушення релаксації міокарда ЛШ) [</w:t>
      </w:r>
      <w:r w:rsidR="00F962E1" w:rsidRPr="001416ED">
        <w:rPr>
          <w:sz w:val="28"/>
          <w:szCs w:val="28"/>
          <w:lang w:val="uk-UA"/>
        </w:rPr>
        <w:t>6</w:t>
      </w:r>
      <w:r w:rsidR="00D95B4C" w:rsidRPr="001416ED">
        <w:rPr>
          <w:sz w:val="28"/>
          <w:szCs w:val="28"/>
          <w:lang w:val="uk-UA"/>
        </w:rPr>
        <w:t>2</w:t>
      </w:r>
      <w:r w:rsidRPr="001416ED">
        <w:rPr>
          <w:sz w:val="28"/>
          <w:szCs w:val="28"/>
          <w:lang w:val="uk-UA"/>
        </w:rPr>
        <w:t>].</w:t>
      </w:r>
    </w:p>
    <w:p w:rsidR="00E80D05" w:rsidRPr="001416ED" w:rsidRDefault="00E80D05" w:rsidP="00E80D05">
      <w:pPr>
        <w:pStyle w:val="12"/>
        <w:spacing w:before="0" w:after="0" w:line="360" w:lineRule="auto"/>
        <w:ind w:right="-6" w:firstLine="709"/>
        <w:jc w:val="both"/>
        <w:rPr>
          <w:sz w:val="28"/>
          <w:szCs w:val="28"/>
          <w:lang w:val="uk-UA"/>
        </w:rPr>
      </w:pPr>
      <w:r w:rsidRPr="001416ED">
        <w:rPr>
          <w:sz w:val="28"/>
          <w:szCs w:val="28"/>
          <w:lang w:val="uk-UA"/>
        </w:rPr>
        <w:t xml:space="preserve">У казахській популяції результати аналізу частоти розподілу </w:t>
      </w:r>
      <w:r w:rsidR="00F40216">
        <w:rPr>
          <w:sz w:val="28"/>
          <w:szCs w:val="28"/>
          <w:lang w:val="uk-UA"/>
        </w:rPr>
        <w:t xml:space="preserve"> варіантів гена</w:t>
      </w:r>
      <w:r w:rsidRPr="001416ED">
        <w:rPr>
          <w:sz w:val="28"/>
          <w:szCs w:val="28"/>
          <w:lang w:val="uk-UA"/>
        </w:rPr>
        <w:t xml:space="preserve"> ЕТ</w:t>
      </w:r>
      <w:r w:rsidR="00BC0119" w:rsidRPr="001416ED">
        <w:rPr>
          <w:sz w:val="28"/>
          <w:szCs w:val="28"/>
          <w:lang w:val="uk-UA"/>
        </w:rPr>
        <w:t>–</w:t>
      </w:r>
      <w:r w:rsidRPr="001416ED">
        <w:rPr>
          <w:sz w:val="28"/>
          <w:szCs w:val="28"/>
          <w:lang w:val="uk-UA"/>
        </w:rPr>
        <w:t xml:space="preserve">1 показали, що генотип Lys/Lys у пацієнтів з ГХ зустрічається в 1,3 разів менше, ніж у </w:t>
      </w:r>
      <w:r w:rsidR="00351398" w:rsidRPr="001416ED">
        <w:rPr>
          <w:sz w:val="28"/>
          <w:szCs w:val="28"/>
          <w:lang w:val="uk-UA"/>
        </w:rPr>
        <w:t>групі контролю</w:t>
      </w:r>
      <w:r w:rsidRPr="001416ED">
        <w:rPr>
          <w:sz w:val="28"/>
          <w:szCs w:val="28"/>
          <w:lang w:val="uk-UA"/>
        </w:rPr>
        <w:t xml:space="preserve">. Гетерозиготний варіант Lys/Asn однаково часто </w:t>
      </w:r>
      <w:r w:rsidRPr="001416ED">
        <w:rPr>
          <w:sz w:val="28"/>
          <w:szCs w:val="28"/>
          <w:lang w:val="uk-UA"/>
        </w:rPr>
        <w:lastRenderedPageBreak/>
        <w:t>зустрічається у хворих з ЕГ та у контрольній групі. Генотип Asn/Asn</w:t>
      </w:r>
      <w:r w:rsidR="001263AC" w:rsidRPr="001416ED">
        <w:rPr>
          <w:sz w:val="28"/>
          <w:szCs w:val="28"/>
          <w:lang w:val="uk-UA"/>
        </w:rPr>
        <w:t xml:space="preserve"> був і</w:t>
      </w:r>
      <w:r w:rsidRPr="001416ED">
        <w:rPr>
          <w:sz w:val="28"/>
          <w:szCs w:val="28"/>
          <w:lang w:val="uk-UA"/>
        </w:rPr>
        <w:t>де</w:t>
      </w:r>
      <w:r w:rsidR="001263AC" w:rsidRPr="001416ED">
        <w:rPr>
          <w:sz w:val="28"/>
          <w:szCs w:val="28"/>
          <w:lang w:val="uk-UA"/>
        </w:rPr>
        <w:t>н</w:t>
      </w:r>
      <w:r w:rsidRPr="001416ED">
        <w:rPr>
          <w:sz w:val="28"/>
          <w:szCs w:val="28"/>
          <w:lang w:val="uk-UA"/>
        </w:rPr>
        <w:t>тифікований лише у пацієнтів з ГХ [</w:t>
      </w:r>
      <w:r w:rsidR="00652999" w:rsidRPr="001416ED">
        <w:rPr>
          <w:sz w:val="28"/>
          <w:szCs w:val="28"/>
          <w:lang w:val="uk-UA"/>
        </w:rPr>
        <w:t>13</w:t>
      </w:r>
      <w:r w:rsidR="00D95B4C" w:rsidRPr="001416ED">
        <w:rPr>
          <w:sz w:val="28"/>
          <w:szCs w:val="28"/>
          <w:lang w:val="uk-UA"/>
        </w:rPr>
        <w:t>1</w:t>
      </w:r>
      <w:r w:rsidRPr="001416ED">
        <w:rPr>
          <w:sz w:val="28"/>
          <w:szCs w:val="28"/>
          <w:lang w:val="uk-UA"/>
        </w:rPr>
        <w:t>].</w:t>
      </w:r>
    </w:p>
    <w:p w:rsidR="00E80D05" w:rsidRPr="001416ED" w:rsidRDefault="00E80D05" w:rsidP="00E80D05">
      <w:pPr>
        <w:pStyle w:val="12"/>
        <w:spacing w:before="0" w:after="0" w:line="360" w:lineRule="auto"/>
        <w:ind w:right="-6" w:firstLine="709"/>
        <w:jc w:val="both"/>
        <w:rPr>
          <w:sz w:val="28"/>
          <w:szCs w:val="28"/>
          <w:lang w:val="uk-UA"/>
        </w:rPr>
      </w:pPr>
      <w:r w:rsidRPr="001416ED">
        <w:rPr>
          <w:rFonts w:eastAsiaTheme="minorHAnsi"/>
          <w:sz w:val="28"/>
          <w:szCs w:val="28"/>
          <w:lang w:val="uk-UA" w:eastAsia="en-US"/>
        </w:rPr>
        <w:t>Досліджено, що у осіб з надмірно</w:t>
      </w:r>
      <w:r w:rsidR="00213552">
        <w:rPr>
          <w:rFonts w:eastAsiaTheme="minorHAnsi"/>
          <w:sz w:val="28"/>
          <w:szCs w:val="28"/>
          <w:lang w:val="uk-UA" w:eastAsia="en-US"/>
        </w:rPr>
        <w:t>ю масою тіла (ІМТ</w:t>
      </w:r>
      <w:r w:rsidR="00212BC3" w:rsidRPr="001416ED">
        <w:rPr>
          <w:rFonts w:eastAsiaTheme="minorHAnsi"/>
          <w:sz w:val="28"/>
          <w:szCs w:val="28"/>
          <w:lang w:val="uk-UA" w:eastAsia="en-US"/>
        </w:rPr>
        <w:t xml:space="preserve"> ≥</w:t>
      </w:r>
      <w:r w:rsidRPr="001416ED">
        <w:rPr>
          <w:rFonts w:eastAsiaTheme="minorHAnsi"/>
          <w:sz w:val="28"/>
          <w:szCs w:val="28"/>
          <w:lang w:val="uk-UA" w:eastAsia="en-US"/>
        </w:rPr>
        <w:t>26 кг/м</w:t>
      </w:r>
      <w:r w:rsidRPr="001416ED">
        <w:rPr>
          <w:rFonts w:eastAsiaTheme="minorHAnsi"/>
          <w:sz w:val="28"/>
          <w:szCs w:val="28"/>
          <w:vertAlign w:val="superscript"/>
          <w:lang w:val="uk-UA" w:eastAsia="en-US"/>
        </w:rPr>
        <w:t>2</w:t>
      </w:r>
      <w:r w:rsidRPr="001416ED">
        <w:rPr>
          <w:rFonts w:eastAsiaTheme="minorHAnsi"/>
          <w:sz w:val="28"/>
          <w:szCs w:val="28"/>
          <w:lang w:val="uk-UA" w:eastAsia="en-US"/>
        </w:rPr>
        <w:t xml:space="preserve">), що є носіями алелі </w:t>
      </w:r>
      <w:r w:rsidRPr="001416ED">
        <w:rPr>
          <w:sz w:val="28"/>
          <w:szCs w:val="28"/>
          <w:lang w:val="uk-UA"/>
        </w:rPr>
        <w:t>Asn</w:t>
      </w:r>
      <w:r w:rsidRPr="001416ED">
        <w:rPr>
          <w:rFonts w:eastAsiaTheme="minorHAnsi"/>
          <w:sz w:val="28"/>
          <w:szCs w:val="28"/>
          <w:lang w:val="uk-UA" w:eastAsia="en-US"/>
        </w:rPr>
        <w:t xml:space="preserve"> спостерігається високий АТ в порівнянні з гомозиготами </w:t>
      </w:r>
      <w:r w:rsidRPr="001416ED">
        <w:rPr>
          <w:sz w:val="28"/>
          <w:szCs w:val="28"/>
          <w:lang w:val="uk-UA"/>
        </w:rPr>
        <w:t>Lys/Lys</w:t>
      </w:r>
      <w:r w:rsidRPr="001416ED">
        <w:rPr>
          <w:rFonts w:eastAsiaTheme="minorHAnsi"/>
          <w:sz w:val="28"/>
          <w:szCs w:val="28"/>
          <w:lang w:val="uk-UA" w:eastAsia="en-US"/>
        </w:rPr>
        <w:t xml:space="preserve">. Окрім того, у пацієнтів з надлишковою вагою та генотипами </w:t>
      </w:r>
      <w:r w:rsidRPr="001416ED">
        <w:rPr>
          <w:sz w:val="28"/>
          <w:szCs w:val="28"/>
          <w:lang w:val="uk-UA"/>
        </w:rPr>
        <w:t>Asn/Asn</w:t>
      </w:r>
      <w:r w:rsidRPr="001416ED">
        <w:rPr>
          <w:rFonts w:eastAsiaTheme="minorHAnsi"/>
          <w:sz w:val="28"/>
          <w:szCs w:val="28"/>
          <w:lang w:val="uk-UA" w:eastAsia="en-US"/>
        </w:rPr>
        <w:t xml:space="preserve">, </w:t>
      </w:r>
      <w:r w:rsidRPr="001416ED">
        <w:rPr>
          <w:sz w:val="28"/>
          <w:szCs w:val="28"/>
          <w:lang w:val="uk-UA"/>
        </w:rPr>
        <w:t>Lys/Asn</w:t>
      </w:r>
      <w:r w:rsidRPr="001416ED">
        <w:rPr>
          <w:rFonts w:eastAsiaTheme="minorHAnsi"/>
          <w:sz w:val="28"/>
          <w:szCs w:val="28"/>
          <w:lang w:val="uk-UA" w:eastAsia="en-US"/>
        </w:rPr>
        <w:t xml:space="preserve"> рівень АТ достовірно вищий ніж у пацієнтів з ІМТ </w:t>
      </w:r>
      <w:r w:rsidR="00074113" w:rsidRPr="001416ED">
        <w:rPr>
          <w:rFonts w:eastAsiaTheme="minorHAnsi"/>
          <w:sz w:val="28"/>
          <w:szCs w:val="28"/>
          <w:lang w:val="uk-UA" w:eastAsia="en-US"/>
        </w:rPr>
        <w:t>&lt;</w:t>
      </w:r>
      <w:r w:rsidRPr="001416ED">
        <w:rPr>
          <w:rFonts w:eastAsiaTheme="minorHAnsi"/>
          <w:sz w:val="28"/>
          <w:szCs w:val="28"/>
          <w:lang w:val="uk-UA" w:eastAsia="en-US"/>
        </w:rPr>
        <w:t xml:space="preserve"> 26 кг/м</w:t>
      </w:r>
      <w:r w:rsidRPr="001416ED">
        <w:rPr>
          <w:rFonts w:eastAsiaTheme="minorHAnsi"/>
          <w:sz w:val="28"/>
          <w:szCs w:val="28"/>
          <w:vertAlign w:val="superscript"/>
          <w:lang w:val="uk-UA" w:eastAsia="en-US"/>
        </w:rPr>
        <w:t>2</w:t>
      </w:r>
      <w:r w:rsidRPr="001416ED">
        <w:rPr>
          <w:sz w:val="28"/>
          <w:szCs w:val="28"/>
          <w:lang w:val="uk-UA"/>
        </w:rPr>
        <w:t>.</w:t>
      </w:r>
      <w:r w:rsidRPr="001416ED">
        <w:rPr>
          <w:rFonts w:eastAsiaTheme="minorHAnsi"/>
          <w:sz w:val="28"/>
          <w:szCs w:val="28"/>
          <w:lang w:val="uk-UA" w:eastAsia="en-US"/>
        </w:rPr>
        <w:t xml:space="preserve"> Тобто, автори роблять висновок, що алель </w:t>
      </w:r>
      <w:r w:rsidRPr="001416ED">
        <w:rPr>
          <w:sz w:val="28"/>
          <w:szCs w:val="28"/>
          <w:lang w:val="uk-UA"/>
        </w:rPr>
        <w:t>Asn</w:t>
      </w:r>
      <w:r w:rsidRPr="001416ED">
        <w:rPr>
          <w:rFonts w:eastAsiaTheme="minorHAnsi"/>
          <w:sz w:val="28"/>
          <w:szCs w:val="28"/>
          <w:lang w:val="uk-UA" w:eastAsia="en-US"/>
        </w:rPr>
        <w:t xml:space="preserve"> асоціюється с високим АТ лише у пацієнтів з ожирінням </w:t>
      </w:r>
      <w:r w:rsidRPr="001416ED">
        <w:rPr>
          <w:sz w:val="28"/>
          <w:szCs w:val="28"/>
          <w:lang w:val="uk-UA"/>
        </w:rPr>
        <w:t>[</w:t>
      </w:r>
      <w:r w:rsidR="00D95B4C" w:rsidRPr="001416ED">
        <w:rPr>
          <w:sz w:val="28"/>
          <w:szCs w:val="28"/>
          <w:lang w:val="uk-UA"/>
        </w:rPr>
        <w:t>187</w:t>
      </w:r>
      <w:r w:rsidRPr="001416ED">
        <w:rPr>
          <w:sz w:val="28"/>
          <w:szCs w:val="28"/>
          <w:lang w:val="uk-UA"/>
        </w:rPr>
        <w:t>]</w:t>
      </w:r>
      <w:r w:rsidRPr="001416ED">
        <w:rPr>
          <w:rFonts w:eastAsiaTheme="minorHAnsi"/>
          <w:sz w:val="28"/>
          <w:szCs w:val="28"/>
          <w:lang w:val="uk-UA" w:eastAsia="en-US"/>
        </w:rPr>
        <w:t>. Подібне дослідження було проведено і в японській популяції, де п</w:t>
      </w:r>
      <w:r w:rsidR="00FF29CC" w:rsidRPr="001416ED">
        <w:rPr>
          <w:rFonts w:eastAsiaTheme="minorHAnsi"/>
          <w:sz w:val="28"/>
          <w:szCs w:val="28"/>
          <w:lang w:val="uk-UA" w:eastAsia="en-US"/>
        </w:rPr>
        <w:t>оказано, що у пацієнтів з ІМТ ≥</w:t>
      </w:r>
      <w:r w:rsidRPr="001416ED">
        <w:rPr>
          <w:rFonts w:eastAsiaTheme="minorHAnsi"/>
          <w:sz w:val="28"/>
          <w:szCs w:val="28"/>
          <w:lang w:val="uk-UA" w:eastAsia="en-US"/>
        </w:rPr>
        <w:t>25 кг/м</w:t>
      </w:r>
      <w:r w:rsidRPr="001416ED">
        <w:rPr>
          <w:rFonts w:eastAsiaTheme="minorHAnsi"/>
          <w:sz w:val="28"/>
          <w:szCs w:val="28"/>
          <w:vertAlign w:val="superscript"/>
          <w:lang w:val="uk-UA" w:eastAsia="en-US"/>
        </w:rPr>
        <w:t>2</w:t>
      </w:r>
      <w:r w:rsidRPr="001416ED">
        <w:rPr>
          <w:rFonts w:eastAsiaTheme="minorHAnsi"/>
          <w:sz w:val="28"/>
          <w:szCs w:val="28"/>
          <w:lang w:val="uk-UA" w:eastAsia="en-US"/>
        </w:rPr>
        <w:t xml:space="preserve">, що є носіями алелі </w:t>
      </w:r>
      <w:r w:rsidRPr="001416ED">
        <w:rPr>
          <w:sz w:val="28"/>
          <w:szCs w:val="28"/>
          <w:lang w:val="uk-UA"/>
        </w:rPr>
        <w:t>Asn</w:t>
      </w:r>
      <w:r w:rsidRPr="001416ED">
        <w:rPr>
          <w:rFonts w:eastAsiaTheme="minorHAnsi"/>
          <w:sz w:val="28"/>
          <w:szCs w:val="28"/>
          <w:lang w:val="uk-UA" w:eastAsia="en-US"/>
        </w:rPr>
        <w:t xml:space="preserve"> (</w:t>
      </w:r>
      <w:r w:rsidRPr="001416ED">
        <w:rPr>
          <w:sz w:val="28"/>
          <w:szCs w:val="28"/>
          <w:lang w:val="uk-UA"/>
        </w:rPr>
        <w:t>Asn/Asn</w:t>
      </w:r>
      <w:r w:rsidRPr="001416ED">
        <w:rPr>
          <w:rFonts w:eastAsiaTheme="minorHAnsi"/>
          <w:sz w:val="28"/>
          <w:szCs w:val="28"/>
          <w:lang w:val="uk-UA" w:eastAsia="en-US"/>
        </w:rPr>
        <w:t xml:space="preserve">, </w:t>
      </w:r>
      <w:r w:rsidRPr="001416ED">
        <w:rPr>
          <w:sz w:val="28"/>
          <w:szCs w:val="28"/>
          <w:lang w:val="uk-UA"/>
        </w:rPr>
        <w:t>Lys/Asn</w:t>
      </w:r>
      <w:r w:rsidRPr="001416ED">
        <w:rPr>
          <w:rFonts w:eastAsiaTheme="minorHAnsi"/>
          <w:sz w:val="28"/>
          <w:szCs w:val="28"/>
          <w:lang w:val="uk-UA" w:eastAsia="en-US"/>
        </w:rPr>
        <w:t xml:space="preserve">) рівень АТ був на 1,8 мм рт.ст вище ніж у пацієнтів з ожирінням та генотипом </w:t>
      </w:r>
      <w:r w:rsidRPr="001416ED">
        <w:rPr>
          <w:sz w:val="28"/>
          <w:szCs w:val="28"/>
          <w:lang w:val="uk-UA"/>
        </w:rPr>
        <w:t>Lys/Lys</w:t>
      </w:r>
      <w:r w:rsidRPr="001416ED">
        <w:rPr>
          <w:rFonts w:eastAsiaTheme="minorHAnsi"/>
          <w:sz w:val="28"/>
          <w:szCs w:val="28"/>
          <w:lang w:val="uk-UA" w:eastAsia="en-US"/>
        </w:rPr>
        <w:t xml:space="preserve"> [1</w:t>
      </w:r>
      <w:r w:rsidR="00336554" w:rsidRPr="001416ED">
        <w:rPr>
          <w:rFonts w:eastAsiaTheme="minorHAnsi"/>
          <w:sz w:val="28"/>
          <w:szCs w:val="28"/>
          <w:lang w:val="uk-UA" w:eastAsia="en-US"/>
        </w:rPr>
        <w:t>0</w:t>
      </w:r>
      <w:r w:rsidR="00D95B4C" w:rsidRPr="001416ED">
        <w:rPr>
          <w:rFonts w:eastAsiaTheme="minorHAnsi"/>
          <w:sz w:val="28"/>
          <w:szCs w:val="28"/>
          <w:lang w:val="uk-UA" w:eastAsia="en-US"/>
        </w:rPr>
        <w:t>0</w:t>
      </w:r>
      <w:r w:rsidRPr="001416ED">
        <w:rPr>
          <w:rFonts w:eastAsiaTheme="minorHAnsi"/>
          <w:sz w:val="28"/>
          <w:szCs w:val="28"/>
          <w:lang w:val="uk-UA" w:eastAsia="en-US"/>
        </w:rPr>
        <w:t xml:space="preserve">]. </w:t>
      </w:r>
    </w:p>
    <w:p w:rsidR="00E80D05" w:rsidRPr="001416ED" w:rsidRDefault="00D41256" w:rsidP="00E80D05">
      <w:pPr>
        <w:pStyle w:val="12"/>
        <w:spacing w:before="0" w:after="0" w:line="360" w:lineRule="auto"/>
        <w:ind w:right="-6" w:firstLine="709"/>
        <w:jc w:val="both"/>
        <w:rPr>
          <w:sz w:val="28"/>
          <w:szCs w:val="28"/>
          <w:lang w:val="uk-UA"/>
        </w:rPr>
      </w:pPr>
      <w:r w:rsidRPr="001416ED">
        <w:rPr>
          <w:sz w:val="28"/>
          <w:szCs w:val="28"/>
          <w:lang w:val="uk-UA"/>
        </w:rPr>
        <w:t xml:space="preserve">С. </w:t>
      </w:r>
      <w:r w:rsidR="00E80D05" w:rsidRPr="001416ED">
        <w:rPr>
          <w:sz w:val="28"/>
          <w:szCs w:val="28"/>
          <w:lang w:val="uk-UA"/>
        </w:rPr>
        <w:t xml:space="preserve">Tanaka </w:t>
      </w:r>
      <w:r w:rsidR="0070325E" w:rsidRPr="001416ED">
        <w:rPr>
          <w:sz w:val="28"/>
          <w:szCs w:val="28"/>
          <w:lang w:val="uk-UA"/>
        </w:rPr>
        <w:t>та співавт.</w:t>
      </w:r>
      <w:r w:rsidR="00E80D05" w:rsidRPr="001416ED">
        <w:rPr>
          <w:sz w:val="28"/>
          <w:szCs w:val="28"/>
          <w:lang w:val="uk-UA"/>
        </w:rPr>
        <w:t xml:space="preserve"> показали на культурах клітин, що поліморфізм Lys198Asn не впливає на рівень ЕТ</w:t>
      </w:r>
      <w:r w:rsidR="00BC0119" w:rsidRPr="001416ED">
        <w:rPr>
          <w:sz w:val="28"/>
          <w:szCs w:val="28"/>
          <w:lang w:val="uk-UA"/>
        </w:rPr>
        <w:t>–</w:t>
      </w:r>
      <w:r w:rsidR="00E80D05" w:rsidRPr="001416ED">
        <w:rPr>
          <w:sz w:val="28"/>
          <w:szCs w:val="28"/>
          <w:lang w:val="uk-UA"/>
        </w:rPr>
        <w:t xml:space="preserve">1, що міститься в клітинному супернатанті і його попередників, але вміст пептиду в крові хворих з гіпертензією, що мають генотип Asn/Asn, </w:t>
      </w:r>
      <w:r w:rsidR="00664F03" w:rsidRPr="001416ED">
        <w:rPr>
          <w:sz w:val="28"/>
          <w:szCs w:val="28"/>
          <w:lang w:val="uk-UA"/>
        </w:rPr>
        <w:t>мав тенденцію до підвищення</w:t>
      </w:r>
      <w:r w:rsidR="00E80D05" w:rsidRPr="001416ED">
        <w:rPr>
          <w:sz w:val="28"/>
          <w:szCs w:val="28"/>
          <w:lang w:val="uk-UA"/>
        </w:rPr>
        <w:t>, ніж у хворих з генотипом Lys/Lys</w:t>
      </w:r>
      <w:r w:rsidR="00664F03" w:rsidRPr="001416ED">
        <w:rPr>
          <w:sz w:val="28"/>
          <w:szCs w:val="28"/>
          <w:lang w:val="uk-UA"/>
        </w:rPr>
        <w:t xml:space="preserve">, проте вірогідної різниці не виявлено </w:t>
      </w:r>
      <w:r w:rsidR="00E80D05" w:rsidRPr="001416ED">
        <w:rPr>
          <w:sz w:val="28"/>
          <w:szCs w:val="28"/>
          <w:lang w:val="uk-UA"/>
        </w:rPr>
        <w:t>[1</w:t>
      </w:r>
      <w:r w:rsidR="00945B54" w:rsidRPr="001416ED">
        <w:rPr>
          <w:sz w:val="28"/>
          <w:szCs w:val="28"/>
          <w:lang w:val="uk-UA"/>
        </w:rPr>
        <w:t>85</w:t>
      </w:r>
      <w:r w:rsidR="00E80D05" w:rsidRPr="001416ED">
        <w:rPr>
          <w:sz w:val="28"/>
          <w:szCs w:val="28"/>
          <w:lang w:val="uk-UA"/>
        </w:rPr>
        <w:t xml:space="preserve">]. </w:t>
      </w:r>
    </w:p>
    <w:p w:rsidR="00E80D05" w:rsidRPr="001416ED" w:rsidRDefault="00E80D05" w:rsidP="00E80D05">
      <w:pPr>
        <w:pStyle w:val="12"/>
        <w:spacing w:before="0" w:after="0" w:line="360" w:lineRule="auto"/>
        <w:ind w:right="-6" w:firstLine="709"/>
        <w:jc w:val="both"/>
        <w:rPr>
          <w:sz w:val="28"/>
          <w:szCs w:val="28"/>
          <w:lang w:val="uk-UA"/>
        </w:rPr>
      </w:pPr>
      <w:r w:rsidRPr="001416ED">
        <w:rPr>
          <w:sz w:val="28"/>
          <w:szCs w:val="28"/>
          <w:lang w:val="uk-UA"/>
        </w:rPr>
        <w:t>У Великобритан</w:t>
      </w:r>
      <w:r w:rsidR="00394DCC" w:rsidRPr="001416ED">
        <w:rPr>
          <w:sz w:val="28"/>
          <w:szCs w:val="28"/>
          <w:lang w:val="uk-UA"/>
        </w:rPr>
        <w:t>ії</w:t>
      </w:r>
      <w:r w:rsidRPr="001416ED">
        <w:rPr>
          <w:sz w:val="28"/>
          <w:szCs w:val="28"/>
          <w:lang w:val="uk-UA"/>
        </w:rPr>
        <w:t xml:space="preserve"> при дослідженні нормотензивних юнаків були отримані наступні результати, так, носії алелі Asn у спокої мали нормальний АТ, однак при емоційному стресі (відеоігри, холод на передпліччя) в них спостерігалось підвищення ДАТ, в основному у пацієнтів з ожирінням. Окрім того показано, що у носіїв алелі Asn, що мають нижчий вихідний соціально</w:t>
      </w:r>
      <w:r w:rsidR="00BC0119" w:rsidRPr="001416ED">
        <w:rPr>
          <w:sz w:val="28"/>
          <w:szCs w:val="28"/>
          <w:lang w:val="uk-UA"/>
        </w:rPr>
        <w:t>–</w:t>
      </w:r>
      <w:r w:rsidRPr="001416ED">
        <w:rPr>
          <w:sz w:val="28"/>
          <w:szCs w:val="28"/>
          <w:lang w:val="uk-UA"/>
        </w:rPr>
        <w:t xml:space="preserve">економічний статус достовірно вищий САТ при грі у відеоігри </w:t>
      </w:r>
      <w:r w:rsidR="00336554" w:rsidRPr="001416ED">
        <w:rPr>
          <w:sz w:val="28"/>
          <w:szCs w:val="28"/>
          <w:lang w:val="uk-UA"/>
        </w:rPr>
        <w:t>[</w:t>
      </w:r>
      <w:r w:rsidR="00945B54" w:rsidRPr="001416ED">
        <w:rPr>
          <w:sz w:val="28"/>
          <w:szCs w:val="28"/>
          <w:lang w:val="uk-UA"/>
        </w:rPr>
        <w:t>190</w:t>
      </w:r>
      <w:r w:rsidRPr="001416ED">
        <w:rPr>
          <w:sz w:val="28"/>
          <w:szCs w:val="28"/>
          <w:lang w:val="uk-UA"/>
        </w:rPr>
        <w:t>].</w:t>
      </w:r>
    </w:p>
    <w:p w:rsidR="00E80D05" w:rsidRPr="001416ED" w:rsidRDefault="00E80D05" w:rsidP="00E80D05">
      <w:pPr>
        <w:pStyle w:val="a5"/>
        <w:ind w:left="0" w:right="0" w:firstLine="709"/>
        <w:jc w:val="both"/>
        <w:rPr>
          <w:b w:val="0"/>
          <w:szCs w:val="28"/>
        </w:rPr>
      </w:pPr>
      <w:r w:rsidRPr="001416ED">
        <w:rPr>
          <w:b w:val="0"/>
          <w:szCs w:val="28"/>
          <w:shd w:val="clear" w:color="auto" w:fill="FFFFFF"/>
        </w:rPr>
        <w:t>Отже, питання ролі поліморфізму гена ЕТ</w:t>
      </w:r>
      <w:r w:rsidR="00BC0119" w:rsidRPr="001416ED">
        <w:rPr>
          <w:b w:val="0"/>
          <w:szCs w:val="28"/>
          <w:shd w:val="clear" w:color="auto" w:fill="FFFFFF"/>
        </w:rPr>
        <w:t>–</w:t>
      </w:r>
      <w:r w:rsidRPr="001416ED">
        <w:rPr>
          <w:b w:val="0"/>
          <w:szCs w:val="28"/>
          <w:shd w:val="clear" w:color="auto" w:fill="FFFFFF"/>
        </w:rPr>
        <w:t>1</w:t>
      </w:r>
      <w:r w:rsidR="00394DCC" w:rsidRPr="001416ED">
        <w:rPr>
          <w:b w:val="0"/>
          <w:szCs w:val="28"/>
          <w:shd w:val="clear" w:color="auto" w:fill="FFFFFF"/>
        </w:rPr>
        <w:t xml:space="preserve"> і його відповідних плазмових концентрацій</w:t>
      </w:r>
      <w:r w:rsidRPr="001416ED">
        <w:rPr>
          <w:b w:val="0"/>
          <w:szCs w:val="28"/>
          <w:shd w:val="clear" w:color="auto" w:fill="FFFFFF"/>
        </w:rPr>
        <w:t xml:space="preserve">, як стимулятора ЕД </w:t>
      </w:r>
      <w:r w:rsidRPr="001416ED">
        <w:rPr>
          <w:b w:val="0"/>
          <w:szCs w:val="28"/>
        </w:rPr>
        <w:t>при ГХ досі залишається маловивченим, а</w:t>
      </w:r>
      <w:r w:rsidRPr="001416ED">
        <w:rPr>
          <w:szCs w:val="28"/>
        </w:rPr>
        <w:t xml:space="preserve"> </w:t>
      </w:r>
      <w:r w:rsidRPr="001416ED">
        <w:rPr>
          <w:b w:val="0"/>
          <w:szCs w:val="28"/>
        </w:rPr>
        <w:t xml:space="preserve">в межах України він взагалі не вивчався. </w:t>
      </w:r>
      <w:r w:rsidR="00C15F35" w:rsidRPr="001416ED">
        <w:rPr>
          <w:b w:val="0"/>
          <w:szCs w:val="28"/>
        </w:rPr>
        <w:t xml:space="preserve">Слід відмітити, що більшість </w:t>
      </w:r>
      <w:r w:rsidR="00624AAC">
        <w:rPr>
          <w:b w:val="0"/>
          <w:szCs w:val="28"/>
        </w:rPr>
        <w:t>дослідників визначають поліморфні варіанти</w:t>
      </w:r>
      <w:r w:rsidR="00F40216">
        <w:rPr>
          <w:b w:val="0"/>
          <w:szCs w:val="28"/>
        </w:rPr>
        <w:t xml:space="preserve"> гена</w:t>
      </w:r>
      <w:r w:rsidR="00C15F35" w:rsidRPr="001416ED">
        <w:rPr>
          <w:b w:val="0"/>
          <w:szCs w:val="28"/>
        </w:rPr>
        <w:t xml:space="preserve"> ЕТ</w:t>
      </w:r>
      <w:r w:rsidR="00BC0119" w:rsidRPr="001416ED">
        <w:rPr>
          <w:b w:val="0"/>
          <w:szCs w:val="28"/>
        </w:rPr>
        <w:t>–</w:t>
      </w:r>
      <w:r w:rsidR="00C15F35" w:rsidRPr="001416ED">
        <w:rPr>
          <w:b w:val="0"/>
          <w:szCs w:val="28"/>
        </w:rPr>
        <w:t>1 у змішаних по статі групах, однак вже відомі роботи про статеві відмінності рівнів ЕТ</w:t>
      </w:r>
      <w:r w:rsidR="00BC0119" w:rsidRPr="001416ED">
        <w:rPr>
          <w:b w:val="0"/>
          <w:szCs w:val="28"/>
        </w:rPr>
        <w:t>–</w:t>
      </w:r>
      <w:r w:rsidR="00C15F35" w:rsidRPr="001416ED">
        <w:rPr>
          <w:b w:val="0"/>
          <w:szCs w:val="28"/>
        </w:rPr>
        <w:t>1, що теж стало поштовхом до формування одностатевої групи дослідження</w:t>
      </w:r>
      <w:r w:rsidR="007F3368" w:rsidRPr="001416ED">
        <w:rPr>
          <w:b w:val="0"/>
          <w:szCs w:val="28"/>
        </w:rPr>
        <w:t xml:space="preserve"> в даній науковій роботі</w:t>
      </w:r>
      <w:r w:rsidR="00C15F35" w:rsidRPr="001416ED">
        <w:rPr>
          <w:b w:val="0"/>
          <w:szCs w:val="28"/>
        </w:rPr>
        <w:t>.</w:t>
      </w:r>
    </w:p>
    <w:p w:rsidR="007F3368" w:rsidRPr="001416ED" w:rsidRDefault="00484D2A" w:rsidP="00E80D05">
      <w:pPr>
        <w:pStyle w:val="a5"/>
        <w:ind w:left="0" w:right="0" w:firstLine="709"/>
        <w:jc w:val="both"/>
        <w:rPr>
          <w:b w:val="0"/>
          <w:szCs w:val="28"/>
        </w:rPr>
      </w:pPr>
      <w:r w:rsidRPr="001416ED">
        <w:rPr>
          <w:b w:val="0"/>
          <w:szCs w:val="28"/>
        </w:rPr>
        <w:t>Не менш важливим, ніж можливий генетичний контроль концентрації ЕТ</w:t>
      </w:r>
      <w:r w:rsidR="00BC0119" w:rsidRPr="001416ED">
        <w:rPr>
          <w:b w:val="0"/>
          <w:szCs w:val="28"/>
        </w:rPr>
        <w:t>–</w:t>
      </w:r>
      <w:r w:rsidRPr="001416ED">
        <w:rPr>
          <w:b w:val="0"/>
          <w:szCs w:val="28"/>
        </w:rPr>
        <w:t>1 у практично здорових осіб</w:t>
      </w:r>
      <w:r w:rsidR="00F31821">
        <w:rPr>
          <w:b w:val="0"/>
          <w:szCs w:val="28"/>
        </w:rPr>
        <w:t xml:space="preserve">, </w:t>
      </w:r>
      <w:r w:rsidRPr="001416ED">
        <w:rPr>
          <w:b w:val="0"/>
          <w:szCs w:val="28"/>
        </w:rPr>
        <w:t>ГХ та ХСН</w:t>
      </w:r>
      <w:r w:rsidR="00F31821">
        <w:rPr>
          <w:b w:val="0"/>
          <w:szCs w:val="28"/>
        </w:rPr>
        <w:t>,</w:t>
      </w:r>
      <w:r w:rsidRPr="001416ED">
        <w:rPr>
          <w:b w:val="0"/>
          <w:szCs w:val="28"/>
        </w:rPr>
        <w:t xml:space="preserve"> є концентрація прямого антагоніста цього </w:t>
      </w:r>
      <w:r w:rsidRPr="001416ED">
        <w:rPr>
          <w:b w:val="0"/>
          <w:szCs w:val="28"/>
        </w:rPr>
        <w:lastRenderedPageBreak/>
        <w:t>пептиду – СНП. Останній може певною мірою по різному змінюватись в залежності від рівнів ЕТ</w:t>
      </w:r>
      <w:r w:rsidR="00BC0119" w:rsidRPr="001416ED">
        <w:rPr>
          <w:b w:val="0"/>
          <w:szCs w:val="28"/>
        </w:rPr>
        <w:t>–</w:t>
      </w:r>
      <w:r w:rsidRPr="001416ED">
        <w:rPr>
          <w:b w:val="0"/>
          <w:szCs w:val="28"/>
        </w:rPr>
        <w:t xml:space="preserve">1 при носійстві його окремих генів в нормі і при </w:t>
      </w:r>
      <w:r w:rsidR="002C7FE1" w:rsidRPr="001416ED">
        <w:rPr>
          <w:b w:val="0"/>
          <w:szCs w:val="28"/>
        </w:rPr>
        <w:t>серцево-судинних захворюваннях (</w:t>
      </w:r>
      <w:r w:rsidR="00D41256" w:rsidRPr="001416ED">
        <w:rPr>
          <w:b w:val="0"/>
          <w:szCs w:val="28"/>
        </w:rPr>
        <w:t>ССЗ</w:t>
      </w:r>
      <w:r w:rsidR="002C7FE1" w:rsidRPr="001416ED">
        <w:rPr>
          <w:b w:val="0"/>
          <w:szCs w:val="28"/>
        </w:rPr>
        <w:t>)</w:t>
      </w:r>
      <w:r w:rsidRPr="001416ED">
        <w:rPr>
          <w:b w:val="0"/>
          <w:szCs w:val="28"/>
        </w:rPr>
        <w:t xml:space="preserve">. </w:t>
      </w:r>
    </w:p>
    <w:p w:rsidR="00E80D05" w:rsidRPr="001416ED" w:rsidRDefault="00E80D05" w:rsidP="00E80D05">
      <w:pPr>
        <w:pStyle w:val="a5"/>
        <w:ind w:left="0" w:right="0" w:firstLine="709"/>
        <w:jc w:val="both"/>
        <w:rPr>
          <w:rFonts w:eastAsia="PragmaticaC"/>
          <w:b w:val="0"/>
          <w:szCs w:val="28"/>
          <w:lang w:eastAsia="en-US"/>
        </w:rPr>
      </w:pPr>
      <w:r w:rsidRPr="001416ED">
        <w:rPr>
          <w:rFonts w:eastAsia="PragmaticaC"/>
          <w:b w:val="0"/>
          <w:szCs w:val="28"/>
          <w:lang w:eastAsia="en-US"/>
        </w:rPr>
        <w:t>Про роль СНП в серцево</w:t>
      </w:r>
      <w:r w:rsidR="00BC0119" w:rsidRPr="001416ED">
        <w:rPr>
          <w:rFonts w:eastAsia="PragmaticaC"/>
          <w:b w:val="0"/>
          <w:szCs w:val="28"/>
          <w:lang w:eastAsia="en-US"/>
        </w:rPr>
        <w:t>–</w:t>
      </w:r>
      <w:r w:rsidRPr="001416ED">
        <w:rPr>
          <w:rFonts w:eastAsia="PragmaticaC"/>
          <w:b w:val="0"/>
          <w:szCs w:val="28"/>
          <w:lang w:eastAsia="en-US"/>
        </w:rPr>
        <w:t>судинній фізіології та патології відомо</w:t>
      </w:r>
      <w:r w:rsidR="00173DBC" w:rsidRPr="001416ED">
        <w:rPr>
          <w:rFonts w:eastAsia="PragmaticaC"/>
          <w:b w:val="0"/>
          <w:szCs w:val="28"/>
          <w:lang w:eastAsia="en-US"/>
        </w:rPr>
        <w:t xml:space="preserve"> </w:t>
      </w:r>
      <w:r w:rsidR="001D0FCE" w:rsidRPr="001416ED">
        <w:rPr>
          <w:rFonts w:eastAsia="PragmaticaC"/>
          <w:b w:val="0"/>
          <w:szCs w:val="28"/>
          <w:lang w:eastAsia="en-US"/>
        </w:rPr>
        <w:t>не</w:t>
      </w:r>
      <w:r w:rsidRPr="001416ED">
        <w:rPr>
          <w:rFonts w:eastAsia="PragmaticaC"/>
          <w:b w:val="0"/>
          <w:szCs w:val="28"/>
          <w:lang w:eastAsia="en-US"/>
        </w:rPr>
        <w:t>багато, хоча він був виділений ще в 1990 р.</w:t>
      </w:r>
      <w:r w:rsidRPr="001416ED">
        <w:rPr>
          <w:b w:val="0"/>
          <w:szCs w:val="28"/>
        </w:rPr>
        <w:t xml:space="preserve"> Основним джерелом експресії гена CНП є структури головного мозку, хоча високі концентрації пептиду виявлені в хондроцитах і цитокінпродукуючих клітинах ендотелію. Пептид не має накопичувальних гранул в тканинах, тому для його вивільнення необхідні експресія і синтез CНП de novo [</w:t>
      </w:r>
      <w:r w:rsidR="00F962E1" w:rsidRPr="001416ED">
        <w:rPr>
          <w:b w:val="0"/>
          <w:szCs w:val="28"/>
        </w:rPr>
        <w:t>3</w:t>
      </w:r>
      <w:r w:rsidR="001D4A9F" w:rsidRPr="001416ED">
        <w:rPr>
          <w:b w:val="0"/>
          <w:szCs w:val="28"/>
        </w:rPr>
        <w:t>0</w:t>
      </w:r>
      <w:r w:rsidRPr="001416ED">
        <w:rPr>
          <w:b w:val="0"/>
          <w:szCs w:val="28"/>
        </w:rPr>
        <w:t>]. Клітинний процесинг CНП починається з транскрипції гена СНП [</w:t>
      </w:r>
      <w:r w:rsidR="00F962E1" w:rsidRPr="001416ED">
        <w:rPr>
          <w:b w:val="0"/>
          <w:szCs w:val="28"/>
        </w:rPr>
        <w:t>1</w:t>
      </w:r>
      <w:r w:rsidRPr="001416ED">
        <w:rPr>
          <w:b w:val="0"/>
          <w:szCs w:val="28"/>
        </w:rPr>
        <w:t>]. Далі йде синтез пре</w:t>
      </w:r>
      <w:r w:rsidR="00BC0119" w:rsidRPr="001416ED">
        <w:rPr>
          <w:b w:val="0"/>
          <w:szCs w:val="28"/>
        </w:rPr>
        <w:t>–</w:t>
      </w:r>
      <w:r w:rsidRPr="001416ED">
        <w:rPr>
          <w:b w:val="0"/>
          <w:szCs w:val="28"/>
        </w:rPr>
        <w:t>пр</w:t>
      </w:r>
      <w:r w:rsidRPr="001416ED">
        <w:rPr>
          <w:b w:val="0"/>
          <w:szCs w:val="28"/>
          <w:lang w:val="ru-RU"/>
        </w:rPr>
        <w:t>о</w:t>
      </w:r>
      <w:r w:rsidRPr="001416ED">
        <w:rPr>
          <w:b w:val="0"/>
          <w:szCs w:val="28"/>
        </w:rPr>
        <w:t xml:space="preserve">СНП і його переміщення в ендоплазматичну сітку і комплекс Гольджі, в яких формується </w:t>
      </w:r>
      <w:r w:rsidRPr="001416ED">
        <w:rPr>
          <w:b w:val="0"/>
          <w:szCs w:val="28"/>
          <w:lang w:val="ru-RU"/>
        </w:rPr>
        <w:t>про</w:t>
      </w:r>
      <w:r w:rsidR="00BC0119" w:rsidRPr="001416ED">
        <w:rPr>
          <w:b w:val="0"/>
          <w:szCs w:val="28"/>
        </w:rPr>
        <w:t>–</w:t>
      </w:r>
      <w:r w:rsidRPr="001416ED">
        <w:rPr>
          <w:b w:val="0"/>
          <w:szCs w:val="28"/>
        </w:rPr>
        <w:t xml:space="preserve">CНП. </w:t>
      </w:r>
      <w:r w:rsidRPr="001416ED">
        <w:rPr>
          <w:b w:val="0"/>
          <w:szCs w:val="28"/>
          <w:lang w:val="ru-RU"/>
        </w:rPr>
        <w:t>Про</w:t>
      </w:r>
      <w:r w:rsidR="00BC0119" w:rsidRPr="001416ED">
        <w:rPr>
          <w:b w:val="0"/>
          <w:szCs w:val="28"/>
        </w:rPr>
        <w:t>–</w:t>
      </w:r>
      <w:proofErr w:type="gramStart"/>
      <w:r w:rsidRPr="001416ED">
        <w:rPr>
          <w:b w:val="0"/>
          <w:szCs w:val="28"/>
        </w:rPr>
        <w:t>C</w:t>
      </w:r>
      <w:proofErr w:type="gramEnd"/>
      <w:r w:rsidRPr="001416ED">
        <w:rPr>
          <w:b w:val="0"/>
          <w:szCs w:val="28"/>
        </w:rPr>
        <w:t>НП виявляється у людини в кістках, мозку, ендотелії судин і в серці. Початковий протеоліз про</w:t>
      </w:r>
      <w:r w:rsidR="00BC0119" w:rsidRPr="001416ED">
        <w:rPr>
          <w:b w:val="0"/>
          <w:szCs w:val="28"/>
        </w:rPr>
        <w:t>–</w:t>
      </w:r>
      <w:r w:rsidRPr="001416ED">
        <w:rPr>
          <w:b w:val="0"/>
          <w:szCs w:val="28"/>
        </w:rPr>
        <w:t xml:space="preserve">CНП здійснює фурин, при подальшому розщепленні  ферментами формується дві форми </w:t>
      </w:r>
      <w:r w:rsidR="00F742F2" w:rsidRPr="001416ED">
        <w:rPr>
          <w:b w:val="0"/>
          <w:szCs w:val="28"/>
        </w:rPr>
        <w:t>фізіологічно</w:t>
      </w:r>
      <w:r w:rsidRPr="001416ED">
        <w:rPr>
          <w:b w:val="0"/>
          <w:szCs w:val="28"/>
        </w:rPr>
        <w:t xml:space="preserve"> активного CНП, що складаються з 53 і 22 амінокислот [1</w:t>
      </w:r>
      <w:r w:rsidR="00336554" w:rsidRPr="001416ED">
        <w:rPr>
          <w:b w:val="0"/>
          <w:szCs w:val="28"/>
        </w:rPr>
        <w:t>7</w:t>
      </w:r>
      <w:r w:rsidR="001D4A9F" w:rsidRPr="001416ED">
        <w:rPr>
          <w:b w:val="0"/>
          <w:szCs w:val="28"/>
        </w:rPr>
        <w:t>0</w:t>
      </w:r>
      <w:r w:rsidRPr="001416ED">
        <w:rPr>
          <w:b w:val="0"/>
          <w:szCs w:val="28"/>
        </w:rPr>
        <w:t>]. Різні форми фізіологічно активного СНП (CНП</w:t>
      </w:r>
      <w:r w:rsidR="00BC0119" w:rsidRPr="001416ED">
        <w:rPr>
          <w:b w:val="0"/>
          <w:szCs w:val="28"/>
        </w:rPr>
        <w:t>–</w:t>
      </w:r>
      <w:r w:rsidRPr="001416ED">
        <w:rPr>
          <w:b w:val="0"/>
          <w:szCs w:val="28"/>
        </w:rPr>
        <w:t>53 і CНП</w:t>
      </w:r>
      <w:r w:rsidR="00BC0119" w:rsidRPr="001416ED">
        <w:rPr>
          <w:b w:val="0"/>
          <w:szCs w:val="28"/>
        </w:rPr>
        <w:t>–</w:t>
      </w:r>
      <w:r w:rsidRPr="001416ED">
        <w:rPr>
          <w:b w:val="0"/>
          <w:szCs w:val="28"/>
        </w:rPr>
        <w:t>22), ймовірно, виконують різні функції. CНП</w:t>
      </w:r>
      <w:r w:rsidR="00BC0119" w:rsidRPr="001416ED">
        <w:rPr>
          <w:b w:val="0"/>
          <w:szCs w:val="28"/>
        </w:rPr>
        <w:t>–</w:t>
      </w:r>
      <w:r w:rsidRPr="001416ED">
        <w:rPr>
          <w:b w:val="0"/>
          <w:szCs w:val="28"/>
        </w:rPr>
        <w:t>53 виявляється у високих концентраціях в гомогенаті мозку [</w:t>
      </w:r>
      <w:r w:rsidR="001D4A9F" w:rsidRPr="001416ED">
        <w:rPr>
          <w:b w:val="0"/>
          <w:szCs w:val="28"/>
        </w:rPr>
        <w:t>189</w:t>
      </w:r>
      <w:r w:rsidRPr="001416ED">
        <w:rPr>
          <w:b w:val="0"/>
          <w:szCs w:val="28"/>
        </w:rPr>
        <w:t>], в ендотеліальних клітинах судин і серця, у той час як СНП</w:t>
      </w:r>
      <w:r w:rsidR="00BC0119" w:rsidRPr="001416ED">
        <w:rPr>
          <w:b w:val="0"/>
          <w:szCs w:val="28"/>
        </w:rPr>
        <w:t>–</w:t>
      </w:r>
      <w:r w:rsidRPr="001416ED">
        <w:rPr>
          <w:b w:val="0"/>
          <w:szCs w:val="28"/>
        </w:rPr>
        <w:t>22 переважає у людини в плазмі крові [1</w:t>
      </w:r>
      <w:r w:rsidR="001D4A9F" w:rsidRPr="001416ED">
        <w:rPr>
          <w:b w:val="0"/>
          <w:szCs w:val="28"/>
        </w:rPr>
        <w:t>81</w:t>
      </w:r>
      <w:r w:rsidRPr="001416ED">
        <w:rPr>
          <w:b w:val="0"/>
          <w:szCs w:val="28"/>
        </w:rPr>
        <w:t>] і в цереброспінальній рідині [</w:t>
      </w:r>
      <w:r w:rsidR="001D4A9F" w:rsidRPr="001416ED">
        <w:rPr>
          <w:b w:val="0"/>
          <w:szCs w:val="28"/>
        </w:rPr>
        <w:t>188</w:t>
      </w:r>
      <w:r w:rsidRPr="001416ED">
        <w:rPr>
          <w:b w:val="0"/>
          <w:szCs w:val="28"/>
        </w:rPr>
        <w:t>].</w:t>
      </w:r>
      <w:r w:rsidRPr="001416ED">
        <w:rPr>
          <w:rFonts w:eastAsia="PragmaticaC"/>
          <w:b w:val="0"/>
          <w:szCs w:val="28"/>
          <w:lang w:eastAsia="en-US"/>
        </w:rPr>
        <w:t xml:space="preserve"> Біологічні ефекти СНП зв’язують переважно з останньою формою. Пептид у такій формі знаходять у міокарді обох передсердь та шлуночків.</w:t>
      </w:r>
      <w:r w:rsidRPr="001416ED">
        <w:rPr>
          <w:rFonts w:eastAsia="PragmaticaC"/>
          <w:b w:val="0"/>
          <w:lang w:eastAsia="en-US"/>
        </w:rPr>
        <w:t xml:space="preserve"> </w:t>
      </w:r>
      <w:r w:rsidRPr="001416ED">
        <w:rPr>
          <w:rFonts w:eastAsia="PragmaticaC"/>
          <w:b w:val="0"/>
          <w:szCs w:val="28"/>
          <w:lang w:eastAsia="en-US"/>
        </w:rPr>
        <w:t xml:space="preserve">Як і інші </w:t>
      </w:r>
      <w:r w:rsidR="00202D2D">
        <w:rPr>
          <w:rFonts w:eastAsia="PragmaticaC"/>
          <w:b w:val="0"/>
          <w:szCs w:val="28"/>
          <w:lang w:eastAsia="en-US"/>
        </w:rPr>
        <w:t>натрійуретичні пептиди (</w:t>
      </w:r>
      <w:r w:rsidRPr="001416ED">
        <w:rPr>
          <w:rFonts w:eastAsia="PragmaticaC"/>
          <w:b w:val="0"/>
          <w:szCs w:val="28"/>
          <w:lang w:eastAsia="en-US"/>
        </w:rPr>
        <w:t>Н</w:t>
      </w:r>
      <w:r w:rsidRPr="001416ED">
        <w:rPr>
          <w:rFonts w:eastAsia="PragmaticaC"/>
          <w:b w:val="0"/>
          <w:lang w:eastAsia="en-US"/>
        </w:rPr>
        <w:t>У</w:t>
      </w:r>
      <w:r w:rsidRPr="001416ED">
        <w:rPr>
          <w:rFonts w:eastAsia="PragmaticaC"/>
          <w:b w:val="0"/>
          <w:szCs w:val="28"/>
          <w:lang w:eastAsia="en-US"/>
        </w:rPr>
        <w:t>П</w:t>
      </w:r>
      <w:r w:rsidR="00202D2D">
        <w:rPr>
          <w:rFonts w:eastAsia="PragmaticaC"/>
          <w:b w:val="0"/>
          <w:szCs w:val="28"/>
          <w:lang w:eastAsia="en-US"/>
        </w:rPr>
        <w:t>)</w:t>
      </w:r>
      <w:r w:rsidRPr="001416ED">
        <w:rPr>
          <w:rFonts w:eastAsia="PragmaticaC"/>
          <w:b w:val="0"/>
          <w:szCs w:val="28"/>
          <w:lang w:eastAsia="en-US"/>
        </w:rPr>
        <w:t>, СНП має 17</w:t>
      </w:r>
      <w:r w:rsidR="00BC0119" w:rsidRPr="001416ED">
        <w:rPr>
          <w:rFonts w:eastAsia="PragmaticaC"/>
          <w:b w:val="0"/>
          <w:szCs w:val="28"/>
          <w:lang w:eastAsia="en-US"/>
        </w:rPr>
        <w:t>–</w:t>
      </w:r>
      <w:r w:rsidRPr="001416ED">
        <w:rPr>
          <w:rFonts w:eastAsia="PragmaticaC"/>
          <w:b w:val="0"/>
          <w:szCs w:val="28"/>
          <w:lang w:eastAsia="en-US"/>
        </w:rPr>
        <w:t>членну кільцеву структуру, яка замикається дисульфідним зв’язком, що потрібно для з’єднання пептиду з натрійуретичними рецепторами</w:t>
      </w:r>
      <w:r w:rsidRPr="001416ED">
        <w:rPr>
          <w:rFonts w:eastAsia="PragmaticaC"/>
          <w:b w:val="0"/>
          <w:lang w:eastAsia="en-US"/>
        </w:rPr>
        <w:t xml:space="preserve"> </w:t>
      </w:r>
      <w:r w:rsidRPr="001416ED">
        <w:rPr>
          <w:b w:val="0"/>
        </w:rPr>
        <w:t>за типом ліганд</w:t>
      </w:r>
      <w:r w:rsidR="00BC0119" w:rsidRPr="001416ED">
        <w:rPr>
          <w:b w:val="0"/>
        </w:rPr>
        <w:t>–</w:t>
      </w:r>
      <w:r w:rsidRPr="001416ED">
        <w:rPr>
          <w:b w:val="0"/>
        </w:rPr>
        <w:t>рецепторної взаємодії (лігандом є пептид). Існують 3 типи рецепторів (трансмембранних білків) НУП: NPR</w:t>
      </w:r>
      <w:r w:rsidR="00BC0119" w:rsidRPr="001416ED">
        <w:rPr>
          <w:b w:val="0"/>
        </w:rPr>
        <w:t>–</w:t>
      </w:r>
      <w:r w:rsidRPr="001416ED">
        <w:rPr>
          <w:b w:val="0"/>
        </w:rPr>
        <w:t>А, NPR</w:t>
      </w:r>
      <w:r w:rsidR="00BC0119" w:rsidRPr="001416ED">
        <w:rPr>
          <w:b w:val="0"/>
        </w:rPr>
        <w:t>–</w:t>
      </w:r>
      <w:r w:rsidRPr="001416ED">
        <w:rPr>
          <w:b w:val="0"/>
        </w:rPr>
        <w:t>B і NPR</w:t>
      </w:r>
      <w:r w:rsidR="00BC0119" w:rsidRPr="001416ED">
        <w:rPr>
          <w:b w:val="0"/>
        </w:rPr>
        <w:t>–</w:t>
      </w:r>
      <w:r w:rsidRPr="001416ED">
        <w:rPr>
          <w:b w:val="0"/>
        </w:rPr>
        <w:t>C.</w:t>
      </w:r>
      <w:r w:rsidRPr="001416ED">
        <w:rPr>
          <w:rFonts w:eastAsia="PragmaticaC"/>
          <w:b w:val="0"/>
          <w:szCs w:val="28"/>
        </w:rPr>
        <w:t xml:space="preserve"> </w:t>
      </w:r>
      <w:r w:rsidR="00D408FA" w:rsidRPr="001416ED">
        <w:rPr>
          <w:rFonts w:eastAsia="PragmaticaC"/>
          <w:b w:val="0"/>
          <w:szCs w:val="28"/>
        </w:rPr>
        <w:t xml:space="preserve">Передсердний </w:t>
      </w:r>
      <w:r w:rsidR="00D408FA" w:rsidRPr="001416ED">
        <w:rPr>
          <w:rFonts w:eastAsia="PragmaticaC"/>
          <w:b w:val="0"/>
          <w:szCs w:val="28"/>
          <w:lang w:eastAsia="en-US"/>
        </w:rPr>
        <w:t>натрійуретичний пептид (</w:t>
      </w:r>
      <w:r w:rsidRPr="001416ED">
        <w:rPr>
          <w:rFonts w:eastAsia="PragmaticaC"/>
          <w:b w:val="0"/>
          <w:szCs w:val="28"/>
        </w:rPr>
        <w:t>ПНП</w:t>
      </w:r>
      <w:r w:rsidR="00D408FA" w:rsidRPr="001416ED">
        <w:rPr>
          <w:rFonts w:eastAsia="PragmaticaC"/>
          <w:b w:val="0"/>
          <w:szCs w:val="28"/>
        </w:rPr>
        <w:t>)</w:t>
      </w:r>
      <w:r w:rsidRPr="001416ED">
        <w:rPr>
          <w:rFonts w:eastAsia="PragmaticaC"/>
          <w:b w:val="0"/>
          <w:szCs w:val="28"/>
        </w:rPr>
        <w:t xml:space="preserve"> і </w:t>
      </w:r>
      <w:r w:rsidR="00D408FA" w:rsidRPr="001416ED">
        <w:rPr>
          <w:rFonts w:eastAsia="PragmaticaC"/>
          <w:b w:val="0"/>
          <w:szCs w:val="28"/>
        </w:rPr>
        <w:t xml:space="preserve">мозковий </w:t>
      </w:r>
      <w:r w:rsidR="00D408FA" w:rsidRPr="001416ED">
        <w:rPr>
          <w:rFonts w:eastAsia="PragmaticaC"/>
          <w:b w:val="0"/>
          <w:szCs w:val="28"/>
          <w:lang w:eastAsia="en-US"/>
        </w:rPr>
        <w:t>натрійуретичний пептид (</w:t>
      </w:r>
      <w:r w:rsidRPr="001416ED">
        <w:rPr>
          <w:rFonts w:eastAsia="PragmaticaC"/>
          <w:b w:val="0"/>
          <w:szCs w:val="28"/>
        </w:rPr>
        <w:t>МНП</w:t>
      </w:r>
      <w:r w:rsidR="00D408FA" w:rsidRPr="001416ED">
        <w:rPr>
          <w:rFonts w:eastAsia="PragmaticaC"/>
          <w:b w:val="0"/>
          <w:szCs w:val="28"/>
        </w:rPr>
        <w:t>)</w:t>
      </w:r>
      <w:r w:rsidRPr="001416ED">
        <w:rPr>
          <w:rFonts w:eastAsia="PragmaticaC"/>
          <w:b w:val="0"/>
          <w:szCs w:val="28"/>
        </w:rPr>
        <w:t xml:space="preserve"> зв'язуються з рецепторами ПНП (NPR</w:t>
      </w:r>
      <w:r w:rsidR="00BC0119" w:rsidRPr="001416ED">
        <w:rPr>
          <w:rFonts w:eastAsia="PragmaticaC"/>
          <w:b w:val="0"/>
          <w:szCs w:val="28"/>
        </w:rPr>
        <w:t>–</w:t>
      </w:r>
      <w:r w:rsidRPr="001416ED">
        <w:rPr>
          <w:rFonts w:eastAsia="PragmaticaC"/>
          <w:b w:val="0"/>
          <w:szCs w:val="28"/>
        </w:rPr>
        <w:t>A) і знімають блокаду внутрішньоклітинної гуанілатциклази, в результаті цього і утворюється цГМФ, дія якої опосередковує натрійурез, вазодил</w:t>
      </w:r>
      <w:r w:rsidR="00F742F2" w:rsidRPr="001416ED">
        <w:rPr>
          <w:rFonts w:eastAsia="PragmaticaC"/>
          <w:b w:val="0"/>
          <w:szCs w:val="28"/>
        </w:rPr>
        <w:t>я</w:t>
      </w:r>
      <w:r w:rsidRPr="001416ED">
        <w:rPr>
          <w:rFonts w:eastAsia="PragmaticaC"/>
          <w:b w:val="0"/>
          <w:szCs w:val="28"/>
        </w:rPr>
        <w:t xml:space="preserve">тацію, зниження секреції реніну, антимітогенез </w:t>
      </w:r>
      <w:r w:rsidR="00BC0119" w:rsidRPr="001416ED">
        <w:rPr>
          <w:rFonts w:eastAsia="PragmaticaC"/>
          <w:b w:val="0"/>
          <w:szCs w:val="28"/>
        </w:rPr>
        <w:t>–</w:t>
      </w:r>
      <w:r w:rsidRPr="001416ED">
        <w:rPr>
          <w:rFonts w:eastAsia="PragmaticaC"/>
          <w:b w:val="0"/>
          <w:szCs w:val="28"/>
        </w:rPr>
        <w:t xml:space="preserve"> пригнічення зростання мезангіальних клітин, судинних ГМК, серцевих фібробластів і ендотеліальних клітин. СНП, зв'язуючись </w:t>
      </w:r>
      <w:r w:rsidRPr="001416ED">
        <w:rPr>
          <w:rFonts w:eastAsia="PragmaticaC"/>
          <w:b w:val="0"/>
          <w:szCs w:val="28"/>
        </w:rPr>
        <w:lastRenderedPageBreak/>
        <w:t>з рецепторами МНП (NPR</w:t>
      </w:r>
      <w:r w:rsidR="00BC0119" w:rsidRPr="001416ED">
        <w:rPr>
          <w:rFonts w:eastAsia="PragmaticaC"/>
          <w:b w:val="0"/>
          <w:szCs w:val="28"/>
        </w:rPr>
        <w:t>–</w:t>
      </w:r>
      <w:r w:rsidRPr="001416ED">
        <w:rPr>
          <w:rFonts w:eastAsia="PragmaticaC"/>
          <w:b w:val="0"/>
          <w:szCs w:val="28"/>
        </w:rPr>
        <w:t>B), не викликає помітного натрійуретичного та діуретичного ефекту, але через дію гуанілатциклази і цГМФ надає вазодилятуючу дію і пригнічує ріст ГМК судин, модулюючи їх фенотип. Все це розглядається як паракринна форма регуляції. А С</w:t>
      </w:r>
      <w:r w:rsidR="00BC0119" w:rsidRPr="001416ED">
        <w:rPr>
          <w:rFonts w:eastAsia="PragmaticaC"/>
          <w:b w:val="0"/>
          <w:szCs w:val="28"/>
        </w:rPr>
        <w:t>–</w:t>
      </w:r>
      <w:r w:rsidRPr="001416ED">
        <w:rPr>
          <w:rFonts w:eastAsia="PragmaticaC"/>
          <w:b w:val="0"/>
          <w:szCs w:val="28"/>
        </w:rPr>
        <w:t>рецептори є кліренс</w:t>
      </w:r>
      <w:r w:rsidR="00BC0119" w:rsidRPr="001416ED">
        <w:rPr>
          <w:rFonts w:eastAsia="PragmaticaC"/>
          <w:b w:val="0"/>
          <w:szCs w:val="28"/>
        </w:rPr>
        <w:t>–</w:t>
      </w:r>
      <w:r w:rsidRPr="001416ED">
        <w:rPr>
          <w:rFonts w:eastAsia="PragmaticaC"/>
          <w:b w:val="0"/>
          <w:szCs w:val="28"/>
        </w:rPr>
        <w:t xml:space="preserve">рецепторами для НУП. </w:t>
      </w:r>
      <w:r w:rsidRPr="001416ED">
        <w:rPr>
          <w:rFonts w:eastAsia="PragmaticaC"/>
          <w:b w:val="0"/>
          <w:szCs w:val="28"/>
          <w:lang w:eastAsia="en-US"/>
        </w:rPr>
        <w:t>Рецепторні структури широко представлені практично в усіх тканинах організму людини. Особливо висока їх експресія спостерігається у нирках, серці, ендотелії судин, клітинах гладеньких м’язів. Наявність великої кількості рецепторів в судинних ГМК, прилеглих безпосередньо до ендотеліальних клітин, дозволяє припу</w:t>
      </w:r>
      <w:r w:rsidR="003E6E2C">
        <w:rPr>
          <w:rFonts w:eastAsia="PragmaticaC"/>
          <w:b w:val="0"/>
          <w:szCs w:val="28"/>
          <w:lang w:eastAsia="en-US"/>
        </w:rPr>
        <w:t>скати, що СНП проявляє свою дію</w:t>
      </w:r>
      <w:r w:rsidRPr="001416ED">
        <w:rPr>
          <w:rFonts w:eastAsia="PragmaticaC"/>
          <w:b w:val="0"/>
          <w:szCs w:val="28"/>
          <w:lang w:eastAsia="en-US"/>
        </w:rPr>
        <w:t xml:space="preserve"> утворюючись локально в судинній стінці, а не надходячи з циркулюючої крові</w:t>
      </w:r>
      <w:r w:rsidR="0062432D" w:rsidRPr="001416ED">
        <w:rPr>
          <w:rFonts w:eastAsia="PragmaticaC"/>
          <w:b w:val="0"/>
          <w:szCs w:val="28"/>
          <w:lang w:eastAsia="en-US"/>
        </w:rPr>
        <w:t xml:space="preserve"> [17</w:t>
      </w:r>
      <w:r w:rsidR="001D4A9F" w:rsidRPr="001416ED">
        <w:rPr>
          <w:rFonts w:eastAsia="PragmaticaC"/>
          <w:b w:val="0"/>
          <w:szCs w:val="28"/>
          <w:lang w:eastAsia="en-US"/>
        </w:rPr>
        <w:t>0</w:t>
      </w:r>
      <w:r w:rsidR="0062432D" w:rsidRPr="001416ED">
        <w:rPr>
          <w:rFonts w:eastAsia="PragmaticaC"/>
          <w:b w:val="0"/>
          <w:szCs w:val="28"/>
          <w:lang w:eastAsia="en-US"/>
        </w:rPr>
        <w:t>]</w:t>
      </w:r>
      <w:r w:rsidRPr="001416ED">
        <w:rPr>
          <w:rFonts w:eastAsia="PragmaticaC"/>
          <w:b w:val="0"/>
          <w:szCs w:val="28"/>
          <w:lang w:eastAsia="en-US"/>
        </w:rPr>
        <w:t>.</w:t>
      </w:r>
    </w:p>
    <w:p w:rsidR="00E80D05" w:rsidRPr="001416ED" w:rsidRDefault="00E80D05" w:rsidP="00E80D05">
      <w:pPr>
        <w:pStyle w:val="a5"/>
        <w:ind w:left="0" w:right="0" w:firstLine="709"/>
        <w:jc w:val="both"/>
        <w:rPr>
          <w:b w:val="0"/>
          <w:spacing w:val="-4"/>
          <w:szCs w:val="28"/>
        </w:rPr>
      </w:pPr>
      <w:r w:rsidRPr="001416ED">
        <w:rPr>
          <w:b w:val="0"/>
          <w:spacing w:val="-4"/>
          <w:szCs w:val="28"/>
        </w:rPr>
        <w:t xml:space="preserve">У культурі ендотеліальних клітин секрецію CНП підвищують </w:t>
      </w:r>
      <w:r w:rsidRPr="001416ED">
        <w:rPr>
          <w:b w:val="0"/>
          <w:szCs w:val="28"/>
        </w:rPr>
        <w:t>трансформуючий фактор росту,</w:t>
      </w:r>
      <w:r w:rsidRPr="001416ED">
        <w:rPr>
          <w:b w:val="0"/>
          <w:spacing w:val="-4"/>
          <w:szCs w:val="28"/>
        </w:rPr>
        <w:t xml:space="preserve"> туморонекротичний фактор, інтерлейкін I. Натомість інсулін пригнічує синтез СНП </w:t>
      </w:r>
      <w:r w:rsidR="00336554" w:rsidRPr="001416ED">
        <w:rPr>
          <w:b w:val="0"/>
          <w:spacing w:val="-4"/>
          <w:szCs w:val="28"/>
        </w:rPr>
        <w:t>[1</w:t>
      </w:r>
      <w:r w:rsidR="001D4A9F" w:rsidRPr="001416ED">
        <w:rPr>
          <w:b w:val="0"/>
          <w:spacing w:val="-4"/>
          <w:szCs w:val="28"/>
        </w:rPr>
        <w:t>22</w:t>
      </w:r>
      <w:r w:rsidRPr="001416ED">
        <w:rPr>
          <w:b w:val="0"/>
          <w:spacing w:val="-4"/>
          <w:szCs w:val="28"/>
        </w:rPr>
        <w:t>,</w:t>
      </w:r>
      <w:r w:rsidR="0062432D" w:rsidRPr="001416ED">
        <w:rPr>
          <w:b w:val="0"/>
          <w:spacing w:val="-4"/>
          <w:szCs w:val="28"/>
        </w:rPr>
        <w:t xml:space="preserve"> </w:t>
      </w:r>
      <w:r w:rsidRPr="001416ED">
        <w:rPr>
          <w:b w:val="0"/>
          <w:spacing w:val="-4"/>
          <w:szCs w:val="28"/>
        </w:rPr>
        <w:t>1</w:t>
      </w:r>
      <w:r w:rsidR="001D4A9F" w:rsidRPr="001416ED">
        <w:rPr>
          <w:b w:val="0"/>
          <w:spacing w:val="-4"/>
          <w:szCs w:val="28"/>
        </w:rPr>
        <w:t>82</w:t>
      </w:r>
      <w:r w:rsidRPr="001416ED">
        <w:rPr>
          <w:b w:val="0"/>
          <w:spacing w:val="-4"/>
          <w:szCs w:val="28"/>
        </w:rPr>
        <w:t xml:space="preserve">]. Напівперіод життя в плазмі крові CНП становить 2,6 хв. </w:t>
      </w:r>
      <w:r w:rsidRPr="001416ED">
        <w:rPr>
          <w:rFonts w:eastAsia="PragmaticaC"/>
          <w:b w:val="0"/>
          <w:szCs w:val="28"/>
          <w:lang w:eastAsia="en-US"/>
        </w:rPr>
        <w:t xml:space="preserve">Елімінація СНП з кровообігу здійснюється за допомогою двох механізмів. Перший – ендоцитоз з лізосомальною деградацією, модульований через </w:t>
      </w:r>
      <w:r w:rsidR="00B6581A" w:rsidRPr="001416ED">
        <w:rPr>
          <w:rFonts w:eastAsia="PragmaticaC"/>
          <w:b w:val="0"/>
          <w:szCs w:val="28"/>
          <w:lang w:val="ru-RU" w:eastAsia="en-US"/>
        </w:rPr>
        <w:t>NPR–C</w:t>
      </w:r>
      <w:r w:rsidRPr="001416ED">
        <w:rPr>
          <w:rFonts w:eastAsia="PragmaticaC"/>
          <w:b w:val="0"/>
          <w:szCs w:val="28"/>
          <w:lang w:eastAsia="en-US"/>
        </w:rPr>
        <w:t>. Другий – за допомогою ферменту нейтральної ендопептидази. Н</w:t>
      </w:r>
      <w:r w:rsidRPr="001416ED">
        <w:rPr>
          <w:b w:val="0"/>
          <w:spacing w:val="-4"/>
          <w:szCs w:val="28"/>
        </w:rPr>
        <w:t>ормальна концентрація в плазмі крові CНП становить 1</w:t>
      </w:r>
      <w:r w:rsidR="00FF29CC" w:rsidRPr="001416ED">
        <w:rPr>
          <w:b w:val="0"/>
          <w:spacing w:val="-4"/>
          <w:szCs w:val="28"/>
        </w:rPr>
        <w:t>,</w:t>
      </w:r>
      <w:r w:rsidRPr="001416ED">
        <w:rPr>
          <w:b w:val="0"/>
          <w:spacing w:val="-4"/>
          <w:szCs w:val="28"/>
        </w:rPr>
        <w:t>4</w:t>
      </w:r>
      <w:r w:rsidR="00BC0119" w:rsidRPr="001416ED">
        <w:rPr>
          <w:b w:val="0"/>
          <w:spacing w:val="-4"/>
          <w:szCs w:val="28"/>
        </w:rPr>
        <w:t>–</w:t>
      </w:r>
      <w:r w:rsidR="00E4340F" w:rsidRPr="001416ED">
        <w:rPr>
          <w:b w:val="0"/>
          <w:spacing w:val="-4"/>
          <w:szCs w:val="28"/>
        </w:rPr>
        <w:t>1</w:t>
      </w:r>
      <w:r w:rsidR="00FF29CC" w:rsidRPr="001416ED">
        <w:rPr>
          <w:b w:val="0"/>
          <w:spacing w:val="-4"/>
          <w:szCs w:val="28"/>
        </w:rPr>
        <w:t>,</w:t>
      </w:r>
      <w:r w:rsidR="00E4340F" w:rsidRPr="001416ED">
        <w:rPr>
          <w:b w:val="0"/>
          <w:spacing w:val="-4"/>
          <w:szCs w:val="28"/>
        </w:rPr>
        <w:t>9 п</w:t>
      </w:r>
      <w:r w:rsidRPr="001416ED">
        <w:rPr>
          <w:b w:val="0"/>
          <w:spacing w:val="-4"/>
          <w:szCs w:val="28"/>
        </w:rPr>
        <w:t>моль/</w:t>
      </w:r>
      <w:r w:rsidR="00E23702" w:rsidRPr="001416ED">
        <w:rPr>
          <w:b w:val="0"/>
          <w:spacing w:val="-4"/>
          <w:szCs w:val="28"/>
        </w:rPr>
        <w:t>м</w:t>
      </w:r>
      <w:r w:rsidRPr="001416ED">
        <w:rPr>
          <w:b w:val="0"/>
          <w:spacing w:val="-4"/>
          <w:szCs w:val="28"/>
        </w:rPr>
        <w:t>л [1</w:t>
      </w:r>
      <w:r w:rsidR="001D4A9F" w:rsidRPr="001416ED">
        <w:rPr>
          <w:b w:val="0"/>
          <w:spacing w:val="-4"/>
          <w:szCs w:val="28"/>
        </w:rPr>
        <w:t>43</w:t>
      </w:r>
      <w:r w:rsidRPr="001416ED">
        <w:rPr>
          <w:b w:val="0"/>
          <w:spacing w:val="-4"/>
          <w:szCs w:val="28"/>
        </w:rPr>
        <w:t>].</w:t>
      </w:r>
    </w:p>
    <w:p w:rsidR="00E80D05" w:rsidRPr="001416ED" w:rsidRDefault="00E80D05" w:rsidP="00E80D05">
      <w:pPr>
        <w:pStyle w:val="a5"/>
        <w:ind w:left="0" w:right="0" w:firstLine="709"/>
        <w:jc w:val="both"/>
        <w:rPr>
          <w:rFonts w:eastAsia="PragmaticaC"/>
          <w:b w:val="0"/>
          <w:szCs w:val="28"/>
          <w:lang w:eastAsia="en-US"/>
        </w:rPr>
      </w:pPr>
      <w:r w:rsidRPr="001416ED">
        <w:rPr>
          <w:rFonts w:eastAsia="PragmaticaC"/>
          <w:b w:val="0"/>
          <w:szCs w:val="28"/>
          <w:lang w:eastAsia="en-US"/>
        </w:rPr>
        <w:t xml:space="preserve"> In vitro у культурі клітин судинної стінки виявлена антипроліферативна активність СНП. </w:t>
      </w:r>
      <w:r w:rsidRPr="001416ED">
        <w:rPr>
          <w:b w:val="0"/>
          <w:szCs w:val="28"/>
        </w:rPr>
        <w:t>Проведені дослідження показали, що СНП знижує секрецію ЕТ</w:t>
      </w:r>
      <w:r w:rsidR="00BC0119" w:rsidRPr="001416ED">
        <w:rPr>
          <w:b w:val="0"/>
          <w:szCs w:val="28"/>
        </w:rPr>
        <w:t>–</w:t>
      </w:r>
      <w:r w:rsidRPr="001416ED">
        <w:rPr>
          <w:b w:val="0"/>
          <w:szCs w:val="28"/>
        </w:rPr>
        <w:t>1, експресію гена гіпертрофії, гальмує обумовлене ЕТ</w:t>
      </w:r>
      <w:r w:rsidR="00BC0119" w:rsidRPr="001416ED">
        <w:rPr>
          <w:b w:val="0"/>
          <w:szCs w:val="28"/>
        </w:rPr>
        <w:t>–</w:t>
      </w:r>
      <w:r w:rsidRPr="001416ED">
        <w:rPr>
          <w:b w:val="0"/>
          <w:szCs w:val="28"/>
        </w:rPr>
        <w:t>1 підвищення внутрішньоклітинної концентрації Са</w:t>
      </w:r>
      <w:r w:rsidRPr="001416ED">
        <w:rPr>
          <w:b w:val="0"/>
          <w:szCs w:val="28"/>
          <w:vertAlign w:val="superscript"/>
        </w:rPr>
        <w:t>2+</w:t>
      </w:r>
      <w:r w:rsidRPr="001416ED">
        <w:rPr>
          <w:b w:val="0"/>
          <w:szCs w:val="28"/>
        </w:rPr>
        <w:t xml:space="preserve"> та гіпертрофію кардіоміоцитів через циклічний гуанозинмонофосфат </w:t>
      </w:r>
      <w:r w:rsidR="00BC0119" w:rsidRPr="001416ED">
        <w:rPr>
          <w:b w:val="0"/>
          <w:szCs w:val="28"/>
        </w:rPr>
        <w:t>–</w:t>
      </w:r>
      <w:r w:rsidRPr="001416ED">
        <w:rPr>
          <w:b w:val="0"/>
          <w:szCs w:val="28"/>
        </w:rPr>
        <w:t xml:space="preserve"> залежний шлях. В свою чергу, висока концентрація ЕТ</w:t>
      </w:r>
      <w:r w:rsidR="00BC0119" w:rsidRPr="001416ED">
        <w:rPr>
          <w:b w:val="0"/>
          <w:szCs w:val="28"/>
        </w:rPr>
        <w:t>–</w:t>
      </w:r>
      <w:r w:rsidRPr="001416ED">
        <w:rPr>
          <w:b w:val="0"/>
          <w:szCs w:val="28"/>
        </w:rPr>
        <w:t>1 гальмує активність СНП через протеїнкіназа</w:t>
      </w:r>
      <w:r w:rsidR="00BC0119" w:rsidRPr="001416ED">
        <w:rPr>
          <w:b w:val="0"/>
          <w:szCs w:val="28"/>
        </w:rPr>
        <w:t>–</w:t>
      </w:r>
      <w:r w:rsidRPr="001416ED">
        <w:rPr>
          <w:b w:val="0"/>
          <w:szCs w:val="28"/>
        </w:rPr>
        <w:t>С залежний та Са</w:t>
      </w:r>
      <w:r w:rsidRPr="001416ED">
        <w:rPr>
          <w:b w:val="0"/>
          <w:szCs w:val="28"/>
          <w:vertAlign w:val="superscript"/>
        </w:rPr>
        <w:t>2+</w:t>
      </w:r>
      <w:r w:rsidRPr="001416ED">
        <w:rPr>
          <w:b w:val="0"/>
          <w:szCs w:val="28"/>
        </w:rPr>
        <w:t xml:space="preserve"> залежний механізми. Таким чином, СНП  та ЕТ</w:t>
      </w:r>
      <w:r w:rsidR="00BC0119" w:rsidRPr="001416ED">
        <w:rPr>
          <w:b w:val="0"/>
          <w:szCs w:val="28"/>
        </w:rPr>
        <w:t>–</w:t>
      </w:r>
      <w:r w:rsidRPr="001416ED">
        <w:rPr>
          <w:b w:val="0"/>
          <w:szCs w:val="28"/>
        </w:rPr>
        <w:t>1 виступають як протидіючі фактори</w:t>
      </w:r>
      <w:r w:rsidRPr="001416ED">
        <w:rPr>
          <w:rFonts w:eastAsia="PragmaticaC"/>
          <w:b w:val="0"/>
          <w:szCs w:val="28"/>
          <w:lang w:eastAsia="en-US"/>
        </w:rPr>
        <w:t xml:space="preserve"> [</w:t>
      </w:r>
      <w:r w:rsidR="00F962E1" w:rsidRPr="001416ED">
        <w:rPr>
          <w:rFonts w:eastAsia="PragmaticaC"/>
          <w:b w:val="0"/>
          <w:szCs w:val="28"/>
          <w:lang w:eastAsia="en-US"/>
        </w:rPr>
        <w:t>7</w:t>
      </w:r>
      <w:r w:rsidR="001D4A9F" w:rsidRPr="001416ED">
        <w:rPr>
          <w:rFonts w:eastAsia="PragmaticaC"/>
          <w:b w:val="0"/>
          <w:szCs w:val="28"/>
          <w:lang w:eastAsia="en-US"/>
        </w:rPr>
        <w:t>4</w:t>
      </w:r>
      <w:r w:rsidR="00F962E1" w:rsidRPr="001416ED">
        <w:rPr>
          <w:rFonts w:eastAsia="PragmaticaC"/>
          <w:b w:val="0"/>
          <w:szCs w:val="28"/>
          <w:lang w:eastAsia="en-US"/>
        </w:rPr>
        <w:t>,</w:t>
      </w:r>
      <w:r w:rsidR="0029727F" w:rsidRPr="001416ED">
        <w:rPr>
          <w:rFonts w:eastAsia="PragmaticaC"/>
          <w:b w:val="0"/>
          <w:szCs w:val="28"/>
          <w:lang w:eastAsia="en-US"/>
        </w:rPr>
        <w:t xml:space="preserve"> </w:t>
      </w:r>
      <w:r w:rsidR="00F962E1" w:rsidRPr="001416ED">
        <w:rPr>
          <w:rFonts w:eastAsia="PragmaticaC"/>
          <w:b w:val="0"/>
          <w:szCs w:val="28"/>
          <w:lang w:eastAsia="en-US"/>
        </w:rPr>
        <w:t>1</w:t>
      </w:r>
      <w:r w:rsidR="001D4A9F" w:rsidRPr="001416ED">
        <w:rPr>
          <w:rFonts w:eastAsia="PragmaticaC"/>
          <w:b w:val="0"/>
          <w:szCs w:val="28"/>
          <w:lang w:eastAsia="en-US"/>
        </w:rPr>
        <w:t>15</w:t>
      </w:r>
      <w:r w:rsidR="00F962E1" w:rsidRPr="001416ED">
        <w:rPr>
          <w:rFonts w:eastAsia="PragmaticaC"/>
          <w:b w:val="0"/>
          <w:szCs w:val="28"/>
          <w:lang w:eastAsia="en-US"/>
        </w:rPr>
        <w:t>,</w:t>
      </w:r>
      <w:r w:rsidR="0029727F" w:rsidRPr="001416ED">
        <w:rPr>
          <w:rFonts w:eastAsia="PragmaticaC"/>
          <w:b w:val="0"/>
          <w:szCs w:val="28"/>
          <w:lang w:eastAsia="en-US"/>
        </w:rPr>
        <w:t xml:space="preserve"> </w:t>
      </w:r>
      <w:r w:rsidRPr="001416ED">
        <w:rPr>
          <w:rFonts w:eastAsia="PragmaticaC"/>
          <w:b w:val="0"/>
          <w:szCs w:val="28"/>
          <w:lang w:eastAsia="en-US"/>
        </w:rPr>
        <w:t>1</w:t>
      </w:r>
      <w:r w:rsidR="001D4A9F" w:rsidRPr="001416ED">
        <w:rPr>
          <w:rFonts w:eastAsia="PragmaticaC"/>
          <w:b w:val="0"/>
          <w:szCs w:val="28"/>
          <w:lang w:eastAsia="en-US"/>
        </w:rPr>
        <w:t>16</w:t>
      </w:r>
      <w:r w:rsidRPr="001416ED">
        <w:rPr>
          <w:rFonts w:eastAsia="PragmaticaC"/>
          <w:b w:val="0"/>
          <w:szCs w:val="28"/>
          <w:lang w:eastAsia="en-US"/>
        </w:rPr>
        <w:t>].</w:t>
      </w:r>
    </w:p>
    <w:p w:rsidR="00E80D05" w:rsidRPr="001416ED" w:rsidRDefault="00E80D05" w:rsidP="00E80D05">
      <w:pPr>
        <w:pStyle w:val="a5"/>
        <w:ind w:left="0" w:right="0" w:firstLine="709"/>
        <w:jc w:val="both"/>
        <w:rPr>
          <w:rFonts w:eastAsia="PragmaticaC"/>
          <w:b w:val="0"/>
          <w:szCs w:val="28"/>
          <w:lang w:eastAsia="en-US"/>
        </w:rPr>
      </w:pPr>
      <w:r w:rsidRPr="001416ED">
        <w:rPr>
          <w:rFonts w:eastAsia="PragmaticaC"/>
          <w:b w:val="0"/>
          <w:szCs w:val="28"/>
          <w:lang w:eastAsia="en-US"/>
        </w:rPr>
        <w:t>Представлені і інші докази важливої ролі пептиду у регуляції судинного тонусу та проліферації складових судинної стінки. Так</w:t>
      </w:r>
      <w:r w:rsidR="00B82F68" w:rsidRPr="001416ED">
        <w:rPr>
          <w:rFonts w:eastAsia="PragmaticaC"/>
          <w:b w:val="0"/>
          <w:szCs w:val="28"/>
          <w:lang w:val="ru-RU" w:eastAsia="en-US"/>
        </w:rPr>
        <w:t>,</w:t>
      </w:r>
      <w:r w:rsidRPr="001416ED">
        <w:rPr>
          <w:rFonts w:eastAsia="PragmaticaC"/>
          <w:b w:val="0"/>
          <w:szCs w:val="28"/>
          <w:lang w:eastAsia="en-US"/>
        </w:rPr>
        <w:t xml:space="preserve"> у дослідженні іn vitro встановлений виражений вазодилятуючий ефект СНП с переважним впливом на артерії [</w:t>
      </w:r>
      <w:r w:rsidR="00336554" w:rsidRPr="001416ED">
        <w:rPr>
          <w:rFonts w:eastAsia="PragmaticaC"/>
          <w:b w:val="0"/>
          <w:szCs w:val="28"/>
          <w:lang w:eastAsia="en-US"/>
        </w:rPr>
        <w:t>1</w:t>
      </w:r>
      <w:r w:rsidR="00172445" w:rsidRPr="001416ED">
        <w:rPr>
          <w:rFonts w:eastAsia="PragmaticaC"/>
          <w:b w:val="0"/>
          <w:szCs w:val="28"/>
          <w:lang w:eastAsia="en-US"/>
        </w:rPr>
        <w:t>34</w:t>
      </w:r>
      <w:r w:rsidR="00336554" w:rsidRPr="001416ED">
        <w:rPr>
          <w:rFonts w:eastAsia="PragmaticaC"/>
          <w:b w:val="0"/>
          <w:szCs w:val="28"/>
          <w:lang w:eastAsia="en-US"/>
        </w:rPr>
        <w:t>,</w:t>
      </w:r>
      <w:r w:rsidR="0029727F" w:rsidRPr="001416ED">
        <w:rPr>
          <w:rFonts w:eastAsia="PragmaticaC"/>
          <w:b w:val="0"/>
          <w:szCs w:val="28"/>
          <w:lang w:eastAsia="en-US"/>
        </w:rPr>
        <w:t xml:space="preserve"> </w:t>
      </w:r>
      <w:r w:rsidR="00172445" w:rsidRPr="001416ED">
        <w:rPr>
          <w:rFonts w:eastAsia="PragmaticaC"/>
          <w:b w:val="0"/>
          <w:szCs w:val="28"/>
          <w:lang w:eastAsia="en-US"/>
        </w:rPr>
        <w:t>196</w:t>
      </w:r>
      <w:r w:rsidRPr="001416ED">
        <w:rPr>
          <w:rFonts w:eastAsia="PragmaticaC"/>
          <w:b w:val="0"/>
          <w:szCs w:val="28"/>
          <w:lang w:eastAsia="en-US"/>
        </w:rPr>
        <w:t xml:space="preserve">]. Цікаво, що релаксаційний вплив пептиду реалізувався і у </w:t>
      </w:r>
      <w:r w:rsidRPr="001416ED">
        <w:rPr>
          <w:rFonts w:eastAsia="PragmaticaC"/>
          <w:b w:val="0"/>
          <w:szCs w:val="28"/>
          <w:lang w:eastAsia="en-US"/>
        </w:rPr>
        <w:lastRenderedPageBreak/>
        <w:t>випадку інтактного ендотелію. Крім місцевих судинних ефектів, СНП бере певну участь у регуляції системної гемодинаміки, зокрема, шляхом блокування секреції альдостерону та реніну [1</w:t>
      </w:r>
      <w:r w:rsidR="00172445" w:rsidRPr="001416ED">
        <w:rPr>
          <w:rFonts w:eastAsia="PragmaticaC"/>
          <w:b w:val="0"/>
          <w:szCs w:val="28"/>
          <w:lang w:eastAsia="en-US"/>
        </w:rPr>
        <w:t>42</w:t>
      </w:r>
      <w:r w:rsidRPr="001416ED">
        <w:rPr>
          <w:rFonts w:eastAsia="PragmaticaC"/>
          <w:b w:val="0"/>
          <w:szCs w:val="28"/>
          <w:lang w:eastAsia="en-US"/>
        </w:rPr>
        <w:t xml:space="preserve">]. Взаємодія з РААС підтверджена у експерименті із застосуванням інгібіторів </w:t>
      </w:r>
      <w:r w:rsidR="0003533A" w:rsidRPr="001416ED">
        <w:rPr>
          <w:rFonts w:eastAsia="PragmaticaC"/>
          <w:b w:val="0"/>
          <w:szCs w:val="28"/>
          <w:lang w:eastAsia="en-US"/>
        </w:rPr>
        <w:t>ангіотензинперетворюючого ферменту (</w:t>
      </w:r>
      <w:r w:rsidRPr="001416ED">
        <w:rPr>
          <w:rFonts w:eastAsia="PragmaticaC"/>
          <w:b w:val="0"/>
          <w:szCs w:val="28"/>
          <w:lang w:eastAsia="en-US"/>
        </w:rPr>
        <w:t>АПФ</w:t>
      </w:r>
      <w:r w:rsidR="0003533A" w:rsidRPr="001416ED">
        <w:rPr>
          <w:rFonts w:eastAsia="PragmaticaC"/>
          <w:b w:val="0"/>
          <w:szCs w:val="28"/>
          <w:lang w:eastAsia="en-US"/>
        </w:rPr>
        <w:t>)</w:t>
      </w:r>
      <w:r w:rsidRPr="001416ED">
        <w:rPr>
          <w:rFonts w:eastAsia="PragmaticaC"/>
          <w:b w:val="0"/>
          <w:szCs w:val="28"/>
          <w:lang w:eastAsia="en-US"/>
        </w:rPr>
        <w:t xml:space="preserve"> та антагоністів рецепторів до АТ</w:t>
      </w:r>
      <w:r w:rsidR="00BC0119" w:rsidRPr="001416ED">
        <w:rPr>
          <w:rFonts w:eastAsia="PragmaticaC"/>
          <w:b w:val="0"/>
          <w:szCs w:val="28"/>
          <w:lang w:eastAsia="en-US"/>
        </w:rPr>
        <w:t>–</w:t>
      </w:r>
      <w:r w:rsidRPr="001416ED">
        <w:rPr>
          <w:rFonts w:eastAsia="PragmaticaC"/>
          <w:b w:val="0"/>
          <w:szCs w:val="28"/>
          <w:lang w:eastAsia="en-US"/>
        </w:rPr>
        <w:t>ІІ у пацюків з АГ та ХСН. Встановлено, що у разі медикаментозного блокування РААС рівень пептиду суттєво зростає. Отримані in vitro дані підтверджені в експериментах на тваринах. У дослідженні з екзогенним введенням синтетичного пептиду доведено його вазоактивні властивості, гіпотензивну дію за рахунок зниження серцевого викиду. У разі введення СНП у високій концентрації спостерігалося значне зниження тиску у правому передсерді та легеневій артерії піддослідних тварин [1</w:t>
      </w:r>
      <w:r w:rsidR="00172445" w:rsidRPr="001416ED">
        <w:rPr>
          <w:rFonts w:eastAsia="PragmaticaC"/>
          <w:b w:val="0"/>
          <w:szCs w:val="28"/>
          <w:lang w:eastAsia="en-US"/>
        </w:rPr>
        <w:t>7</w:t>
      </w:r>
      <w:r w:rsidR="00336554" w:rsidRPr="001416ED">
        <w:rPr>
          <w:rFonts w:eastAsia="PragmaticaC"/>
          <w:b w:val="0"/>
          <w:szCs w:val="28"/>
          <w:lang w:eastAsia="en-US"/>
        </w:rPr>
        <w:t>5</w:t>
      </w:r>
      <w:r w:rsidRPr="001416ED">
        <w:rPr>
          <w:rFonts w:eastAsia="PragmaticaC"/>
          <w:b w:val="0"/>
          <w:szCs w:val="28"/>
          <w:lang w:eastAsia="en-US"/>
        </w:rPr>
        <w:t>]. Крім того, суттєво зростали швидкість клубочкової фільтрації та екскреція натрію, що підтвердило натрійуретичні властивості пептиду. Зростання плазмової концентрації СНП було зафіксовано у експериментальних дослідженнях з моделюванням ХСН [1</w:t>
      </w:r>
      <w:r w:rsidR="00761623" w:rsidRPr="001416ED">
        <w:rPr>
          <w:rFonts w:eastAsia="PragmaticaC"/>
          <w:b w:val="0"/>
          <w:szCs w:val="28"/>
          <w:lang w:eastAsia="en-US"/>
        </w:rPr>
        <w:t>24</w:t>
      </w:r>
      <w:r w:rsidR="00336554" w:rsidRPr="001416ED">
        <w:rPr>
          <w:rFonts w:eastAsia="PragmaticaC"/>
          <w:b w:val="0"/>
          <w:szCs w:val="28"/>
          <w:lang w:eastAsia="en-US"/>
        </w:rPr>
        <w:t>,</w:t>
      </w:r>
      <w:r w:rsidR="0029727F" w:rsidRPr="001416ED">
        <w:rPr>
          <w:rFonts w:eastAsia="PragmaticaC"/>
          <w:b w:val="0"/>
          <w:szCs w:val="28"/>
          <w:lang w:eastAsia="en-US"/>
        </w:rPr>
        <w:t xml:space="preserve"> </w:t>
      </w:r>
      <w:r w:rsidR="00336554" w:rsidRPr="001416ED">
        <w:rPr>
          <w:rFonts w:eastAsia="PragmaticaC"/>
          <w:b w:val="0"/>
          <w:szCs w:val="28"/>
          <w:lang w:eastAsia="en-US"/>
        </w:rPr>
        <w:t>1</w:t>
      </w:r>
      <w:r w:rsidR="00761623" w:rsidRPr="001416ED">
        <w:rPr>
          <w:rFonts w:eastAsia="PragmaticaC"/>
          <w:b w:val="0"/>
          <w:szCs w:val="28"/>
          <w:lang w:eastAsia="en-US"/>
        </w:rPr>
        <w:t>25</w:t>
      </w:r>
      <w:r w:rsidR="00336554" w:rsidRPr="001416ED">
        <w:rPr>
          <w:rFonts w:eastAsia="PragmaticaC"/>
          <w:b w:val="0"/>
          <w:szCs w:val="28"/>
          <w:lang w:eastAsia="en-US"/>
        </w:rPr>
        <w:t>,</w:t>
      </w:r>
      <w:r w:rsidR="0029727F" w:rsidRPr="001416ED">
        <w:rPr>
          <w:rFonts w:eastAsia="PragmaticaC"/>
          <w:b w:val="0"/>
          <w:szCs w:val="28"/>
          <w:lang w:eastAsia="en-US"/>
        </w:rPr>
        <w:t xml:space="preserve"> </w:t>
      </w:r>
      <w:r w:rsidRPr="001416ED">
        <w:rPr>
          <w:rFonts w:eastAsia="PragmaticaC"/>
          <w:b w:val="0"/>
          <w:szCs w:val="28"/>
          <w:lang w:eastAsia="en-US"/>
        </w:rPr>
        <w:t>1</w:t>
      </w:r>
      <w:r w:rsidR="00761623" w:rsidRPr="001416ED">
        <w:rPr>
          <w:rFonts w:eastAsia="PragmaticaC"/>
          <w:b w:val="0"/>
          <w:szCs w:val="28"/>
          <w:lang w:eastAsia="en-US"/>
        </w:rPr>
        <w:t>52</w:t>
      </w:r>
      <w:r w:rsidRPr="001416ED">
        <w:rPr>
          <w:rFonts w:eastAsia="PragmaticaC"/>
          <w:b w:val="0"/>
          <w:szCs w:val="28"/>
          <w:lang w:eastAsia="en-US"/>
        </w:rPr>
        <w:t>]. Встановлено також, що плазмова концентрація пептиду не корелює з ехокардіографічними показниками стану систолічної функції ЛШ. Загалом</w:t>
      </w:r>
      <w:r w:rsidR="00711BD6" w:rsidRPr="001416ED">
        <w:rPr>
          <w:rFonts w:eastAsia="PragmaticaC"/>
          <w:b w:val="0"/>
          <w:szCs w:val="28"/>
          <w:lang w:eastAsia="en-US"/>
        </w:rPr>
        <w:t>,</w:t>
      </w:r>
      <w:r w:rsidRPr="001416ED">
        <w:rPr>
          <w:rFonts w:eastAsia="PragmaticaC"/>
          <w:b w:val="0"/>
          <w:szCs w:val="28"/>
          <w:lang w:eastAsia="en-US"/>
        </w:rPr>
        <w:t xml:space="preserve"> автори схильні розглядати СНП </w:t>
      </w:r>
      <w:r w:rsidR="00711BD6" w:rsidRPr="001416ED">
        <w:rPr>
          <w:rFonts w:eastAsia="PragmaticaC"/>
          <w:b w:val="0"/>
          <w:szCs w:val="28"/>
          <w:lang w:eastAsia="en-US"/>
        </w:rPr>
        <w:t>не тільки</w:t>
      </w:r>
      <w:r w:rsidRPr="001416ED">
        <w:rPr>
          <w:rFonts w:eastAsia="PragmaticaC"/>
          <w:b w:val="0"/>
          <w:szCs w:val="28"/>
          <w:lang w:eastAsia="en-US"/>
        </w:rPr>
        <w:t xml:space="preserve"> як маркер прогнозу</w:t>
      </w:r>
      <w:r w:rsidR="00711BD6" w:rsidRPr="001416ED">
        <w:rPr>
          <w:rFonts w:eastAsia="PragmaticaC"/>
          <w:b w:val="0"/>
          <w:szCs w:val="28"/>
          <w:lang w:eastAsia="en-US"/>
        </w:rPr>
        <w:t>, але й</w:t>
      </w:r>
      <w:r w:rsidR="00B0479B" w:rsidRPr="001416ED">
        <w:rPr>
          <w:rFonts w:eastAsia="PragmaticaC"/>
          <w:b w:val="0"/>
          <w:szCs w:val="28"/>
          <w:lang w:eastAsia="en-US"/>
        </w:rPr>
        <w:t xml:space="preserve"> </w:t>
      </w:r>
      <w:r w:rsidR="00046A18" w:rsidRPr="001416ED">
        <w:rPr>
          <w:rFonts w:eastAsia="PragmaticaC"/>
          <w:b w:val="0"/>
          <w:szCs w:val="28"/>
          <w:lang w:eastAsia="en-US"/>
        </w:rPr>
        <w:t>стадії</w:t>
      </w:r>
      <w:r w:rsidR="00B0479B" w:rsidRPr="001416ED">
        <w:rPr>
          <w:rFonts w:eastAsia="PragmaticaC"/>
          <w:b w:val="0"/>
          <w:szCs w:val="28"/>
          <w:lang w:eastAsia="en-US"/>
        </w:rPr>
        <w:t xml:space="preserve"> перебігу</w:t>
      </w:r>
      <w:r w:rsidR="00711BD6" w:rsidRPr="001416ED">
        <w:rPr>
          <w:rFonts w:eastAsia="PragmaticaC"/>
          <w:b w:val="0"/>
          <w:szCs w:val="28"/>
          <w:lang w:eastAsia="en-US"/>
        </w:rPr>
        <w:t xml:space="preserve"> ХСН</w:t>
      </w:r>
      <w:r w:rsidR="00B0479B" w:rsidRPr="001416ED">
        <w:rPr>
          <w:rFonts w:eastAsia="PragmaticaC"/>
          <w:b w:val="0"/>
          <w:szCs w:val="28"/>
          <w:lang w:eastAsia="en-US"/>
        </w:rPr>
        <w:t xml:space="preserve"> </w:t>
      </w:r>
      <w:r w:rsidRPr="001416ED">
        <w:rPr>
          <w:rFonts w:eastAsia="PragmaticaC"/>
          <w:b w:val="0"/>
          <w:szCs w:val="28"/>
          <w:lang w:eastAsia="en-US"/>
        </w:rPr>
        <w:t xml:space="preserve"> [1</w:t>
      </w:r>
      <w:r w:rsidR="00761623" w:rsidRPr="001416ED">
        <w:rPr>
          <w:rFonts w:eastAsia="PragmaticaC"/>
          <w:b w:val="0"/>
          <w:szCs w:val="28"/>
          <w:lang w:eastAsia="en-US"/>
        </w:rPr>
        <w:t>24</w:t>
      </w:r>
      <w:r w:rsidR="00711BD6" w:rsidRPr="001416ED">
        <w:rPr>
          <w:rFonts w:eastAsia="PragmaticaC"/>
          <w:b w:val="0"/>
          <w:szCs w:val="28"/>
          <w:lang w:eastAsia="en-US"/>
        </w:rPr>
        <w:t>,</w:t>
      </w:r>
      <w:r w:rsidR="0029727F" w:rsidRPr="001416ED">
        <w:rPr>
          <w:rFonts w:eastAsia="PragmaticaC"/>
          <w:b w:val="0"/>
          <w:szCs w:val="28"/>
          <w:lang w:eastAsia="en-US"/>
        </w:rPr>
        <w:t xml:space="preserve"> </w:t>
      </w:r>
      <w:r w:rsidR="00711BD6" w:rsidRPr="001416ED">
        <w:rPr>
          <w:rFonts w:eastAsia="PragmaticaC"/>
          <w:b w:val="0"/>
          <w:szCs w:val="28"/>
          <w:lang w:eastAsia="en-US"/>
        </w:rPr>
        <w:t>1</w:t>
      </w:r>
      <w:r w:rsidR="00761623" w:rsidRPr="001416ED">
        <w:rPr>
          <w:rFonts w:eastAsia="PragmaticaC"/>
          <w:b w:val="0"/>
          <w:szCs w:val="28"/>
          <w:lang w:eastAsia="en-US"/>
        </w:rPr>
        <w:t>27</w:t>
      </w:r>
      <w:r w:rsidRPr="001416ED">
        <w:rPr>
          <w:rFonts w:eastAsia="PragmaticaC"/>
          <w:b w:val="0"/>
          <w:szCs w:val="28"/>
          <w:lang w:eastAsia="en-US"/>
        </w:rPr>
        <w:t>]. Разом з тим, у низці робіт показано, що плазмова концентрація пептиду у хворих як з хронічною, так і з гострою серцевою недостатністю достовірно не відрізняється від такої у практично здорових осіб. Проте, спостерігається суттєве зростання екскреції СНП з сечею [</w:t>
      </w:r>
      <w:r w:rsidR="00895CFC" w:rsidRPr="001416ED">
        <w:rPr>
          <w:rFonts w:eastAsia="PragmaticaC"/>
          <w:b w:val="0"/>
          <w:szCs w:val="28"/>
          <w:lang w:eastAsia="en-US"/>
        </w:rPr>
        <w:t>1</w:t>
      </w:r>
      <w:r w:rsidR="00761623" w:rsidRPr="001416ED">
        <w:rPr>
          <w:rFonts w:eastAsia="PragmaticaC"/>
          <w:b w:val="0"/>
          <w:szCs w:val="28"/>
          <w:lang w:eastAsia="en-US"/>
        </w:rPr>
        <w:t>03</w:t>
      </w:r>
      <w:r w:rsidRPr="001416ED">
        <w:rPr>
          <w:rFonts w:eastAsia="PragmaticaC"/>
          <w:b w:val="0"/>
          <w:szCs w:val="28"/>
          <w:lang w:eastAsia="en-US"/>
        </w:rPr>
        <w:t xml:space="preserve">]. Автори пояснюють такий феномен швидким розпадом пептиду та неможливістю, у зв’язку з цим, встановити істинний його рівень у крові хворих. </w:t>
      </w:r>
    </w:p>
    <w:p w:rsidR="00E80D05" w:rsidRPr="001416ED" w:rsidRDefault="00E80D05" w:rsidP="00E80D05">
      <w:pPr>
        <w:pStyle w:val="a5"/>
        <w:ind w:left="0" w:right="0" w:firstLine="709"/>
        <w:jc w:val="both"/>
        <w:rPr>
          <w:b w:val="0"/>
          <w:spacing w:val="-4"/>
          <w:szCs w:val="28"/>
        </w:rPr>
      </w:pPr>
      <w:r w:rsidRPr="001416ED">
        <w:rPr>
          <w:rFonts w:eastAsia="PragmaticaC"/>
          <w:b w:val="0"/>
          <w:szCs w:val="28"/>
          <w:lang w:eastAsia="en-US"/>
        </w:rPr>
        <w:t xml:space="preserve">У ряді робіт підтверджено зростання рівня СНП у плазмі крові хворих з </w:t>
      </w:r>
      <w:r w:rsidRPr="001416ED">
        <w:rPr>
          <w:rFonts w:eastAsia="PragmaticaC"/>
          <w:b w:val="0"/>
          <w:lang w:eastAsia="en-US"/>
        </w:rPr>
        <w:t>АГ. Так, у роботі</w:t>
      </w:r>
      <w:r w:rsidRPr="001416ED">
        <w:rPr>
          <w:rFonts w:eastAsia="PragmaticaC"/>
          <w:lang w:eastAsia="en-US"/>
        </w:rPr>
        <w:t xml:space="preserve"> </w:t>
      </w:r>
      <w:r w:rsidR="0029727F" w:rsidRPr="001416ED">
        <w:rPr>
          <w:rFonts w:eastAsia="PragmaticaC"/>
          <w:b w:val="0"/>
          <w:lang w:eastAsia="en-US"/>
        </w:rPr>
        <w:t xml:space="preserve">Н. В. </w:t>
      </w:r>
      <w:r w:rsidRPr="001416ED">
        <w:rPr>
          <w:rFonts w:eastAsia="PragmaticaC"/>
          <w:b w:val="0"/>
          <w:lang w:eastAsia="en-US"/>
        </w:rPr>
        <w:t>Поліводи  серед запоріжських</w:t>
      </w:r>
      <w:r w:rsidRPr="001416ED">
        <w:rPr>
          <w:rFonts w:eastAsia="PragmaticaC"/>
          <w:lang w:eastAsia="en-US"/>
        </w:rPr>
        <w:t xml:space="preserve"> </w:t>
      </w:r>
      <w:r w:rsidRPr="001416ED">
        <w:rPr>
          <w:b w:val="0"/>
          <w:spacing w:val="-4"/>
          <w:szCs w:val="28"/>
        </w:rPr>
        <w:t>пацієнтів з ГХ спостерігають істотне порушення метаболізму НУП, що характеризується підвищенням продукції натрійуретичного пептиду типу С, що проявляється вираженим збільшенням вмісту СНП в плазмі крові та є значимим чинником розвитку гіпертрофії артеріальної стінки в артеріях м'язового типу [</w:t>
      </w:r>
      <w:r w:rsidR="00761623" w:rsidRPr="001416ED">
        <w:rPr>
          <w:b w:val="0"/>
          <w:spacing w:val="-4"/>
          <w:szCs w:val="28"/>
        </w:rPr>
        <w:t>66</w:t>
      </w:r>
      <w:r w:rsidRPr="001416ED">
        <w:rPr>
          <w:b w:val="0"/>
          <w:spacing w:val="-4"/>
          <w:szCs w:val="28"/>
        </w:rPr>
        <w:t>].</w:t>
      </w:r>
    </w:p>
    <w:p w:rsidR="00E80D05" w:rsidRPr="001416ED" w:rsidRDefault="00E80D05" w:rsidP="00E80D05">
      <w:pPr>
        <w:pStyle w:val="a5"/>
        <w:ind w:left="0" w:right="0" w:firstLine="709"/>
        <w:jc w:val="both"/>
        <w:rPr>
          <w:b w:val="0"/>
          <w:szCs w:val="28"/>
        </w:rPr>
      </w:pPr>
      <w:r w:rsidRPr="001416ED">
        <w:rPr>
          <w:b w:val="0"/>
          <w:szCs w:val="28"/>
        </w:rPr>
        <w:lastRenderedPageBreak/>
        <w:t xml:space="preserve">Подібні результати були підтверджені і у донеччан хворих на ГХ, де також отримані кількісні порушення обміну НУП, які проявляються збільшенням вмісту в плазмі крові СНП </w:t>
      </w:r>
      <w:r w:rsidR="00BC0119" w:rsidRPr="001416ED">
        <w:rPr>
          <w:b w:val="0"/>
          <w:szCs w:val="28"/>
        </w:rPr>
        <w:t>–</w:t>
      </w:r>
      <w:r w:rsidRPr="001416ED">
        <w:rPr>
          <w:b w:val="0"/>
          <w:szCs w:val="28"/>
        </w:rPr>
        <w:t xml:space="preserve"> на 75,66</w:t>
      </w:r>
      <w:r w:rsidR="00D4219F" w:rsidRPr="001416ED">
        <w:rPr>
          <w:b w:val="0"/>
          <w:szCs w:val="28"/>
        </w:rPr>
        <w:t xml:space="preserve"> %</w:t>
      </w:r>
      <w:r w:rsidRPr="001416ED">
        <w:rPr>
          <w:b w:val="0"/>
          <w:szCs w:val="28"/>
        </w:rPr>
        <w:t>. Згідно дослідження, суттєву роль у патологічних змінах структурно</w:t>
      </w:r>
      <w:r w:rsidR="00BC0119" w:rsidRPr="001416ED">
        <w:rPr>
          <w:b w:val="0"/>
          <w:szCs w:val="28"/>
        </w:rPr>
        <w:t>–</w:t>
      </w:r>
      <w:r w:rsidRPr="001416ED">
        <w:rPr>
          <w:b w:val="0"/>
          <w:szCs w:val="28"/>
        </w:rPr>
        <w:t xml:space="preserve">функціонального стану артеріальних та венозних судин при ГХ, за даними кореляційного та регресійного аналізів, відіграє порушення метаболізму натрійуретичного пептиду типу С. Антигіпертензивна терапія еналаприлом у хворих на ГХ супроводжується не тільки суттєвим зменшенням гіпертрофії міокарда ЛШ, гіпертрофії артеріальних судин та зворотним розвитком ендотеліальної дисфункції і порушень венозної гемодинаміки, але й істотним зменшенням продукування СНП </w:t>
      </w:r>
      <w:r w:rsidR="00BC0119" w:rsidRPr="001416ED">
        <w:rPr>
          <w:b w:val="0"/>
          <w:szCs w:val="28"/>
        </w:rPr>
        <w:t>–</w:t>
      </w:r>
      <w:r w:rsidRPr="001416ED">
        <w:rPr>
          <w:b w:val="0"/>
          <w:szCs w:val="28"/>
        </w:rPr>
        <w:t xml:space="preserve"> на 34,75</w:t>
      </w:r>
      <w:r w:rsidR="00D4219F" w:rsidRPr="001416ED">
        <w:rPr>
          <w:b w:val="0"/>
          <w:szCs w:val="28"/>
        </w:rPr>
        <w:t xml:space="preserve"> %</w:t>
      </w:r>
      <w:r w:rsidRPr="001416ED">
        <w:rPr>
          <w:b w:val="0"/>
          <w:szCs w:val="28"/>
        </w:rPr>
        <w:t xml:space="preserve"> [1</w:t>
      </w:r>
      <w:r w:rsidR="00A51616" w:rsidRPr="001416ED">
        <w:rPr>
          <w:b w:val="0"/>
          <w:szCs w:val="28"/>
        </w:rPr>
        <w:t>1</w:t>
      </w:r>
      <w:r w:rsidRPr="001416ED">
        <w:rPr>
          <w:b w:val="0"/>
          <w:szCs w:val="28"/>
        </w:rPr>
        <w:t>].</w:t>
      </w:r>
    </w:p>
    <w:p w:rsidR="00E80D05" w:rsidRPr="001416ED" w:rsidRDefault="00E80D05" w:rsidP="00E80D05">
      <w:pPr>
        <w:spacing w:line="360" w:lineRule="auto"/>
        <w:ind w:firstLine="708"/>
        <w:jc w:val="both"/>
        <w:rPr>
          <w:rStyle w:val="11"/>
          <w:rFonts w:ascii="Times New Roman" w:hAnsi="Times New Roman" w:cs="Times New Roman"/>
          <w:color w:val="auto"/>
          <w:sz w:val="28"/>
          <w:szCs w:val="28"/>
        </w:rPr>
      </w:pPr>
      <w:r w:rsidRPr="001416ED">
        <w:rPr>
          <w:lang w:val="uk-UA"/>
        </w:rPr>
        <w:t>На території Вінницької області визначались рівні СНП у плазмі крові чоловіків з ГХ І, ІІ стаді</w:t>
      </w:r>
      <w:r w:rsidR="007C1F0F" w:rsidRPr="001416ED">
        <w:rPr>
          <w:lang w:val="uk-UA"/>
        </w:rPr>
        <w:t>ї</w:t>
      </w:r>
      <w:r w:rsidRPr="001416ED">
        <w:rPr>
          <w:lang w:val="uk-UA"/>
        </w:rPr>
        <w:t xml:space="preserve"> та у жінок з ГХ І, ІІ та ІІІ стаді</w:t>
      </w:r>
      <w:r w:rsidR="007C1F0F" w:rsidRPr="001416ED">
        <w:rPr>
          <w:lang w:val="uk-UA"/>
        </w:rPr>
        <w:t>ї</w:t>
      </w:r>
      <w:r w:rsidRPr="001416ED">
        <w:rPr>
          <w:lang w:val="uk-UA"/>
        </w:rPr>
        <w:t xml:space="preserve"> (які перенесли МІ або ІМ). </w:t>
      </w:r>
      <w:r w:rsidRPr="001416ED">
        <w:t>Визначено,</w:t>
      </w:r>
      <w:r w:rsidR="00F742F2" w:rsidRPr="001416ED">
        <w:rPr>
          <w:lang w:val="uk-UA"/>
        </w:rPr>
        <w:t xml:space="preserve"> що</w:t>
      </w:r>
      <w:r w:rsidRPr="001416ED">
        <w:t xml:space="preserve"> у пацієнтів з ГХ обох статей плазмовий </w:t>
      </w:r>
      <w:proofErr w:type="gramStart"/>
      <w:r w:rsidRPr="001416ED">
        <w:t>р</w:t>
      </w:r>
      <w:proofErr w:type="gramEnd"/>
      <w:r w:rsidRPr="001416ED">
        <w:t>івень СНП достовірно вище ніж у практично здорових осіб відповідно</w:t>
      </w:r>
      <w:r w:rsidR="00F742F2" w:rsidRPr="001416ED">
        <w:rPr>
          <w:lang w:val="uk-UA"/>
        </w:rPr>
        <w:t>ї</w:t>
      </w:r>
      <w:r w:rsidRPr="001416ED">
        <w:t xml:space="preserve"> статі (р&lt;0,05). Встановлено, що у чоловіків </w:t>
      </w:r>
      <w:proofErr w:type="gramStart"/>
      <w:r w:rsidRPr="001416ED">
        <w:t>р</w:t>
      </w:r>
      <w:proofErr w:type="gramEnd"/>
      <w:r w:rsidRPr="001416ED">
        <w:t>івень СНП дост</w:t>
      </w:r>
      <w:r w:rsidR="007C1F0F" w:rsidRPr="001416ED">
        <w:t>овірно найвищий при ГХ ІІ ст</w:t>
      </w:r>
      <w:r w:rsidR="007C1F0F" w:rsidRPr="001416ED">
        <w:rPr>
          <w:lang w:val="uk-UA"/>
        </w:rPr>
        <w:t>.</w:t>
      </w:r>
      <w:r w:rsidR="007C1F0F" w:rsidRPr="001416ED">
        <w:t>, а у жінок при ГХ ІІІ ст</w:t>
      </w:r>
      <w:r w:rsidR="007C1F0F" w:rsidRPr="001416ED">
        <w:rPr>
          <w:lang w:val="uk-UA"/>
        </w:rPr>
        <w:t>.</w:t>
      </w:r>
      <w:r w:rsidRPr="001416ED">
        <w:t>, що може свідчити про більш глибокі морфо</w:t>
      </w:r>
      <w:r w:rsidR="00BC0119" w:rsidRPr="001416ED">
        <w:t>–</w:t>
      </w:r>
      <w:r w:rsidRPr="001416ED">
        <w:t xml:space="preserve">функціональні зміни ендотелію судин при важчому перебігу ЕГ. </w:t>
      </w:r>
      <w:r w:rsidRPr="001416ED">
        <w:rPr>
          <w:rStyle w:val="11"/>
          <w:rFonts w:ascii="Times New Roman" w:hAnsi="Times New Roman" w:cs="Times New Roman"/>
          <w:color w:val="auto"/>
          <w:sz w:val="28"/>
          <w:szCs w:val="28"/>
        </w:rPr>
        <w:t xml:space="preserve">При визначенні </w:t>
      </w:r>
      <w:r w:rsidRPr="001416ED">
        <w:rPr>
          <w:lang w:val="uk-UA"/>
        </w:rPr>
        <w:t>плазмових рівнів СНП у пацієнток постменопаузного віку, які хворіють на ГХ І, ІІ та ІІІ стадій (</w:t>
      </w:r>
      <w:r w:rsidR="007C1F0F" w:rsidRPr="001416ED">
        <w:rPr>
          <w:lang w:val="uk-UA"/>
        </w:rPr>
        <w:t xml:space="preserve">що </w:t>
      </w:r>
      <w:r w:rsidRPr="001416ED">
        <w:rPr>
          <w:lang w:val="uk-UA"/>
        </w:rPr>
        <w:t>ускладнен</w:t>
      </w:r>
      <w:r w:rsidR="007C1F0F" w:rsidRPr="001416ED">
        <w:rPr>
          <w:lang w:val="uk-UA"/>
        </w:rPr>
        <w:t>а</w:t>
      </w:r>
      <w:r w:rsidRPr="001416ED">
        <w:rPr>
          <w:lang w:val="uk-UA"/>
        </w:rPr>
        <w:t xml:space="preserve"> ХСН </w:t>
      </w:r>
      <w:r w:rsidR="004A4E68" w:rsidRPr="001416ED">
        <w:rPr>
          <w:lang w:val="uk-UA"/>
        </w:rPr>
        <w:t>ІІ А</w:t>
      </w:r>
      <w:r w:rsidRPr="001416ED">
        <w:rPr>
          <w:lang w:val="uk-UA"/>
        </w:rPr>
        <w:t xml:space="preserve"> </w:t>
      </w:r>
      <w:r w:rsidR="007C1F0F" w:rsidRPr="001416ED">
        <w:rPr>
          <w:lang w:val="uk-UA"/>
        </w:rPr>
        <w:t>ст.</w:t>
      </w:r>
      <w:r w:rsidRPr="001416ED">
        <w:rPr>
          <w:lang w:val="uk-UA"/>
        </w:rPr>
        <w:t>), встановлено достовірно найвищу концентрацію вищевказаного пептиду у пацієнтів з ГХ та ХСН ІІ А стадії зі зниженою ФВ ЛШ [</w:t>
      </w:r>
      <w:r w:rsidR="00F7437E" w:rsidRPr="001416ED">
        <w:rPr>
          <w:lang w:val="uk-UA"/>
        </w:rPr>
        <w:t>7</w:t>
      </w:r>
      <w:r w:rsidR="00A51616" w:rsidRPr="001416ED">
        <w:rPr>
          <w:lang w:val="uk-UA"/>
        </w:rPr>
        <w:t>3</w:t>
      </w:r>
      <w:r w:rsidRPr="001416ED">
        <w:rPr>
          <w:lang w:val="uk-UA"/>
        </w:rPr>
        <w:t>]. Окрім того, жінки</w:t>
      </w:r>
      <w:r w:rsidR="00BC0119" w:rsidRPr="001416ED">
        <w:rPr>
          <w:lang w:val="uk-UA"/>
        </w:rPr>
        <w:t>–</w:t>
      </w:r>
      <w:r w:rsidRPr="001416ED">
        <w:rPr>
          <w:lang w:val="uk-UA"/>
        </w:rPr>
        <w:t>носії генотипів АС та СС гена АТ1</w:t>
      </w:r>
      <w:r w:rsidR="00BC0119" w:rsidRPr="001416ED">
        <w:rPr>
          <w:lang w:val="uk-UA"/>
        </w:rPr>
        <w:t>–</w:t>
      </w:r>
      <w:r w:rsidRPr="001416ED">
        <w:rPr>
          <w:lang w:val="en-US"/>
        </w:rPr>
        <w:t>R</w:t>
      </w:r>
      <w:r w:rsidRPr="001416ED">
        <w:rPr>
          <w:lang w:val="uk-UA"/>
        </w:rPr>
        <w:t xml:space="preserve"> мають вірогідно більший рівень СНП в порівнянні з гомозиготами по алелі А [1</w:t>
      </w:r>
      <w:r w:rsidR="00A51616" w:rsidRPr="001416ED">
        <w:rPr>
          <w:lang w:val="uk-UA"/>
        </w:rPr>
        <w:t>4</w:t>
      </w:r>
      <w:r w:rsidRPr="001416ED">
        <w:rPr>
          <w:lang w:val="uk-UA"/>
        </w:rPr>
        <w:t>,</w:t>
      </w:r>
      <w:r w:rsidR="007C1F0F" w:rsidRPr="001416ED">
        <w:rPr>
          <w:lang w:val="uk-UA"/>
        </w:rPr>
        <w:t xml:space="preserve"> </w:t>
      </w:r>
      <w:r w:rsidR="00A51616" w:rsidRPr="001416ED">
        <w:rPr>
          <w:lang w:val="uk-UA"/>
        </w:rPr>
        <w:t>79</w:t>
      </w:r>
      <w:r w:rsidR="00E545C5" w:rsidRPr="001416ED">
        <w:rPr>
          <w:lang w:val="uk-UA"/>
        </w:rPr>
        <w:t>,</w:t>
      </w:r>
      <w:r w:rsidR="007C1F0F" w:rsidRPr="001416ED">
        <w:rPr>
          <w:lang w:val="uk-UA"/>
        </w:rPr>
        <w:t xml:space="preserve"> </w:t>
      </w:r>
      <w:r w:rsidR="00A51616" w:rsidRPr="001416ED">
        <w:rPr>
          <w:lang w:val="uk-UA"/>
        </w:rPr>
        <w:t>85</w:t>
      </w:r>
      <w:r w:rsidRPr="001416ED">
        <w:rPr>
          <w:lang w:val="uk-UA"/>
        </w:rPr>
        <w:t>].</w:t>
      </w:r>
      <w:r w:rsidR="007C1F0F" w:rsidRPr="001416ED">
        <w:rPr>
          <w:lang w:val="uk-UA"/>
        </w:rPr>
        <w:t xml:space="preserve"> </w:t>
      </w:r>
      <w:r w:rsidRPr="001416ED">
        <w:rPr>
          <w:lang w:val="uk-UA"/>
        </w:rPr>
        <w:t>В</w:t>
      </w:r>
      <w:r w:rsidRPr="001416ED">
        <w:rPr>
          <w:rStyle w:val="11"/>
          <w:rFonts w:ascii="Times New Roman" w:hAnsi="Times New Roman" w:cs="Times New Roman"/>
          <w:color w:val="auto"/>
          <w:sz w:val="28"/>
          <w:szCs w:val="28"/>
        </w:rPr>
        <w:t>становлено, що при будь</w:t>
      </w:r>
      <w:r w:rsidR="00BC0119" w:rsidRPr="001416ED">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якому варіанті перебі</w:t>
      </w:r>
      <w:r w:rsidRPr="001416ED">
        <w:rPr>
          <w:rStyle w:val="11"/>
          <w:rFonts w:ascii="Times New Roman" w:hAnsi="Times New Roman" w:cs="Times New Roman"/>
          <w:color w:val="auto"/>
          <w:sz w:val="28"/>
          <w:szCs w:val="28"/>
        </w:rPr>
        <w:softHyphen/>
        <w:t>гу ГХ (ГХ</w:t>
      </w:r>
      <w:r w:rsidR="007C1F0F" w:rsidRPr="001416ED">
        <w:rPr>
          <w:rStyle w:val="11"/>
          <w:rFonts w:ascii="Times New Roman" w:hAnsi="Times New Roman" w:cs="Times New Roman"/>
          <w:color w:val="auto"/>
          <w:sz w:val="28"/>
          <w:szCs w:val="28"/>
        </w:rPr>
        <w:t xml:space="preserve"> ІІ ст.</w:t>
      </w:r>
      <w:r w:rsidRPr="001416ED">
        <w:rPr>
          <w:rStyle w:val="11"/>
          <w:rFonts w:ascii="Times New Roman" w:hAnsi="Times New Roman" w:cs="Times New Roman"/>
          <w:color w:val="auto"/>
          <w:sz w:val="28"/>
          <w:szCs w:val="28"/>
        </w:rPr>
        <w:t xml:space="preserve"> та </w:t>
      </w:r>
      <w:r w:rsidR="007C1F0F" w:rsidRPr="001416ED">
        <w:rPr>
          <w:rStyle w:val="11"/>
          <w:rFonts w:ascii="Times New Roman" w:hAnsi="Times New Roman" w:cs="Times New Roman"/>
          <w:color w:val="auto"/>
          <w:sz w:val="28"/>
          <w:szCs w:val="28"/>
        </w:rPr>
        <w:t xml:space="preserve">ГХ, що </w:t>
      </w:r>
      <w:r w:rsidRPr="001416ED">
        <w:rPr>
          <w:rStyle w:val="11"/>
          <w:rFonts w:ascii="Times New Roman" w:hAnsi="Times New Roman" w:cs="Times New Roman"/>
          <w:color w:val="auto"/>
          <w:sz w:val="28"/>
          <w:szCs w:val="28"/>
        </w:rPr>
        <w:t xml:space="preserve">ускладнена </w:t>
      </w:r>
      <w:r w:rsidR="007C1F0F" w:rsidRPr="001416ED">
        <w:rPr>
          <w:rStyle w:val="11"/>
          <w:rFonts w:ascii="Times New Roman" w:hAnsi="Times New Roman" w:cs="Times New Roman"/>
          <w:color w:val="auto"/>
          <w:sz w:val="28"/>
          <w:szCs w:val="28"/>
        </w:rPr>
        <w:t>МІ</w:t>
      </w:r>
      <w:r w:rsidRPr="001416ED">
        <w:rPr>
          <w:rStyle w:val="11"/>
          <w:rFonts w:ascii="Times New Roman" w:hAnsi="Times New Roman" w:cs="Times New Roman"/>
          <w:color w:val="auto"/>
          <w:sz w:val="28"/>
          <w:szCs w:val="28"/>
        </w:rPr>
        <w:t>) величина коефіцієнту СНП/ЕТ</w:t>
      </w:r>
      <w:r w:rsidR="00BC0119" w:rsidRPr="001416ED">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1 була меншою, ніж у контрольній групі, що може відображати наявність дисбалансу в концентраціях вазодилятатора СНП та вазоконстриктора ЕТ</w:t>
      </w:r>
      <w:r w:rsidR="00BC0119" w:rsidRPr="001416ED">
        <w:rPr>
          <w:rStyle w:val="11"/>
          <w:rFonts w:ascii="Times New Roman" w:hAnsi="Times New Roman" w:cs="Times New Roman"/>
          <w:color w:val="auto"/>
          <w:sz w:val="28"/>
          <w:szCs w:val="28"/>
        </w:rPr>
        <w:t>–</w:t>
      </w:r>
      <w:r w:rsidRPr="001416ED">
        <w:rPr>
          <w:rStyle w:val="11"/>
          <w:rFonts w:ascii="Times New Roman" w:hAnsi="Times New Roman" w:cs="Times New Roman"/>
          <w:color w:val="auto"/>
          <w:sz w:val="28"/>
          <w:szCs w:val="28"/>
        </w:rPr>
        <w:t>1 [</w:t>
      </w:r>
      <w:r w:rsidR="00F7437E" w:rsidRPr="001416ED">
        <w:rPr>
          <w:rStyle w:val="11"/>
          <w:rFonts w:ascii="Times New Roman" w:hAnsi="Times New Roman" w:cs="Times New Roman"/>
          <w:color w:val="auto"/>
          <w:sz w:val="28"/>
          <w:szCs w:val="28"/>
        </w:rPr>
        <w:t>1</w:t>
      </w:r>
      <w:r w:rsidR="00A51616" w:rsidRPr="001416ED">
        <w:rPr>
          <w:rStyle w:val="11"/>
          <w:rFonts w:ascii="Times New Roman" w:hAnsi="Times New Roman" w:cs="Times New Roman"/>
          <w:color w:val="auto"/>
          <w:sz w:val="28"/>
          <w:szCs w:val="28"/>
        </w:rPr>
        <w:t>4</w:t>
      </w:r>
      <w:r w:rsidR="00F7437E" w:rsidRPr="001416ED">
        <w:rPr>
          <w:rStyle w:val="11"/>
          <w:rFonts w:ascii="Times New Roman" w:hAnsi="Times New Roman" w:cs="Times New Roman"/>
          <w:color w:val="auto"/>
          <w:sz w:val="28"/>
          <w:szCs w:val="28"/>
        </w:rPr>
        <w:t>,</w:t>
      </w:r>
      <w:r w:rsidR="007C1F0F" w:rsidRPr="001416ED">
        <w:rPr>
          <w:rStyle w:val="11"/>
          <w:rFonts w:ascii="Times New Roman" w:hAnsi="Times New Roman" w:cs="Times New Roman"/>
          <w:color w:val="auto"/>
          <w:sz w:val="28"/>
          <w:szCs w:val="28"/>
        </w:rPr>
        <w:t xml:space="preserve"> </w:t>
      </w:r>
      <w:r w:rsidR="00A51616" w:rsidRPr="001416ED">
        <w:rPr>
          <w:rStyle w:val="11"/>
          <w:rFonts w:ascii="Times New Roman" w:hAnsi="Times New Roman" w:cs="Times New Roman"/>
          <w:color w:val="auto"/>
          <w:sz w:val="28"/>
          <w:szCs w:val="28"/>
        </w:rPr>
        <w:t>85</w:t>
      </w:r>
      <w:r w:rsidRPr="001416ED">
        <w:rPr>
          <w:rStyle w:val="11"/>
          <w:rFonts w:ascii="Times New Roman" w:hAnsi="Times New Roman" w:cs="Times New Roman"/>
          <w:color w:val="auto"/>
          <w:sz w:val="28"/>
          <w:szCs w:val="28"/>
        </w:rPr>
        <w:t xml:space="preserve">]. </w:t>
      </w:r>
    </w:p>
    <w:p w:rsidR="00E80D05" w:rsidRPr="001416ED" w:rsidRDefault="00E80D05" w:rsidP="00E80D05">
      <w:pPr>
        <w:spacing w:line="360" w:lineRule="auto"/>
        <w:ind w:firstLine="708"/>
        <w:jc w:val="both"/>
        <w:rPr>
          <w:lang w:val="uk-UA"/>
        </w:rPr>
      </w:pPr>
      <w:r w:rsidRPr="001416ED">
        <w:rPr>
          <w:rStyle w:val="11"/>
          <w:rFonts w:ascii="Times New Roman" w:hAnsi="Times New Roman" w:cs="Times New Roman"/>
          <w:color w:val="auto"/>
          <w:sz w:val="28"/>
          <w:szCs w:val="28"/>
        </w:rPr>
        <w:t>У деяких наукових роботах показано, що рівень СНП при стабільному перебігу ХСН залишається в межах норми, що може пояснюватись короткоживучістю СНП [</w:t>
      </w:r>
      <w:r w:rsidR="00895CFC" w:rsidRPr="001416ED">
        <w:rPr>
          <w:rStyle w:val="11"/>
          <w:rFonts w:ascii="Times New Roman" w:hAnsi="Times New Roman" w:cs="Times New Roman"/>
          <w:color w:val="auto"/>
          <w:sz w:val="28"/>
          <w:szCs w:val="28"/>
        </w:rPr>
        <w:t>1</w:t>
      </w:r>
      <w:r w:rsidR="00A51616" w:rsidRPr="001416ED">
        <w:rPr>
          <w:rStyle w:val="11"/>
          <w:rFonts w:ascii="Times New Roman" w:hAnsi="Times New Roman" w:cs="Times New Roman"/>
          <w:color w:val="auto"/>
          <w:sz w:val="28"/>
          <w:szCs w:val="28"/>
        </w:rPr>
        <w:t>17</w:t>
      </w:r>
      <w:r w:rsidR="00895CFC" w:rsidRPr="001416ED">
        <w:rPr>
          <w:rStyle w:val="11"/>
          <w:rFonts w:ascii="Times New Roman" w:hAnsi="Times New Roman" w:cs="Times New Roman"/>
          <w:color w:val="auto"/>
          <w:sz w:val="28"/>
          <w:szCs w:val="28"/>
        </w:rPr>
        <w:t>,</w:t>
      </w:r>
      <w:r w:rsidR="007C1F0F" w:rsidRPr="001416ED">
        <w:rPr>
          <w:rStyle w:val="11"/>
          <w:rFonts w:ascii="Times New Roman" w:hAnsi="Times New Roman" w:cs="Times New Roman"/>
          <w:color w:val="auto"/>
          <w:sz w:val="28"/>
          <w:szCs w:val="28"/>
        </w:rPr>
        <w:t xml:space="preserve"> </w:t>
      </w:r>
      <w:r w:rsidR="00A51616" w:rsidRPr="001416ED">
        <w:rPr>
          <w:rStyle w:val="11"/>
          <w:rFonts w:ascii="Times New Roman" w:hAnsi="Times New Roman" w:cs="Times New Roman"/>
          <w:color w:val="auto"/>
          <w:sz w:val="28"/>
          <w:szCs w:val="28"/>
        </w:rPr>
        <w:t>195</w:t>
      </w:r>
      <w:r w:rsidRPr="001416ED">
        <w:rPr>
          <w:rStyle w:val="11"/>
          <w:rFonts w:ascii="Times New Roman" w:hAnsi="Times New Roman" w:cs="Times New Roman"/>
          <w:color w:val="auto"/>
          <w:sz w:val="28"/>
          <w:szCs w:val="28"/>
        </w:rPr>
        <w:t>].</w:t>
      </w:r>
      <w:r w:rsidRPr="001416ED">
        <w:rPr>
          <w:lang w:val="uk-UA"/>
        </w:rPr>
        <w:t xml:space="preserve"> У 1992 році </w:t>
      </w:r>
      <w:r w:rsidR="002A5E17" w:rsidRPr="001416ED">
        <w:t>T</w:t>
      </w:r>
      <w:r w:rsidR="002A5E17" w:rsidRPr="001416ED">
        <w:rPr>
          <w:lang w:val="uk-UA"/>
        </w:rPr>
        <w:t xml:space="preserve">. </w:t>
      </w:r>
      <w:r w:rsidRPr="001416ED">
        <w:t>Takahashi</w:t>
      </w:r>
      <w:r w:rsidRPr="001416ED">
        <w:rPr>
          <w:lang w:val="uk-UA"/>
        </w:rPr>
        <w:t xml:space="preserve"> </w:t>
      </w:r>
      <w:r w:rsidR="0070325E" w:rsidRPr="001416ED">
        <w:rPr>
          <w:lang w:val="uk-UA"/>
        </w:rPr>
        <w:t xml:space="preserve">та співавт. </w:t>
      </w:r>
      <w:r w:rsidRPr="001416ED">
        <w:rPr>
          <w:lang w:val="uk-UA"/>
        </w:rPr>
        <w:t xml:space="preserve">намагалися ідентифікувати СНП </w:t>
      </w:r>
      <w:proofErr w:type="gramStart"/>
      <w:r w:rsidRPr="001416ED">
        <w:rPr>
          <w:lang w:val="uk-UA"/>
        </w:rPr>
        <w:t>в</w:t>
      </w:r>
      <w:proofErr w:type="gramEnd"/>
      <w:r w:rsidRPr="001416ED">
        <w:rPr>
          <w:lang w:val="uk-UA"/>
        </w:rPr>
        <w:t xml:space="preserve"> тканині міокарда, але спроба була невдалою </w:t>
      </w:r>
      <w:r w:rsidRPr="001416ED">
        <w:rPr>
          <w:rStyle w:val="11"/>
          <w:rFonts w:ascii="Times New Roman" w:hAnsi="Times New Roman" w:cs="Times New Roman"/>
          <w:color w:val="auto"/>
          <w:sz w:val="28"/>
          <w:szCs w:val="28"/>
        </w:rPr>
        <w:lastRenderedPageBreak/>
        <w:t>[1</w:t>
      </w:r>
      <w:r w:rsidR="00A51616" w:rsidRPr="001416ED">
        <w:rPr>
          <w:rStyle w:val="11"/>
          <w:rFonts w:ascii="Times New Roman" w:hAnsi="Times New Roman" w:cs="Times New Roman"/>
          <w:color w:val="auto"/>
          <w:sz w:val="28"/>
          <w:szCs w:val="28"/>
        </w:rPr>
        <w:t>84</w:t>
      </w:r>
      <w:r w:rsidRPr="001416ED">
        <w:rPr>
          <w:rStyle w:val="11"/>
          <w:rFonts w:ascii="Times New Roman" w:hAnsi="Times New Roman" w:cs="Times New Roman"/>
          <w:color w:val="auto"/>
          <w:sz w:val="28"/>
          <w:szCs w:val="28"/>
        </w:rPr>
        <w:t>].</w:t>
      </w:r>
      <w:r w:rsidRPr="001416ED">
        <w:rPr>
          <w:lang w:val="uk-UA"/>
        </w:rPr>
        <w:t xml:space="preserve"> Цікавість до цієї теорії з’явилась у </w:t>
      </w:r>
      <w:r w:rsidR="002A5E17" w:rsidRPr="001416ED">
        <w:t>D</w:t>
      </w:r>
      <w:r w:rsidR="002A5E17" w:rsidRPr="001416ED">
        <w:rPr>
          <w:lang w:val="uk-UA"/>
        </w:rPr>
        <w:t>.</w:t>
      </w:r>
      <w:r w:rsidR="00AF3BA5" w:rsidRPr="001416ED">
        <w:rPr>
          <w:lang w:val="uk-UA"/>
        </w:rPr>
        <w:t xml:space="preserve"> </w:t>
      </w:r>
      <w:r w:rsidR="002A5E17" w:rsidRPr="001416ED">
        <w:t>J</w:t>
      </w:r>
      <w:r w:rsidR="002A5E17" w:rsidRPr="001416ED">
        <w:rPr>
          <w:lang w:val="uk-UA"/>
        </w:rPr>
        <w:t>.</w:t>
      </w:r>
      <w:r w:rsidR="00AF3BA5" w:rsidRPr="001416ED">
        <w:rPr>
          <w:lang w:val="uk-UA"/>
        </w:rPr>
        <w:t xml:space="preserve"> </w:t>
      </w:r>
      <w:r w:rsidR="002A5E17" w:rsidRPr="001416ED">
        <w:t>R</w:t>
      </w:r>
      <w:r w:rsidR="002A5E17" w:rsidRPr="001416ED">
        <w:rPr>
          <w:lang w:val="uk-UA"/>
        </w:rPr>
        <w:t>.</w:t>
      </w:r>
      <w:r w:rsidR="002A5E17" w:rsidRPr="001416ED">
        <w:t xml:space="preserve"> </w:t>
      </w:r>
      <w:r w:rsidRPr="001416ED">
        <w:t>Nunez</w:t>
      </w:r>
      <w:r w:rsidRPr="001416ED">
        <w:rPr>
          <w:lang w:val="uk-UA"/>
        </w:rPr>
        <w:t>, у цьому ж 1992 році, коли в міокарді були знайдені НУП рецептори типу</w:t>
      </w:r>
      <w:proofErr w:type="gramStart"/>
      <w:r w:rsidRPr="001416ED">
        <w:rPr>
          <w:lang w:val="uk-UA"/>
        </w:rPr>
        <w:t xml:space="preserve"> В</w:t>
      </w:r>
      <w:proofErr w:type="gramEnd"/>
      <w:r w:rsidRPr="001416ED">
        <w:rPr>
          <w:lang w:val="uk-UA"/>
        </w:rPr>
        <w:t xml:space="preserve">, що дало змогу запідозрити, що СНП приймає участь у роботі серця як ПНП і МНП </w:t>
      </w:r>
      <w:r w:rsidRPr="001416ED">
        <w:rPr>
          <w:rStyle w:val="11"/>
          <w:rFonts w:ascii="Times New Roman" w:hAnsi="Times New Roman" w:cs="Times New Roman"/>
          <w:color w:val="auto"/>
          <w:sz w:val="28"/>
          <w:szCs w:val="28"/>
        </w:rPr>
        <w:t>[1</w:t>
      </w:r>
      <w:r w:rsidR="00053D84" w:rsidRPr="001416ED">
        <w:rPr>
          <w:rStyle w:val="11"/>
          <w:rFonts w:ascii="Times New Roman" w:hAnsi="Times New Roman" w:cs="Times New Roman"/>
          <w:color w:val="auto"/>
          <w:sz w:val="28"/>
          <w:szCs w:val="28"/>
        </w:rPr>
        <w:t>64</w:t>
      </w:r>
      <w:r w:rsidRPr="001416ED">
        <w:rPr>
          <w:rStyle w:val="11"/>
          <w:rFonts w:ascii="Times New Roman" w:hAnsi="Times New Roman" w:cs="Times New Roman"/>
          <w:color w:val="auto"/>
          <w:sz w:val="28"/>
          <w:szCs w:val="28"/>
        </w:rPr>
        <w:t>].</w:t>
      </w:r>
      <w:r w:rsidRPr="001416ED">
        <w:rPr>
          <w:lang w:val="uk-UA"/>
        </w:rPr>
        <w:t xml:space="preserve"> </w:t>
      </w:r>
      <w:r w:rsidRPr="001416ED">
        <w:t>Wei</w:t>
      </w:r>
      <w:r w:rsidRPr="001416ED">
        <w:rPr>
          <w:lang w:val="uk-UA"/>
        </w:rPr>
        <w:t xml:space="preserve"> </w:t>
      </w:r>
      <w:r w:rsidR="0070325E" w:rsidRPr="001416ED">
        <w:rPr>
          <w:lang w:val="uk-UA"/>
        </w:rPr>
        <w:t xml:space="preserve">та співавт. </w:t>
      </w:r>
      <w:proofErr w:type="gramStart"/>
      <w:r w:rsidRPr="001416ED">
        <w:rPr>
          <w:lang w:val="uk-UA"/>
        </w:rPr>
        <w:t>п</w:t>
      </w:r>
      <w:proofErr w:type="gramEnd"/>
      <w:r w:rsidRPr="001416ED">
        <w:rPr>
          <w:lang w:val="uk-UA"/>
        </w:rPr>
        <w:t>ідтвердили, що в міокарді при ХСН рівень СНП в 2</w:t>
      </w:r>
      <w:r w:rsidR="00BC0119" w:rsidRPr="001416ED">
        <w:rPr>
          <w:lang w:val="uk-UA"/>
        </w:rPr>
        <w:t>–</w:t>
      </w:r>
      <w:r w:rsidRPr="001416ED">
        <w:rPr>
          <w:lang w:val="uk-UA"/>
        </w:rPr>
        <w:t xml:space="preserve">3 рази вищий ніж у циркулюючій крові </w:t>
      </w:r>
      <w:r w:rsidRPr="001416ED">
        <w:rPr>
          <w:rStyle w:val="11"/>
          <w:rFonts w:ascii="Times New Roman" w:hAnsi="Times New Roman" w:cs="Times New Roman"/>
          <w:color w:val="auto"/>
          <w:sz w:val="28"/>
          <w:szCs w:val="28"/>
        </w:rPr>
        <w:t>[</w:t>
      </w:r>
      <w:r w:rsidR="00053D84" w:rsidRPr="001416ED">
        <w:rPr>
          <w:rStyle w:val="11"/>
          <w:rFonts w:ascii="Times New Roman" w:hAnsi="Times New Roman" w:cs="Times New Roman"/>
          <w:color w:val="auto"/>
          <w:sz w:val="28"/>
          <w:szCs w:val="28"/>
        </w:rPr>
        <w:t>195</w:t>
      </w:r>
      <w:r w:rsidRPr="001416ED">
        <w:rPr>
          <w:rStyle w:val="11"/>
          <w:rFonts w:ascii="Times New Roman" w:hAnsi="Times New Roman" w:cs="Times New Roman"/>
          <w:color w:val="auto"/>
          <w:sz w:val="28"/>
          <w:szCs w:val="28"/>
        </w:rPr>
        <w:t>].</w:t>
      </w:r>
    </w:p>
    <w:p w:rsidR="00E80D05" w:rsidRPr="001416ED" w:rsidRDefault="00E80D05" w:rsidP="00E80D05">
      <w:pPr>
        <w:pStyle w:val="a5"/>
        <w:ind w:left="0" w:right="0" w:firstLine="709"/>
        <w:jc w:val="both"/>
        <w:rPr>
          <w:b w:val="0"/>
          <w:szCs w:val="28"/>
        </w:rPr>
      </w:pPr>
      <w:r w:rsidRPr="001416ED">
        <w:rPr>
          <w:b w:val="0"/>
        </w:rPr>
        <w:t xml:space="preserve">У  роботі </w:t>
      </w:r>
      <w:r w:rsidR="00B86142" w:rsidRPr="001416ED">
        <w:rPr>
          <w:b w:val="0"/>
        </w:rPr>
        <w:t xml:space="preserve">А. </w:t>
      </w:r>
      <w:r w:rsidRPr="001416ED">
        <w:rPr>
          <w:b w:val="0"/>
        </w:rPr>
        <w:t>Alqasim показано, що у пацієнтів з ізольованою систолічною АГ рівень СНП достовірно нижче ніж у пацієнтів з ГХ та у практично здорових осіб. Проте не відмічалось різниці у рівнях СНП між групою контролю та особами з ЕГ [</w:t>
      </w:r>
      <w:r w:rsidR="00053D84" w:rsidRPr="001416ED">
        <w:rPr>
          <w:b w:val="0"/>
        </w:rPr>
        <w:t>99</w:t>
      </w:r>
      <w:r w:rsidRPr="001416ED">
        <w:rPr>
          <w:b w:val="0"/>
        </w:rPr>
        <w:t xml:space="preserve">]. Подібні результати були отримані і в </w:t>
      </w:r>
      <w:r w:rsidRPr="001416ED">
        <w:rPr>
          <w:b w:val="0"/>
          <w:szCs w:val="28"/>
        </w:rPr>
        <w:t>іншій науковій роботі, де показано, що рівень СНП, на відміну від МНП у пацієнтів з ЕГ достовірно не відрізнявся від осіб з групи контролю [1</w:t>
      </w:r>
      <w:r w:rsidR="00895CFC" w:rsidRPr="001416ED">
        <w:rPr>
          <w:b w:val="0"/>
          <w:szCs w:val="28"/>
        </w:rPr>
        <w:t>2</w:t>
      </w:r>
      <w:r w:rsidR="00053D84" w:rsidRPr="001416ED">
        <w:rPr>
          <w:b w:val="0"/>
          <w:szCs w:val="28"/>
        </w:rPr>
        <w:t>1</w:t>
      </w:r>
      <w:r w:rsidRPr="001416ED">
        <w:rPr>
          <w:b w:val="0"/>
          <w:szCs w:val="28"/>
        </w:rPr>
        <w:t>].</w:t>
      </w:r>
    </w:p>
    <w:p w:rsidR="00E80D05" w:rsidRPr="001416ED" w:rsidRDefault="00E80D05" w:rsidP="00E80D05">
      <w:pPr>
        <w:pStyle w:val="a5"/>
        <w:ind w:left="0" w:right="0" w:firstLine="709"/>
        <w:jc w:val="both"/>
        <w:rPr>
          <w:b w:val="0"/>
          <w:szCs w:val="28"/>
        </w:rPr>
      </w:pPr>
      <w:r w:rsidRPr="001416ED">
        <w:rPr>
          <w:b w:val="0"/>
          <w:szCs w:val="28"/>
        </w:rPr>
        <w:t>При дослідженні рівнів МН</w:t>
      </w:r>
      <w:r w:rsidR="00C8325C" w:rsidRPr="001416ED">
        <w:rPr>
          <w:b w:val="0"/>
          <w:szCs w:val="28"/>
        </w:rPr>
        <w:t>П</w:t>
      </w:r>
      <w:r w:rsidRPr="001416ED">
        <w:rPr>
          <w:b w:val="0"/>
          <w:szCs w:val="28"/>
        </w:rPr>
        <w:t xml:space="preserve"> та СНП у практично здорових дітей встановлено, що при ожирінні рівні згаданих пептидів достовірно нижчі ніж у дітей з нормальною масою тіла</w:t>
      </w:r>
      <w:r w:rsidR="00FC24C5" w:rsidRPr="001416ED">
        <w:rPr>
          <w:b w:val="0"/>
          <w:szCs w:val="28"/>
        </w:rPr>
        <w:t>.</w:t>
      </w:r>
      <w:r w:rsidRPr="001416ED">
        <w:rPr>
          <w:b w:val="0"/>
          <w:szCs w:val="28"/>
        </w:rPr>
        <w:t xml:space="preserve"> Автори пов'язують це із тим, що клітини жирової тканини багаті на нейтральну ендопептидазу – фермент, відповідальний за кліренс пептиду, а також більшою концентрацією в адипоцитах рецепторів НУП типу С, які забезпечують зв’язування та виведення НУП з організму </w:t>
      </w:r>
      <w:r w:rsidR="00FC24C5" w:rsidRPr="001416ED">
        <w:rPr>
          <w:b w:val="0"/>
          <w:szCs w:val="28"/>
        </w:rPr>
        <w:t>[126].</w:t>
      </w:r>
    </w:p>
    <w:p w:rsidR="00E80D05" w:rsidRPr="001416ED" w:rsidRDefault="00E80D05" w:rsidP="00E80D05">
      <w:pPr>
        <w:pStyle w:val="a5"/>
        <w:ind w:left="0" w:right="0" w:firstLine="709"/>
        <w:jc w:val="both"/>
        <w:rPr>
          <w:b w:val="0"/>
        </w:rPr>
      </w:pPr>
      <w:r w:rsidRPr="001416ED">
        <w:rPr>
          <w:b w:val="0"/>
          <w:szCs w:val="28"/>
        </w:rPr>
        <w:t xml:space="preserve">Отже, згідно даних літератури </w:t>
      </w:r>
      <w:r w:rsidRPr="001416ED">
        <w:rPr>
          <w:rStyle w:val="31"/>
          <w:rFonts w:ascii="Times New Roman" w:hAnsi="Times New Roman" w:cs="Times New Roman"/>
          <w:i w:val="0"/>
          <w:color w:val="auto"/>
          <w:sz w:val="28"/>
          <w:szCs w:val="28"/>
        </w:rPr>
        <w:t>плазмова концентрація</w:t>
      </w:r>
      <w:r w:rsidRPr="001416ED">
        <w:rPr>
          <w:rStyle w:val="31"/>
          <w:rFonts w:ascii="Times New Roman" w:hAnsi="Times New Roman" w:cs="Times New Roman"/>
          <w:bCs/>
          <w:i w:val="0"/>
          <w:color w:val="auto"/>
          <w:sz w:val="28"/>
          <w:szCs w:val="28"/>
        </w:rPr>
        <w:t xml:space="preserve"> ЕТ</w:t>
      </w:r>
      <w:r w:rsidR="00BC0119" w:rsidRPr="001416ED">
        <w:rPr>
          <w:rStyle w:val="31"/>
          <w:rFonts w:ascii="Times New Roman" w:hAnsi="Times New Roman" w:cs="Times New Roman"/>
          <w:bCs/>
          <w:i w:val="0"/>
          <w:color w:val="auto"/>
          <w:sz w:val="28"/>
          <w:szCs w:val="28"/>
        </w:rPr>
        <w:t>–</w:t>
      </w:r>
      <w:r w:rsidRPr="001416ED">
        <w:rPr>
          <w:rStyle w:val="31"/>
          <w:rFonts w:ascii="Times New Roman" w:hAnsi="Times New Roman" w:cs="Times New Roman"/>
          <w:bCs/>
          <w:i w:val="0"/>
          <w:color w:val="auto"/>
          <w:sz w:val="28"/>
          <w:szCs w:val="28"/>
        </w:rPr>
        <w:t>1 може визначатись варіантом гена, що його кодує, і попередніх таких досліджень у представників української популяції не проводилось, як зазначалось вище</w:t>
      </w:r>
      <w:r w:rsidRPr="001416ED">
        <w:rPr>
          <w:rStyle w:val="31"/>
          <w:rFonts w:ascii="Times New Roman" w:hAnsi="Times New Roman" w:cs="Times New Roman"/>
          <w:b/>
          <w:bCs/>
          <w:color w:val="auto"/>
          <w:sz w:val="28"/>
          <w:szCs w:val="28"/>
        </w:rPr>
        <w:t xml:space="preserve">. </w:t>
      </w:r>
      <w:r w:rsidRPr="001416ED">
        <w:rPr>
          <w:b w:val="0"/>
          <w:szCs w:val="28"/>
        </w:rPr>
        <w:t xml:space="preserve">Окрім того, немає робіт де б науковці визначали плазмову концентрацію </w:t>
      </w:r>
      <w:r w:rsidRPr="001416ED">
        <w:rPr>
          <w:b w:val="0"/>
        </w:rPr>
        <w:t>СНП</w:t>
      </w:r>
      <w:r w:rsidRPr="001416ED">
        <w:rPr>
          <w:b w:val="0"/>
          <w:szCs w:val="28"/>
        </w:rPr>
        <w:t xml:space="preserve"> в залежності від </w:t>
      </w:r>
      <w:r w:rsidR="00643C6F">
        <w:rPr>
          <w:b w:val="0"/>
          <w:szCs w:val="28"/>
        </w:rPr>
        <w:t>поліморфних</w:t>
      </w:r>
      <w:r w:rsidR="00F40216">
        <w:rPr>
          <w:b w:val="0"/>
          <w:szCs w:val="28"/>
        </w:rPr>
        <w:t xml:space="preserve"> варіантів гена</w:t>
      </w:r>
      <w:r w:rsidRPr="001416ED">
        <w:rPr>
          <w:b w:val="0"/>
          <w:szCs w:val="28"/>
        </w:rPr>
        <w:t xml:space="preserve"> ЕТ</w:t>
      </w:r>
      <w:r w:rsidR="00BC0119" w:rsidRPr="001416ED">
        <w:rPr>
          <w:b w:val="0"/>
          <w:szCs w:val="28"/>
        </w:rPr>
        <w:t>–</w:t>
      </w:r>
      <w:r w:rsidRPr="001416ED">
        <w:rPr>
          <w:b w:val="0"/>
          <w:szCs w:val="28"/>
        </w:rPr>
        <w:t>1.</w:t>
      </w:r>
      <w:r w:rsidRPr="001416ED">
        <w:rPr>
          <w:b w:val="0"/>
        </w:rPr>
        <w:t xml:space="preserve"> </w:t>
      </w:r>
      <w:r w:rsidRPr="001416ED">
        <w:rPr>
          <w:b w:val="0"/>
          <w:szCs w:val="28"/>
          <w:shd w:val="clear" w:color="auto" w:fill="FFFFFF"/>
        </w:rPr>
        <w:t xml:space="preserve">Тому таке дослідження теж планується. </w:t>
      </w:r>
    </w:p>
    <w:p w:rsidR="00B43C0F" w:rsidRPr="001416ED" w:rsidRDefault="00E64BDF" w:rsidP="0012229A">
      <w:pPr>
        <w:pStyle w:val="ae"/>
        <w:numPr>
          <w:ilvl w:val="1"/>
          <w:numId w:val="6"/>
        </w:numPr>
        <w:spacing w:before="240" w:after="240" w:line="360" w:lineRule="auto"/>
        <w:ind w:left="426" w:hanging="425"/>
        <w:jc w:val="both"/>
        <w:rPr>
          <w:b/>
          <w:color w:val="auto"/>
          <w:sz w:val="28"/>
          <w:szCs w:val="28"/>
          <w:lang w:val="uk-UA"/>
        </w:rPr>
      </w:pPr>
      <w:r w:rsidRPr="001416ED">
        <w:rPr>
          <w:b/>
          <w:bCs/>
          <w:color w:val="auto"/>
          <w:sz w:val="28"/>
          <w:szCs w:val="28"/>
          <w:lang w:val="uk-UA"/>
        </w:rPr>
        <w:t xml:space="preserve"> </w:t>
      </w:r>
      <w:r w:rsidR="007148B0" w:rsidRPr="001416ED">
        <w:rPr>
          <w:b/>
          <w:bCs/>
          <w:color w:val="auto"/>
          <w:sz w:val="28"/>
          <w:szCs w:val="28"/>
          <w:lang w:val="uk-UA"/>
        </w:rPr>
        <w:t>Роль поліморфізму гена рецептора ангіотензину ІІ 1–го типу як спадкового чинника у розвитку есенціальної гіпертензії та хронічної серцевої недостатності на її тлі</w:t>
      </w:r>
      <w:r w:rsidR="007148B0" w:rsidRPr="001416ED">
        <w:rPr>
          <w:b/>
          <w:color w:val="auto"/>
          <w:sz w:val="28"/>
          <w:szCs w:val="28"/>
          <w:lang w:val="uk-UA"/>
        </w:rPr>
        <w:t xml:space="preserve"> </w:t>
      </w:r>
    </w:p>
    <w:p w:rsidR="00C0492F" w:rsidRPr="001416ED" w:rsidRDefault="005313D1" w:rsidP="00A770B7">
      <w:pPr>
        <w:spacing w:line="360" w:lineRule="auto"/>
        <w:ind w:firstLine="709"/>
        <w:jc w:val="both"/>
        <w:rPr>
          <w:lang w:val="uk-UA"/>
        </w:rPr>
      </w:pPr>
      <w:r w:rsidRPr="001416ED">
        <w:rPr>
          <w:lang w:val="uk-UA"/>
        </w:rPr>
        <w:t>Незважаючи на успіхи в лікуванні хворих на ГХ, відсоток серцево</w:t>
      </w:r>
      <w:r w:rsidR="00BC0119" w:rsidRPr="001416ED">
        <w:rPr>
          <w:lang w:val="uk-UA"/>
        </w:rPr>
        <w:t>–</w:t>
      </w:r>
      <w:r w:rsidRPr="001416ED">
        <w:rPr>
          <w:lang w:val="uk-UA"/>
        </w:rPr>
        <w:t>судинних ускладнень даного захворювання</w:t>
      </w:r>
      <w:r w:rsidR="00326221" w:rsidRPr="001416ED">
        <w:rPr>
          <w:lang w:val="uk-UA"/>
        </w:rPr>
        <w:t xml:space="preserve">, </w:t>
      </w:r>
      <w:r w:rsidR="00643C6F">
        <w:rPr>
          <w:lang w:val="uk-UA"/>
        </w:rPr>
        <w:t xml:space="preserve">та </w:t>
      </w:r>
      <w:r w:rsidR="00326221" w:rsidRPr="001416ED">
        <w:rPr>
          <w:lang w:val="uk-UA"/>
        </w:rPr>
        <w:t>ХСН зокрема,</w:t>
      </w:r>
      <w:r w:rsidRPr="001416ED">
        <w:rPr>
          <w:lang w:val="uk-UA"/>
        </w:rPr>
        <w:t xml:space="preserve"> і, як наслідок, смертність і інвалідизація населення залишаються надзвичайно високими [</w:t>
      </w:r>
      <w:r w:rsidR="00136028" w:rsidRPr="001416ED">
        <w:rPr>
          <w:lang w:val="uk-UA"/>
        </w:rPr>
        <w:t>87</w:t>
      </w:r>
      <w:r w:rsidRPr="001416ED">
        <w:rPr>
          <w:lang w:val="uk-UA"/>
        </w:rPr>
        <w:t xml:space="preserve">]. </w:t>
      </w:r>
      <w:r w:rsidRPr="001416ED">
        <w:lastRenderedPageBreak/>
        <w:t xml:space="preserve">Однією з причин цього є недостатність знань про всі механізми розвитку ГХ. </w:t>
      </w:r>
      <w:proofErr w:type="gramStart"/>
      <w:r w:rsidRPr="001416ED">
        <w:t>Б</w:t>
      </w:r>
      <w:proofErr w:type="gramEnd"/>
      <w:r w:rsidRPr="001416ED">
        <w:t xml:space="preserve">ільшість науковців визнають, що патогенетичну основу ГХ складає молекулярна організація генів, продукти експресії яких беруть участь у регуляції </w:t>
      </w:r>
      <w:r w:rsidRPr="001416ED">
        <w:rPr>
          <w:lang w:val="uk-UA"/>
        </w:rPr>
        <w:t xml:space="preserve">АТ </w:t>
      </w:r>
      <w:r w:rsidR="00A01BEF" w:rsidRPr="001416ED">
        <w:t>[</w:t>
      </w:r>
      <w:r w:rsidR="008E5E08" w:rsidRPr="001416ED">
        <w:rPr>
          <w:lang w:val="uk-UA"/>
        </w:rPr>
        <w:t>3</w:t>
      </w:r>
      <w:r w:rsidR="009A20E5" w:rsidRPr="001416ED">
        <w:rPr>
          <w:lang w:val="uk-UA"/>
        </w:rPr>
        <w:t>6</w:t>
      </w:r>
      <w:r w:rsidR="008E5E08" w:rsidRPr="001416ED">
        <w:rPr>
          <w:lang w:val="uk-UA"/>
        </w:rPr>
        <w:t>,</w:t>
      </w:r>
      <w:r w:rsidR="00E64BDF" w:rsidRPr="001416ED">
        <w:rPr>
          <w:lang w:val="uk-UA"/>
        </w:rPr>
        <w:t xml:space="preserve"> </w:t>
      </w:r>
      <w:r w:rsidR="00A01BEF" w:rsidRPr="001416ED">
        <w:t>7</w:t>
      </w:r>
      <w:r w:rsidR="009A20E5" w:rsidRPr="001416ED">
        <w:rPr>
          <w:lang w:val="uk-UA"/>
        </w:rPr>
        <w:t>2</w:t>
      </w:r>
      <w:r w:rsidRPr="001416ED">
        <w:t>]. Серед генів, структурний поліморфізм яких може сприяти розвитку ГХ, на першому місці стоять гени компонентів РААС.</w:t>
      </w:r>
    </w:p>
    <w:p w:rsidR="00F23184" w:rsidRPr="001416ED" w:rsidRDefault="00F23184" w:rsidP="00A770B7">
      <w:pPr>
        <w:pStyle w:val="32"/>
        <w:spacing w:line="360" w:lineRule="auto"/>
        <w:ind w:left="0" w:firstLine="709"/>
        <w:jc w:val="both"/>
        <w:rPr>
          <w:color w:val="auto"/>
          <w:sz w:val="28"/>
          <w:szCs w:val="28"/>
          <w:lang w:val="uk-UA"/>
        </w:rPr>
      </w:pPr>
      <w:r w:rsidRPr="001416ED">
        <w:rPr>
          <w:color w:val="auto"/>
          <w:sz w:val="28"/>
          <w:szCs w:val="28"/>
          <w:lang w:val="uk-UA"/>
        </w:rPr>
        <w:t>Величезне значення ендотелію у розвитку серцево</w:t>
      </w:r>
      <w:r w:rsidR="00BC0119" w:rsidRPr="001416ED">
        <w:rPr>
          <w:color w:val="auto"/>
          <w:sz w:val="28"/>
          <w:szCs w:val="28"/>
          <w:lang w:val="uk-UA"/>
        </w:rPr>
        <w:t>–</w:t>
      </w:r>
      <w:r w:rsidRPr="001416ED">
        <w:rPr>
          <w:color w:val="auto"/>
          <w:sz w:val="28"/>
          <w:szCs w:val="28"/>
          <w:lang w:val="uk-UA"/>
        </w:rPr>
        <w:t>судинних захворювань взагалі</w:t>
      </w:r>
      <w:r w:rsidR="00643C6F">
        <w:rPr>
          <w:color w:val="auto"/>
          <w:sz w:val="28"/>
          <w:szCs w:val="28"/>
          <w:lang w:val="uk-UA"/>
        </w:rPr>
        <w:t>,</w:t>
      </w:r>
      <w:r w:rsidRPr="001416ED">
        <w:rPr>
          <w:color w:val="auto"/>
          <w:sz w:val="28"/>
          <w:szCs w:val="28"/>
          <w:lang w:val="uk-UA"/>
        </w:rPr>
        <w:t xml:space="preserve"> і ХСН зокрема, випливає з того, що основна частина АПФ розташована на мембрані ендотеліальних клітин. За даними V.</w:t>
      </w:r>
      <w:r w:rsidR="00E64BDF" w:rsidRPr="001416ED">
        <w:rPr>
          <w:color w:val="auto"/>
          <w:sz w:val="28"/>
          <w:szCs w:val="28"/>
          <w:lang w:val="uk-UA"/>
        </w:rPr>
        <w:t xml:space="preserve"> </w:t>
      </w:r>
      <w:r w:rsidRPr="001416ED">
        <w:rPr>
          <w:color w:val="auto"/>
          <w:sz w:val="28"/>
          <w:szCs w:val="28"/>
          <w:lang w:val="uk-UA"/>
        </w:rPr>
        <w:t xml:space="preserve">J. Dzau 90 </w:t>
      </w:r>
      <w:r w:rsidR="00D4219F" w:rsidRPr="001416ED">
        <w:rPr>
          <w:color w:val="auto"/>
          <w:sz w:val="28"/>
          <w:szCs w:val="28"/>
          <w:lang w:val="uk-UA"/>
        </w:rPr>
        <w:t xml:space="preserve"> %</w:t>
      </w:r>
      <w:r w:rsidRPr="001416ED">
        <w:rPr>
          <w:color w:val="auto"/>
          <w:sz w:val="28"/>
          <w:szCs w:val="28"/>
          <w:lang w:val="uk-UA"/>
        </w:rPr>
        <w:t xml:space="preserve"> всього обсягу РААС припадає на органи і тканини (10</w:t>
      </w:r>
      <w:r w:rsidR="00D4219F" w:rsidRPr="001416ED">
        <w:rPr>
          <w:color w:val="auto"/>
          <w:sz w:val="28"/>
          <w:szCs w:val="28"/>
          <w:lang w:val="uk-UA"/>
        </w:rPr>
        <w:t xml:space="preserve"> %</w:t>
      </w:r>
      <w:r w:rsidRPr="001416ED">
        <w:rPr>
          <w:color w:val="auto"/>
          <w:sz w:val="28"/>
          <w:szCs w:val="28"/>
          <w:lang w:val="uk-UA"/>
        </w:rPr>
        <w:t xml:space="preserve"> </w:t>
      </w:r>
      <w:r w:rsidR="00BC0119" w:rsidRPr="001416ED">
        <w:rPr>
          <w:color w:val="auto"/>
          <w:sz w:val="28"/>
          <w:szCs w:val="28"/>
          <w:lang w:val="uk-UA"/>
        </w:rPr>
        <w:t>–</w:t>
      </w:r>
      <w:r w:rsidRPr="001416ED">
        <w:rPr>
          <w:color w:val="auto"/>
          <w:sz w:val="28"/>
          <w:szCs w:val="28"/>
          <w:lang w:val="uk-UA"/>
        </w:rPr>
        <w:t xml:space="preserve"> на плазму), серед яких судинний ендотелій займає перше місце, тому гіперактивація РААС є неодмінною умовою ЕД [</w:t>
      </w:r>
      <w:r w:rsidR="00017234" w:rsidRPr="001416ED">
        <w:rPr>
          <w:color w:val="auto"/>
          <w:sz w:val="28"/>
          <w:szCs w:val="28"/>
          <w:lang w:val="uk-UA"/>
        </w:rPr>
        <w:t>1</w:t>
      </w:r>
      <w:r w:rsidR="00895CFC" w:rsidRPr="001416ED">
        <w:rPr>
          <w:color w:val="auto"/>
          <w:sz w:val="28"/>
          <w:szCs w:val="28"/>
          <w:lang w:val="uk-UA"/>
        </w:rPr>
        <w:t>3</w:t>
      </w:r>
      <w:r w:rsidR="00C5261C" w:rsidRPr="001416ED">
        <w:rPr>
          <w:color w:val="auto"/>
          <w:sz w:val="28"/>
          <w:szCs w:val="28"/>
          <w:lang w:val="uk-UA"/>
        </w:rPr>
        <w:t>0</w:t>
      </w:r>
      <w:r w:rsidRPr="001416ED">
        <w:rPr>
          <w:color w:val="auto"/>
          <w:sz w:val="28"/>
          <w:szCs w:val="28"/>
          <w:lang w:val="uk-UA"/>
        </w:rPr>
        <w:t>]. Участь АПФ у регуляції судинного тонусу реалізується через синтез АТ ІІ, який надає потужний вазоконстрикторний вплив за допомогою стимуляції АТ1</w:t>
      </w:r>
      <w:r w:rsidR="00BC0119" w:rsidRPr="001416ED">
        <w:rPr>
          <w:color w:val="auto"/>
          <w:sz w:val="28"/>
          <w:szCs w:val="28"/>
          <w:lang w:val="uk-UA"/>
        </w:rPr>
        <w:t>–</w:t>
      </w:r>
      <w:r w:rsidRPr="001416ED">
        <w:rPr>
          <w:color w:val="auto"/>
          <w:sz w:val="28"/>
          <w:szCs w:val="28"/>
          <w:lang w:val="uk-UA"/>
        </w:rPr>
        <w:t xml:space="preserve"> рецепторів ГМК судин. Інший механізм, більш зв'язаний з ЕД, пов'язаний з властивістю розташованого на поверхні ендотеліальних клітин АПФ прискорювати деградацію брадикініну. Відсутність адекватної стимуляції брад</w:t>
      </w:r>
      <w:r w:rsidR="00F742F2" w:rsidRPr="001416ED">
        <w:rPr>
          <w:color w:val="auto"/>
          <w:sz w:val="28"/>
          <w:szCs w:val="28"/>
          <w:lang w:val="uk-UA"/>
        </w:rPr>
        <w:t>и</w:t>
      </w:r>
      <w:r w:rsidRPr="001416ED">
        <w:rPr>
          <w:color w:val="auto"/>
          <w:sz w:val="28"/>
          <w:szCs w:val="28"/>
          <w:lang w:val="uk-UA"/>
        </w:rPr>
        <w:t>кінінових β</w:t>
      </w:r>
      <w:r w:rsidRPr="001416ED">
        <w:rPr>
          <w:color w:val="auto"/>
          <w:sz w:val="28"/>
          <w:szCs w:val="28"/>
          <w:vertAlign w:val="subscript"/>
          <w:lang w:val="uk-UA"/>
        </w:rPr>
        <w:t>2</w:t>
      </w:r>
      <w:r w:rsidR="00BC0119" w:rsidRPr="001416ED">
        <w:rPr>
          <w:color w:val="auto"/>
          <w:sz w:val="28"/>
          <w:szCs w:val="28"/>
          <w:lang w:val="uk-UA"/>
        </w:rPr>
        <w:t>–</w:t>
      </w:r>
      <w:r w:rsidRPr="001416ED">
        <w:rPr>
          <w:color w:val="auto"/>
          <w:sz w:val="28"/>
          <w:szCs w:val="28"/>
          <w:lang w:val="uk-UA"/>
        </w:rPr>
        <w:t xml:space="preserve">рецепторів клітин ендотелію призводить до зниження синтезу ендотеліального фактора релаксації </w:t>
      </w:r>
      <w:r w:rsidR="00BC0119" w:rsidRPr="001416ED">
        <w:rPr>
          <w:color w:val="auto"/>
          <w:sz w:val="28"/>
          <w:szCs w:val="28"/>
          <w:lang w:val="uk-UA"/>
        </w:rPr>
        <w:t>–</w:t>
      </w:r>
      <w:r w:rsidRPr="001416ED">
        <w:rPr>
          <w:color w:val="auto"/>
          <w:sz w:val="28"/>
          <w:szCs w:val="28"/>
          <w:lang w:val="uk-UA"/>
        </w:rPr>
        <w:t xml:space="preserve"> NO і підвищенню тонусу ГМК судин</w:t>
      </w:r>
      <w:r w:rsidRPr="001416ED">
        <w:rPr>
          <w:b/>
          <w:color w:val="auto"/>
          <w:sz w:val="28"/>
          <w:szCs w:val="28"/>
          <w:lang w:val="uk-UA"/>
        </w:rPr>
        <w:t xml:space="preserve"> </w:t>
      </w:r>
      <w:r w:rsidRPr="001416ED">
        <w:rPr>
          <w:color w:val="auto"/>
          <w:sz w:val="28"/>
          <w:szCs w:val="28"/>
          <w:lang w:val="uk-UA"/>
        </w:rPr>
        <w:t>[</w:t>
      </w:r>
      <w:r w:rsidR="00C5261C" w:rsidRPr="001416ED">
        <w:rPr>
          <w:color w:val="auto"/>
          <w:sz w:val="28"/>
          <w:szCs w:val="28"/>
          <w:lang w:val="uk-UA"/>
        </w:rPr>
        <w:t>29</w:t>
      </w:r>
      <w:r w:rsidRPr="001416ED">
        <w:rPr>
          <w:color w:val="auto"/>
          <w:sz w:val="28"/>
          <w:szCs w:val="28"/>
          <w:lang w:val="uk-UA"/>
        </w:rPr>
        <w:t>].</w:t>
      </w:r>
    </w:p>
    <w:p w:rsidR="00A13351" w:rsidRPr="001416ED" w:rsidRDefault="00A13351" w:rsidP="00A770B7">
      <w:pPr>
        <w:pStyle w:val="32"/>
        <w:spacing w:line="360" w:lineRule="auto"/>
        <w:ind w:left="0" w:firstLine="709"/>
        <w:jc w:val="both"/>
        <w:rPr>
          <w:color w:val="auto"/>
          <w:sz w:val="28"/>
          <w:szCs w:val="28"/>
          <w:lang w:val="ru-RU"/>
        </w:rPr>
      </w:pPr>
      <w:r w:rsidRPr="001416ED">
        <w:rPr>
          <w:color w:val="auto"/>
          <w:sz w:val="28"/>
          <w:szCs w:val="28"/>
          <w:lang w:val="uk-UA" w:eastAsia="uk-UA" w:bidi="uk-UA"/>
        </w:rPr>
        <w:t>У літературних джерелах також висвітлюється питан</w:t>
      </w:r>
      <w:r w:rsidR="00E64BDF" w:rsidRPr="001416ED">
        <w:rPr>
          <w:color w:val="auto"/>
          <w:sz w:val="28"/>
          <w:szCs w:val="28"/>
          <w:lang w:val="uk-UA" w:eastAsia="uk-UA" w:bidi="uk-UA"/>
        </w:rPr>
        <w:t xml:space="preserve">ня ролі загального </w:t>
      </w:r>
      <w:r w:rsidRPr="001416ED">
        <w:rPr>
          <w:color w:val="auto"/>
          <w:sz w:val="28"/>
          <w:szCs w:val="28"/>
          <w:lang w:val="uk-UA" w:eastAsia="uk-UA" w:bidi="uk-UA"/>
        </w:rPr>
        <w:t>ХС та тригліцеридів (ТГ) у розвитку ЕД при серцево</w:t>
      </w:r>
      <w:r w:rsidR="00BC0119" w:rsidRPr="001416ED">
        <w:rPr>
          <w:color w:val="auto"/>
          <w:sz w:val="28"/>
          <w:szCs w:val="28"/>
          <w:lang w:val="uk-UA" w:eastAsia="uk-UA" w:bidi="uk-UA"/>
        </w:rPr>
        <w:t>–</w:t>
      </w:r>
      <w:r w:rsidRPr="001416ED">
        <w:rPr>
          <w:color w:val="auto"/>
          <w:sz w:val="28"/>
          <w:szCs w:val="28"/>
          <w:lang w:val="uk-UA" w:eastAsia="uk-UA" w:bidi="uk-UA"/>
        </w:rPr>
        <w:t>судинних захворюваннях та ГХ</w:t>
      </w:r>
      <w:r w:rsidR="00E64BDF" w:rsidRPr="001416ED">
        <w:rPr>
          <w:color w:val="auto"/>
          <w:sz w:val="28"/>
          <w:szCs w:val="28"/>
          <w:lang w:val="uk-UA" w:eastAsia="uk-UA" w:bidi="uk-UA"/>
        </w:rPr>
        <w:t>,</w:t>
      </w:r>
      <w:r w:rsidRPr="001416ED">
        <w:rPr>
          <w:color w:val="auto"/>
          <w:sz w:val="28"/>
          <w:szCs w:val="28"/>
          <w:lang w:val="uk-UA" w:eastAsia="uk-UA" w:bidi="uk-UA"/>
        </w:rPr>
        <w:t xml:space="preserve"> зокрема [</w:t>
      </w:r>
      <w:r w:rsidR="008E5E08" w:rsidRPr="001416ED">
        <w:rPr>
          <w:color w:val="auto"/>
          <w:sz w:val="28"/>
          <w:szCs w:val="28"/>
          <w:lang w:val="uk-UA" w:eastAsia="uk-UA" w:bidi="uk-UA"/>
        </w:rPr>
        <w:t>5</w:t>
      </w:r>
      <w:r w:rsidR="00C5261C" w:rsidRPr="001416ED">
        <w:rPr>
          <w:color w:val="auto"/>
          <w:sz w:val="28"/>
          <w:szCs w:val="28"/>
          <w:lang w:val="uk-UA" w:eastAsia="uk-UA" w:bidi="uk-UA"/>
        </w:rPr>
        <w:t>3</w:t>
      </w:r>
      <w:r w:rsidR="008E5E08" w:rsidRPr="001416ED">
        <w:rPr>
          <w:color w:val="auto"/>
          <w:sz w:val="28"/>
          <w:szCs w:val="28"/>
          <w:lang w:val="uk-UA" w:eastAsia="uk-UA" w:bidi="uk-UA"/>
        </w:rPr>
        <w:t>,</w:t>
      </w:r>
      <w:r w:rsidR="00E64BDF" w:rsidRPr="001416ED">
        <w:rPr>
          <w:color w:val="auto"/>
          <w:sz w:val="28"/>
          <w:szCs w:val="28"/>
          <w:lang w:val="uk-UA" w:eastAsia="uk-UA" w:bidi="uk-UA"/>
        </w:rPr>
        <w:t xml:space="preserve"> </w:t>
      </w:r>
      <w:r w:rsidR="008E5E08" w:rsidRPr="001416ED">
        <w:rPr>
          <w:color w:val="auto"/>
          <w:sz w:val="28"/>
          <w:szCs w:val="28"/>
          <w:lang w:val="uk-UA" w:eastAsia="uk-UA" w:bidi="uk-UA"/>
        </w:rPr>
        <w:t>1</w:t>
      </w:r>
      <w:r w:rsidR="00C5261C" w:rsidRPr="001416ED">
        <w:rPr>
          <w:color w:val="auto"/>
          <w:sz w:val="28"/>
          <w:szCs w:val="28"/>
          <w:lang w:val="uk-UA" w:eastAsia="uk-UA" w:bidi="uk-UA"/>
        </w:rPr>
        <w:t>37</w:t>
      </w:r>
      <w:r w:rsidR="008E5E08" w:rsidRPr="001416ED">
        <w:rPr>
          <w:color w:val="auto"/>
          <w:sz w:val="28"/>
          <w:szCs w:val="28"/>
          <w:lang w:val="uk-UA" w:eastAsia="uk-UA" w:bidi="uk-UA"/>
        </w:rPr>
        <w:t>,</w:t>
      </w:r>
      <w:r w:rsidR="00E64BDF" w:rsidRPr="001416ED">
        <w:rPr>
          <w:color w:val="auto"/>
          <w:sz w:val="28"/>
          <w:szCs w:val="28"/>
          <w:lang w:val="uk-UA" w:eastAsia="uk-UA" w:bidi="uk-UA"/>
        </w:rPr>
        <w:t xml:space="preserve"> </w:t>
      </w:r>
      <w:r w:rsidR="00895CFC" w:rsidRPr="001416ED">
        <w:rPr>
          <w:color w:val="auto"/>
          <w:sz w:val="28"/>
          <w:szCs w:val="28"/>
          <w:lang w:val="uk-UA" w:eastAsia="uk-UA" w:bidi="uk-UA"/>
        </w:rPr>
        <w:t>1</w:t>
      </w:r>
      <w:r w:rsidR="00C5261C" w:rsidRPr="001416ED">
        <w:rPr>
          <w:color w:val="auto"/>
          <w:sz w:val="28"/>
          <w:szCs w:val="28"/>
          <w:lang w:val="uk-UA" w:eastAsia="uk-UA" w:bidi="uk-UA"/>
        </w:rPr>
        <w:t>7</w:t>
      </w:r>
      <w:r w:rsidR="00895CFC" w:rsidRPr="001416ED">
        <w:rPr>
          <w:color w:val="auto"/>
          <w:sz w:val="28"/>
          <w:szCs w:val="28"/>
          <w:lang w:val="uk-UA" w:eastAsia="uk-UA" w:bidi="uk-UA"/>
        </w:rPr>
        <w:t>6</w:t>
      </w:r>
      <w:r w:rsidRPr="001416ED">
        <w:rPr>
          <w:color w:val="auto"/>
          <w:sz w:val="28"/>
          <w:szCs w:val="28"/>
          <w:lang w:val="uk-UA" w:eastAsia="uk-UA" w:bidi="uk-UA"/>
        </w:rPr>
        <w:t xml:space="preserve">]. </w:t>
      </w:r>
      <w:r w:rsidRPr="001416ED">
        <w:rPr>
          <w:color w:val="auto"/>
          <w:sz w:val="28"/>
          <w:szCs w:val="28"/>
          <w:lang w:val="ru-RU" w:eastAsia="uk-UA" w:bidi="uk-UA"/>
        </w:rPr>
        <w:t xml:space="preserve">Так, автори відмічають, що ГХ та гіперхолестеринемія досить часто ідуть </w:t>
      </w:r>
      <w:proofErr w:type="gramStart"/>
      <w:r w:rsidRPr="001416ED">
        <w:rPr>
          <w:color w:val="auto"/>
          <w:sz w:val="28"/>
          <w:szCs w:val="28"/>
          <w:lang w:val="ru-RU" w:eastAsia="uk-UA" w:bidi="uk-UA"/>
        </w:rPr>
        <w:t>пл</w:t>
      </w:r>
      <w:proofErr w:type="gramEnd"/>
      <w:r w:rsidRPr="001416ED">
        <w:rPr>
          <w:color w:val="auto"/>
          <w:sz w:val="28"/>
          <w:szCs w:val="28"/>
          <w:lang w:val="ru-RU" w:eastAsia="uk-UA" w:bidi="uk-UA"/>
        </w:rPr>
        <w:t>іч</w:t>
      </w:r>
      <w:r w:rsidR="00BC0119" w:rsidRPr="001416ED">
        <w:rPr>
          <w:color w:val="auto"/>
          <w:sz w:val="28"/>
          <w:szCs w:val="28"/>
          <w:lang w:val="ru-RU" w:eastAsia="uk-UA" w:bidi="uk-UA"/>
        </w:rPr>
        <w:t>–</w:t>
      </w:r>
      <w:r w:rsidRPr="001416ED">
        <w:rPr>
          <w:color w:val="auto"/>
          <w:sz w:val="28"/>
          <w:szCs w:val="28"/>
          <w:lang w:val="ru-RU" w:eastAsia="uk-UA" w:bidi="uk-UA"/>
        </w:rPr>
        <w:t>о</w:t>
      </w:r>
      <w:r w:rsidR="00BC0119" w:rsidRPr="001416ED">
        <w:rPr>
          <w:color w:val="auto"/>
          <w:sz w:val="28"/>
          <w:szCs w:val="28"/>
          <w:lang w:val="ru-RU" w:eastAsia="uk-UA" w:bidi="uk-UA"/>
        </w:rPr>
        <w:t>–</w:t>
      </w:r>
      <w:r w:rsidRPr="001416ED">
        <w:rPr>
          <w:color w:val="auto"/>
          <w:sz w:val="28"/>
          <w:szCs w:val="28"/>
          <w:lang w:val="ru-RU" w:eastAsia="uk-UA" w:bidi="uk-UA"/>
        </w:rPr>
        <w:t xml:space="preserve">пліч. Доведено, що </w:t>
      </w:r>
      <w:r w:rsidR="006229FE" w:rsidRPr="001416ED">
        <w:rPr>
          <w:color w:val="auto"/>
          <w:sz w:val="28"/>
          <w:szCs w:val="28"/>
          <w:lang w:val="ru-RU" w:eastAsia="uk-UA" w:bidi="uk-UA"/>
        </w:rPr>
        <w:t>ЛПНЩ</w:t>
      </w:r>
      <w:r w:rsidRPr="001416ED">
        <w:rPr>
          <w:color w:val="auto"/>
          <w:sz w:val="28"/>
          <w:szCs w:val="28"/>
          <w:lang w:val="ru-RU" w:eastAsia="uk-UA" w:bidi="uk-UA"/>
        </w:rPr>
        <w:t xml:space="preserve"> стимулюють АТ1</w:t>
      </w:r>
      <w:r w:rsidR="00BC0119" w:rsidRPr="001416ED">
        <w:rPr>
          <w:color w:val="auto"/>
          <w:sz w:val="28"/>
          <w:szCs w:val="28"/>
          <w:lang w:val="ru-RU" w:eastAsia="uk-UA" w:bidi="uk-UA"/>
        </w:rPr>
        <w:t>–</w:t>
      </w:r>
      <w:r w:rsidR="00C8325C" w:rsidRPr="001416ED">
        <w:rPr>
          <w:color w:val="auto"/>
          <w:sz w:val="28"/>
          <w:szCs w:val="28"/>
          <w:lang w:val="uk-UA" w:eastAsia="uk-UA" w:bidi="uk-UA"/>
        </w:rPr>
        <w:t>Р</w:t>
      </w:r>
      <w:r w:rsidRPr="001416ED">
        <w:rPr>
          <w:color w:val="auto"/>
          <w:sz w:val="28"/>
          <w:szCs w:val="28"/>
          <w:lang w:val="ru-RU" w:eastAsia="uk-UA" w:bidi="uk-UA"/>
        </w:rPr>
        <w:t xml:space="preserve"> рецептори, тим самим провокуючи </w:t>
      </w:r>
      <w:r w:rsidR="00E21BDF" w:rsidRPr="001416ED">
        <w:rPr>
          <w:color w:val="auto"/>
          <w:sz w:val="28"/>
          <w:szCs w:val="28"/>
          <w:lang w:val="ru-RU" w:eastAsia="uk-UA" w:bidi="uk-UA"/>
        </w:rPr>
        <w:t>АГ</w:t>
      </w:r>
      <w:r w:rsidRPr="001416ED">
        <w:rPr>
          <w:color w:val="auto"/>
          <w:sz w:val="28"/>
          <w:szCs w:val="28"/>
          <w:lang w:val="ru-RU" w:eastAsia="uk-UA" w:bidi="uk-UA"/>
        </w:rPr>
        <w:t>, а лікування статинами призводить не лише до зниження рівня ХС, але і АТ [</w:t>
      </w:r>
      <w:r w:rsidR="008A7451" w:rsidRPr="001416ED">
        <w:rPr>
          <w:color w:val="auto"/>
          <w:sz w:val="28"/>
          <w:szCs w:val="28"/>
          <w:lang w:val="ru-RU" w:eastAsia="uk-UA" w:bidi="uk-UA"/>
        </w:rPr>
        <w:t>1</w:t>
      </w:r>
      <w:r w:rsidR="00C5261C" w:rsidRPr="001416ED">
        <w:rPr>
          <w:color w:val="auto"/>
          <w:sz w:val="28"/>
          <w:szCs w:val="28"/>
          <w:lang w:val="ru-RU" w:eastAsia="uk-UA" w:bidi="uk-UA"/>
        </w:rPr>
        <w:t>37</w:t>
      </w:r>
      <w:r w:rsidR="008A7451" w:rsidRPr="001416ED">
        <w:rPr>
          <w:color w:val="auto"/>
          <w:sz w:val="28"/>
          <w:szCs w:val="28"/>
          <w:lang w:val="ru-RU" w:eastAsia="uk-UA" w:bidi="uk-UA"/>
        </w:rPr>
        <w:t>,</w:t>
      </w:r>
      <w:r w:rsidR="006229FE" w:rsidRPr="001416ED">
        <w:rPr>
          <w:color w:val="auto"/>
          <w:sz w:val="28"/>
          <w:szCs w:val="28"/>
          <w:lang w:val="ru-RU" w:eastAsia="uk-UA" w:bidi="uk-UA"/>
        </w:rPr>
        <w:t xml:space="preserve"> </w:t>
      </w:r>
      <w:r w:rsidR="008A7451" w:rsidRPr="001416ED">
        <w:rPr>
          <w:color w:val="auto"/>
          <w:sz w:val="28"/>
          <w:szCs w:val="28"/>
          <w:lang w:val="ru-RU" w:eastAsia="uk-UA" w:bidi="uk-UA"/>
        </w:rPr>
        <w:t>1</w:t>
      </w:r>
      <w:r w:rsidR="00C5261C" w:rsidRPr="001416ED">
        <w:rPr>
          <w:color w:val="auto"/>
          <w:sz w:val="28"/>
          <w:szCs w:val="28"/>
          <w:lang w:val="ru-RU" w:eastAsia="uk-UA" w:bidi="uk-UA"/>
        </w:rPr>
        <w:t>7</w:t>
      </w:r>
      <w:r w:rsidR="001E57F3" w:rsidRPr="001416ED">
        <w:rPr>
          <w:color w:val="auto"/>
          <w:sz w:val="28"/>
          <w:szCs w:val="28"/>
          <w:lang w:val="ru-RU" w:eastAsia="uk-UA" w:bidi="uk-UA"/>
        </w:rPr>
        <w:t>6</w:t>
      </w:r>
      <w:r w:rsidRPr="001416ED">
        <w:rPr>
          <w:color w:val="auto"/>
          <w:sz w:val="28"/>
          <w:szCs w:val="28"/>
          <w:lang w:val="ru-RU" w:eastAsia="uk-UA" w:bidi="uk-UA"/>
        </w:rPr>
        <w:t xml:space="preserve">]. </w:t>
      </w:r>
      <w:proofErr w:type="gramStart"/>
      <w:r w:rsidRPr="001416ED">
        <w:rPr>
          <w:color w:val="auto"/>
          <w:sz w:val="28"/>
          <w:szCs w:val="28"/>
          <w:lang w:val="ru-RU" w:eastAsia="uk-UA" w:bidi="uk-UA"/>
        </w:rPr>
        <w:t>П</w:t>
      </w:r>
      <w:proofErr w:type="gramEnd"/>
      <w:r w:rsidRPr="001416ED">
        <w:rPr>
          <w:color w:val="auto"/>
          <w:sz w:val="28"/>
          <w:szCs w:val="28"/>
          <w:lang w:val="ru-RU" w:eastAsia="uk-UA" w:bidi="uk-UA"/>
        </w:rPr>
        <w:t>ідвищення рівня загального ХС збільшує ризик розвитку ГХ у чоловіків на 23</w:t>
      </w:r>
      <w:r w:rsidR="00D4219F" w:rsidRPr="001416ED">
        <w:rPr>
          <w:color w:val="auto"/>
          <w:sz w:val="28"/>
          <w:szCs w:val="28"/>
          <w:lang w:val="ru-RU" w:eastAsia="uk-UA" w:bidi="uk-UA"/>
        </w:rPr>
        <w:t xml:space="preserve"> %</w:t>
      </w:r>
      <w:r w:rsidRPr="001416ED">
        <w:rPr>
          <w:color w:val="auto"/>
          <w:sz w:val="28"/>
          <w:szCs w:val="28"/>
          <w:lang w:val="ru-RU" w:eastAsia="uk-UA" w:bidi="uk-UA"/>
        </w:rPr>
        <w:t xml:space="preserve"> [</w:t>
      </w:r>
      <w:r w:rsidR="008A7451" w:rsidRPr="001416ED">
        <w:rPr>
          <w:color w:val="auto"/>
          <w:sz w:val="28"/>
          <w:szCs w:val="28"/>
          <w:lang w:val="ru-RU" w:eastAsia="uk-UA" w:bidi="uk-UA"/>
        </w:rPr>
        <w:t>1</w:t>
      </w:r>
      <w:r w:rsidR="00C5261C" w:rsidRPr="001416ED">
        <w:rPr>
          <w:color w:val="auto"/>
          <w:sz w:val="28"/>
          <w:szCs w:val="28"/>
          <w:lang w:val="ru-RU" w:eastAsia="uk-UA" w:bidi="uk-UA"/>
        </w:rPr>
        <w:t>37</w:t>
      </w:r>
      <w:r w:rsidRPr="001416ED">
        <w:rPr>
          <w:color w:val="auto"/>
          <w:sz w:val="28"/>
          <w:szCs w:val="28"/>
          <w:lang w:val="ru-RU" w:eastAsia="uk-UA" w:bidi="uk-UA"/>
        </w:rPr>
        <w:t>].</w:t>
      </w:r>
    </w:p>
    <w:p w:rsidR="004334D9" w:rsidRPr="001416ED" w:rsidRDefault="005313D1" w:rsidP="00A770B7">
      <w:pPr>
        <w:spacing w:line="360" w:lineRule="auto"/>
        <w:ind w:firstLine="709"/>
        <w:jc w:val="both"/>
        <w:rPr>
          <w:lang w:val="uk-UA"/>
        </w:rPr>
      </w:pPr>
      <w:r w:rsidRPr="001416ED">
        <w:rPr>
          <w:lang w:val="uk-UA"/>
        </w:rPr>
        <w:t xml:space="preserve"> </w:t>
      </w:r>
      <w:r w:rsidR="00755101" w:rsidRPr="001416ED">
        <w:t xml:space="preserve">Ген </w:t>
      </w:r>
      <w:r w:rsidR="00755101" w:rsidRPr="001416ED">
        <w:rPr>
          <w:lang w:val="uk-UA"/>
        </w:rPr>
        <w:t>АТ1</w:t>
      </w:r>
      <w:r w:rsidR="00BC0119" w:rsidRPr="001416ED">
        <w:rPr>
          <w:lang w:val="uk-UA"/>
        </w:rPr>
        <w:t>–</w:t>
      </w:r>
      <w:r w:rsidR="00755101" w:rsidRPr="001416ED">
        <w:rPr>
          <w:lang w:val="uk-UA"/>
        </w:rPr>
        <w:t>Р</w:t>
      </w:r>
      <w:r w:rsidR="00755101" w:rsidRPr="001416ED">
        <w:t xml:space="preserve"> </w:t>
      </w:r>
      <w:r w:rsidR="00755101" w:rsidRPr="001416ED">
        <w:rPr>
          <w:lang w:val="uk-UA"/>
        </w:rPr>
        <w:t xml:space="preserve">розташований </w:t>
      </w:r>
      <w:proofErr w:type="gramStart"/>
      <w:r w:rsidR="00755101" w:rsidRPr="001416ED">
        <w:rPr>
          <w:lang w:val="uk-UA"/>
        </w:rPr>
        <w:t>на</w:t>
      </w:r>
      <w:proofErr w:type="gramEnd"/>
      <w:r w:rsidR="00755101" w:rsidRPr="001416ED">
        <w:rPr>
          <w:lang w:val="uk-UA"/>
        </w:rPr>
        <w:t xml:space="preserve"> хромосомі 3</w:t>
      </w:r>
      <w:r w:rsidR="00755101" w:rsidRPr="001416ED">
        <w:rPr>
          <w:lang w:val="en-US"/>
        </w:rPr>
        <w:t>q</w:t>
      </w:r>
      <w:r w:rsidR="00755101" w:rsidRPr="001416ED">
        <w:t>21</w:t>
      </w:r>
      <w:r w:rsidR="00BC0119" w:rsidRPr="001416ED">
        <w:t>–</w:t>
      </w:r>
      <w:r w:rsidR="00755101" w:rsidRPr="001416ED">
        <w:rPr>
          <w:lang w:val="en-US"/>
        </w:rPr>
        <w:t>q</w:t>
      </w:r>
      <w:r w:rsidR="00755101" w:rsidRPr="001416ED">
        <w:t>25</w:t>
      </w:r>
      <w:r w:rsidR="00043684" w:rsidRPr="001416ED">
        <w:rPr>
          <w:lang w:val="uk-UA"/>
        </w:rPr>
        <w:t xml:space="preserve">. А. Bonnardeaux і співавтори описали 16 поліморфних станів </w:t>
      </w:r>
      <w:r w:rsidR="00755101" w:rsidRPr="001416ED">
        <w:rPr>
          <w:lang w:val="uk-UA"/>
        </w:rPr>
        <w:t>гена АТ1</w:t>
      </w:r>
      <w:r w:rsidR="00BC0119" w:rsidRPr="001416ED">
        <w:rPr>
          <w:lang w:val="uk-UA"/>
        </w:rPr>
        <w:t>–</w:t>
      </w:r>
      <w:r w:rsidR="00755101" w:rsidRPr="001416ED">
        <w:rPr>
          <w:lang w:val="uk-UA"/>
        </w:rPr>
        <w:t xml:space="preserve">Р, але </w:t>
      </w:r>
      <w:r w:rsidR="00043684" w:rsidRPr="001416ED">
        <w:rPr>
          <w:lang w:val="uk-UA"/>
        </w:rPr>
        <w:t xml:space="preserve">з </w:t>
      </w:r>
      <w:r w:rsidR="0068425C" w:rsidRPr="001416ED">
        <w:rPr>
          <w:lang w:val="uk-UA"/>
        </w:rPr>
        <w:t>них</w:t>
      </w:r>
      <w:r w:rsidR="00043684" w:rsidRPr="001416ED">
        <w:rPr>
          <w:lang w:val="uk-UA"/>
        </w:rPr>
        <w:t xml:space="preserve"> впливає на функціональну активність рецептора і ефекти АТ</w:t>
      </w:r>
      <w:r w:rsidR="00BC0119" w:rsidRPr="001416ED">
        <w:rPr>
          <w:lang w:val="uk-UA"/>
        </w:rPr>
        <w:t>–</w:t>
      </w:r>
      <w:r w:rsidR="00043684" w:rsidRPr="001416ED">
        <w:rPr>
          <w:lang w:val="uk-UA"/>
        </w:rPr>
        <w:t xml:space="preserve">II в клітині тільки </w:t>
      </w:r>
      <w:r w:rsidR="00755101" w:rsidRPr="001416ED">
        <w:rPr>
          <w:lang w:val="uk-UA"/>
        </w:rPr>
        <w:t>мутація в третій нетрансльованій ділянці, що містить поліморфну ділянку А</w:t>
      </w:r>
      <w:r w:rsidR="001E3AAF">
        <w:rPr>
          <w:lang w:val="uk-UA"/>
        </w:rPr>
        <w:t xml:space="preserve"> </w:t>
      </w:r>
      <w:r w:rsidR="00F807CD" w:rsidRPr="001416ED">
        <w:rPr>
          <w:lang w:val="uk-UA"/>
        </w:rPr>
        <w:t>[</w:t>
      </w:r>
      <w:r w:rsidR="00755101" w:rsidRPr="001416ED">
        <w:rPr>
          <w:lang w:val="uk-UA"/>
        </w:rPr>
        <w:t xml:space="preserve">66С (являє собою заміну аденіна (А) на цитозин (С) в </w:t>
      </w:r>
      <w:r w:rsidR="00F807CD" w:rsidRPr="001416ED">
        <w:rPr>
          <w:lang w:val="uk-UA"/>
        </w:rPr>
        <w:t>[</w:t>
      </w:r>
      <w:r w:rsidR="00755101" w:rsidRPr="001416ED">
        <w:rPr>
          <w:lang w:val="uk-UA"/>
        </w:rPr>
        <w:t>66</w:t>
      </w:r>
      <w:r w:rsidR="00BC0119" w:rsidRPr="001416ED">
        <w:rPr>
          <w:lang w:val="uk-UA"/>
        </w:rPr>
        <w:t>–</w:t>
      </w:r>
      <w:r w:rsidR="00755101" w:rsidRPr="001416ED">
        <w:rPr>
          <w:lang w:val="uk-UA"/>
        </w:rPr>
        <w:t>му положенні нуклеотидної послідовності ланцюга)</w:t>
      </w:r>
      <w:r w:rsidR="00DC6F00" w:rsidRPr="001416ED">
        <w:rPr>
          <w:lang w:val="uk-UA"/>
        </w:rPr>
        <w:t xml:space="preserve"> [1</w:t>
      </w:r>
      <w:r w:rsidR="00C5261C" w:rsidRPr="001416ED">
        <w:rPr>
          <w:lang w:val="uk-UA"/>
        </w:rPr>
        <w:t>12</w:t>
      </w:r>
      <w:r w:rsidR="00DC6F00" w:rsidRPr="001416ED">
        <w:rPr>
          <w:lang w:val="uk-UA"/>
        </w:rPr>
        <w:t>]</w:t>
      </w:r>
      <w:r w:rsidR="00755101" w:rsidRPr="001416ED">
        <w:rPr>
          <w:lang w:val="uk-UA"/>
        </w:rPr>
        <w:t xml:space="preserve">. Значна частота  генотипу АС і СС у осіб з ГХ, за </w:t>
      </w:r>
      <w:r w:rsidR="00755101" w:rsidRPr="001416ED">
        <w:rPr>
          <w:lang w:val="uk-UA"/>
        </w:rPr>
        <w:lastRenderedPageBreak/>
        <w:t>даними літератури, дозволяє припустити, що саме цей варіант вносить значний вклад в регуляцію індивідуального рівня АТ і розвиток ГХ</w:t>
      </w:r>
      <w:r w:rsidR="0044299C" w:rsidRPr="001416ED">
        <w:rPr>
          <w:lang w:val="uk-UA"/>
        </w:rPr>
        <w:t xml:space="preserve"> [</w:t>
      </w:r>
      <w:r w:rsidR="0077484D" w:rsidRPr="001416ED">
        <w:rPr>
          <w:lang w:val="uk-UA"/>
        </w:rPr>
        <w:t>7</w:t>
      </w:r>
      <w:r w:rsidR="00274D0A" w:rsidRPr="001416ED">
        <w:rPr>
          <w:lang w:val="uk-UA"/>
        </w:rPr>
        <w:t>,</w:t>
      </w:r>
      <w:r w:rsidR="006229FE" w:rsidRPr="001416ED">
        <w:rPr>
          <w:lang w:val="uk-UA"/>
        </w:rPr>
        <w:t xml:space="preserve"> </w:t>
      </w:r>
      <w:r w:rsidR="00274D0A" w:rsidRPr="001416ED">
        <w:rPr>
          <w:lang w:val="uk-UA"/>
        </w:rPr>
        <w:t>2</w:t>
      </w:r>
      <w:r w:rsidR="0077484D" w:rsidRPr="001416ED">
        <w:rPr>
          <w:lang w:val="uk-UA"/>
        </w:rPr>
        <w:t>6</w:t>
      </w:r>
      <w:r w:rsidR="00274D0A" w:rsidRPr="001416ED">
        <w:rPr>
          <w:lang w:val="uk-UA"/>
        </w:rPr>
        <w:t>,</w:t>
      </w:r>
      <w:r w:rsidR="006229FE" w:rsidRPr="001416ED">
        <w:rPr>
          <w:lang w:val="uk-UA"/>
        </w:rPr>
        <w:t xml:space="preserve"> </w:t>
      </w:r>
      <w:r w:rsidR="00274D0A" w:rsidRPr="001416ED">
        <w:rPr>
          <w:lang w:val="uk-UA"/>
        </w:rPr>
        <w:t>3</w:t>
      </w:r>
      <w:r w:rsidR="0077484D" w:rsidRPr="001416ED">
        <w:rPr>
          <w:lang w:val="uk-UA"/>
        </w:rPr>
        <w:t>2</w:t>
      </w:r>
      <w:r w:rsidR="00274D0A" w:rsidRPr="001416ED">
        <w:rPr>
          <w:lang w:val="uk-UA"/>
        </w:rPr>
        <w:t>,</w:t>
      </w:r>
      <w:r w:rsidR="006229FE" w:rsidRPr="001416ED">
        <w:rPr>
          <w:lang w:val="uk-UA"/>
        </w:rPr>
        <w:t xml:space="preserve"> </w:t>
      </w:r>
      <w:r w:rsidR="00274D0A" w:rsidRPr="001416ED">
        <w:rPr>
          <w:lang w:val="uk-UA"/>
        </w:rPr>
        <w:t>3</w:t>
      </w:r>
      <w:r w:rsidR="0077484D" w:rsidRPr="001416ED">
        <w:rPr>
          <w:lang w:val="uk-UA"/>
        </w:rPr>
        <w:t>5</w:t>
      </w:r>
      <w:r w:rsidR="00274D0A" w:rsidRPr="001416ED">
        <w:rPr>
          <w:lang w:val="uk-UA"/>
        </w:rPr>
        <w:t>,</w:t>
      </w:r>
      <w:r w:rsidR="001E57F3" w:rsidRPr="001416ED">
        <w:rPr>
          <w:lang w:val="uk-UA"/>
        </w:rPr>
        <w:t xml:space="preserve"> </w:t>
      </w:r>
      <w:r w:rsidR="0077484D" w:rsidRPr="001416ED">
        <w:rPr>
          <w:lang w:val="uk-UA"/>
        </w:rPr>
        <w:t>77</w:t>
      </w:r>
      <w:r w:rsidR="00274D0A" w:rsidRPr="001416ED">
        <w:rPr>
          <w:lang w:val="uk-UA"/>
        </w:rPr>
        <w:t>,</w:t>
      </w:r>
      <w:r w:rsidR="006229FE" w:rsidRPr="001416ED">
        <w:rPr>
          <w:lang w:val="uk-UA"/>
        </w:rPr>
        <w:t xml:space="preserve"> </w:t>
      </w:r>
      <w:r w:rsidR="00274D0A" w:rsidRPr="001416ED">
        <w:rPr>
          <w:lang w:val="uk-UA"/>
        </w:rPr>
        <w:t>8</w:t>
      </w:r>
      <w:r w:rsidR="0077484D" w:rsidRPr="001416ED">
        <w:rPr>
          <w:lang w:val="uk-UA"/>
        </w:rPr>
        <w:t>3</w:t>
      </w:r>
      <w:r w:rsidR="00274D0A" w:rsidRPr="001416ED">
        <w:rPr>
          <w:lang w:val="uk-UA"/>
        </w:rPr>
        <w:t>,</w:t>
      </w:r>
      <w:r w:rsidR="006229FE" w:rsidRPr="001416ED">
        <w:rPr>
          <w:lang w:val="uk-UA"/>
        </w:rPr>
        <w:t xml:space="preserve"> </w:t>
      </w:r>
      <w:r w:rsidR="0077484D" w:rsidRPr="001416ED">
        <w:rPr>
          <w:lang w:val="uk-UA"/>
        </w:rPr>
        <w:t>86</w:t>
      </w:r>
      <w:r w:rsidR="00274D0A" w:rsidRPr="001416ED">
        <w:rPr>
          <w:lang w:val="uk-UA"/>
        </w:rPr>
        <w:t>,</w:t>
      </w:r>
      <w:r w:rsidR="006229FE" w:rsidRPr="001416ED">
        <w:rPr>
          <w:lang w:val="uk-UA"/>
        </w:rPr>
        <w:t xml:space="preserve"> </w:t>
      </w:r>
      <w:r w:rsidR="00E25563" w:rsidRPr="001416ED">
        <w:rPr>
          <w:lang w:val="uk-UA"/>
        </w:rPr>
        <w:t>89</w:t>
      </w:r>
      <w:r w:rsidR="001E57F3" w:rsidRPr="001416ED">
        <w:rPr>
          <w:lang w:val="uk-UA"/>
        </w:rPr>
        <w:t>,</w:t>
      </w:r>
      <w:r w:rsidR="006229FE" w:rsidRPr="001416ED">
        <w:rPr>
          <w:lang w:val="uk-UA"/>
        </w:rPr>
        <w:t xml:space="preserve"> </w:t>
      </w:r>
      <w:r w:rsidR="001E57F3" w:rsidRPr="001416ED">
        <w:rPr>
          <w:lang w:val="uk-UA"/>
        </w:rPr>
        <w:t>1</w:t>
      </w:r>
      <w:r w:rsidR="00E25563" w:rsidRPr="001416ED">
        <w:rPr>
          <w:lang w:val="uk-UA"/>
        </w:rPr>
        <w:t>06</w:t>
      </w:r>
      <w:r w:rsidR="001E57F3" w:rsidRPr="001416ED">
        <w:rPr>
          <w:lang w:val="uk-UA"/>
        </w:rPr>
        <w:t>,</w:t>
      </w:r>
      <w:r w:rsidR="006229FE" w:rsidRPr="001416ED">
        <w:rPr>
          <w:lang w:val="uk-UA"/>
        </w:rPr>
        <w:t xml:space="preserve"> </w:t>
      </w:r>
      <w:r w:rsidR="001E57F3" w:rsidRPr="001416ED">
        <w:rPr>
          <w:lang w:val="uk-UA"/>
        </w:rPr>
        <w:t>1</w:t>
      </w:r>
      <w:r w:rsidR="00E25563" w:rsidRPr="001416ED">
        <w:rPr>
          <w:lang w:val="uk-UA"/>
        </w:rPr>
        <w:t>19</w:t>
      </w:r>
      <w:r w:rsidR="001E57F3" w:rsidRPr="001416ED">
        <w:rPr>
          <w:lang w:val="uk-UA"/>
        </w:rPr>
        <w:t>,</w:t>
      </w:r>
      <w:r w:rsidR="006229FE" w:rsidRPr="001416ED">
        <w:rPr>
          <w:lang w:val="uk-UA"/>
        </w:rPr>
        <w:t xml:space="preserve"> </w:t>
      </w:r>
      <w:r w:rsidR="001E57F3" w:rsidRPr="001416ED">
        <w:rPr>
          <w:lang w:val="uk-UA"/>
        </w:rPr>
        <w:t>1</w:t>
      </w:r>
      <w:r w:rsidR="00E25563" w:rsidRPr="001416ED">
        <w:rPr>
          <w:lang w:val="uk-UA"/>
        </w:rPr>
        <w:t>53</w:t>
      </w:r>
      <w:r w:rsidR="001E57F3" w:rsidRPr="001416ED">
        <w:rPr>
          <w:lang w:val="uk-UA"/>
        </w:rPr>
        <w:t>,</w:t>
      </w:r>
      <w:r w:rsidR="006229FE" w:rsidRPr="001416ED">
        <w:rPr>
          <w:lang w:val="uk-UA"/>
        </w:rPr>
        <w:t xml:space="preserve"> </w:t>
      </w:r>
      <w:r w:rsidR="001E57F3" w:rsidRPr="001416ED">
        <w:rPr>
          <w:lang w:val="uk-UA"/>
        </w:rPr>
        <w:t>1</w:t>
      </w:r>
      <w:r w:rsidR="00E25563" w:rsidRPr="001416ED">
        <w:rPr>
          <w:lang w:val="uk-UA"/>
        </w:rPr>
        <w:t>57</w:t>
      </w:r>
      <w:r w:rsidR="001E57F3" w:rsidRPr="001416ED">
        <w:rPr>
          <w:lang w:val="uk-UA"/>
        </w:rPr>
        <w:t>,</w:t>
      </w:r>
      <w:r w:rsidR="006229FE" w:rsidRPr="001416ED">
        <w:rPr>
          <w:lang w:val="uk-UA"/>
        </w:rPr>
        <w:t xml:space="preserve"> </w:t>
      </w:r>
      <w:r w:rsidR="00E25563" w:rsidRPr="001416ED">
        <w:rPr>
          <w:lang w:val="uk-UA"/>
        </w:rPr>
        <w:t>193</w:t>
      </w:r>
      <w:r w:rsidR="0044299C" w:rsidRPr="001416ED">
        <w:rPr>
          <w:lang w:val="uk-UA"/>
        </w:rPr>
        <w:t>]</w:t>
      </w:r>
      <w:r w:rsidR="0045347A" w:rsidRPr="001416ED">
        <w:rPr>
          <w:lang w:val="uk-UA"/>
        </w:rPr>
        <w:t xml:space="preserve">. </w:t>
      </w:r>
    </w:p>
    <w:p w:rsidR="002D628A" w:rsidRPr="001416ED" w:rsidRDefault="004334D9" w:rsidP="00A770B7">
      <w:pPr>
        <w:spacing w:line="360" w:lineRule="auto"/>
        <w:ind w:firstLine="709"/>
        <w:jc w:val="both"/>
        <w:rPr>
          <w:lang w:val="uk-UA"/>
        </w:rPr>
      </w:pPr>
      <w:r w:rsidRPr="001416ED">
        <w:rPr>
          <w:lang w:val="uk-UA"/>
        </w:rPr>
        <w:t>З</w:t>
      </w:r>
      <w:r w:rsidR="0045347A" w:rsidRPr="001416ED">
        <w:rPr>
          <w:lang w:val="uk-UA"/>
        </w:rPr>
        <w:t>гідно даних літератури, у жителів Франції генотип АС та СС частіше зустрічався у пацієнтів з ГХ та у практично здорових осіб, що мали обт</w:t>
      </w:r>
      <w:r w:rsidR="007C5784" w:rsidRPr="001416ED">
        <w:rPr>
          <w:lang w:val="uk-UA"/>
        </w:rPr>
        <w:t>я</w:t>
      </w:r>
      <w:r w:rsidR="0045347A" w:rsidRPr="001416ED">
        <w:rPr>
          <w:lang w:val="uk-UA"/>
        </w:rPr>
        <w:t>жений спадковий анамнез по ГХ</w:t>
      </w:r>
      <w:r w:rsidR="00755101" w:rsidRPr="001416ED">
        <w:rPr>
          <w:lang w:val="uk-UA"/>
        </w:rPr>
        <w:t xml:space="preserve"> [</w:t>
      </w:r>
      <w:r w:rsidR="00D20877" w:rsidRPr="001416ED">
        <w:rPr>
          <w:lang w:val="uk-UA"/>
        </w:rPr>
        <w:t>1</w:t>
      </w:r>
      <w:r w:rsidR="00E25563" w:rsidRPr="001416ED">
        <w:rPr>
          <w:lang w:val="uk-UA"/>
        </w:rPr>
        <w:t>07</w:t>
      </w:r>
      <w:r w:rsidR="00D20877" w:rsidRPr="001416ED">
        <w:rPr>
          <w:lang w:val="uk-UA"/>
        </w:rPr>
        <w:t>,</w:t>
      </w:r>
      <w:r w:rsidR="006229FE" w:rsidRPr="001416ED">
        <w:rPr>
          <w:lang w:val="uk-UA"/>
        </w:rPr>
        <w:t xml:space="preserve"> </w:t>
      </w:r>
      <w:r w:rsidR="00D20877" w:rsidRPr="001416ED">
        <w:rPr>
          <w:rFonts w:eastAsiaTheme="minorHAnsi"/>
          <w:iCs/>
          <w:lang w:val="uk-UA" w:eastAsia="en-US"/>
        </w:rPr>
        <w:t>1</w:t>
      </w:r>
      <w:r w:rsidR="00E25563" w:rsidRPr="001416ED">
        <w:rPr>
          <w:rFonts w:eastAsiaTheme="minorHAnsi"/>
          <w:iCs/>
          <w:lang w:val="uk-UA" w:eastAsia="en-US"/>
        </w:rPr>
        <w:t>12</w:t>
      </w:r>
      <w:r w:rsidR="002F6CD1" w:rsidRPr="001416ED">
        <w:rPr>
          <w:lang w:val="uk-UA"/>
        </w:rPr>
        <w:t>]</w:t>
      </w:r>
      <w:r w:rsidR="00BC4F34" w:rsidRPr="001416ED">
        <w:rPr>
          <w:rFonts w:eastAsiaTheme="minorHAnsi"/>
          <w:iCs/>
          <w:lang w:val="uk-UA" w:eastAsia="en-US"/>
        </w:rPr>
        <w:t>. Подібна ситуація спостерігалась і у здорових австралійців, де носійство алелі С асоціювалось з підвищеним ризиком розвитку ГХ, при умові наявності обтяженої спадковості по АГ</w:t>
      </w:r>
      <w:r w:rsidR="006124F6" w:rsidRPr="001416ED">
        <w:rPr>
          <w:rFonts w:eastAsiaTheme="minorHAnsi"/>
          <w:iCs/>
          <w:lang w:val="uk-UA" w:eastAsia="en-US"/>
        </w:rPr>
        <w:t xml:space="preserve"> </w:t>
      </w:r>
      <w:r w:rsidR="006124F6" w:rsidRPr="001416ED">
        <w:rPr>
          <w:lang w:val="uk-UA"/>
        </w:rPr>
        <w:t>[</w:t>
      </w:r>
      <w:r w:rsidR="00795E4E" w:rsidRPr="001416ED">
        <w:rPr>
          <w:lang w:val="uk-UA"/>
        </w:rPr>
        <w:t>1</w:t>
      </w:r>
      <w:r w:rsidR="00E25563" w:rsidRPr="001416ED">
        <w:rPr>
          <w:lang w:val="uk-UA"/>
        </w:rPr>
        <w:t>48</w:t>
      </w:r>
      <w:r w:rsidR="006124F6" w:rsidRPr="001416ED">
        <w:rPr>
          <w:lang w:val="uk-UA"/>
        </w:rPr>
        <w:t>]</w:t>
      </w:r>
      <w:r w:rsidR="00BC4F34" w:rsidRPr="001416ED">
        <w:rPr>
          <w:rFonts w:eastAsiaTheme="minorHAnsi"/>
          <w:iCs/>
          <w:lang w:val="uk-UA" w:eastAsia="en-US"/>
        </w:rPr>
        <w:t>.</w:t>
      </w:r>
      <w:r w:rsidR="00EB27F7" w:rsidRPr="001416ED">
        <w:rPr>
          <w:rFonts w:eastAsiaTheme="minorHAnsi"/>
          <w:iCs/>
          <w:lang w:val="uk-UA" w:eastAsia="en-US"/>
        </w:rPr>
        <w:t xml:space="preserve"> У жителів Японії, виявлений зв'язок між генотипом СС і збільшенням </w:t>
      </w:r>
      <w:r w:rsidR="00A60D7D" w:rsidRPr="001416ED">
        <w:rPr>
          <w:rFonts w:eastAsiaTheme="minorHAnsi"/>
          <w:iCs/>
          <w:lang w:val="uk-UA" w:eastAsia="en-US"/>
        </w:rPr>
        <w:t>і</w:t>
      </w:r>
      <w:r w:rsidR="00EB27F7" w:rsidRPr="001416ED">
        <w:rPr>
          <w:rFonts w:eastAsiaTheme="minorHAnsi"/>
          <w:iCs/>
          <w:lang w:val="uk-UA" w:eastAsia="en-US"/>
        </w:rPr>
        <w:t xml:space="preserve">ММЛШ як у пацієнтів з </w:t>
      </w:r>
      <w:r w:rsidR="0068425C" w:rsidRPr="001416ED">
        <w:rPr>
          <w:rFonts w:eastAsiaTheme="minorHAnsi"/>
          <w:iCs/>
          <w:lang w:val="uk-UA" w:eastAsia="en-US"/>
        </w:rPr>
        <w:t>ГХ</w:t>
      </w:r>
      <w:r w:rsidR="00EB27F7" w:rsidRPr="001416ED">
        <w:rPr>
          <w:rFonts w:eastAsiaTheme="minorHAnsi"/>
          <w:iCs/>
          <w:lang w:val="uk-UA" w:eastAsia="en-US"/>
        </w:rPr>
        <w:t>, так і</w:t>
      </w:r>
      <w:r w:rsidR="002E113D" w:rsidRPr="001416ED">
        <w:rPr>
          <w:rFonts w:eastAsiaTheme="minorHAnsi"/>
          <w:iCs/>
          <w:lang w:val="uk-UA" w:eastAsia="en-US"/>
        </w:rPr>
        <w:t xml:space="preserve"> у осіб</w:t>
      </w:r>
      <w:r w:rsidR="00EB27F7" w:rsidRPr="001416ED">
        <w:rPr>
          <w:rFonts w:eastAsiaTheme="minorHAnsi"/>
          <w:iCs/>
          <w:lang w:val="uk-UA" w:eastAsia="en-US"/>
        </w:rPr>
        <w:t xml:space="preserve"> з нормальним АТ</w:t>
      </w:r>
      <w:r w:rsidR="00991BF6" w:rsidRPr="001416ED">
        <w:rPr>
          <w:rFonts w:eastAsiaTheme="minorHAnsi"/>
          <w:iCs/>
          <w:lang w:val="uk-UA" w:eastAsia="en-US"/>
        </w:rPr>
        <w:t xml:space="preserve"> </w:t>
      </w:r>
      <w:r w:rsidR="00991BF6" w:rsidRPr="001416ED">
        <w:rPr>
          <w:lang w:val="uk-UA"/>
        </w:rPr>
        <w:t>[</w:t>
      </w:r>
      <w:r w:rsidR="00795E4E" w:rsidRPr="001416ED">
        <w:rPr>
          <w:lang w:val="uk-UA"/>
        </w:rPr>
        <w:t>1</w:t>
      </w:r>
      <w:r w:rsidR="00E25563" w:rsidRPr="001416ED">
        <w:rPr>
          <w:lang w:val="uk-UA"/>
        </w:rPr>
        <w:t>69</w:t>
      </w:r>
      <w:r w:rsidR="00991BF6" w:rsidRPr="001416ED">
        <w:rPr>
          <w:lang w:val="uk-UA"/>
        </w:rPr>
        <w:t>]</w:t>
      </w:r>
      <w:r w:rsidR="00991BF6" w:rsidRPr="001416ED">
        <w:rPr>
          <w:rFonts w:eastAsiaTheme="minorHAnsi"/>
          <w:iCs/>
          <w:lang w:val="uk-UA" w:eastAsia="en-US"/>
        </w:rPr>
        <w:t>.</w:t>
      </w:r>
      <w:r w:rsidR="002A22E4" w:rsidRPr="001416ED">
        <w:rPr>
          <w:lang w:val="uk-UA"/>
        </w:rPr>
        <w:t xml:space="preserve"> У нідерландському дослідженні виявлено, що у пацієнтів з ГХ, що є носіями генотипу СС вазоконстрикція грудної артерії у відповідь на введення АТ</w:t>
      </w:r>
      <w:r w:rsidR="00BC0119" w:rsidRPr="001416ED">
        <w:rPr>
          <w:lang w:val="uk-UA"/>
        </w:rPr>
        <w:t>–</w:t>
      </w:r>
      <w:r w:rsidR="002A22E4" w:rsidRPr="001416ED">
        <w:rPr>
          <w:lang w:val="uk-UA"/>
        </w:rPr>
        <w:t>ІІ є достовірно вищою, ніж у пацієнтів з генотипами АА та АС [</w:t>
      </w:r>
      <w:r w:rsidR="00E25563" w:rsidRPr="001416ED">
        <w:rPr>
          <w:lang w:val="uk-UA"/>
        </w:rPr>
        <w:t>191</w:t>
      </w:r>
      <w:r w:rsidR="002A22E4" w:rsidRPr="001416ED">
        <w:rPr>
          <w:lang w:val="uk-UA"/>
        </w:rPr>
        <w:t>]</w:t>
      </w:r>
      <w:r w:rsidR="002A22E4" w:rsidRPr="001416ED">
        <w:rPr>
          <w:rFonts w:eastAsiaTheme="minorHAnsi"/>
          <w:iCs/>
          <w:lang w:val="uk-UA" w:eastAsia="en-US"/>
        </w:rPr>
        <w:t>.</w:t>
      </w:r>
      <w:r w:rsidR="002A22E4" w:rsidRPr="001416ED">
        <w:rPr>
          <w:lang w:val="uk-UA"/>
        </w:rPr>
        <w:t xml:space="preserve"> У </w:t>
      </w:r>
      <w:r w:rsidR="002D628A" w:rsidRPr="001416ED">
        <w:rPr>
          <w:lang w:val="uk-UA"/>
        </w:rPr>
        <w:t xml:space="preserve">мешканців </w:t>
      </w:r>
      <w:r w:rsidR="002A22E4" w:rsidRPr="001416ED">
        <w:rPr>
          <w:lang w:val="uk-UA"/>
        </w:rPr>
        <w:t>північної Індії б</w:t>
      </w:r>
      <w:r w:rsidR="00F40087" w:rsidRPr="001416ED">
        <w:rPr>
          <w:lang w:val="uk-UA"/>
        </w:rPr>
        <w:t>у</w:t>
      </w:r>
      <w:r w:rsidR="002A22E4" w:rsidRPr="001416ED">
        <w:rPr>
          <w:lang w:val="uk-UA"/>
        </w:rPr>
        <w:t xml:space="preserve">ла виявлена достовірна асоціація між носійством генотипів АС та СС та розвитком </w:t>
      </w:r>
      <w:r w:rsidR="00866E48" w:rsidRPr="001416ED">
        <w:rPr>
          <w:lang w:val="uk-UA"/>
        </w:rPr>
        <w:t>Е</w:t>
      </w:r>
      <w:r w:rsidR="002A22E4" w:rsidRPr="001416ED">
        <w:rPr>
          <w:lang w:val="uk-UA"/>
        </w:rPr>
        <w:t xml:space="preserve">Г. Окрім того у </w:t>
      </w:r>
      <w:r w:rsidR="00F40087" w:rsidRPr="001416ED">
        <w:rPr>
          <w:lang w:val="uk-UA"/>
        </w:rPr>
        <w:t>осіб з генотипом СС ризик розвитку ГХ в 2,4 більший ніж у пацієнтів з АС та АА</w:t>
      </w:r>
      <w:r w:rsidR="00F40087" w:rsidRPr="001416ED">
        <w:t xml:space="preserve"> </w:t>
      </w:r>
      <w:r w:rsidR="00F40087" w:rsidRPr="001416ED">
        <w:rPr>
          <w:lang w:val="uk-UA"/>
        </w:rPr>
        <w:t>[</w:t>
      </w:r>
      <w:r w:rsidR="00795E4E" w:rsidRPr="001416ED">
        <w:rPr>
          <w:lang w:val="uk-UA"/>
        </w:rPr>
        <w:t>1</w:t>
      </w:r>
      <w:r w:rsidR="00E25563" w:rsidRPr="001416ED">
        <w:rPr>
          <w:lang w:val="uk-UA"/>
        </w:rPr>
        <w:t>19</w:t>
      </w:r>
      <w:r w:rsidR="00F40087" w:rsidRPr="001416ED">
        <w:rPr>
          <w:lang w:val="uk-UA"/>
        </w:rPr>
        <w:t>]</w:t>
      </w:r>
      <w:r w:rsidR="00F40087" w:rsidRPr="001416ED">
        <w:rPr>
          <w:rFonts w:eastAsiaTheme="minorHAnsi"/>
          <w:iCs/>
          <w:lang w:val="uk-UA" w:eastAsia="en-US"/>
        </w:rPr>
        <w:t>.</w:t>
      </w:r>
      <w:r w:rsidR="002D628A" w:rsidRPr="001416ED">
        <w:t xml:space="preserve"> </w:t>
      </w:r>
      <w:r w:rsidR="0068425C" w:rsidRPr="001416ED">
        <w:rPr>
          <w:lang w:val="uk-UA"/>
        </w:rPr>
        <w:t>Щ</w:t>
      </w:r>
      <w:r w:rsidR="0068425C" w:rsidRPr="001416ED">
        <w:t>одо жител</w:t>
      </w:r>
      <w:r w:rsidR="0068425C" w:rsidRPr="001416ED">
        <w:rPr>
          <w:lang w:val="uk-UA"/>
        </w:rPr>
        <w:t>і</w:t>
      </w:r>
      <w:r w:rsidR="0068425C" w:rsidRPr="001416ED">
        <w:t>в Аргентини</w:t>
      </w:r>
      <w:r w:rsidR="002E113D" w:rsidRPr="001416ED">
        <w:rPr>
          <w:lang w:val="uk-UA"/>
        </w:rPr>
        <w:t xml:space="preserve"> (м. Сан Лью</w:t>
      </w:r>
      <w:r w:rsidR="00B91681" w:rsidRPr="001416ED">
        <w:rPr>
          <w:lang w:val="uk-UA"/>
        </w:rPr>
        <w:t>і</w:t>
      </w:r>
      <w:r w:rsidR="002E113D" w:rsidRPr="001416ED">
        <w:rPr>
          <w:lang w:val="uk-UA"/>
        </w:rPr>
        <w:t>с)</w:t>
      </w:r>
      <w:r w:rsidR="0068425C" w:rsidRPr="001416ED">
        <w:t xml:space="preserve"> </w:t>
      </w:r>
      <w:r w:rsidR="0068425C" w:rsidRPr="001416ED">
        <w:rPr>
          <w:lang w:val="uk-UA"/>
        </w:rPr>
        <w:t xml:space="preserve">встановлено, що алель С </w:t>
      </w:r>
      <w:r w:rsidR="00797887" w:rsidRPr="001416ED">
        <w:rPr>
          <w:lang w:val="uk-UA"/>
        </w:rPr>
        <w:t xml:space="preserve">та генотип АС </w:t>
      </w:r>
      <w:r w:rsidR="0068425C" w:rsidRPr="001416ED">
        <w:rPr>
          <w:lang w:val="uk-UA"/>
        </w:rPr>
        <w:t>достовірно частіше визначалась у пацієнтів з ГХ в порівнянні з контрольною групою</w:t>
      </w:r>
      <w:r w:rsidR="00797887" w:rsidRPr="001416ED">
        <w:rPr>
          <w:lang w:val="uk-UA"/>
        </w:rPr>
        <w:t xml:space="preserve"> </w:t>
      </w:r>
      <w:r w:rsidR="00182AF2" w:rsidRPr="001416ED">
        <w:rPr>
          <w:lang w:val="uk-UA"/>
        </w:rPr>
        <w:t>[</w:t>
      </w:r>
      <w:r w:rsidR="00795E4E" w:rsidRPr="001416ED">
        <w:rPr>
          <w:lang w:val="uk-UA"/>
        </w:rPr>
        <w:t>1</w:t>
      </w:r>
      <w:r w:rsidR="00E25563" w:rsidRPr="001416ED">
        <w:rPr>
          <w:lang w:val="uk-UA"/>
        </w:rPr>
        <w:t>57</w:t>
      </w:r>
      <w:r w:rsidR="00182AF2" w:rsidRPr="001416ED">
        <w:rPr>
          <w:lang w:val="uk-UA"/>
        </w:rPr>
        <w:t>].</w:t>
      </w:r>
      <w:r w:rsidR="00304BA3" w:rsidRPr="001416ED">
        <w:rPr>
          <w:lang w:val="uk-UA"/>
        </w:rPr>
        <w:t xml:space="preserve"> У населення Китаю виявлено, що носійство генотипу АС та СС вірогідно асоціюється з виникненням </w:t>
      </w:r>
      <w:r w:rsidR="00866E48" w:rsidRPr="001416ED">
        <w:rPr>
          <w:lang w:val="uk-UA"/>
        </w:rPr>
        <w:t>Е</w:t>
      </w:r>
      <w:r w:rsidR="00304BA3" w:rsidRPr="001416ED">
        <w:rPr>
          <w:lang w:val="uk-UA"/>
        </w:rPr>
        <w:t>Г [</w:t>
      </w:r>
      <w:r w:rsidR="00E25563" w:rsidRPr="001416ED">
        <w:rPr>
          <w:lang w:val="uk-UA"/>
        </w:rPr>
        <w:t>193</w:t>
      </w:r>
      <w:r w:rsidR="00304BA3" w:rsidRPr="001416ED">
        <w:rPr>
          <w:lang w:val="uk-UA"/>
        </w:rPr>
        <w:t>].</w:t>
      </w:r>
      <w:r w:rsidR="00C4375C" w:rsidRPr="001416ED">
        <w:rPr>
          <w:lang w:val="uk-UA"/>
        </w:rPr>
        <w:t xml:space="preserve"> Однак у науковому дослідженні, що проводилось в Ірані не виявлено достовірної різниці у носійстві генотипів АА, А</w:t>
      </w:r>
      <w:r w:rsidR="00B91681" w:rsidRPr="001416ED">
        <w:rPr>
          <w:lang w:val="uk-UA"/>
        </w:rPr>
        <w:t>С</w:t>
      </w:r>
      <w:r w:rsidR="00C4375C" w:rsidRPr="001416ED">
        <w:rPr>
          <w:lang w:val="uk-UA"/>
        </w:rPr>
        <w:t xml:space="preserve"> та СС між</w:t>
      </w:r>
      <w:r w:rsidR="00F742F2" w:rsidRPr="001416ED">
        <w:rPr>
          <w:lang w:val="uk-UA"/>
        </w:rPr>
        <w:t xml:space="preserve"> нормотензивними та гіпертензив</w:t>
      </w:r>
      <w:r w:rsidR="00C4375C" w:rsidRPr="001416ED">
        <w:rPr>
          <w:lang w:val="uk-UA"/>
        </w:rPr>
        <w:t>ними жінками, однак алель С вірогідно частіше зустрічалась у жінок, що мають високий АТ [</w:t>
      </w:r>
      <w:r w:rsidR="00795E4E" w:rsidRPr="001416ED">
        <w:rPr>
          <w:lang w:val="uk-UA"/>
        </w:rPr>
        <w:t>1</w:t>
      </w:r>
      <w:r w:rsidR="004B2235" w:rsidRPr="001416ED">
        <w:rPr>
          <w:lang w:val="uk-UA"/>
        </w:rPr>
        <w:t>06</w:t>
      </w:r>
      <w:r w:rsidR="00C4375C" w:rsidRPr="001416ED">
        <w:rPr>
          <w:lang w:val="uk-UA"/>
        </w:rPr>
        <w:t>].</w:t>
      </w:r>
    </w:p>
    <w:p w:rsidR="00064686" w:rsidRPr="001416ED" w:rsidRDefault="00C4375C" w:rsidP="00A770B7">
      <w:pPr>
        <w:spacing w:line="360" w:lineRule="auto"/>
        <w:ind w:firstLine="709"/>
        <w:jc w:val="both"/>
        <w:rPr>
          <w:lang w:val="uk-UA"/>
        </w:rPr>
      </w:pPr>
      <w:r w:rsidRPr="001416ED">
        <w:rPr>
          <w:lang w:val="uk-UA"/>
        </w:rPr>
        <w:t>Проте у інших наукових роботах автори демонструють протилежні результати. Так, серед нігерійців 99</w:t>
      </w:r>
      <w:r w:rsidR="00D4219F" w:rsidRPr="001416ED">
        <w:rPr>
          <w:lang w:val="uk-UA"/>
        </w:rPr>
        <w:t xml:space="preserve"> %</w:t>
      </w:r>
      <w:r w:rsidRPr="001416ED">
        <w:rPr>
          <w:lang w:val="uk-UA"/>
        </w:rPr>
        <w:t xml:space="preserve"> досліджених осіб, до яких входили як пацієнти з ГХ так і практично здорові чоловіки та жінки, були носіями генотипу АА, і лише 1</w:t>
      </w:r>
      <w:r w:rsidR="00D4219F" w:rsidRPr="001416ED">
        <w:rPr>
          <w:lang w:val="uk-UA"/>
        </w:rPr>
        <w:t xml:space="preserve"> %</w:t>
      </w:r>
      <w:r w:rsidRPr="001416ED">
        <w:rPr>
          <w:lang w:val="uk-UA"/>
        </w:rPr>
        <w:t xml:space="preserve"> </w:t>
      </w:r>
      <w:r w:rsidR="00BC0119" w:rsidRPr="001416ED">
        <w:rPr>
          <w:lang w:val="uk-UA"/>
        </w:rPr>
        <w:t>–</w:t>
      </w:r>
      <w:r w:rsidRPr="001416ED">
        <w:rPr>
          <w:lang w:val="uk-UA"/>
        </w:rPr>
        <w:t xml:space="preserve"> АС.</w:t>
      </w:r>
      <w:r w:rsidRPr="001416ED">
        <w:rPr>
          <w:shd w:val="clear" w:color="auto" w:fill="FFFFFF"/>
          <w:lang w:val="uk-UA"/>
        </w:rPr>
        <w:t xml:space="preserve"> А також,</w:t>
      </w:r>
      <w:r w:rsidRPr="001416ED">
        <w:rPr>
          <w:sz w:val="16"/>
          <w:szCs w:val="16"/>
          <w:shd w:val="clear" w:color="auto" w:fill="FFFFFF"/>
          <w:lang w:val="uk-UA"/>
        </w:rPr>
        <w:t xml:space="preserve"> </w:t>
      </w:r>
      <w:r w:rsidRPr="001416ED">
        <w:rPr>
          <w:shd w:val="clear" w:color="auto" w:fill="FFFFFF"/>
          <w:lang w:val="uk-UA"/>
        </w:rPr>
        <w:t xml:space="preserve">поліморфізм </w:t>
      </w:r>
      <w:r w:rsidRPr="001416ED">
        <w:rPr>
          <w:shd w:val="clear" w:color="auto" w:fill="FFFFFF"/>
        </w:rPr>
        <w:t>A</w:t>
      </w:r>
      <w:r w:rsidRPr="001416ED">
        <w:rPr>
          <w:shd w:val="clear" w:color="auto" w:fill="FFFFFF"/>
          <w:lang w:val="uk-UA"/>
        </w:rPr>
        <w:t>1166</w:t>
      </w:r>
      <w:r w:rsidRPr="001416ED">
        <w:rPr>
          <w:shd w:val="clear" w:color="auto" w:fill="FFFFFF"/>
        </w:rPr>
        <w:t>C</w:t>
      </w:r>
      <w:r w:rsidRPr="001416ED">
        <w:rPr>
          <w:shd w:val="clear" w:color="auto" w:fill="FFFFFF"/>
          <w:lang w:val="uk-UA"/>
        </w:rPr>
        <w:t xml:space="preserve"> не асоціювався з розвитком ГХ.</w:t>
      </w:r>
      <w:r w:rsidR="00064686" w:rsidRPr="001416ED">
        <w:rPr>
          <w:lang w:val="uk-UA"/>
        </w:rPr>
        <w:t xml:space="preserve"> Не встановлено зв’язку поліморфізму гена АТ1</w:t>
      </w:r>
      <w:r w:rsidR="00BC0119" w:rsidRPr="001416ED">
        <w:rPr>
          <w:lang w:val="uk-UA"/>
        </w:rPr>
        <w:t>–</w:t>
      </w:r>
      <w:r w:rsidR="00064686" w:rsidRPr="001416ED">
        <w:rPr>
          <w:lang w:val="uk-UA"/>
        </w:rPr>
        <w:t>Р з показниками АТ та мас</w:t>
      </w:r>
      <w:r w:rsidR="00681CF8" w:rsidRPr="001416ED">
        <w:rPr>
          <w:lang w:val="uk-UA"/>
        </w:rPr>
        <w:t>ою</w:t>
      </w:r>
      <w:r w:rsidR="00064686" w:rsidRPr="001416ED">
        <w:rPr>
          <w:lang w:val="uk-UA"/>
        </w:rPr>
        <w:t xml:space="preserve"> міокарду </w:t>
      </w:r>
      <w:r w:rsidR="00AF4D05" w:rsidRPr="001416ED">
        <w:rPr>
          <w:lang w:val="uk-UA"/>
        </w:rPr>
        <w:t>ЛШ</w:t>
      </w:r>
      <w:r w:rsidR="00064686" w:rsidRPr="001416ED">
        <w:rPr>
          <w:lang w:val="uk-UA"/>
        </w:rPr>
        <w:t xml:space="preserve"> (ММЛШ) у мешканців Італії [</w:t>
      </w:r>
      <w:r w:rsidR="00795E4E" w:rsidRPr="001416ED">
        <w:rPr>
          <w:lang w:val="uk-UA"/>
        </w:rPr>
        <w:t>1</w:t>
      </w:r>
      <w:r w:rsidR="004B2235" w:rsidRPr="001416ED">
        <w:rPr>
          <w:lang w:val="uk-UA"/>
        </w:rPr>
        <w:t>74</w:t>
      </w:r>
      <w:r w:rsidR="00064686" w:rsidRPr="001416ED">
        <w:rPr>
          <w:lang w:val="uk-UA"/>
        </w:rPr>
        <w:t>].</w:t>
      </w:r>
      <w:r w:rsidR="000C1774" w:rsidRPr="001416ED">
        <w:rPr>
          <w:lang w:val="uk-UA"/>
        </w:rPr>
        <w:t xml:space="preserve"> </w:t>
      </w:r>
    </w:p>
    <w:p w:rsidR="00A4128B" w:rsidRPr="001416ED" w:rsidRDefault="00B91681" w:rsidP="00A770B7">
      <w:pPr>
        <w:spacing w:line="360" w:lineRule="auto"/>
        <w:ind w:firstLine="709"/>
        <w:jc w:val="both"/>
        <w:rPr>
          <w:lang w:val="uk-UA"/>
        </w:rPr>
      </w:pPr>
      <w:r w:rsidRPr="001416ED">
        <w:rPr>
          <w:lang w:val="uk-UA"/>
        </w:rPr>
        <w:t xml:space="preserve">Подібні дослідження проводились </w:t>
      </w:r>
      <w:r w:rsidR="003A2E58" w:rsidRPr="001416ED">
        <w:rPr>
          <w:lang w:val="uk-UA"/>
        </w:rPr>
        <w:t xml:space="preserve">і </w:t>
      </w:r>
      <w:r w:rsidRPr="001416ED">
        <w:rPr>
          <w:lang w:val="uk-UA"/>
        </w:rPr>
        <w:t xml:space="preserve">на теренах України. </w:t>
      </w:r>
      <w:r w:rsidR="003A2E58" w:rsidRPr="001416ED">
        <w:rPr>
          <w:lang w:val="uk-UA"/>
        </w:rPr>
        <w:t xml:space="preserve">Так, </w:t>
      </w:r>
      <w:r w:rsidR="00A4128B" w:rsidRPr="001416ED">
        <w:rPr>
          <w:lang w:val="uk-UA"/>
        </w:rPr>
        <w:t>у Полтавському регіоні проводилось дослідження поширення генотипів АТ1</w:t>
      </w:r>
      <w:r w:rsidR="00BC0119" w:rsidRPr="001416ED">
        <w:rPr>
          <w:lang w:val="uk-UA"/>
        </w:rPr>
        <w:t>–</w:t>
      </w:r>
      <w:r w:rsidR="00A4128B" w:rsidRPr="001416ED">
        <w:rPr>
          <w:lang w:val="uk-UA"/>
        </w:rPr>
        <w:t xml:space="preserve">Р </w:t>
      </w:r>
      <w:r w:rsidR="00A4128B" w:rsidRPr="001416ED">
        <w:rPr>
          <w:lang w:val="uk-UA"/>
        </w:rPr>
        <w:lastRenderedPageBreak/>
        <w:t>(А1199С), у здорових чоловіків та хворих з ЕГ і</w:t>
      </w:r>
      <w:r w:rsidR="002E673E" w:rsidRPr="001416ED">
        <w:rPr>
          <w:lang w:val="uk-UA"/>
        </w:rPr>
        <w:t xml:space="preserve"> ренопаренхіматозною гіпертензією (РПАГ)</w:t>
      </w:r>
      <w:r w:rsidR="00A4128B" w:rsidRPr="001416ED">
        <w:rPr>
          <w:lang w:val="uk-UA"/>
        </w:rPr>
        <w:t>.</w:t>
      </w:r>
      <w:r w:rsidR="002E673E" w:rsidRPr="001416ED">
        <w:rPr>
          <w:lang w:val="uk-UA"/>
        </w:rPr>
        <w:t xml:space="preserve"> У групі хворих ЕГ, порівняно зі здоровими особами, відзначається збільшення </w:t>
      </w:r>
      <w:r w:rsidR="00AF4D05" w:rsidRPr="001416ED">
        <w:rPr>
          <w:lang w:val="uk-UA"/>
        </w:rPr>
        <w:t xml:space="preserve">частоти генотипу СС </w:t>
      </w:r>
      <w:r w:rsidR="002E673E" w:rsidRPr="001416ED">
        <w:rPr>
          <w:lang w:val="uk-UA"/>
        </w:rPr>
        <w:t>в 2 рази</w:t>
      </w:r>
      <w:r w:rsidR="00AF4D05" w:rsidRPr="001416ED">
        <w:rPr>
          <w:lang w:val="uk-UA"/>
        </w:rPr>
        <w:t>,</w:t>
      </w:r>
      <w:r w:rsidR="002E673E" w:rsidRPr="001416ED">
        <w:rPr>
          <w:lang w:val="uk-UA"/>
        </w:rPr>
        <w:t xml:space="preserve"> </w:t>
      </w:r>
      <w:r w:rsidR="00AF4D05" w:rsidRPr="001416ED">
        <w:rPr>
          <w:lang w:val="uk-UA"/>
        </w:rPr>
        <w:t xml:space="preserve">АС </w:t>
      </w:r>
      <w:r w:rsidR="002E673E" w:rsidRPr="001416ED">
        <w:rPr>
          <w:lang w:val="uk-UA"/>
        </w:rPr>
        <w:t>в 1,5 рази</w:t>
      </w:r>
      <w:r w:rsidR="00AF4D05" w:rsidRPr="001416ED">
        <w:rPr>
          <w:lang w:val="uk-UA"/>
        </w:rPr>
        <w:t xml:space="preserve">, </w:t>
      </w:r>
      <w:r w:rsidR="002E673E" w:rsidRPr="001416ED">
        <w:rPr>
          <w:lang w:val="uk-UA"/>
        </w:rPr>
        <w:t xml:space="preserve">і зменшення майже в 3 рази генотипу АА. У пацієнтів з РПАГ генотип АС зустрічається в 2 рази частіше, порівняно зі здоровими особами, генотип АА </w:t>
      </w:r>
      <w:r w:rsidR="00BC0119" w:rsidRPr="001416ED">
        <w:rPr>
          <w:lang w:val="uk-UA"/>
        </w:rPr>
        <w:t>–</w:t>
      </w:r>
      <w:r w:rsidR="002E673E" w:rsidRPr="001416ED">
        <w:rPr>
          <w:lang w:val="uk-UA"/>
        </w:rPr>
        <w:t xml:space="preserve"> в 1,7 рази рідше, а ге</w:t>
      </w:r>
      <w:r w:rsidR="00F870BD" w:rsidRPr="001416ED">
        <w:rPr>
          <w:lang w:val="uk-UA"/>
        </w:rPr>
        <w:t xml:space="preserve">нотип СС </w:t>
      </w:r>
      <w:r w:rsidR="00BC0119" w:rsidRPr="001416ED">
        <w:rPr>
          <w:lang w:val="uk-UA"/>
        </w:rPr>
        <w:t>–</w:t>
      </w:r>
      <w:r w:rsidR="00F870BD" w:rsidRPr="001416ED">
        <w:rPr>
          <w:lang w:val="uk-UA"/>
        </w:rPr>
        <w:t xml:space="preserve"> в 3,6 рази рідше. Ал</w:t>
      </w:r>
      <w:r w:rsidR="002E673E" w:rsidRPr="001416ED">
        <w:rPr>
          <w:lang w:val="uk-UA"/>
        </w:rPr>
        <w:t>ель С у хворих РПАГ зустрічається в 1,4 рази частіше, ніж у здорових, частота алелі А істотно не відрізняється. Слід зазначити відмінності у розподілі генотипів при РПАГ від ЕГ.</w:t>
      </w:r>
      <w:r w:rsidR="00F870BD" w:rsidRPr="001416ED">
        <w:rPr>
          <w:lang w:val="uk-UA"/>
        </w:rPr>
        <w:t xml:space="preserve"> При РПАГ: значно менша кількість осіб з генотипом СС і більше з генотипом АС [</w:t>
      </w:r>
      <w:r w:rsidR="00325BC0" w:rsidRPr="001416ED">
        <w:rPr>
          <w:lang w:val="uk-UA"/>
        </w:rPr>
        <w:t>3</w:t>
      </w:r>
      <w:r w:rsidR="004B2235" w:rsidRPr="001416ED">
        <w:rPr>
          <w:lang w:val="uk-UA"/>
        </w:rPr>
        <w:t>5</w:t>
      </w:r>
      <w:r w:rsidR="00F870BD" w:rsidRPr="001416ED">
        <w:rPr>
          <w:lang w:val="uk-UA"/>
        </w:rPr>
        <w:t>].</w:t>
      </w:r>
    </w:p>
    <w:p w:rsidR="00B91681" w:rsidRPr="001416ED" w:rsidRDefault="00A4128B" w:rsidP="00A770B7">
      <w:pPr>
        <w:spacing w:line="360" w:lineRule="auto"/>
        <w:ind w:firstLine="709"/>
        <w:jc w:val="both"/>
        <w:rPr>
          <w:lang w:val="uk-UA"/>
        </w:rPr>
      </w:pPr>
      <w:r w:rsidRPr="001416ED">
        <w:rPr>
          <w:lang w:val="uk-UA"/>
        </w:rPr>
        <w:t>Н</w:t>
      </w:r>
      <w:r w:rsidR="003A2E58" w:rsidRPr="001416ED">
        <w:rPr>
          <w:lang w:val="uk-UA"/>
        </w:rPr>
        <w:t>а території Одеської області у чоловіків носійство генотипів АС і СС AT1</w:t>
      </w:r>
      <w:r w:rsidR="00BC0119" w:rsidRPr="001416ED">
        <w:rPr>
          <w:lang w:val="uk-UA"/>
        </w:rPr>
        <w:t>–</w:t>
      </w:r>
      <w:r w:rsidR="003A2E58" w:rsidRPr="001416ED">
        <w:rPr>
          <w:lang w:val="uk-UA"/>
        </w:rPr>
        <w:t xml:space="preserve">R асоціюється з великим рівнем </w:t>
      </w:r>
      <w:r w:rsidR="00CA6CBC" w:rsidRPr="001416ED">
        <w:rPr>
          <w:lang w:val="uk-UA"/>
        </w:rPr>
        <w:t>САТ</w:t>
      </w:r>
      <w:r w:rsidR="003A2E58" w:rsidRPr="001416ED">
        <w:rPr>
          <w:lang w:val="uk-UA"/>
        </w:rPr>
        <w:t xml:space="preserve"> і відносним кардіоваскулярним ризиком, але не асоціюється з</w:t>
      </w:r>
      <w:r w:rsidR="00667CAB" w:rsidRPr="001416ED">
        <w:rPr>
          <w:lang w:val="uk-UA"/>
        </w:rPr>
        <w:t>і</w:t>
      </w:r>
      <w:r w:rsidR="003A2E58" w:rsidRPr="001416ED">
        <w:rPr>
          <w:lang w:val="uk-UA"/>
        </w:rPr>
        <w:t xml:space="preserve"> зміною структурних параметрів ЛШ по даним </w:t>
      </w:r>
      <w:r w:rsidR="005E05F4" w:rsidRPr="001416ED">
        <w:rPr>
          <w:lang w:val="uk-UA"/>
        </w:rPr>
        <w:t>ехокардіографії (</w:t>
      </w:r>
      <w:r w:rsidR="003A2E58" w:rsidRPr="001416ED">
        <w:rPr>
          <w:lang w:val="uk-UA"/>
        </w:rPr>
        <w:t>ЕхоКГ</w:t>
      </w:r>
      <w:r w:rsidR="005E05F4" w:rsidRPr="001416ED">
        <w:rPr>
          <w:lang w:val="uk-UA"/>
        </w:rPr>
        <w:t>)</w:t>
      </w:r>
      <w:r w:rsidR="001B77E5" w:rsidRPr="001416ED">
        <w:rPr>
          <w:lang w:val="uk-UA"/>
        </w:rPr>
        <w:t>.</w:t>
      </w:r>
      <w:r w:rsidR="00640C6E" w:rsidRPr="001416ED">
        <w:rPr>
          <w:lang w:val="uk-UA"/>
        </w:rPr>
        <w:t xml:space="preserve"> Не виявлено достовірних відмінностей в частотному розподілі генотипів і алелей AT1</w:t>
      </w:r>
      <w:r w:rsidR="00BC0119" w:rsidRPr="001416ED">
        <w:rPr>
          <w:lang w:val="uk-UA"/>
        </w:rPr>
        <w:t>–</w:t>
      </w:r>
      <w:r w:rsidR="00BA4DE5" w:rsidRPr="001416ED">
        <w:rPr>
          <w:lang w:val="uk-UA"/>
        </w:rPr>
        <w:t>Р А</w:t>
      </w:r>
      <w:r w:rsidR="00640C6E" w:rsidRPr="001416ED">
        <w:rPr>
          <w:lang w:val="uk-UA"/>
        </w:rPr>
        <w:t>1166С поліморфізму між пацієнтами різних груп обстеження</w:t>
      </w:r>
      <w:r w:rsidR="001B77E5" w:rsidRPr="001416ED">
        <w:rPr>
          <w:lang w:val="uk-UA"/>
        </w:rPr>
        <w:t xml:space="preserve"> [</w:t>
      </w:r>
      <w:r w:rsidR="00325BC0" w:rsidRPr="001416ED">
        <w:rPr>
          <w:lang w:val="uk-UA"/>
        </w:rPr>
        <w:t>8</w:t>
      </w:r>
      <w:r w:rsidR="004B2235" w:rsidRPr="001416ED">
        <w:rPr>
          <w:lang w:val="uk-UA"/>
        </w:rPr>
        <w:t>3</w:t>
      </w:r>
      <w:r w:rsidR="001B77E5" w:rsidRPr="001416ED">
        <w:rPr>
          <w:lang w:val="uk-UA"/>
        </w:rPr>
        <w:t>].</w:t>
      </w:r>
    </w:p>
    <w:p w:rsidR="00451A90" w:rsidRPr="001416ED" w:rsidRDefault="00DC51A3" w:rsidP="00A770B7">
      <w:pPr>
        <w:spacing w:line="360" w:lineRule="auto"/>
        <w:ind w:firstLine="709"/>
        <w:jc w:val="both"/>
        <w:rPr>
          <w:lang w:val="uk-UA"/>
        </w:rPr>
      </w:pPr>
      <w:r w:rsidRPr="001416ED">
        <w:rPr>
          <w:lang w:val="uk-UA"/>
        </w:rPr>
        <w:t>У Харкові обстежували чоловіків та жінок, що перенесли інфаркт міокарда.</w:t>
      </w:r>
      <w:r w:rsidRPr="001416ED">
        <w:rPr>
          <w:sz w:val="13"/>
          <w:szCs w:val="13"/>
          <w:shd w:val="clear" w:color="auto" w:fill="FFFFFF"/>
          <w:lang w:val="uk-UA"/>
        </w:rPr>
        <w:t xml:space="preserve"> </w:t>
      </w:r>
      <w:r w:rsidRPr="001416ED">
        <w:rPr>
          <w:shd w:val="clear" w:color="auto" w:fill="FFFFFF"/>
          <w:lang w:val="uk-UA"/>
        </w:rPr>
        <w:t>Пацієнти, які перенесли ІМ, ма</w:t>
      </w:r>
      <w:r w:rsidR="004261FA" w:rsidRPr="001416ED">
        <w:rPr>
          <w:shd w:val="clear" w:color="auto" w:fill="FFFFFF"/>
          <w:lang w:val="uk-UA"/>
        </w:rPr>
        <w:t>ли</w:t>
      </w:r>
      <w:r w:rsidRPr="001416ED">
        <w:rPr>
          <w:shd w:val="clear" w:color="auto" w:fill="FFFFFF"/>
          <w:lang w:val="uk-UA"/>
        </w:rPr>
        <w:t xml:space="preserve"> різний тип генотипу А1166С гена</w:t>
      </w:r>
      <w:r w:rsidR="004261FA" w:rsidRPr="001416ED">
        <w:rPr>
          <w:lang w:val="uk-UA"/>
        </w:rPr>
        <w:t xml:space="preserve"> AT1</w:t>
      </w:r>
      <w:r w:rsidR="00BC0119" w:rsidRPr="001416ED">
        <w:rPr>
          <w:lang w:val="uk-UA"/>
        </w:rPr>
        <w:t>–</w:t>
      </w:r>
      <w:r w:rsidR="00BA4DE5" w:rsidRPr="001416ED">
        <w:rPr>
          <w:lang w:val="uk-UA"/>
        </w:rPr>
        <w:t>Р</w:t>
      </w:r>
      <w:r w:rsidRPr="001416ED">
        <w:rPr>
          <w:shd w:val="clear" w:color="auto" w:fill="FFFFFF"/>
          <w:lang w:val="uk-UA"/>
        </w:rPr>
        <w:t xml:space="preserve">: генотип АА </w:t>
      </w:r>
      <w:r w:rsidR="00236882" w:rsidRPr="001416ED">
        <w:rPr>
          <w:shd w:val="clear" w:color="auto" w:fill="FFFFFF"/>
          <w:lang w:val="uk-UA"/>
        </w:rPr>
        <w:t>–</w:t>
      </w:r>
      <w:r w:rsidRPr="001416ED">
        <w:rPr>
          <w:shd w:val="clear" w:color="auto" w:fill="FFFFFF"/>
          <w:lang w:val="uk-UA"/>
        </w:rPr>
        <w:t xml:space="preserve"> 60,0 </w:t>
      </w:r>
      <w:r w:rsidR="00D4219F" w:rsidRPr="001416ED">
        <w:rPr>
          <w:shd w:val="clear" w:color="auto" w:fill="FFFFFF"/>
          <w:lang w:val="uk-UA"/>
        </w:rPr>
        <w:t xml:space="preserve"> %</w:t>
      </w:r>
      <w:r w:rsidRPr="001416ED">
        <w:rPr>
          <w:shd w:val="clear" w:color="auto" w:fill="FFFFFF"/>
          <w:lang w:val="uk-UA"/>
        </w:rPr>
        <w:t xml:space="preserve"> хворих, АС </w:t>
      </w:r>
      <w:r w:rsidR="00236882" w:rsidRPr="001416ED">
        <w:rPr>
          <w:shd w:val="clear" w:color="auto" w:fill="FFFFFF"/>
          <w:lang w:val="uk-UA"/>
        </w:rPr>
        <w:t>–</w:t>
      </w:r>
      <w:r w:rsidRPr="001416ED">
        <w:rPr>
          <w:shd w:val="clear" w:color="auto" w:fill="FFFFFF"/>
          <w:lang w:val="uk-UA"/>
        </w:rPr>
        <w:t xml:space="preserve"> 33,3 </w:t>
      </w:r>
      <w:r w:rsidR="00D4219F" w:rsidRPr="001416ED">
        <w:rPr>
          <w:shd w:val="clear" w:color="auto" w:fill="FFFFFF"/>
          <w:lang w:val="uk-UA"/>
        </w:rPr>
        <w:t xml:space="preserve"> %</w:t>
      </w:r>
      <w:r w:rsidRPr="001416ED">
        <w:rPr>
          <w:shd w:val="clear" w:color="auto" w:fill="FFFFFF"/>
          <w:lang w:val="uk-UA"/>
        </w:rPr>
        <w:t xml:space="preserve">, СС </w:t>
      </w:r>
      <w:r w:rsidR="00236882" w:rsidRPr="001416ED">
        <w:rPr>
          <w:shd w:val="clear" w:color="auto" w:fill="FFFFFF"/>
          <w:lang w:val="uk-UA"/>
        </w:rPr>
        <w:t>–</w:t>
      </w:r>
      <w:r w:rsidRPr="001416ED">
        <w:rPr>
          <w:shd w:val="clear" w:color="auto" w:fill="FFFFFF"/>
          <w:lang w:val="uk-UA"/>
        </w:rPr>
        <w:t xml:space="preserve"> 6,7 </w:t>
      </w:r>
      <w:r w:rsidR="00D4219F" w:rsidRPr="001416ED">
        <w:rPr>
          <w:shd w:val="clear" w:color="auto" w:fill="FFFFFF"/>
          <w:lang w:val="uk-UA"/>
        </w:rPr>
        <w:t xml:space="preserve"> %</w:t>
      </w:r>
      <w:r w:rsidRPr="001416ED">
        <w:rPr>
          <w:shd w:val="clear" w:color="auto" w:fill="FFFFFF"/>
          <w:lang w:val="uk-UA"/>
        </w:rPr>
        <w:t xml:space="preserve">. У </w:t>
      </w:r>
      <w:r w:rsidR="001E3AAF">
        <w:rPr>
          <w:shd w:val="clear" w:color="auto" w:fill="FFFFFF"/>
          <w:lang w:val="uk-UA"/>
        </w:rPr>
        <w:t>пацієнтів з</w:t>
      </w:r>
      <w:r w:rsidRPr="001416ED">
        <w:rPr>
          <w:shd w:val="clear" w:color="auto" w:fill="FFFFFF"/>
          <w:lang w:val="uk-UA"/>
        </w:rPr>
        <w:t xml:space="preserve"> ІМ </w:t>
      </w:r>
      <w:r w:rsidR="00236882" w:rsidRPr="001416ED">
        <w:rPr>
          <w:shd w:val="clear" w:color="auto" w:fill="FFFFFF"/>
          <w:lang w:val="uk-UA"/>
        </w:rPr>
        <w:t>–</w:t>
      </w:r>
      <w:r w:rsidRPr="001416ED">
        <w:rPr>
          <w:shd w:val="clear" w:color="auto" w:fill="FFFFFF"/>
          <w:lang w:val="uk-UA"/>
        </w:rPr>
        <w:t xml:space="preserve"> носіїв мутантного рідкісного алеля </w:t>
      </w:r>
      <w:r w:rsidR="004261FA" w:rsidRPr="001416ED">
        <w:rPr>
          <w:shd w:val="clear" w:color="auto" w:fill="FFFFFF"/>
          <w:lang w:val="uk-UA"/>
        </w:rPr>
        <w:t xml:space="preserve">С </w:t>
      </w:r>
      <w:r w:rsidRPr="001416ED">
        <w:rPr>
          <w:shd w:val="clear" w:color="auto" w:fill="FFFFFF"/>
          <w:lang w:val="uk-UA"/>
        </w:rPr>
        <w:t>(АС і СС) порівняно з носіями А</w:t>
      </w:r>
      <w:r w:rsidR="00BC0119" w:rsidRPr="001416ED">
        <w:rPr>
          <w:shd w:val="clear" w:color="auto" w:fill="FFFFFF"/>
          <w:lang w:val="uk-UA"/>
        </w:rPr>
        <w:t>–</w:t>
      </w:r>
      <w:r w:rsidRPr="001416ED">
        <w:rPr>
          <w:shd w:val="clear" w:color="auto" w:fill="FFFFFF"/>
          <w:lang w:val="uk-UA"/>
        </w:rPr>
        <w:t>алеля спостерігався більший обсяг некрозу міокарда за даними сироваткового вмісту МВ фракції креатинфосфокінази</w:t>
      </w:r>
      <w:r w:rsidR="006811E7" w:rsidRPr="001416ED">
        <w:rPr>
          <w:shd w:val="clear" w:color="auto" w:fill="FFFFFF"/>
          <w:lang w:val="uk-UA"/>
        </w:rPr>
        <w:t xml:space="preserve"> </w:t>
      </w:r>
      <w:r w:rsidR="006811E7" w:rsidRPr="001416ED">
        <w:rPr>
          <w:lang w:val="uk-UA"/>
        </w:rPr>
        <w:t>[</w:t>
      </w:r>
      <w:r w:rsidR="004B2235" w:rsidRPr="001416ED">
        <w:rPr>
          <w:lang w:val="uk-UA"/>
        </w:rPr>
        <w:t>89</w:t>
      </w:r>
      <w:r w:rsidR="006811E7" w:rsidRPr="001416ED">
        <w:rPr>
          <w:lang w:val="uk-UA"/>
        </w:rPr>
        <w:t>].</w:t>
      </w:r>
    </w:p>
    <w:p w:rsidR="00470BB3" w:rsidRPr="001416ED" w:rsidRDefault="00E6734F" w:rsidP="00A770B7">
      <w:pPr>
        <w:spacing w:line="360" w:lineRule="auto"/>
        <w:ind w:firstLine="709"/>
        <w:jc w:val="both"/>
        <w:rPr>
          <w:lang w:val="uk-UA"/>
        </w:rPr>
      </w:pPr>
      <w:r w:rsidRPr="001416ED">
        <w:rPr>
          <w:lang w:val="uk-UA"/>
        </w:rPr>
        <w:t xml:space="preserve">Подібні дослідження проводились серед чоловіків і жінок на кафедрі внутрішньої медицини медичного факультету №2 Вінницького національного медичного університету ім. М.І. Пирогова. </w:t>
      </w:r>
      <w:r w:rsidR="00451A90" w:rsidRPr="001416ED">
        <w:rPr>
          <w:lang w:val="uk-UA"/>
        </w:rPr>
        <w:t xml:space="preserve">При дослідженні </w:t>
      </w:r>
      <w:r w:rsidR="004A45D2" w:rsidRPr="001416ED">
        <w:rPr>
          <w:lang w:val="uk-UA"/>
        </w:rPr>
        <w:t xml:space="preserve">практично здорових </w:t>
      </w:r>
      <w:r w:rsidR="00451A90" w:rsidRPr="001416ED">
        <w:rPr>
          <w:lang w:val="uk-UA"/>
        </w:rPr>
        <w:t>чоловіків</w:t>
      </w:r>
      <w:r w:rsidR="004A45D2" w:rsidRPr="001416ED">
        <w:rPr>
          <w:lang w:val="uk-UA"/>
        </w:rPr>
        <w:t xml:space="preserve"> та з ГХ ІІ і ІІІ стадій (</w:t>
      </w:r>
      <w:r w:rsidR="005E05F4" w:rsidRPr="001416ED">
        <w:rPr>
          <w:lang w:val="uk-UA"/>
        </w:rPr>
        <w:t>що ускладнена</w:t>
      </w:r>
      <w:r w:rsidR="004A45D2" w:rsidRPr="001416ED">
        <w:rPr>
          <w:lang w:val="uk-UA"/>
        </w:rPr>
        <w:t xml:space="preserve"> ІМ або </w:t>
      </w:r>
      <w:r w:rsidR="00DD2E39" w:rsidRPr="001416ED">
        <w:rPr>
          <w:lang w:val="uk-UA"/>
        </w:rPr>
        <w:t>МІ</w:t>
      </w:r>
      <w:r w:rsidR="004A45D2" w:rsidRPr="001416ED">
        <w:rPr>
          <w:lang w:val="uk-UA"/>
        </w:rPr>
        <w:t>)</w:t>
      </w:r>
      <w:r w:rsidR="00451A90" w:rsidRPr="001416ED">
        <w:rPr>
          <w:lang w:val="uk-UA"/>
        </w:rPr>
        <w:t xml:space="preserve"> </w:t>
      </w:r>
      <w:r w:rsidR="004A45D2" w:rsidRPr="001416ED">
        <w:rPr>
          <w:lang w:val="uk-UA"/>
        </w:rPr>
        <w:t xml:space="preserve">у </w:t>
      </w:r>
      <w:r w:rsidR="00451A90" w:rsidRPr="001416ED">
        <w:rPr>
          <w:lang w:val="uk-UA"/>
        </w:rPr>
        <w:t>Вінницьк</w:t>
      </w:r>
      <w:r w:rsidR="004A45D2" w:rsidRPr="001416ED">
        <w:rPr>
          <w:lang w:val="uk-UA"/>
        </w:rPr>
        <w:t>ій</w:t>
      </w:r>
      <w:r w:rsidR="00451A90" w:rsidRPr="001416ED">
        <w:rPr>
          <w:lang w:val="uk-UA"/>
        </w:rPr>
        <w:t xml:space="preserve"> області визначено,</w:t>
      </w:r>
      <w:r w:rsidR="00451A90" w:rsidRPr="001416ED">
        <w:rPr>
          <w:sz w:val="13"/>
          <w:szCs w:val="13"/>
          <w:lang w:val="uk-UA"/>
        </w:rPr>
        <w:t xml:space="preserve"> </w:t>
      </w:r>
      <w:r w:rsidR="00451A90" w:rsidRPr="001416ED">
        <w:rPr>
          <w:lang w:val="uk-UA"/>
        </w:rPr>
        <w:t xml:space="preserve">що носійство генотипів АС та СС </w:t>
      </w:r>
      <w:r w:rsidR="005E05F4" w:rsidRPr="001416ED">
        <w:rPr>
          <w:lang w:val="uk-UA"/>
        </w:rPr>
        <w:t>і</w:t>
      </w:r>
      <w:r w:rsidR="00451A90" w:rsidRPr="001416ED">
        <w:rPr>
          <w:lang w:val="uk-UA"/>
        </w:rPr>
        <w:t xml:space="preserve"> алеля С гена АТ1</w:t>
      </w:r>
      <w:r w:rsidR="00BC0119" w:rsidRPr="001416ED">
        <w:rPr>
          <w:lang w:val="uk-UA"/>
        </w:rPr>
        <w:t>–</w:t>
      </w:r>
      <w:r w:rsidR="00451A90" w:rsidRPr="001416ED">
        <w:rPr>
          <w:lang w:val="uk-UA"/>
        </w:rPr>
        <w:t>Р пов'язане з вірогідно більшим ризиком захворюваності на ГХ, однак не визначає ймовірн</w:t>
      </w:r>
      <w:r w:rsidR="00AB63DF" w:rsidRPr="001416ED">
        <w:rPr>
          <w:lang w:val="uk-UA"/>
        </w:rPr>
        <w:t>ість виникнення ІМ або МІ у дан</w:t>
      </w:r>
      <w:r w:rsidR="00451A90" w:rsidRPr="001416ED">
        <w:rPr>
          <w:lang w:val="uk-UA"/>
        </w:rPr>
        <w:t>ій групі хворих. Поліморфізм гена АТ1</w:t>
      </w:r>
      <w:r w:rsidR="00BC0119" w:rsidRPr="001416ED">
        <w:rPr>
          <w:lang w:val="uk-UA"/>
        </w:rPr>
        <w:t>–</w:t>
      </w:r>
      <w:r w:rsidR="00451A90" w:rsidRPr="001416ED">
        <w:rPr>
          <w:lang w:val="uk-UA"/>
        </w:rPr>
        <w:t xml:space="preserve">Р має суттєвий вплив на розвиток процесів </w:t>
      </w:r>
      <w:r w:rsidR="004A45D2" w:rsidRPr="001416ED">
        <w:rPr>
          <w:lang w:val="uk-UA"/>
        </w:rPr>
        <w:t>ремоделювання</w:t>
      </w:r>
      <w:r w:rsidR="00AB63DF" w:rsidRPr="001416ED">
        <w:rPr>
          <w:lang w:val="uk-UA"/>
        </w:rPr>
        <w:t xml:space="preserve"> ЛШ</w:t>
      </w:r>
      <w:r w:rsidR="00451A90" w:rsidRPr="001416ED">
        <w:rPr>
          <w:lang w:val="uk-UA"/>
        </w:rPr>
        <w:t xml:space="preserve">: у чоловіків </w:t>
      </w:r>
      <w:r w:rsidR="00236882" w:rsidRPr="001416ED">
        <w:rPr>
          <w:lang w:val="uk-UA"/>
        </w:rPr>
        <w:t>–</w:t>
      </w:r>
      <w:r w:rsidR="00451A90" w:rsidRPr="001416ED">
        <w:rPr>
          <w:lang w:val="uk-UA"/>
        </w:rPr>
        <w:t xml:space="preserve"> носіїв </w:t>
      </w:r>
      <w:r w:rsidR="00451A90" w:rsidRPr="001416ED">
        <w:rPr>
          <w:lang w:val="uk-UA"/>
        </w:rPr>
        <w:lastRenderedPageBreak/>
        <w:t xml:space="preserve">генотипів АС та СС, хворих як на неускладнену ГХ, так і ускладнену ІМ, </w:t>
      </w:r>
      <w:r w:rsidR="00236882" w:rsidRPr="001416ED">
        <w:rPr>
          <w:lang w:val="uk-UA"/>
        </w:rPr>
        <w:t>–</w:t>
      </w:r>
      <w:r w:rsidR="00451A90" w:rsidRPr="001416ED">
        <w:rPr>
          <w:lang w:val="uk-UA"/>
        </w:rPr>
        <w:t xml:space="preserve"> зростає ММЛШ та порушується його діастолічна функція. Носії генотипу АА, хворі на неускладнену ГХ, мають більш сприятливі перспективи щодо стану міокарда ЛШ навіть при більш тяжкому перебігу хвороби, оскільки зростання </w:t>
      </w:r>
      <w:r w:rsidR="00046A18" w:rsidRPr="001416ED">
        <w:rPr>
          <w:lang w:val="uk-UA"/>
        </w:rPr>
        <w:t>стадії</w:t>
      </w:r>
      <w:r w:rsidR="00451A90" w:rsidRPr="001416ED">
        <w:rPr>
          <w:lang w:val="uk-UA"/>
        </w:rPr>
        <w:t xml:space="preserve"> захворювання в них супроводжується менш вираженими змінами внутрішньосерцевої гемодинаміки, а також структури міокарда, ніж у носіїв генотипів АС та СС</w:t>
      </w:r>
      <w:r w:rsidR="00ED247E" w:rsidRPr="001416ED">
        <w:rPr>
          <w:lang w:val="uk-UA"/>
        </w:rPr>
        <w:t xml:space="preserve"> [</w:t>
      </w:r>
      <w:r w:rsidR="00325BC0" w:rsidRPr="001416ED">
        <w:rPr>
          <w:lang w:val="uk-UA"/>
        </w:rPr>
        <w:t>3</w:t>
      </w:r>
      <w:r w:rsidR="004B2235" w:rsidRPr="001416ED">
        <w:rPr>
          <w:lang w:val="uk-UA"/>
        </w:rPr>
        <w:t>2</w:t>
      </w:r>
      <w:r w:rsidR="00ED247E" w:rsidRPr="001416ED">
        <w:rPr>
          <w:lang w:val="uk-UA"/>
        </w:rPr>
        <w:t>]</w:t>
      </w:r>
      <w:r w:rsidR="00451A90" w:rsidRPr="001416ED">
        <w:rPr>
          <w:lang w:val="uk-UA"/>
        </w:rPr>
        <w:t>.</w:t>
      </w:r>
      <w:r w:rsidR="00B04225" w:rsidRPr="001416ED">
        <w:rPr>
          <w:lang w:val="uk-UA"/>
        </w:rPr>
        <w:t xml:space="preserve"> </w:t>
      </w:r>
      <w:r w:rsidR="004A45D2" w:rsidRPr="001416ED">
        <w:rPr>
          <w:lang w:val="uk-UA"/>
        </w:rPr>
        <w:t>У іншій науковій роботі, що проводилася серед практично здорових чоловіків, хворих на ГХ ІІ ст</w:t>
      </w:r>
      <w:r w:rsidR="00D4219F" w:rsidRPr="001416ED">
        <w:rPr>
          <w:lang w:val="uk-UA"/>
        </w:rPr>
        <w:t>.</w:t>
      </w:r>
      <w:r w:rsidR="004A45D2" w:rsidRPr="001416ED">
        <w:rPr>
          <w:lang w:val="uk-UA"/>
        </w:rPr>
        <w:t>, та ГХ,</w:t>
      </w:r>
      <w:r w:rsidR="00D4219F" w:rsidRPr="001416ED">
        <w:rPr>
          <w:lang w:val="uk-UA"/>
        </w:rPr>
        <w:t xml:space="preserve"> що</w:t>
      </w:r>
      <w:r w:rsidR="004A45D2" w:rsidRPr="001416ED">
        <w:rPr>
          <w:lang w:val="uk-UA"/>
        </w:rPr>
        <w:t xml:space="preserve"> ускладнен</w:t>
      </w:r>
      <w:r w:rsidR="00D4219F" w:rsidRPr="001416ED">
        <w:rPr>
          <w:lang w:val="uk-UA"/>
        </w:rPr>
        <w:t>а</w:t>
      </w:r>
      <w:r w:rsidR="004A45D2" w:rsidRPr="001416ED">
        <w:rPr>
          <w:lang w:val="uk-UA"/>
        </w:rPr>
        <w:t xml:space="preserve"> </w:t>
      </w:r>
      <w:r w:rsidR="00CE6C23" w:rsidRPr="001416ED">
        <w:rPr>
          <w:lang w:val="uk-UA"/>
        </w:rPr>
        <w:t>ХСН</w:t>
      </w:r>
      <w:r w:rsidR="004A45D2" w:rsidRPr="001416ED">
        <w:rPr>
          <w:lang w:val="uk-UA"/>
        </w:rPr>
        <w:t xml:space="preserve"> ІІ А стадії, мешканців Вінницької області визначено, що генотипи АТ1</w:t>
      </w:r>
      <w:r w:rsidR="00BC0119" w:rsidRPr="001416ED">
        <w:rPr>
          <w:lang w:val="uk-UA"/>
        </w:rPr>
        <w:t>–</w:t>
      </w:r>
      <w:r w:rsidR="004A45D2" w:rsidRPr="001416ED">
        <w:rPr>
          <w:lang w:val="uk-UA"/>
        </w:rPr>
        <w:t>Р типу АС і СС зустрічається достовірно частіше, ніж серед здорових осіб, а н</w:t>
      </w:r>
      <w:r w:rsidR="00077F8C" w:rsidRPr="001416ED">
        <w:rPr>
          <w:lang w:val="uk-UA"/>
        </w:rPr>
        <w:t>осійство генотипу АС у хворих</w:t>
      </w:r>
      <w:r w:rsidR="006B4E45" w:rsidRPr="001416ED">
        <w:rPr>
          <w:lang w:val="uk-UA"/>
        </w:rPr>
        <w:t xml:space="preserve"> з</w:t>
      </w:r>
      <w:r w:rsidR="00077F8C" w:rsidRPr="001416ED">
        <w:rPr>
          <w:lang w:val="uk-UA"/>
        </w:rPr>
        <w:t xml:space="preserve"> ГХ чоловіків визначає найбільшу ймовірність </w:t>
      </w:r>
      <w:r w:rsidR="00BC0119" w:rsidRPr="001416ED">
        <w:rPr>
          <w:lang w:val="uk-UA"/>
        </w:rPr>
        <w:t>–</w:t>
      </w:r>
      <w:r w:rsidR="00077F8C" w:rsidRPr="001416ED">
        <w:rPr>
          <w:lang w:val="uk-UA"/>
        </w:rPr>
        <w:t xml:space="preserve"> 77</w:t>
      </w:r>
      <w:r w:rsidR="00D4219F" w:rsidRPr="001416ED">
        <w:rPr>
          <w:lang w:val="uk-UA"/>
        </w:rPr>
        <w:t xml:space="preserve"> %</w:t>
      </w:r>
      <w:r w:rsidR="00077F8C" w:rsidRPr="001416ED">
        <w:rPr>
          <w:lang w:val="uk-UA"/>
        </w:rPr>
        <w:t xml:space="preserve"> розвитку </w:t>
      </w:r>
      <w:r w:rsidR="00CE6C23" w:rsidRPr="001416ED">
        <w:rPr>
          <w:lang w:val="uk-UA"/>
        </w:rPr>
        <w:t>Х</w:t>
      </w:r>
      <w:r w:rsidR="00077F8C" w:rsidRPr="001416ED">
        <w:rPr>
          <w:lang w:val="uk-UA"/>
        </w:rPr>
        <w:t xml:space="preserve">СН зі зниженою систолічною функцією </w:t>
      </w:r>
      <w:r w:rsidR="00AB63DF" w:rsidRPr="001416ED">
        <w:rPr>
          <w:lang w:val="uk-UA"/>
        </w:rPr>
        <w:t>ЛШ</w:t>
      </w:r>
      <w:r w:rsidR="00ED247E" w:rsidRPr="001416ED">
        <w:rPr>
          <w:lang w:val="uk-UA"/>
        </w:rPr>
        <w:t xml:space="preserve"> [</w:t>
      </w:r>
      <w:r w:rsidR="004B2235" w:rsidRPr="001416ED">
        <w:rPr>
          <w:lang w:val="uk-UA"/>
        </w:rPr>
        <w:t>7</w:t>
      </w:r>
      <w:r w:rsidR="00ED247E" w:rsidRPr="001416ED">
        <w:rPr>
          <w:lang w:val="uk-UA"/>
        </w:rPr>
        <w:t>].</w:t>
      </w:r>
      <w:r w:rsidR="006B33D8" w:rsidRPr="001416ED">
        <w:rPr>
          <w:lang w:val="uk-UA"/>
        </w:rPr>
        <w:t xml:space="preserve"> </w:t>
      </w:r>
      <w:r w:rsidR="006B4E45" w:rsidRPr="001416ED">
        <w:rPr>
          <w:lang w:val="uk-UA"/>
        </w:rPr>
        <w:t>При вивченні практично здорових жінок, пацієнток з ГХ ІІ ст</w:t>
      </w:r>
      <w:r w:rsidR="00D4219F" w:rsidRPr="001416ED">
        <w:rPr>
          <w:lang w:val="uk-UA"/>
        </w:rPr>
        <w:t>.</w:t>
      </w:r>
      <w:r w:rsidR="006B4E45" w:rsidRPr="001416ED">
        <w:rPr>
          <w:lang w:val="uk-UA"/>
        </w:rPr>
        <w:t xml:space="preserve"> та осіб, що перенесли ІМ або МІ на тлі ГХ, мешканок Вінницької області, встановлено, що у хворих на ГХ, які перенесли  ІМ, генотип АС зустрічається вірогідно частіше (47</w:t>
      </w:r>
      <w:r w:rsidR="00D4219F" w:rsidRPr="001416ED">
        <w:rPr>
          <w:lang w:val="uk-UA"/>
        </w:rPr>
        <w:t xml:space="preserve"> %</w:t>
      </w:r>
      <w:r w:rsidR="006B4E45" w:rsidRPr="001416ED">
        <w:rPr>
          <w:lang w:val="uk-UA"/>
        </w:rPr>
        <w:t xml:space="preserve"> проти 27,5</w:t>
      </w:r>
      <w:r w:rsidR="00D4219F" w:rsidRPr="001416ED">
        <w:rPr>
          <w:lang w:val="uk-UA"/>
        </w:rPr>
        <w:t xml:space="preserve"> %</w:t>
      </w:r>
      <w:r w:rsidR="006B4E45" w:rsidRPr="001416ED">
        <w:rPr>
          <w:lang w:val="uk-UA"/>
        </w:rPr>
        <w:t>), а генотип АА – вірогідно рідше (34</w:t>
      </w:r>
      <w:r w:rsidR="00D4219F" w:rsidRPr="001416ED">
        <w:rPr>
          <w:lang w:val="uk-UA"/>
        </w:rPr>
        <w:t xml:space="preserve"> %</w:t>
      </w:r>
      <w:r w:rsidR="006B4E45" w:rsidRPr="001416ED">
        <w:rPr>
          <w:lang w:val="uk-UA"/>
        </w:rPr>
        <w:t xml:space="preserve"> проти 67,5</w:t>
      </w:r>
      <w:r w:rsidR="00D4219F" w:rsidRPr="001416ED">
        <w:rPr>
          <w:lang w:val="uk-UA"/>
        </w:rPr>
        <w:t xml:space="preserve"> %</w:t>
      </w:r>
      <w:r w:rsidR="006B4E45" w:rsidRPr="001416ED">
        <w:rPr>
          <w:lang w:val="uk-UA"/>
        </w:rPr>
        <w:t>), ніж серед здорових осіб, частота виявлення алелі С вірогідно вища, ніж серед хворих на неускладнену ГХ (43</w:t>
      </w:r>
      <w:r w:rsidR="00D4219F" w:rsidRPr="001416ED">
        <w:rPr>
          <w:lang w:val="uk-UA"/>
        </w:rPr>
        <w:t xml:space="preserve"> %</w:t>
      </w:r>
      <w:r w:rsidR="006B4E45" w:rsidRPr="001416ED">
        <w:rPr>
          <w:lang w:val="uk-UA"/>
        </w:rPr>
        <w:t xml:space="preserve"> проти 29</w:t>
      </w:r>
      <w:r w:rsidR="00D4219F" w:rsidRPr="001416ED">
        <w:rPr>
          <w:lang w:val="uk-UA"/>
        </w:rPr>
        <w:t xml:space="preserve"> %</w:t>
      </w:r>
      <w:r w:rsidR="006B4E45" w:rsidRPr="001416ED">
        <w:rPr>
          <w:lang w:val="uk-UA"/>
        </w:rPr>
        <w:t>).</w:t>
      </w:r>
      <w:r w:rsidR="00911FA9" w:rsidRPr="001416ED">
        <w:rPr>
          <w:lang w:val="uk-UA"/>
        </w:rPr>
        <w:t xml:space="preserve"> У жінок, які перенесли МІ, розпо</w:t>
      </w:r>
      <w:r w:rsidR="006B33D8" w:rsidRPr="001416ED">
        <w:rPr>
          <w:lang w:val="uk-UA"/>
        </w:rPr>
        <w:t>діл генотипів</w:t>
      </w:r>
      <w:r w:rsidR="00911FA9" w:rsidRPr="001416ED">
        <w:rPr>
          <w:lang w:val="uk-UA"/>
        </w:rPr>
        <w:t xml:space="preserve"> АА та АС вірогідно не відрізнявся від хворих на неускладнену гіпертонічну хворобу (52</w:t>
      </w:r>
      <w:r w:rsidR="00D4219F" w:rsidRPr="001416ED">
        <w:rPr>
          <w:lang w:val="uk-UA"/>
        </w:rPr>
        <w:t xml:space="preserve"> %</w:t>
      </w:r>
      <w:r w:rsidR="00911FA9" w:rsidRPr="001416ED">
        <w:rPr>
          <w:lang w:val="uk-UA"/>
        </w:rPr>
        <w:t xml:space="preserve"> проти 46</w:t>
      </w:r>
      <w:r w:rsidR="00D4219F" w:rsidRPr="001416ED">
        <w:rPr>
          <w:lang w:val="uk-UA"/>
        </w:rPr>
        <w:t xml:space="preserve"> %</w:t>
      </w:r>
      <w:r w:rsidR="00911FA9" w:rsidRPr="001416ED">
        <w:rPr>
          <w:lang w:val="uk-UA"/>
        </w:rPr>
        <w:t xml:space="preserve"> та 36</w:t>
      </w:r>
      <w:r w:rsidR="00D4219F" w:rsidRPr="001416ED">
        <w:rPr>
          <w:lang w:val="uk-UA"/>
        </w:rPr>
        <w:t xml:space="preserve"> %</w:t>
      </w:r>
      <w:r w:rsidR="00911FA9" w:rsidRPr="001416ED">
        <w:rPr>
          <w:lang w:val="uk-UA"/>
        </w:rPr>
        <w:t xml:space="preserve"> проти 50</w:t>
      </w:r>
      <w:r w:rsidR="00D4219F" w:rsidRPr="001416ED">
        <w:rPr>
          <w:lang w:val="uk-UA"/>
        </w:rPr>
        <w:t xml:space="preserve"> %,</w:t>
      </w:r>
      <w:r w:rsidR="00911FA9" w:rsidRPr="001416ED">
        <w:rPr>
          <w:lang w:val="uk-UA"/>
        </w:rPr>
        <w:t xml:space="preserve"> відповідно). У хворих з післяінфарктним кардіосклерозом алель А (57 </w:t>
      </w:r>
      <w:r w:rsidR="00D4219F" w:rsidRPr="001416ED">
        <w:rPr>
          <w:lang w:val="uk-UA"/>
        </w:rPr>
        <w:t>%</w:t>
      </w:r>
      <w:r w:rsidR="00911FA9" w:rsidRPr="001416ED">
        <w:rPr>
          <w:lang w:val="uk-UA"/>
        </w:rPr>
        <w:t xml:space="preserve">) зустрічалися вірогідно рідше, а алель С (43 </w:t>
      </w:r>
      <w:r w:rsidR="00D4219F" w:rsidRPr="001416ED">
        <w:rPr>
          <w:lang w:val="uk-UA"/>
        </w:rPr>
        <w:t xml:space="preserve"> %</w:t>
      </w:r>
      <w:r w:rsidR="00911FA9" w:rsidRPr="001416ED">
        <w:rPr>
          <w:lang w:val="uk-UA"/>
        </w:rPr>
        <w:t xml:space="preserve">) вірогідно частіше не тільки при порівнянні з контрольною групою, але й з хворими на ГХ ІІ ст. та хворими з мозковим інсультом в анамнезі. </w:t>
      </w:r>
      <w:r w:rsidR="006B4E45" w:rsidRPr="001416ED">
        <w:rPr>
          <w:lang w:val="uk-UA"/>
        </w:rPr>
        <w:t xml:space="preserve">Носійство алелі С у жінок з ГХ, які перенесли </w:t>
      </w:r>
      <w:r w:rsidR="00836745" w:rsidRPr="001416ED">
        <w:rPr>
          <w:lang w:val="uk-UA"/>
        </w:rPr>
        <w:t>ІМ</w:t>
      </w:r>
      <w:r w:rsidR="006B4E45" w:rsidRPr="001416ED">
        <w:rPr>
          <w:lang w:val="uk-UA"/>
        </w:rPr>
        <w:t xml:space="preserve"> або МІ, асоціювалося з вірогідно вищими показниками </w:t>
      </w:r>
      <w:r w:rsidR="00CA6CBC" w:rsidRPr="001416ED">
        <w:rPr>
          <w:lang w:val="uk-UA"/>
        </w:rPr>
        <w:t>САТ та ДАТ,</w:t>
      </w:r>
      <w:r w:rsidR="006B4E45" w:rsidRPr="001416ED">
        <w:rPr>
          <w:lang w:val="uk-UA"/>
        </w:rPr>
        <w:t xml:space="preserve"> </w:t>
      </w:r>
      <w:r w:rsidR="004A4E68" w:rsidRPr="001416ED">
        <w:rPr>
          <w:lang w:val="uk-UA"/>
        </w:rPr>
        <w:t>індексом кінцевого діастолічного об’єму (</w:t>
      </w:r>
      <w:r w:rsidR="006B4E45" w:rsidRPr="001416ED">
        <w:rPr>
          <w:lang w:val="uk-UA"/>
        </w:rPr>
        <w:t>іКДО</w:t>
      </w:r>
      <w:r w:rsidR="004A4E68" w:rsidRPr="001416ED">
        <w:rPr>
          <w:lang w:val="uk-UA"/>
        </w:rPr>
        <w:t>)</w:t>
      </w:r>
      <w:r w:rsidR="00894AD6" w:rsidRPr="001416ED">
        <w:rPr>
          <w:lang w:val="uk-UA"/>
        </w:rPr>
        <w:t>,</w:t>
      </w:r>
      <w:r w:rsidR="006B4E45" w:rsidRPr="001416ED">
        <w:rPr>
          <w:lang w:val="uk-UA"/>
        </w:rPr>
        <w:t xml:space="preserve"> </w:t>
      </w:r>
      <w:r w:rsidR="004A4E68" w:rsidRPr="001416ED">
        <w:rPr>
          <w:lang w:val="uk-UA"/>
        </w:rPr>
        <w:t>індексом кінцевого систолічного об’єму (</w:t>
      </w:r>
      <w:r w:rsidR="006B4E45" w:rsidRPr="001416ED">
        <w:rPr>
          <w:lang w:val="uk-UA"/>
        </w:rPr>
        <w:t>іКСО</w:t>
      </w:r>
      <w:r w:rsidR="004A4E68" w:rsidRPr="001416ED">
        <w:rPr>
          <w:lang w:val="uk-UA"/>
        </w:rPr>
        <w:t>)</w:t>
      </w:r>
      <w:r w:rsidR="006B4E45" w:rsidRPr="001416ED">
        <w:rPr>
          <w:lang w:val="uk-UA"/>
        </w:rPr>
        <w:t>, іММЛШ, з наявністю ви</w:t>
      </w:r>
      <w:r w:rsidR="004A4E68" w:rsidRPr="001416ED">
        <w:rPr>
          <w:lang w:val="uk-UA"/>
        </w:rPr>
        <w:t>раженої ГЛШ і ДД</w:t>
      </w:r>
      <w:r w:rsidR="006D3C03" w:rsidRPr="001416ED">
        <w:rPr>
          <w:lang w:val="uk-UA"/>
        </w:rPr>
        <w:t>, ніж у гомозигот за алел</w:t>
      </w:r>
      <w:r w:rsidR="006B4E45" w:rsidRPr="001416ED">
        <w:rPr>
          <w:lang w:val="uk-UA"/>
        </w:rPr>
        <w:t>ю А</w:t>
      </w:r>
      <w:r w:rsidR="00A523A3" w:rsidRPr="001416ED">
        <w:rPr>
          <w:lang w:val="uk-UA"/>
        </w:rPr>
        <w:t xml:space="preserve"> [</w:t>
      </w:r>
      <w:r w:rsidR="009B1E56" w:rsidRPr="001416ED">
        <w:rPr>
          <w:lang w:val="uk-UA"/>
        </w:rPr>
        <w:t>86</w:t>
      </w:r>
      <w:r w:rsidR="00A523A3" w:rsidRPr="001416ED">
        <w:rPr>
          <w:lang w:val="uk-UA"/>
        </w:rPr>
        <w:t>]</w:t>
      </w:r>
      <w:r w:rsidR="006B4E45" w:rsidRPr="001416ED">
        <w:rPr>
          <w:lang w:val="uk-UA"/>
        </w:rPr>
        <w:t>.</w:t>
      </w:r>
      <w:r w:rsidR="00836745" w:rsidRPr="001416ED">
        <w:rPr>
          <w:lang w:val="uk-UA"/>
        </w:rPr>
        <w:t xml:space="preserve"> При дослідженні практично здорових </w:t>
      </w:r>
      <w:r w:rsidR="00B04225" w:rsidRPr="001416ED">
        <w:rPr>
          <w:lang w:val="uk-UA"/>
        </w:rPr>
        <w:t>жінок,</w:t>
      </w:r>
      <w:r w:rsidR="00836745" w:rsidRPr="001416ED">
        <w:rPr>
          <w:lang w:val="uk-UA"/>
        </w:rPr>
        <w:t xml:space="preserve"> осіб, що мають ГХ ІІ ст</w:t>
      </w:r>
      <w:r w:rsidR="004A4E68" w:rsidRPr="001416ED">
        <w:rPr>
          <w:lang w:val="uk-UA"/>
        </w:rPr>
        <w:t>.</w:t>
      </w:r>
      <w:r w:rsidR="00836745" w:rsidRPr="001416ED">
        <w:rPr>
          <w:lang w:val="uk-UA"/>
        </w:rPr>
        <w:t xml:space="preserve"> та ГХ, </w:t>
      </w:r>
      <w:r w:rsidR="004A4E68" w:rsidRPr="001416ED">
        <w:rPr>
          <w:lang w:val="uk-UA"/>
        </w:rPr>
        <w:t xml:space="preserve">що </w:t>
      </w:r>
      <w:r w:rsidR="00836745" w:rsidRPr="001416ED">
        <w:rPr>
          <w:lang w:val="uk-UA"/>
        </w:rPr>
        <w:t>ускладнен</w:t>
      </w:r>
      <w:r w:rsidR="004A4E68" w:rsidRPr="001416ED">
        <w:rPr>
          <w:lang w:val="uk-UA"/>
        </w:rPr>
        <w:t>а</w:t>
      </w:r>
      <w:r w:rsidR="00836745" w:rsidRPr="001416ED">
        <w:rPr>
          <w:lang w:val="uk-UA"/>
        </w:rPr>
        <w:t xml:space="preserve"> </w:t>
      </w:r>
      <w:r w:rsidR="00CE6C23" w:rsidRPr="001416ED">
        <w:rPr>
          <w:lang w:val="uk-UA"/>
        </w:rPr>
        <w:t>ХСН ІІ А стадії,</w:t>
      </w:r>
      <w:r w:rsidR="00B04225" w:rsidRPr="001416ED">
        <w:rPr>
          <w:lang w:val="uk-UA"/>
        </w:rPr>
        <w:t xml:space="preserve"> мешканок Вінницької області</w:t>
      </w:r>
      <w:r w:rsidR="00CE6C23" w:rsidRPr="001416ED">
        <w:rPr>
          <w:lang w:val="uk-UA"/>
        </w:rPr>
        <w:t>, встановлено, що</w:t>
      </w:r>
      <w:r w:rsidR="00B04225" w:rsidRPr="001416ED">
        <w:rPr>
          <w:lang w:val="uk-UA"/>
        </w:rPr>
        <w:t xml:space="preserve"> найбільшу частоту носійства генотипу АА гена зареєстровано у осіб контрольної групи, генотипу АС – у хворих на </w:t>
      </w:r>
      <w:r w:rsidR="00C3120A" w:rsidRPr="001416ED">
        <w:rPr>
          <w:lang w:val="uk-UA"/>
        </w:rPr>
        <w:t>ГХ</w:t>
      </w:r>
      <w:r w:rsidR="00B04225" w:rsidRPr="001416ED">
        <w:rPr>
          <w:lang w:val="uk-UA"/>
        </w:rPr>
        <w:t xml:space="preserve"> ІІ </w:t>
      </w:r>
      <w:r w:rsidR="00B04225" w:rsidRPr="001416ED">
        <w:rPr>
          <w:lang w:val="uk-UA"/>
        </w:rPr>
        <w:lastRenderedPageBreak/>
        <w:t xml:space="preserve">стадії, а СС – у пацієнток з ГХ, </w:t>
      </w:r>
      <w:r w:rsidR="004A4E68" w:rsidRPr="001416ED">
        <w:rPr>
          <w:lang w:val="uk-UA"/>
        </w:rPr>
        <w:t>що ускладнена</w:t>
      </w:r>
      <w:r w:rsidR="00B04225" w:rsidRPr="001416ED">
        <w:rPr>
          <w:lang w:val="uk-UA"/>
        </w:rPr>
        <w:t xml:space="preserve"> </w:t>
      </w:r>
      <w:r w:rsidR="00CE6C23" w:rsidRPr="001416ED">
        <w:rPr>
          <w:lang w:val="uk-UA"/>
        </w:rPr>
        <w:t>ХСН</w:t>
      </w:r>
      <w:r w:rsidR="00B04225" w:rsidRPr="001416ED">
        <w:rPr>
          <w:lang w:val="uk-UA"/>
        </w:rPr>
        <w:t xml:space="preserve"> ІІ</w:t>
      </w:r>
      <w:r w:rsidR="00080789" w:rsidRPr="001416ED">
        <w:rPr>
          <w:lang w:val="uk-UA"/>
        </w:rPr>
        <w:t xml:space="preserve"> </w:t>
      </w:r>
      <w:r w:rsidR="00B04225" w:rsidRPr="001416ED">
        <w:rPr>
          <w:lang w:val="uk-UA"/>
        </w:rPr>
        <w:t>А стадії.</w:t>
      </w:r>
      <w:r w:rsidR="00077F8C" w:rsidRPr="001416ED">
        <w:rPr>
          <w:rFonts w:eastAsia="MS Mincho"/>
          <w:lang w:val="uk-UA" w:eastAsia="ja-JP"/>
        </w:rPr>
        <w:t xml:space="preserve"> Наявність алелі С визначає ймовірність виникнення ХСН ІІ</w:t>
      </w:r>
      <w:r w:rsidR="00080789" w:rsidRPr="001416ED">
        <w:rPr>
          <w:rFonts w:eastAsia="MS Mincho"/>
          <w:lang w:val="uk-UA" w:eastAsia="ja-JP"/>
        </w:rPr>
        <w:t xml:space="preserve"> </w:t>
      </w:r>
      <w:r w:rsidR="00077F8C" w:rsidRPr="001416ED">
        <w:rPr>
          <w:rFonts w:eastAsia="MS Mincho"/>
          <w:lang w:val="uk-UA" w:eastAsia="ja-JP"/>
        </w:rPr>
        <w:t xml:space="preserve">А стадії на тлі ГХ – </w:t>
      </w:r>
      <w:r w:rsidR="004A4E68" w:rsidRPr="001416ED">
        <w:rPr>
          <w:rFonts w:eastAsia="MS Mincho"/>
          <w:lang w:val="uk-UA" w:eastAsia="ja-JP"/>
        </w:rPr>
        <w:t xml:space="preserve"> </w:t>
      </w:r>
      <w:r w:rsidR="00077F8C" w:rsidRPr="001416ED">
        <w:rPr>
          <w:rFonts w:eastAsia="MS Mincho"/>
          <w:lang w:val="uk-UA" w:eastAsia="ja-JP"/>
        </w:rPr>
        <w:t>64</w:t>
      </w:r>
      <w:r w:rsidR="00D4219F" w:rsidRPr="001416ED">
        <w:rPr>
          <w:rFonts w:eastAsia="MS Mincho"/>
          <w:lang w:val="uk-UA" w:eastAsia="ja-JP"/>
        </w:rPr>
        <w:t xml:space="preserve"> %</w:t>
      </w:r>
      <w:r w:rsidR="00B5533C" w:rsidRPr="001416ED">
        <w:rPr>
          <w:rFonts w:eastAsia="MS Mincho"/>
          <w:lang w:val="uk-UA" w:eastAsia="ja-JP"/>
        </w:rPr>
        <w:t xml:space="preserve"> </w:t>
      </w:r>
      <w:r w:rsidR="00B5533C" w:rsidRPr="001416ED">
        <w:rPr>
          <w:lang w:val="uk-UA"/>
        </w:rPr>
        <w:t>[</w:t>
      </w:r>
      <w:r w:rsidR="003D4EA2" w:rsidRPr="001416ED">
        <w:rPr>
          <w:lang w:val="uk-UA"/>
        </w:rPr>
        <w:t>7</w:t>
      </w:r>
      <w:r w:rsidR="009B1E56" w:rsidRPr="001416ED">
        <w:rPr>
          <w:lang w:val="uk-UA"/>
        </w:rPr>
        <w:t>2</w:t>
      </w:r>
      <w:r w:rsidR="00B5533C" w:rsidRPr="001416ED">
        <w:rPr>
          <w:lang w:val="uk-UA"/>
        </w:rPr>
        <w:t>].</w:t>
      </w:r>
    </w:p>
    <w:p w:rsidR="00DB5015" w:rsidRPr="001416ED" w:rsidRDefault="000A43A7" w:rsidP="00A770B7">
      <w:pPr>
        <w:spacing w:line="360" w:lineRule="auto"/>
        <w:ind w:firstLine="709"/>
        <w:jc w:val="both"/>
        <w:rPr>
          <w:lang w:val="uk-UA"/>
        </w:rPr>
      </w:pPr>
      <w:r w:rsidRPr="001416ED">
        <w:rPr>
          <w:lang w:val="uk-UA"/>
        </w:rPr>
        <w:t>У Дніпр</w:t>
      </w:r>
      <w:r w:rsidR="004B6852">
        <w:rPr>
          <w:lang w:val="uk-UA"/>
        </w:rPr>
        <w:t>і</w:t>
      </w:r>
      <w:r w:rsidRPr="001416ED">
        <w:rPr>
          <w:lang w:val="uk-UA"/>
        </w:rPr>
        <w:t xml:space="preserve"> р</w:t>
      </w:r>
      <w:r w:rsidR="006C70AA" w:rsidRPr="001416ED">
        <w:rPr>
          <w:lang w:val="uk-UA"/>
        </w:rPr>
        <w:t xml:space="preserve">езультати порівняльного аналізу показників добового профілю АТ, ступеня гіпертрофії і характеру ремоделювання ЛШ у хворих з ГХ при різних генотипових комбінаціях гена </w:t>
      </w:r>
      <w:r w:rsidR="00DB5015" w:rsidRPr="001416ED">
        <w:rPr>
          <w:lang w:val="uk-UA"/>
        </w:rPr>
        <w:t>АПФ</w:t>
      </w:r>
      <w:r w:rsidR="006C70AA" w:rsidRPr="001416ED">
        <w:rPr>
          <w:lang w:val="uk-UA"/>
        </w:rPr>
        <w:t xml:space="preserve"> і гена АТ1</w:t>
      </w:r>
      <w:r w:rsidR="00BC0119" w:rsidRPr="001416ED">
        <w:rPr>
          <w:lang w:val="uk-UA"/>
        </w:rPr>
        <w:t>–</w:t>
      </w:r>
      <w:r w:rsidR="00D42585" w:rsidRPr="001416ED">
        <w:rPr>
          <w:lang w:val="uk-UA"/>
        </w:rPr>
        <w:t>Р</w:t>
      </w:r>
      <w:r w:rsidR="006C70AA" w:rsidRPr="001416ED">
        <w:rPr>
          <w:lang w:val="uk-UA"/>
        </w:rPr>
        <w:t xml:space="preserve"> свідчать про несприятливу дію присутності в генотипі алеля D гена </w:t>
      </w:r>
      <w:r w:rsidR="00DB5015" w:rsidRPr="001416ED">
        <w:rPr>
          <w:lang w:val="uk-UA"/>
        </w:rPr>
        <w:t>АПФ</w:t>
      </w:r>
      <w:r w:rsidR="006C70AA" w:rsidRPr="001416ED">
        <w:rPr>
          <w:lang w:val="uk-UA"/>
        </w:rPr>
        <w:t xml:space="preserve"> і алеля С гена АТ1</w:t>
      </w:r>
      <w:r w:rsidR="00BC0119" w:rsidRPr="001416ED">
        <w:rPr>
          <w:lang w:val="uk-UA"/>
        </w:rPr>
        <w:t>–</w:t>
      </w:r>
      <w:r w:rsidR="00D42585" w:rsidRPr="001416ED">
        <w:rPr>
          <w:lang w:val="uk-UA"/>
        </w:rPr>
        <w:t>Р</w:t>
      </w:r>
      <w:r w:rsidR="006C70AA" w:rsidRPr="001416ED">
        <w:rPr>
          <w:lang w:val="uk-UA"/>
        </w:rPr>
        <w:t xml:space="preserve">. Найбільш сприятливим поєднанням генотипів з точки зору оцінки </w:t>
      </w:r>
      <w:r w:rsidR="00046A18" w:rsidRPr="001416ED">
        <w:rPr>
          <w:lang w:val="uk-UA"/>
        </w:rPr>
        <w:t>стадії</w:t>
      </w:r>
      <w:r w:rsidR="006C70AA" w:rsidRPr="001416ED">
        <w:rPr>
          <w:lang w:val="uk-UA"/>
        </w:rPr>
        <w:t xml:space="preserve"> перебігу та прогнозу АГ</w:t>
      </w:r>
      <w:r w:rsidR="000776BE" w:rsidRPr="001416ED">
        <w:rPr>
          <w:lang w:val="uk-UA"/>
        </w:rPr>
        <w:t xml:space="preserve"> можна вважати комбінацію II/</w:t>
      </w:r>
      <w:r w:rsidR="006C70AA" w:rsidRPr="001416ED">
        <w:rPr>
          <w:lang w:val="uk-UA"/>
        </w:rPr>
        <w:t>AA</w:t>
      </w:r>
      <w:r w:rsidR="000776BE" w:rsidRPr="001416ED">
        <w:rPr>
          <w:lang w:val="uk-UA"/>
        </w:rPr>
        <w:t xml:space="preserve"> [</w:t>
      </w:r>
      <w:r w:rsidR="00325BC0" w:rsidRPr="001416ED">
        <w:rPr>
          <w:lang w:val="uk-UA"/>
        </w:rPr>
        <w:t>2</w:t>
      </w:r>
      <w:r w:rsidR="009B1E56" w:rsidRPr="001416ED">
        <w:rPr>
          <w:lang w:val="uk-UA"/>
        </w:rPr>
        <w:t>6</w:t>
      </w:r>
      <w:r w:rsidR="000776BE" w:rsidRPr="001416ED">
        <w:rPr>
          <w:lang w:val="uk-UA"/>
        </w:rPr>
        <w:t>]</w:t>
      </w:r>
      <w:r w:rsidR="006C70AA" w:rsidRPr="001416ED">
        <w:rPr>
          <w:lang w:val="uk-UA"/>
        </w:rPr>
        <w:t>.</w:t>
      </w:r>
    </w:p>
    <w:p w:rsidR="00FF15AB" w:rsidRPr="001416ED" w:rsidRDefault="00CC3BE8" w:rsidP="00A770B7">
      <w:pPr>
        <w:spacing w:line="360" w:lineRule="auto"/>
        <w:ind w:firstLine="709"/>
        <w:jc w:val="both"/>
        <w:rPr>
          <w:rFonts w:eastAsiaTheme="minorHAnsi"/>
          <w:iCs/>
          <w:lang w:val="uk-UA" w:eastAsia="en-US"/>
        </w:rPr>
      </w:pPr>
      <w:r w:rsidRPr="001416ED">
        <w:rPr>
          <w:lang w:val="uk-UA"/>
        </w:rPr>
        <w:t xml:space="preserve">На Буковині за геном </w:t>
      </w:r>
      <w:r w:rsidRPr="001416ED">
        <w:t>AT</w:t>
      </w:r>
      <w:r w:rsidRPr="001416ED">
        <w:rPr>
          <w:lang w:val="uk-UA"/>
        </w:rPr>
        <w:t>1</w:t>
      </w:r>
      <w:r w:rsidR="00BC0119" w:rsidRPr="001416ED">
        <w:rPr>
          <w:lang w:val="uk-UA"/>
        </w:rPr>
        <w:t>–</w:t>
      </w:r>
      <w:r w:rsidR="00C91303" w:rsidRPr="001416ED">
        <w:rPr>
          <w:lang w:val="uk-UA"/>
        </w:rPr>
        <w:t>Р</w:t>
      </w:r>
      <w:r w:rsidRPr="001416ED">
        <w:rPr>
          <w:lang w:val="uk-UA"/>
        </w:rPr>
        <w:t xml:space="preserve"> виявили вагомо менші показники </w:t>
      </w:r>
      <w:r w:rsidR="003E449E" w:rsidRPr="001416ED">
        <w:rPr>
          <w:lang w:val="uk-UA"/>
        </w:rPr>
        <w:t>кінцевого діастолічного розміру (</w:t>
      </w:r>
      <w:r w:rsidRPr="001416ED">
        <w:rPr>
          <w:lang w:val="uk-UA"/>
        </w:rPr>
        <w:t>КДР</w:t>
      </w:r>
      <w:r w:rsidR="003E449E" w:rsidRPr="001416ED">
        <w:rPr>
          <w:lang w:val="uk-UA"/>
        </w:rPr>
        <w:t>)</w:t>
      </w:r>
      <w:r w:rsidRPr="001416ED">
        <w:rPr>
          <w:lang w:val="uk-UA"/>
        </w:rPr>
        <w:t xml:space="preserve">, </w:t>
      </w:r>
      <w:r w:rsidR="003E449E" w:rsidRPr="001416ED">
        <w:rPr>
          <w:lang w:val="uk-UA"/>
        </w:rPr>
        <w:t>кінцевого систолічного розміру (</w:t>
      </w:r>
      <w:r w:rsidRPr="001416ED">
        <w:rPr>
          <w:lang w:val="uk-UA"/>
        </w:rPr>
        <w:t>КСР</w:t>
      </w:r>
      <w:r w:rsidR="003E449E" w:rsidRPr="001416ED">
        <w:rPr>
          <w:lang w:val="uk-UA"/>
        </w:rPr>
        <w:t>)</w:t>
      </w:r>
      <w:r w:rsidRPr="001416ED">
        <w:rPr>
          <w:lang w:val="uk-UA"/>
        </w:rPr>
        <w:t xml:space="preserve">, </w:t>
      </w:r>
      <w:r w:rsidR="003E449E" w:rsidRPr="001416ED">
        <w:rPr>
          <w:lang w:val="uk-UA"/>
        </w:rPr>
        <w:t>кінцевого діастолічного об’єму (</w:t>
      </w:r>
      <w:r w:rsidRPr="001416ED">
        <w:rPr>
          <w:lang w:val="uk-UA"/>
        </w:rPr>
        <w:t>КДО</w:t>
      </w:r>
      <w:r w:rsidR="003E449E" w:rsidRPr="001416ED">
        <w:rPr>
          <w:lang w:val="uk-UA"/>
        </w:rPr>
        <w:t>)</w:t>
      </w:r>
      <w:r w:rsidRPr="001416ED">
        <w:rPr>
          <w:lang w:val="uk-UA"/>
        </w:rPr>
        <w:t xml:space="preserve"> і </w:t>
      </w:r>
      <w:r w:rsidR="003E449E" w:rsidRPr="001416ED">
        <w:rPr>
          <w:lang w:val="uk-UA"/>
        </w:rPr>
        <w:t>кінцевого систолічного об’єму (</w:t>
      </w:r>
      <w:r w:rsidRPr="001416ED">
        <w:rPr>
          <w:lang w:val="uk-UA"/>
        </w:rPr>
        <w:t>КСО</w:t>
      </w:r>
      <w:r w:rsidR="003E449E" w:rsidRPr="001416ED">
        <w:rPr>
          <w:lang w:val="uk-UA"/>
        </w:rPr>
        <w:t>)</w:t>
      </w:r>
      <w:r w:rsidR="006C1652" w:rsidRPr="001416ED">
        <w:rPr>
          <w:lang w:val="uk-UA"/>
        </w:rPr>
        <w:t xml:space="preserve"> в носіїв АА</w:t>
      </w:r>
      <w:r w:rsidR="00BC0119" w:rsidRPr="001416ED">
        <w:rPr>
          <w:lang w:val="uk-UA"/>
        </w:rPr>
        <w:t>–</w:t>
      </w:r>
      <w:r w:rsidRPr="001416ED">
        <w:rPr>
          <w:lang w:val="uk-UA"/>
        </w:rPr>
        <w:t>геноти</w:t>
      </w:r>
      <w:r w:rsidR="006C1652" w:rsidRPr="001416ED">
        <w:rPr>
          <w:lang w:val="uk-UA"/>
        </w:rPr>
        <w:t>пу, ніж у гомозиготних носіїв С</w:t>
      </w:r>
      <w:r w:rsidR="00BC0119" w:rsidRPr="001416ED">
        <w:rPr>
          <w:lang w:val="uk-UA"/>
        </w:rPr>
        <w:t>–</w:t>
      </w:r>
      <w:r w:rsidRPr="001416ED">
        <w:rPr>
          <w:lang w:val="uk-UA"/>
        </w:rPr>
        <w:t>алеля</w:t>
      </w:r>
      <w:r w:rsidR="006C1652" w:rsidRPr="001416ED">
        <w:rPr>
          <w:lang w:val="uk-UA"/>
        </w:rPr>
        <w:t>.</w:t>
      </w:r>
      <w:r w:rsidR="005B3430" w:rsidRPr="001416ED">
        <w:t xml:space="preserve"> Істотної </w:t>
      </w:r>
      <w:proofErr w:type="gramStart"/>
      <w:r w:rsidR="005B3430" w:rsidRPr="001416ED">
        <w:t>р</w:t>
      </w:r>
      <w:proofErr w:type="gramEnd"/>
      <w:r w:rsidR="005B3430" w:rsidRPr="001416ED">
        <w:t xml:space="preserve">ізниці за величинами ФВ, </w:t>
      </w:r>
      <w:r w:rsidR="00AE04CB" w:rsidRPr="001416ED">
        <w:rPr>
          <w:lang w:val="uk-UA"/>
        </w:rPr>
        <w:t xml:space="preserve">товщини задньої стінки ЛШ в діастолу </w:t>
      </w:r>
      <w:r w:rsidR="005B3430" w:rsidRPr="001416ED">
        <w:t xml:space="preserve">і </w:t>
      </w:r>
      <w:r w:rsidR="00AE04CB" w:rsidRPr="001416ED">
        <w:rPr>
          <w:lang w:val="uk-UA"/>
        </w:rPr>
        <w:t xml:space="preserve">товщини міжпередсердної перетинки в діастолу </w:t>
      </w:r>
      <w:r w:rsidR="005B3430" w:rsidRPr="001416ED">
        <w:t>між генотипами гена AGTR1 не спостерігали.</w:t>
      </w:r>
      <w:r w:rsidR="00CA45F6" w:rsidRPr="001416ED">
        <w:t xml:space="preserve"> ММЛШ превалювала у хворих із С</w:t>
      </w:r>
      <w:r w:rsidR="00BC0119" w:rsidRPr="001416ED">
        <w:rPr>
          <w:lang w:val="uk-UA"/>
        </w:rPr>
        <w:t>–</w:t>
      </w:r>
      <w:r w:rsidR="005B3430" w:rsidRPr="001416ED">
        <w:t>алелем (СС + АС</w:t>
      </w:r>
      <w:r w:rsidR="00CA45F6" w:rsidRPr="001416ED">
        <w:rPr>
          <w:lang w:val="uk-UA"/>
        </w:rPr>
        <w:t xml:space="preserve"> </w:t>
      </w:r>
      <w:r w:rsidR="00CA45F6" w:rsidRPr="001416ED">
        <w:t>генотипи) над АА</w:t>
      </w:r>
      <w:r w:rsidR="00CA45F6" w:rsidRPr="001416ED">
        <w:rPr>
          <w:lang w:val="uk-UA"/>
        </w:rPr>
        <w:t xml:space="preserve"> </w:t>
      </w:r>
      <w:r w:rsidR="005B3430" w:rsidRPr="001416ED">
        <w:t>генотипом</w:t>
      </w:r>
      <w:r w:rsidR="00C92FAF" w:rsidRPr="001416ED">
        <w:rPr>
          <w:lang w:val="uk-UA"/>
        </w:rPr>
        <w:t xml:space="preserve">. </w:t>
      </w:r>
      <w:r w:rsidR="0083274E" w:rsidRPr="001416ED">
        <w:rPr>
          <w:lang w:val="uk-UA"/>
        </w:rPr>
        <w:t>і</w:t>
      </w:r>
      <w:r w:rsidR="00C92FAF" w:rsidRPr="001416ED">
        <w:rPr>
          <w:lang w:val="uk-UA"/>
        </w:rPr>
        <w:t>ММЛШ як у чоловіків, так і у жінок переважав у пацієнтів із СС генотипом над таким у гомозиготних носіїв АА генотипу</w:t>
      </w:r>
      <w:r w:rsidR="0083274E" w:rsidRPr="001416ED">
        <w:rPr>
          <w:lang w:val="uk-UA"/>
        </w:rPr>
        <w:t xml:space="preserve"> і не відрізнявся значно від показника у хворих із АС генотипом.</w:t>
      </w:r>
      <w:r w:rsidR="009A2531" w:rsidRPr="001416ED">
        <w:rPr>
          <w:lang w:val="uk-UA"/>
        </w:rPr>
        <w:t xml:space="preserve"> Таким чином, групами високого ризику ураження органів</w:t>
      </w:r>
      <w:r w:rsidR="00BC0119" w:rsidRPr="001416ED">
        <w:rPr>
          <w:lang w:val="uk-UA"/>
        </w:rPr>
        <w:t>–</w:t>
      </w:r>
      <w:r w:rsidR="009A2531" w:rsidRPr="001416ED">
        <w:rPr>
          <w:lang w:val="uk-UA"/>
        </w:rPr>
        <w:t xml:space="preserve">мішеней, зокрема гіпертрофії ЛШ, за вірогідно вищими показниками іММЛШ серед обстежуваних пацієнтів є </w:t>
      </w:r>
      <w:r w:rsidR="007B6259" w:rsidRPr="001416ED">
        <w:rPr>
          <w:lang w:val="uk-UA"/>
        </w:rPr>
        <w:t xml:space="preserve">носії із СС генотипом гена </w:t>
      </w:r>
      <w:r w:rsidR="007B6259" w:rsidRPr="001416ED">
        <w:t>AT</w:t>
      </w:r>
      <w:r w:rsidR="007B6259" w:rsidRPr="001416ED">
        <w:rPr>
          <w:lang w:val="uk-UA"/>
        </w:rPr>
        <w:t>1</w:t>
      </w:r>
      <w:r w:rsidR="00BC0119" w:rsidRPr="001416ED">
        <w:rPr>
          <w:lang w:val="uk-UA"/>
        </w:rPr>
        <w:t>–</w:t>
      </w:r>
      <w:r w:rsidR="00D42585" w:rsidRPr="001416ED">
        <w:rPr>
          <w:lang w:val="uk-UA"/>
        </w:rPr>
        <w:t>Р</w:t>
      </w:r>
      <w:r w:rsidR="00CE46EB" w:rsidRPr="001416ED">
        <w:rPr>
          <w:lang w:val="uk-UA"/>
        </w:rPr>
        <w:t xml:space="preserve"> [</w:t>
      </w:r>
      <w:r w:rsidR="009B1E56" w:rsidRPr="001416ED">
        <w:rPr>
          <w:lang w:val="uk-UA"/>
        </w:rPr>
        <w:t>77</w:t>
      </w:r>
      <w:r w:rsidR="00CE46EB" w:rsidRPr="001416ED">
        <w:rPr>
          <w:lang w:val="uk-UA"/>
        </w:rPr>
        <w:t>].</w:t>
      </w:r>
      <w:r w:rsidR="00FF15AB" w:rsidRPr="001416ED">
        <w:rPr>
          <w:rFonts w:eastAsiaTheme="minorHAnsi"/>
          <w:iCs/>
          <w:lang w:val="uk-UA" w:eastAsia="en-US"/>
        </w:rPr>
        <w:t xml:space="preserve"> </w:t>
      </w:r>
    </w:p>
    <w:p w:rsidR="00FF15AB" w:rsidRPr="001416ED" w:rsidRDefault="00FF15AB" w:rsidP="00A770B7">
      <w:pPr>
        <w:spacing w:line="360" w:lineRule="auto"/>
        <w:ind w:firstLine="709"/>
        <w:jc w:val="both"/>
        <w:rPr>
          <w:rFonts w:eastAsiaTheme="minorHAnsi"/>
          <w:iCs/>
          <w:lang w:val="uk-UA" w:eastAsia="en-US"/>
        </w:rPr>
      </w:pPr>
      <w:r w:rsidRPr="001416ED">
        <w:rPr>
          <w:rFonts w:eastAsiaTheme="minorHAnsi"/>
          <w:iCs/>
          <w:lang w:val="uk-UA" w:eastAsia="en-US"/>
        </w:rPr>
        <w:t xml:space="preserve">Однак, слід відмітити, що більшість наукових робіт проводились у змішаних групах – без урахування статевої приналежності та віку пацієнтів, що потребує подальшого, більш детального дослідження. </w:t>
      </w:r>
    </w:p>
    <w:p w:rsidR="00C32A93" w:rsidRPr="001416ED" w:rsidRDefault="00C0492F" w:rsidP="00A770B7">
      <w:pPr>
        <w:spacing w:line="360" w:lineRule="auto"/>
        <w:ind w:firstLine="709"/>
        <w:jc w:val="both"/>
        <w:rPr>
          <w:b/>
          <w:lang w:val="uk-UA"/>
        </w:rPr>
      </w:pPr>
      <w:r w:rsidRPr="001416ED">
        <w:rPr>
          <w:lang w:val="uk-UA"/>
        </w:rPr>
        <w:t>Доведено, що АТ</w:t>
      </w:r>
      <w:r w:rsidR="00BC0119" w:rsidRPr="001416ED">
        <w:rPr>
          <w:lang w:val="uk-UA"/>
        </w:rPr>
        <w:t>–</w:t>
      </w:r>
      <w:r w:rsidRPr="001416ED">
        <w:rPr>
          <w:lang w:val="uk-UA"/>
        </w:rPr>
        <w:t>ІІ є стимулятором виділення ЕТ</w:t>
      </w:r>
      <w:r w:rsidR="00BC0119" w:rsidRPr="001416ED">
        <w:rPr>
          <w:lang w:val="uk-UA"/>
        </w:rPr>
        <w:t>–</w:t>
      </w:r>
      <w:r w:rsidRPr="001416ED">
        <w:rPr>
          <w:lang w:val="uk-UA"/>
        </w:rPr>
        <w:t>1, що є одним із найпотужніших вазоконстрикторів.</w:t>
      </w:r>
      <w:r w:rsidR="00C32A93" w:rsidRPr="001416ED">
        <w:rPr>
          <w:lang w:val="uk-UA"/>
        </w:rPr>
        <w:t xml:space="preserve"> Однак, не проводилось дослідження можливих зв’язків між рівнем плазмової концентрації ЕТ</w:t>
      </w:r>
      <w:r w:rsidR="00BC0119" w:rsidRPr="001416ED">
        <w:rPr>
          <w:lang w:val="uk-UA"/>
        </w:rPr>
        <w:t>–</w:t>
      </w:r>
      <w:r w:rsidR="00C32A93" w:rsidRPr="001416ED">
        <w:rPr>
          <w:lang w:val="uk-UA"/>
        </w:rPr>
        <w:t xml:space="preserve">1 та </w:t>
      </w:r>
      <w:r w:rsidR="00FF15AB" w:rsidRPr="001416ED">
        <w:rPr>
          <w:lang w:val="uk-UA"/>
        </w:rPr>
        <w:t xml:space="preserve">його антагоніста </w:t>
      </w:r>
      <w:r w:rsidR="00C32A93" w:rsidRPr="001416ED">
        <w:rPr>
          <w:lang w:val="uk-UA"/>
        </w:rPr>
        <w:t xml:space="preserve">СНП </w:t>
      </w:r>
      <w:r w:rsidR="004B6852">
        <w:rPr>
          <w:lang w:val="uk-UA"/>
        </w:rPr>
        <w:t>з</w:t>
      </w:r>
      <w:r w:rsidR="00C32A93" w:rsidRPr="001416ED">
        <w:rPr>
          <w:lang w:val="uk-UA"/>
        </w:rPr>
        <w:t xml:space="preserve"> поліморфізмом гена </w:t>
      </w:r>
      <w:r w:rsidR="004B6852">
        <w:rPr>
          <w:lang w:val="uk-UA"/>
        </w:rPr>
        <w:t>ЕТ-1</w:t>
      </w:r>
      <w:r w:rsidR="00C32A93" w:rsidRPr="001416ED">
        <w:rPr>
          <w:lang w:val="uk-UA"/>
        </w:rPr>
        <w:t xml:space="preserve"> </w:t>
      </w:r>
      <w:r w:rsidR="004B6852">
        <w:rPr>
          <w:lang w:val="uk-UA"/>
        </w:rPr>
        <w:t>та</w:t>
      </w:r>
      <w:r w:rsidR="00C32A93" w:rsidRPr="001416ED">
        <w:rPr>
          <w:lang w:val="uk-UA"/>
        </w:rPr>
        <w:t xml:space="preserve"> індивідуальними дерматогліфічними ознаками у </w:t>
      </w:r>
      <w:r w:rsidR="004B6852">
        <w:rPr>
          <w:lang w:val="uk-UA"/>
        </w:rPr>
        <w:t>групі контролю</w:t>
      </w:r>
      <w:r w:rsidR="00C32A93" w:rsidRPr="001416ED">
        <w:rPr>
          <w:lang w:val="uk-UA"/>
        </w:rPr>
        <w:t xml:space="preserve"> і</w:t>
      </w:r>
      <w:r w:rsidR="004B6852">
        <w:rPr>
          <w:lang w:val="uk-UA"/>
        </w:rPr>
        <w:t xml:space="preserve"> у</w:t>
      </w:r>
      <w:r w:rsidR="00C32A93" w:rsidRPr="001416ED">
        <w:rPr>
          <w:lang w:val="uk-UA"/>
        </w:rPr>
        <w:t xml:space="preserve"> хворих на ГХ чоловіків</w:t>
      </w:r>
      <w:r w:rsidR="00FF15AB" w:rsidRPr="001416ED">
        <w:rPr>
          <w:lang w:val="uk-UA"/>
        </w:rPr>
        <w:t xml:space="preserve">, що </w:t>
      </w:r>
      <w:r w:rsidR="00FE547F" w:rsidRPr="001416ED">
        <w:rPr>
          <w:lang w:val="uk-UA"/>
        </w:rPr>
        <w:t>є</w:t>
      </w:r>
      <w:r w:rsidR="00AA2C00" w:rsidRPr="001416ED">
        <w:rPr>
          <w:lang w:val="uk-UA"/>
        </w:rPr>
        <w:t xml:space="preserve"> актуальною темою для </w:t>
      </w:r>
      <w:r w:rsidR="00FF15AB" w:rsidRPr="001416ED">
        <w:rPr>
          <w:lang w:val="uk-UA"/>
        </w:rPr>
        <w:t>вивчення.</w:t>
      </w:r>
      <w:r w:rsidR="004B6852">
        <w:rPr>
          <w:rFonts w:eastAsiaTheme="minorHAnsi"/>
          <w:iCs/>
          <w:lang w:val="uk-UA" w:eastAsia="en-US"/>
        </w:rPr>
        <w:t xml:space="preserve"> Не встановленими залишаються співвідношення поліморних варіантів генів ЕТ-1 та АТ1-Р.</w:t>
      </w:r>
      <w:r w:rsidR="00FF15AB" w:rsidRPr="001416ED">
        <w:rPr>
          <w:rFonts w:eastAsiaTheme="minorHAnsi"/>
          <w:iCs/>
          <w:lang w:val="uk-UA" w:eastAsia="en-US"/>
        </w:rPr>
        <w:t xml:space="preserve">       </w:t>
      </w:r>
    </w:p>
    <w:p w:rsidR="00F677DA" w:rsidRPr="001416ED" w:rsidRDefault="00F677DA" w:rsidP="0012229A">
      <w:pPr>
        <w:pStyle w:val="a5"/>
        <w:numPr>
          <w:ilvl w:val="1"/>
          <w:numId w:val="6"/>
        </w:numPr>
        <w:spacing w:before="240" w:after="240"/>
        <w:ind w:left="567" w:right="-1" w:firstLine="0"/>
        <w:jc w:val="both"/>
        <w:rPr>
          <w:szCs w:val="28"/>
        </w:rPr>
      </w:pPr>
      <w:r w:rsidRPr="001416ED">
        <w:rPr>
          <w:szCs w:val="28"/>
        </w:rPr>
        <w:lastRenderedPageBreak/>
        <w:t xml:space="preserve">Дерматогліфи </w:t>
      </w:r>
      <w:r w:rsidR="00BC0119" w:rsidRPr="001416ED">
        <w:rPr>
          <w:szCs w:val="28"/>
        </w:rPr>
        <w:t>–</w:t>
      </w:r>
      <w:r w:rsidRPr="001416ED">
        <w:rPr>
          <w:szCs w:val="28"/>
        </w:rPr>
        <w:t xml:space="preserve"> як </w:t>
      </w:r>
      <w:r w:rsidR="00D07D7B" w:rsidRPr="001416ED">
        <w:rPr>
          <w:szCs w:val="28"/>
        </w:rPr>
        <w:t xml:space="preserve">скринінговий </w:t>
      </w:r>
      <w:r w:rsidRPr="001416ED">
        <w:rPr>
          <w:szCs w:val="28"/>
        </w:rPr>
        <w:t>діагностичний маркер гіпертонічн</w:t>
      </w:r>
      <w:r w:rsidR="00326221" w:rsidRPr="001416ED">
        <w:rPr>
          <w:szCs w:val="28"/>
        </w:rPr>
        <w:t>ої</w:t>
      </w:r>
      <w:r w:rsidRPr="001416ED">
        <w:rPr>
          <w:szCs w:val="28"/>
        </w:rPr>
        <w:t xml:space="preserve"> хвороб</w:t>
      </w:r>
      <w:r w:rsidR="00326221" w:rsidRPr="001416ED">
        <w:rPr>
          <w:szCs w:val="28"/>
        </w:rPr>
        <w:t>и</w:t>
      </w:r>
      <w:r w:rsidR="00326221" w:rsidRPr="001416ED">
        <w:rPr>
          <w:b w:val="0"/>
          <w:szCs w:val="28"/>
        </w:rPr>
        <w:t xml:space="preserve"> </w:t>
      </w:r>
      <w:r w:rsidR="00326221" w:rsidRPr="001416ED">
        <w:rPr>
          <w:szCs w:val="28"/>
        </w:rPr>
        <w:t>та хронічної серцевої недостатності</w:t>
      </w:r>
    </w:p>
    <w:p w:rsidR="00FE015D" w:rsidRPr="001416ED" w:rsidRDefault="00F57B44" w:rsidP="000570A2">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Проблема визначення впливу на онтогенетичний розвиток людини спадковості та середовищних факторів, має особливе значення в сучасній кардіології, оскільки прямо пов’язана з профілактикою виникнення, прогресуванням та лікуванням спадковозалежних хвороб, зокрема ГХ.</w:t>
      </w:r>
    </w:p>
    <w:p w:rsidR="00F57B44" w:rsidRPr="001416ED" w:rsidRDefault="00F57B44" w:rsidP="000570A2">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Дерматогліфіка – розділ морфології людини, що вивчає шкірний рельєф долонних і підошовних поверхонь, де шкіра вкрита численними гребінцями (папілярними лініями), що утворюють певні візерунки.</w:t>
      </w:r>
    </w:p>
    <w:p w:rsidR="00F57B44" w:rsidRPr="001416ED" w:rsidRDefault="00F57B44" w:rsidP="00F57B44">
      <w:pPr>
        <w:pStyle w:val="26"/>
        <w:spacing w:after="0" w:line="360" w:lineRule="auto"/>
        <w:ind w:left="0"/>
        <w:jc w:val="both"/>
        <w:rPr>
          <w:lang w:val="uk-UA"/>
        </w:rPr>
      </w:pPr>
      <w:r w:rsidRPr="001416ED">
        <w:rPr>
          <w:lang w:val="uk-UA"/>
        </w:rPr>
        <w:t xml:space="preserve">    </w:t>
      </w:r>
      <w:r w:rsidR="00D76986">
        <w:rPr>
          <w:lang w:val="uk-UA"/>
        </w:rPr>
        <w:t xml:space="preserve">    </w:t>
      </w:r>
      <w:r w:rsidRPr="001416ED">
        <w:rPr>
          <w:lang w:val="uk-UA"/>
        </w:rPr>
        <w:t xml:space="preserve"> Проаналізувавши значну кількість наукових робіт, І. </w:t>
      </w:r>
      <w:r w:rsidR="006C17FE" w:rsidRPr="001416ED">
        <w:rPr>
          <w:lang w:val="uk-UA"/>
        </w:rPr>
        <w:t xml:space="preserve">С. Гусєва </w:t>
      </w:r>
      <w:r w:rsidRPr="001416ED">
        <w:rPr>
          <w:lang w:val="uk-UA"/>
        </w:rPr>
        <w:t>виділила три основні етапи формування гребінцевої шкіри людини</w:t>
      </w:r>
      <w:r w:rsidR="009B1E56" w:rsidRPr="001416ED">
        <w:rPr>
          <w:lang w:val="uk-UA"/>
        </w:rPr>
        <w:t xml:space="preserve"> [24]</w:t>
      </w:r>
      <w:r w:rsidRPr="001416ED">
        <w:rPr>
          <w:lang w:val="uk-UA"/>
        </w:rPr>
        <w:t>:</w:t>
      </w:r>
    </w:p>
    <w:p w:rsidR="00F57B44" w:rsidRPr="001416ED" w:rsidRDefault="00F57B44" w:rsidP="00F57B44">
      <w:pPr>
        <w:pStyle w:val="26"/>
        <w:spacing w:after="0" w:line="360" w:lineRule="auto"/>
        <w:ind w:left="0"/>
        <w:jc w:val="both"/>
        <w:rPr>
          <w:lang w:val="uk-UA"/>
        </w:rPr>
      </w:pPr>
      <w:r w:rsidRPr="001416ED">
        <w:rPr>
          <w:lang w:val="uk-UA"/>
        </w:rPr>
        <w:t>1. Підготовчий етап, який характеризується становленням схильності до гребенеутворення і підготовкою до «запуску» генів. Цей етап триває з кінця 8</w:t>
      </w:r>
      <w:r w:rsidR="00BC0119" w:rsidRPr="001416ED">
        <w:rPr>
          <w:lang w:val="uk-UA"/>
        </w:rPr>
        <w:t>–</w:t>
      </w:r>
      <w:r w:rsidRPr="001416ED">
        <w:rPr>
          <w:lang w:val="uk-UA"/>
        </w:rPr>
        <w:t>го до початку 10</w:t>
      </w:r>
      <w:r w:rsidR="00BC0119" w:rsidRPr="001416ED">
        <w:rPr>
          <w:lang w:val="uk-UA"/>
        </w:rPr>
        <w:t>–</w:t>
      </w:r>
      <w:r w:rsidRPr="001416ED">
        <w:rPr>
          <w:lang w:val="uk-UA"/>
        </w:rPr>
        <w:t>го тижня ембріогенезу.</w:t>
      </w:r>
    </w:p>
    <w:p w:rsidR="00F57B44" w:rsidRPr="001416ED" w:rsidRDefault="00F57B44" w:rsidP="00F57B44">
      <w:pPr>
        <w:pStyle w:val="26"/>
        <w:spacing w:after="0" w:line="360" w:lineRule="auto"/>
        <w:ind w:left="0"/>
        <w:jc w:val="both"/>
        <w:rPr>
          <w:lang w:val="uk-UA"/>
        </w:rPr>
      </w:pPr>
      <w:r w:rsidRPr="001416ED">
        <w:rPr>
          <w:lang w:val="uk-UA"/>
        </w:rPr>
        <w:t>2. Етап гребенеутворення і формування типів папілярних візерунків. На 10</w:t>
      </w:r>
      <w:r w:rsidR="00BC0119" w:rsidRPr="001416ED">
        <w:rPr>
          <w:lang w:val="uk-UA"/>
        </w:rPr>
        <w:t>–</w:t>
      </w:r>
      <w:r w:rsidRPr="001416ED">
        <w:rPr>
          <w:lang w:val="uk-UA"/>
        </w:rPr>
        <w:t>11</w:t>
      </w:r>
      <w:r w:rsidR="00BC0119" w:rsidRPr="001416ED">
        <w:rPr>
          <w:lang w:val="uk-UA"/>
        </w:rPr>
        <w:t>–</w:t>
      </w:r>
      <w:r w:rsidRPr="001416ED">
        <w:rPr>
          <w:lang w:val="uk-UA"/>
        </w:rPr>
        <w:t>му тижні ембріонального розвитку включаються гени, відповідальні за формування гребінцевої шкіри (специфічних її деталей і поверхневого рельєфу). Етап триває до 22</w:t>
      </w:r>
      <w:r w:rsidR="00BC0119" w:rsidRPr="001416ED">
        <w:rPr>
          <w:lang w:val="uk-UA"/>
        </w:rPr>
        <w:t>–</w:t>
      </w:r>
      <w:r w:rsidRPr="001416ED">
        <w:rPr>
          <w:lang w:val="uk-UA"/>
        </w:rPr>
        <w:t>24 тижня внутрішньоутробного розвитку плода. До цього часу рельєф шкіри досягає остаточної зрілості.</w:t>
      </w:r>
    </w:p>
    <w:p w:rsidR="00F57B44" w:rsidRPr="001416ED" w:rsidRDefault="00F57B44" w:rsidP="00F57B44">
      <w:pPr>
        <w:pStyle w:val="26"/>
        <w:spacing w:after="0" w:line="360" w:lineRule="auto"/>
        <w:ind w:left="0"/>
        <w:jc w:val="both"/>
        <w:rPr>
          <w:lang w:val="uk-UA"/>
        </w:rPr>
      </w:pPr>
      <w:r w:rsidRPr="001416ED">
        <w:rPr>
          <w:lang w:val="uk-UA"/>
        </w:rPr>
        <w:t>3. Етап дозрівання гребінцевої шкіри: починається з 24</w:t>
      </w:r>
      <w:r w:rsidR="00BC0119" w:rsidRPr="001416ED">
        <w:rPr>
          <w:lang w:val="uk-UA"/>
        </w:rPr>
        <w:t>–</w:t>
      </w:r>
      <w:r w:rsidRPr="001416ED">
        <w:rPr>
          <w:lang w:val="uk-UA"/>
        </w:rPr>
        <w:t xml:space="preserve">тижня розвитку плоду і до народження. На цьому етапі гребінцева шкіра дозріває як тактильний орган, формується сильний захисний роговий шар. </w:t>
      </w:r>
    </w:p>
    <w:p w:rsidR="00B87AA6" w:rsidRPr="001416ED" w:rsidRDefault="00B87AA6" w:rsidP="000570A2">
      <w:pPr>
        <w:pStyle w:val="26"/>
        <w:spacing w:after="0" w:line="360" w:lineRule="auto"/>
        <w:ind w:left="0" w:firstLine="709"/>
        <w:jc w:val="both"/>
        <w:rPr>
          <w:lang w:val="uk-UA"/>
        </w:rPr>
      </w:pPr>
      <w:r w:rsidRPr="001416ED">
        <w:rPr>
          <w:lang w:val="uk-UA"/>
        </w:rPr>
        <w:t>Основна увага в дерматогліфіці приділяється папілярним узорам (унікальним малюнкам, утвореним рельєфними лініями на поверхні шкіри) долонь і стоп людини. Як правило, особливо виділяються візерунки, розташовані на подушечках пальців рук, до них належать такі описові поняття</w:t>
      </w:r>
      <w:r w:rsidR="00C40BB1" w:rsidRPr="001416ED">
        <w:rPr>
          <w:lang w:val="uk-UA"/>
        </w:rPr>
        <w:t xml:space="preserve"> (</w:t>
      </w:r>
      <w:r w:rsidR="00227EA1" w:rsidRPr="001416ED">
        <w:rPr>
          <w:lang w:val="uk-UA"/>
        </w:rPr>
        <w:t>р</w:t>
      </w:r>
      <w:r w:rsidR="00C40BB1" w:rsidRPr="001416ED">
        <w:rPr>
          <w:lang w:val="uk-UA"/>
        </w:rPr>
        <w:t>ис.1</w:t>
      </w:r>
      <w:r w:rsidR="00824D22" w:rsidRPr="001416ED">
        <w:rPr>
          <w:lang w:val="uk-UA"/>
        </w:rPr>
        <w:t>.3.1</w:t>
      </w:r>
      <w:r w:rsidR="00C40BB1" w:rsidRPr="001416ED">
        <w:rPr>
          <w:lang w:val="uk-UA"/>
        </w:rPr>
        <w:t>)</w:t>
      </w:r>
      <w:r w:rsidRPr="001416ED">
        <w:rPr>
          <w:lang w:val="uk-UA"/>
        </w:rPr>
        <w:t>:</w:t>
      </w:r>
    </w:p>
    <w:p w:rsidR="00B87AA6" w:rsidRPr="001416ED" w:rsidRDefault="00FC41E6" w:rsidP="0012229A">
      <w:pPr>
        <w:pStyle w:val="26"/>
        <w:numPr>
          <w:ilvl w:val="0"/>
          <w:numId w:val="5"/>
        </w:numPr>
        <w:spacing w:after="0" w:line="360" w:lineRule="auto"/>
        <w:jc w:val="both"/>
        <w:rPr>
          <w:lang w:val="uk-UA"/>
        </w:rPr>
      </w:pPr>
      <w:r w:rsidRPr="001416ED">
        <w:rPr>
          <w:lang w:val="uk-UA"/>
        </w:rPr>
        <w:t>Т</w:t>
      </w:r>
      <w:r w:rsidR="00ED2CF4" w:rsidRPr="001416ED">
        <w:rPr>
          <w:lang w:val="uk-UA"/>
        </w:rPr>
        <w:t xml:space="preserve">рирадіус або дельта </w:t>
      </w:r>
      <w:r w:rsidR="00BC0119" w:rsidRPr="001416ED">
        <w:rPr>
          <w:lang w:val="uk-UA"/>
        </w:rPr>
        <w:t>–</w:t>
      </w:r>
      <w:r w:rsidR="00ED2CF4" w:rsidRPr="001416ED">
        <w:rPr>
          <w:lang w:val="uk-UA"/>
        </w:rPr>
        <w:t xml:space="preserve"> м</w:t>
      </w:r>
      <w:r w:rsidR="00B87AA6" w:rsidRPr="001416ED">
        <w:rPr>
          <w:lang w:val="uk-UA"/>
        </w:rPr>
        <w:t>ісце сходження трьох груп паралельних папілярних ліній.</w:t>
      </w:r>
    </w:p>
    <w:p w:rsidR="00B87AA6" w:rsidRPr="001416ED" w:rsidRDefault="00B87AA6" w:rsidP="0012229A">
      <w:pPr>
        <w:pStyle w:val="26"/>
        <w:numPr>
          <w:ilvl w:val="0"/>
          <w:numId w:val="5"/>
        </w:numPr>
        <w:spacing w:after="0" w:line="360" w:lineRule="auto"/>
        <w:jc w:val="both"/>
        <w:rPr>
          <w:lang w:val="uk-UA"/>
        </w:rPr>
      </w:pPr>
      <w:r w:rsidRPr="001416ED">
        <w:rPr>
          <w:lang w:val="uk-UA"/>
        </w:rPr>
        <w:lastRenderedPageBreak/>
        <w:t>Греб</w:t>
      </w:r>
      <w:r w:rsidR="00C40BB1" w:rsidRPr="001416ED">
        <w:rPr>
          <w:lang w:val="uk-UA"/>
        </w:rPr>
        <w:t>інцевий</w:t>
      </w:r>
      <w:r w:rsidR="00ED2CF4" w:rsidRPr="001416ED">
        <w:rPr>
          <w:lang w:val="uk-UA"/>
        </w:rPr>
        <w:t xml:space="preserve"> рахунок</w:t>
      </w:r>
      <w:r w:rsidR="00227EA1" w:rsidRPr="001416ED">
        <w:rPr>
          <w:lang w:val="uk-UA"/>
        </w:rPr>
        <w:t xml:space="preserve"> (ГР)</w:t>
      </w:r>
      <w:r w:rsidR="00ED2CF4" w:rsidRPr="001416ED">
        <w:rPr>
          <w:lang w:val="uk-UA"/>
        </w:rPr>
        <w:t xml:space="preserve"> </w:t>
      </w:r>
      <w:r w:rsidR="00BC0119" w:rsidRPr="001416ED">
        <w:rPr>
          <w:lang w:val="uk-UA"/>
        </w:rPr>
        <w:t>–</w:t>
      </w:r>
      <w:r w:rsidR="00ED2CF4" w:rsidRPr="001416ED">
        <w:rPr>
          <w:lang w:val="uk-UA"/>
        </w:rPr>
        <w:t xml:space="preserve"> к</w:t>
      </w:r>
      <w:r w:rsidRPr="001416ED">
        <w:rPr>
          <w:lang w:val="uk-UA"/>
        </w:rPr>
        <w:t>ількість папілярних ліній ві</w:t>
      </w:r>
      <w:r w:rsidR="00ED2CF4" w:rsidRPr="001416ED">
        <w:rPr>
          <w:lang w:val="uk-UA"/>
        </w:rPr>
        <w:t>д центру пальцевого узору до три</w:t>
      </w:r>
      <w:r w:rsidRPr="001416ED">
        <w:rPr>
          <w:lang w:val="uk-UA"/>
        </w:rPr>
        <w:t>рад</w:t>
      </w:r>
      <w:r w:rsidR="00ED2CF4" w:rsidRPr="001416ED">
        <w:rPr>
          <w:lang w:val="uk-UA"/>
        </w:rPr>
        <w:t>і</w:t>
      </w:r>
      <w:r w:rsidRPr="001416ED">
        <w:rPr>
          <w:lang w:val="uk-UA"/>
        </w:rPr>
        <w:t>уса.</w:t>
      </w:r>
      <w:r w:rsidR="0080224E" w:rsidRPr="001416ED">
        <w:t xml:space="preserve"> </w:t>
      </w:r>
    </w:p>
    <w:p w:rsidR="0086092B" w:rsidRPr="001416ED" w:rsidRDefault="0086092B" w:rsidP="0012229A">
      <w:pPr>
        <w:pStyle w:val="26"/>
        <w:numPr>
          <w:ilvl w:val="0"/>
          <w:numId w:val="5"/>
        </w:numPr>
        <w:spacing w:after="0" w:line="360" w:lineRule="auto"/>
        <w:jc w:val="both"/>
        <w:rPr>
          <w:lang w:val="uk-UA"/>
        </w:rPr>
      </w:pPr>
      <w:r w:rsidRPr="001416ED">
        <w:t>Загальний греб</w:t>
      </w:r>
      <w:r w:rsidRPr="001416ED">
        <w:rPr>
          <w:lang w:val="uk-UA"/>
        </w:rPr>
        <w:t xml:space="preserve">інцевий рахунок (ЗГР) </w:t>
      </w:r>
      <w:r w:rsidR="00BC0119" w:rsidRPr="001416ED">
        <w:rPr>
          <w:lang w:val="uk-UA"/>
        </w:rPr>
        <w:t>–</w:t>
      </w:r>
      <w:r w:rsidRPr="001416ED">
        <w:t xml:space="preserve"> </w:t>
      </w:r>
      <w:r w:rsidRPr="001416ED">
        <w:rPr>
          <w:lang w:val="uk-UA"/>
        </w:rPr>
        <w:t>сума гребінцевих рахункі</w:t>
      </w:r>
      <w:proofErr w:type="gramStart"/>
      <w:r w:rsidRPr="001416ED">
        <w:rPr>
          <w:lang w:val="uk-UA"/>
        </w:rPr>
        <w:t>в</w:t>
      </w:r>
      <w:proofErr w:type="gramEnd"/>
      <w:r w:rsidRPr="001416ED">
        <w:rPr>
          <w:lang w:val="uk-UA"/>
        </w:rPr>
        <w:t xml:space="preserve"> на 5 пальцях однієї кисті</w:t>
      </w:r>
      <w:r w:rsidR="00BC2745" w:rsidRPr="001416ED">
        <w:rPr>
          <w:lang w:val="uk-UA"/>
        </w:rPr>
        <w:t>.</w:t>
      </w:r>
    </w:p>
    <w:p w:rsidR="00ED2CF4" w:rsidRPr="001416ED" w:rsidRDefault="00ED2CF4" w:rsidP="0012229A">
      <w:pPr>
        <w:pStyle w:val="26"/>
        <w:numPr>
          <w:ilvl w:val="0"/>
          <w:numId w:val="5"/>
        </w:numPr>
        <w:spacing w:after="0" w:line="360" w:lineRule="auto"/>
        <w:jc w:val="both"/>
        <w:rPr>
          <w:lang w:val="uk-UA"/>
        </w:rPr>
      </w:pPr>
      <w:r w:rsidRPr="001416ED">
        <w:rPr>
          <w:lang w:val="uk-UA"/>
        </w:rPr>
        <w:t>Сумарний гребінцевий рахунок</w:t>
      </w:r>
      <w:r w:rsidR="00227EA1" w:rsidRPr="001416ED">
        <w:rPr>
          <w:lang w:val="uk-UA"/>
        </w:rPr>
        <w:t xml:space="preserve"> (СГР)</w:t>
      </w:r>
      <w:r w:rsidRPr="001416ED">
        <w:rPr>
          <w:lang w:val="uk-UA"/>
        </w:rPr>
        <w:t xml:space="preserve"> – сума гребінцевих рахунків 10 пальців</w:t>
      </w:r>
      <w:r w:rsidR="00BC2745" w:rsidRPr="001416ED">
        <w:rPr>
          <w:lang w:val="uk-UA"/>
        </w:rPr>
        <w:t>.</w:t>
      </w:r>
    </w:p>
    <w:p w:rsidR="00ED2CF4" w:rsidRPr="001416ED" w:rsidRDefault="00ED2CF4" w:rsidP="0012229A">
      <w:pPr>
        <w:pStyle w:val="26"/>
        <w:numPr>
          <w:ilvl w:val="0"/>
          <w:numId w:val="5"/>
        </w:numPr>
        <w:spacing w:line="360" w:lineRule="auto"/>
        <w:jc w:val="both"/>
        <w:rPr>
          <w:lang w:val="uk-UA"/>
        </w:rPr>
      </w:pPr>
      <w:r w:rsidRPr="001416ED">
        <w:rPr>
          <w:lang w:val="uk-UA"/>
        </w:rPr>
        <w:t>Види пальцевих візерунків: дуга (А), радіальна петля (</w:t>
      </w:r>
      <w:r w:rsidRPr="001416ED">
        <w:rPr>
          <w:lang w:val="en-US"/>
        </w:rPr>
        <w:t>R</w:t>
      </w:r>
      <w:r w:rsidRPr="001416ED">
        <w:rPr>
          <w:lang w:val="uk-UA"/>
        </w:rPr>
        <w:t>) (якщо своїм відкритим кінцем петля спрямована в бік великого пальця), ульнарна петля (</w:t>
      </w:r>
      <w:r w:rsidRPr="001416ED">
        <w:rPr>
          <w:lang w:val="en-US"/>
        </w:rPr>
        <w:t>U</w:t>
      </w:r>
      <w:r w:rsidRPr="001416ED">
        <w:rPr>
          <w:lang w:val="uk-UA"/>
        </w:rPr>
        <w:t xml:space="preserve">) </w:t>
      </w:r>
      <w:r w:rsidR="00BC2745" w:rsidRPr="001416ED">
        <w:rPr>
          <w:lang w:val="uk-UA"/>
        </w:rPr>
        <w:t>(</w:t>
      </w:r>
      <w:r w:rsidRPr="001416ED">
        <w:rPr>
          <w:lang w:val="uk-UA"/>
        </w:rPr>
        <w:t>якщо своїм відкритим кінцем петля спрямована в бік мізинця) завиток (</w:t>
      </w:r>
      <w:r w:rsidRPr="001416ED">
        <w:rPr>
          <w:lang w:val="en-US"/>
        </w:rPr>
        <w:t>W</w:t>
      </w:r>
      <w:r w:rsidRPr="001416ED">
        <w:rPr>
          <w:lang w:val="uk-UA"/>
        </w:rPr>
        <w:t xml:space="preserve">). Дузі відповідає відсутність трірадуса у візерунку, петлі </w:t>
      </w:r>
      <w:r w:rsidR="00BC0119" w:rsidRPr="001416ED">
        <w:rPr>
          <w:lang w:val="uk-UA"/>
        </w:rPr>
        <w:t>–</w:t>
      </w:r>
      <w:r w:rsidRPr="001416ED">
        <w:rPr>
          <w:lang w:val="uk-UA"/>
        </w:rPr>
        <w:t xml:space="preserve"> один трирадіус, завитку </w:t>
      </w:r>
      <w:r w:rsidR="00BC0119" w:rsidRPr="001416ED">
        <w:rPr>
          <w:lang w:val="uk-UA"/>
        </w:rPr>
        <w:t>–</w:t>
      </w:r>
      <w:r w:rsidRPr="001416ED">
        <w:rPr>
          <w:lang w:val="uk-UA"/>
        </w:rPr>
        <w:t xml:space="preserve"> два трирадіуса.</w:t>
      </w:r>
    </w:p>
    <w:p w:rsidR="00F57B44" w:rsidRPr="001416ED" w:rsidRDefault="00C04BC3" w:rsidP="00C40BB1">
      <w:pPr>
        <w:pStyle w:val="26"/>
        <w:spacing w:before="240" w:line="360" w:lineRule="auto"/>
        <w:ind w:left="0"/>
        <w:jc w:val="center"/>
        <w:rPr>
          <w:szCs w:val="28"/>
          <w:lang w:val="uk-UA"/>
        </w:rPr>
      </w:pPr>
      <w:r w:rsidRPr="001416ED">
        <w:rPr>
          <w:szCs w:val="28"/>
        </w:rPr>
        <w:object w:dxaOrig="9328" w:dyaOrig="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7pt;height:130.45pt" o:ole="" fillcolor="window">
            <v:imagedata r:id="rId15" o:title=""/>
          </v:shape>
          <o:OLEObject Type="Embed" ProgID="Word.Picture.8" ShapeID="_x0000_i1025" DrawAspect="Content" ObjectID="_1547988934" r:id="rId16"/>
        </w:object>
      </w:r>
    </w:p>
    <w:p w:rsidR="00F57B44" w:rsidRPr="001416ED" w:rsidRDefault="00F57B44" w:rsidP="00861024">
      <w:pPr>
        <w:pStyle w:val="af4"/>
        <w:widowControl/>
        <w:spacing w:before="240" w:line="360" w:lineRule="auto"/>
        <w:ind w:firstLine="0"/>
        <w:rPr>
          <w:b/>
          <w:szCs w:val="28"/>
        </w:rPr>
      </w:pPr>
      <w:r w:rsidRPr="001416ED">
        <w:rPr>
          <w:b/>
          <w:szCs w:val="28"/>
        </w:rPr>
        <w:t>Рис. 1</w:t>
      </w:r>
      <w:r w:rsidR="004C0190" w:rsidRPr="001416ED">
        <w:rPr>
          <w:b/>
          <w:szCs w:val="28"/>
        </w:rPr>
        <w:t>.3</w:t>
      </w:r>
      <w:r w:rsidRPr="001416ED">
        <w:rPr>
          <w:szCs w:val="28"/>
        </w:rPr>
        <w:t xml:space="preserve"> </w:t>
      </w:r>
      <w:r w:rsidRPr="001416ED">
        <w:rPr>
          <w:b/>
          <w:szCs w:val="28"/>
        </w:rPr>
        <w:t xml:space="preserve">Типи основних пальцевих малюнків людини: </w:t>
      </w:r>
      <w:r w:rsidRPr="001416ED">
        <w:rPr>
          <w:b/>
          <w:szCs w:val="28"/>
          <w:lang w:val="en-US"/>
        </w:rPr>
        <w:t>W</w:t>
      </w:r>
      <w:r w:rsidRPr="001416ED">
        <w:rPr>
          <w:b/>
          <w:szCs w:val="28"/>
        </w:rPr>
        <w:t xml:space="preserve"> – завиток, </w:t>
      </w:r>
      <w:r w:rsidRPr="001416ED">
        <w:rPr>
          <w:b/>
          <w:szCs w:val="28"/>
          <w:lang w:val="en-US"/>
        </w:rPr>
        <w:t>U</w:t>
      </w:r>
      <w:r w:rsidRPr="001416ED">
        <w:rPr>
          <w:b/>
          <w:szCs w:val="28"/>
        </w:rPr>
        <w:t xml:space="preserve"> – ульнарна петля, </w:t>
      </w:r>
      <w:r w:rsidRPr="001416ED">
        <w:rPr>
          <w:b/>
          <w:szCs w:val="28"/>
          <w:lang w:val="en-US"/>
        </w:rPr>
        <w:t>R</w:t>
      </w:r>
      <w:r w:rsidRPr="001416ED">
        <w:rPr>
          <w:b/>
          <w:szCs w:val="28"/>
        </w:rPr>
        <w:t xml:space="preserve"> </w:t>
      </w:r>
      <w:r w:rsidR="00BC0119" w:rsidRPr="001416ED">
        <w:rPr>
          <w:b/>
          <w:szCs w:val="28"/>
        </w:rPr>
        <w:t>–</w:t>
      </w:r>
      <w:r w:rsidRPr="001416ED">
        <w:rPr>
          <w:b/>
          <w:szCs w:val="28"/>
        </w:rPr>
        <w:t xml:space="preserve"> радіальна петля, </w:t>
      </w:r>
      <w:r w:rsidRPr="001416ED">
        <w:rPr>
          <w:b/>
          <w:szCs w:val="28"/>
          <w:lang w:val="en-US"/>
        </w:rPr>
        <w:t>A</w:t>
      </w:r>
      <w:r w:rsidRPr="001416ED">
        <w:rPr>
          <w:b/>
          <w:szCs w:val="28"/>
        </w:rPr>
        <w:t xml:space="preserve"> – дуга, </w:t>
      </w:r>
      <w:r w:rsidRPr="001416ED">
        <w:rPr>
          <w:b/>
          <w:szCs w:val="28"/>
          <w:lang w:val="en-US"/>
        </w:rPr>
        <w:t>d</w:t>
      </w:r>
      <w:r w:rsidRPr="001416ED">
        <w:rPr>
          <w:b/>
          <w:szCs w:val="28"/>
        </w:rPr>
        <w:t xml:space="preserve"> – дельта узору, о – центр узору</w:t>
      </w:r>
      <w:r w:rsidR="00D80585" w:rsidRPr="001416ED">
        <w:rPr>
          <w:b/>
          <w:szCs w:val="28"/>
        </w:rPr>
        <w:t xml:space="preserve"> (адаптовано з </w:t>
      </w:r>
      <w:r w:rsidR="00573931" w:rsidRPr="001416ED">
        <w:rPr>
          <w:b/>
          <w:szCs w:val="28"/>
        </w:rPr>
        <w:t>Т.</w:t>
      </w:r>
      <w:r w:rsidR="00C002BF" w:rsidRPr="001416ED">
        <w:rPr>
          <w:b/>
          <w:szCs w:val="28"/>
        </w:rPr>
        <w:t xml:space="preserve"> </w:t>
      </w:r>
      <w:r w:rsidR="00573931" w:rsidRPr="001416ED">
        <w:rPr>
          <w:b/>
          <w:szCs w:val="28"/>
        </w:rPr>
        <w:t>Д. Гладкової</w:t>
      </w:r>
      <w:r w:rsidR="00D80585" w:rsidRPr="001416ED">
        <w:rPr>
          <w:b/>
          <w:szCs w:val="28"/>
        </w:rPr>
        <w:t>, 200</w:t>
      </w:r>
      <w:r w:rsidR="00573931" w:rsidRPr="001416ED">
        <w:rPr>
          <w:b/>
          <w:szCs w:val="28"/>
        </w:rPr>
        <w:t>2</w:t>
      </w:r>
      <w:r w:rsidR="00D80585" w:rsidRPr="001416ED">
        <w:rPr>
          <w:b/>
          <w:szCs w:val="28"/>
        </w:rPr>
        <w:t>).</w:t>
      </w:r>
    </w:p>
    <w:p w:rsidR="00F57B44" w:rsidRPr="001416ED" w:rsidRDefault="00F57B44" w:rsidP="00861024">
      <w:pPr>
        <w:pStyle w:val="ac"/>
        <w:shd w:val="clear" w:color="auto" w:fill="FFFFFF" w:themeFill="background1"/>
        <w:spacing w:before="240" w:beforeAutospacing="0" w:after="0" w:afterAutospacing="0" w:line="360" w:lineRule="auto"/>
        <w:ind w:firstLine="709"/>
        <w:jc w:val="both"/>
        <w:rPr>
          <w:sz w:val="28"/>
          <w:szCs w:val="28"/>
        </w:rPr>
      </w:pPr>
      <w:r w:rsidRPr="001416ED">
        <w:rPr>
          <w:sz w:val="28"/>
          <w:szCs w:val="28"/>
        </w:rPr>
        <w:t>Ознаки дерматогліфіки, що сформувалися, не змінюються при подальшому рості та розвитку плода, дитини та дорослої людини. Дерматогліфіка містить у собі наслідувані характеристики та одночасно відбиває ефекти статі, раси, генних мутацій, хромосомних дефектів і тератогенних впливів [</w:t>
      </w:r>
      <w:r w:rsidR="00D27D62" w:rsidRPr="001416ED">
        <w:rPr>
          <w:sz w:val="28"/>
          <w:szCs w:val="28"/>
        </w:rPr>
        <w:t>68</w:t>
      </w:r>
      <w:r w:rsidRPr="001416ED">
        <w:rPr>
          <w:sz w:val="28"/>
          <w:szCs w:val="28"/>
        </w:rPr>
        <w:t>].</w:t>
      </w:r>
      <w:r w:rsidRPr="001416ED">
        <w:t xml:space="preserve"> </w:t>
      </w:r>
      <w:r w:rsidRPr="001416ED">
        <w:rPr>
          <w:sz w:val="28"/>
          <w:szCs w:val="28"/>
        </w:rPr>
        <w:t xml:space="preserve">Отже, шкірні малюнки досить інтегративно відбивають сукупний вплив на плід як генетичних  так і зовнішніх чинників. Крім цього, цінність інформації, яку несуть дерматогліфи зростає і за рахунок того, що саме в період </w:t>
      </w:r>
      <w:r w:rsidR="002C7FE1" w:rsidRPr="001416ED">
        <w:rPr>
          <w:sz w:val="28"/>
          <w:szCs w:val="28"/>
        </w:rPr>
        <w:t>гребенеутворення та формування типів папілярних малюнків</w:t>
      </w:r>
      <w:r w:rsidRPr="001416ED">
        <w:rPr>
          <w:sz w:val="28"/>
          <w:szCs w:val="28"/>
        </w:rPr>
        <w:t xml:space="preserve"> закладаються нервова та серцево</w:t>
      </w:r>
      <w:r w:rsidR="00BC0119" w:rsidRPr="001416ED">
        <w:rPr>
          <w:sz w:val="28"/>
          <w:szCs w:val="28"/>
        </w:rPr>
        <w:t>–</w:t>
      </w:r>
      <w:r w:rsidRPr="001416ED">
        <w:rPr>
          <w:sz w:val="28"/>
          <w:szCs w:val="28"/>
        </w:rPr>
        <w:lastRenderedPageBreak/>
        <w:t xml:space="preserve">судинна системи, формується мікроциркуляторне русло, отже </w:t>
      </w:r>
      <w:r w:rsidR="002C7FE1" w:rsidRPr="001416ED">
        <w:rPr>
          <w:sz w:val="28"/>
          <w:szCs w:val="28"/>
        </w:rPr>
        <w:t>пальцеві малюнки</w:t>
      </w:r>
      <w:r w:rsidRPr="001416ED">
        <w:rPr>
          <w:sz w:val="28"/>
          <w:szCs w:val="28"/>
        </w:rPr>
        <w:t xml:space="preserve"> тісно пов‘язан</w:t>
      </w:r>
      <w:r w:rsidR="002C7FE1" w:rsidRPr="001416ED">
        <w:rPr>
          <w:sz w:val="28"/>
          <w:szCs w:val="28"/>
        </w:rPr>
        <w:t>і</w:t>
      </w:r>
      <w:r w:rsidRPr="001416ED">
        <w:rPr>
          <w:sz w:val="28"/>
          <w:szCs w:val="28"/>
        </w:rPr>
        <w:t xml:space="preserve"> з останніми. Це стало підставою для пошуку можливих асоціацій між індивідуальними варіантами пальцевих візерунків (завитки, петлі та дуги) та успадкуванням схильності до ССЗ та ГХ</w:t>
      </w:r>
      <w:r w:rsidR="002C7FE1" w:rsidRPr="001416ED">
        <w:rPr>
          <w:sz w:val="28"/>
          <w:szCs w:val="28"/>
        </w:rPr>
        <w:t>,</w:t>
      </w:r>
      <w:r w:rsidRPr="001416ED">
        <w:rPr>
          <w:sz w:val="28"/>
          <w:szCs w:val="28"/>
        </w:rPr>
        <w:t xml:space="preserve"> зокрема.</w:t>
      </w:r>
    </w:p>
    <w:p w:rsidR="00E728D3" w:rsidRPr="001416ED" w:rsidRDefault="00F57B44" w:rsidP="00861024">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У дослідженні, що проводилося з метою визначення характеру дерматогліфічних змін, пов'язаних з ГХ серед туземців штату Ріверс в Нігерії було показано, що відсоток частоти завитків</w:t>
      </w:r>
      <w:r w:rsidRPr="001416ED">
        <w:rPr>
          <w:szCs w:val="28"/>
        </w:rPr>
        <w:t xml:space="preserve"> </w:t>
      </w:r>
      <w:r w:rsidRPr="001416ED">
        <w:rPr>
          <w:sz w:val="28"/>
          <w:szCs w:val="28"/>
        </w:rPr>
        <w:t>в</w:t>
      </w:r>
      <w:r w:rsidR="00C75AE5" w:rsidRPr="001416ED">
        <w:rPr>
          <w:sz w:val="28"/>
          <w:szCs w:val="28"/>
        </w:rPr>
        <w:t xml:space="preserve"> чоловічій і жіночій групі з ес</w:t>
      </w:r>
      <w:r w:rsidRPr="001416ED">
        <w:rPr>
          <w:sz w:val="28"/>
          <w:szCs w:val="28"/>
        </w:rPr>
        <w:t>енціальною АГ була вище, ніж у практично здо</w:t>
      </w:r>
      <w:r w:rsidR="00101201" w:rsidRPr="001416ED">
        <w:rPr>
          <w:sz w:val="28"/>
          <w:szCs w:val="28"/>
        </w:rPr>
        <w:t>рових представників обох статей.</w:t>
      </w:r>
      <w:r w:rsidRPr="001416ED">
        <w:rPr>
          <w:sz w:val="28"/>
          <w:szCs w:val="28"/>
        </w:rPr>
        <w:t xml:space="preserve"> </w:t>
      </w:r>
      <w:r w:rsidR="00101201" w:rsidRPr="001416ED">
        <w:rPr>
          <w:sz w:val="28"/>
          <w:szCs w:val="28"/>
        </w:rPr>
        <w:t>У пацієнтів з ГХ у 67</w:t>
      </w:r>
      <w:r w:rsidR="00D4219F" w:rsidRPr="001416ED">
        <w:rPr>
          <w:sz w:val="28"/>
          <w:szCs w:val="28"/>
        </w:rPr>
        <w:t xml:space="preserve"> %</w:t>
      </w:r>
      <w:r w:rsidR="00101201" w:rsidRPr="001416ED">
        <w:rPr>
          <w:sz w:val="28"/>
          <w:szCs w:val="28"/>
        </w:rPr>
        <w:t xml:space="preserve"> визначався </w:t>
      </w:r>
      <w:r w:rsidR="00101201" w:rsidRPr="001416ED">
        <w:rPr>
          <w:rStyle w:val="hps"/>
          <w:sz w:val="28"/>
          <w:szCs w:val="28"/>
        </w:rPr>
        <w:t>завиток</w:t>
      </w:r>
      <w:r w:rsidR="00101201" w:rsidRPr="001416ED">
        <w:rPr>
          <w:sz w:val="28"/>
          <w:szCs w:val="28"/>
        </w:rPr>
        <w:t>, а у 28</w:t>
      </w:r>
      <w:r w:rsidR="00D4219F" w:rsidRPr="001416ED">
        <w:rPr>
          <w:sz w:val="28"/>
          <w:szCs w:val="28"/>
        </w:rPr>
        <w:t xml:space="preserve"> %</w:t>
      </w:r>
      <w:r w:rsidR="00101201" w:rsidRPr="001416ED">
        <w:rPr>
          <w:sz w:val="28"/>
          <w:szCs w:val="28"/>
        </w:rPr>
        <w:t xml:space="preserve"> переважали ульнарні петлі </w:t>
      </w:r>
      <w:r w:rsidRPr="001416ED">
        <w:rPr>
          <w:sz w:val="28"/>
          <w:szCs w:val="28"/>
        </w:rPr>
        <w:t>і завитки на І пальці правої</w:t>
      </w:r>
      <w:r w:rsidR="00C75AE5" w:rsidRPr="001416ED">
        <w:rPr>
          <w:sz w:val="28"/>
          <w:szCs w:val="28"/>
        </w:rPr>
        <w:t xml:space="preserve"> руки були тісно пов'язані з ес</w:t>
      </w:r>
      <w:r w:rsidRPr="001416ED">
        <w:rPr>
          <w:sz w:val="28"/>
          <w:szCs w:val="28"/>
        </w:rPr>
        <w:t>енціальною АГ у чоловіків і жінок (100</w:t>
      </w:r>
      <w:r w:rsidR="00D4219F" w:rsidRPr="001416ED">
        <w:rPr>
          <w:sz w:val="28"/>
          <w:szCs w:val="28"/>
        </w:rPr>
        <w:t xml:space="preserve"> %</w:t>
      </w:r>
      <w:r w:rsidRPr="001416ED">
        <w:rPr>
          <w:sz w:val="28"/>
          <w:szCs w:val="28"/>
        </w:rPr>
        <w:t xml:space="preserve"> і 80,77</w:t>
      </w:r>
      <w:r w:rsidR="00D4219F" w:rsidRPr="001416ED">
        <w:rPr>
          <w:sz w:val="28"/>
          <w:szCs w:val="28"/>
        </w:rPr>
        <w:t xml:space="preserve"> %</w:t>
      </w:r>
      <w:r w:rsidRPr="001416ED">
        <w:rPr>
          <w:sz w:val="28"/>
          <w:szCs w:val="28"/>
        </w:rPr>
        <w:t xml:space="preserve"> відповідно)</w:t>
      </w:r>
      <w:r w:rsidR="00621D1A" w:rsidRPr="001416ED">
        <w:rPr>
          <w:szCs w:val="28"/>
        </w:rPr>
        <w:t xml:space="preserve"> </w:t>
      </w:r>
      <w:r w:rsidR="00621D1A" w:rsidRPr="001416ED">
        <w:rPr>
          <w:sz w:val="28"/>
          <w:szCs w:val="28"/>
        </w:rPr>
        <w:t>[1</w:t>
      </w:r>
      <w:r w:rsidR="00D27D62" w:rsidRPr="001416ED">
        <w:rPr>
          <w:sz w:val="28"/>
          <w:szCs w:val="28"/>
        </w:rPr>
        <w:t>66</w:t>
      </w:r>
      <w:r w:rsidR="00621D1A" w:rsidRPr="001416ED">
        <w:rPr>
          <w:sz w:val="28"/>
          <w:szCs w:val="28"/>
        </w:rPr>
        <w:t>]</w:t>
      </w:r>
      <w:r w:rsidRPr="001416ED">
        <w:rPr>
          <w:sz w:val="28"/>
          <w:szCs w:val="28"/>
        </w:rPr>
        <w:t xml:space="preserve">. </w:t>
      </w:r>
    </w:p>
    <w:p w:rsidR="00E728D3" w:rsidRPr="001416ED" w:rsidRDefault="00ED2CF4" w:rsidP="00E728D3">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 xml:space="preserve">У дослідженні </w:t>
      </w:r>
      <w:r w:rsidR="00621D1A" w:rsidRPr="001416ED">
        <w:rPr>
          <w:sz w:val="28"/>
          <w:szCs w:val="28"/>
        </w:rPr>
        <w:t>індійської популяції різної статі</w:t>
      </w:r>
      <w:r w:rsidRPr="001416ED">
        <w:rPr>
          <w:sz w:val="28"/>
          <w:szCs w:val="28"/>
        </w:rPr>
        <w:t xml:space="preserve"> отримані наступні результати </w:t>
      </w:r>
      <w:r w:rsidR="00BC0119" w:rsidRPr="001416ED">
        <w:rPr>
          <w:sz w:val="28"/>
          <w:szCs w:val="28"/>
        </w:rPr>
        <w:t>–</w:t>
      </w:r>
      <w:r w:rsidRPr="001416ED">
        <w:rPr>
          <w:sz w:val="28"/>
          <w:szCs w:val="28"/>
        </w:rPr>
        <w:t xml:space="preserve"> немає достовірної різниці у частоті завитк</w:t>
      </w:r>
      <w:r w:rsidR="008F1309" w:rsidRPr="001416ED">
        <w:rPr>
          <w:sz w:val="28"/>
          <w:szCs w:val="28"/>
        </w:rPr>
        <w:t>ів</w:t>
      </w:r>
      <w:r w:rsidRPr="001416ED">
        <w:rPr>
          <w:sz w:val="28"/>
          <w:szCs w:val="28"/>
        </w:rPr>
        <w:t xml:space="preserve"> і ульнарни</w:t>
      </w:r>
      <w:r w:rsidR="008F1309" w:rsidRPr="001416ED">
        <w:rPr>
          <w:sz w:val="28"/>
          <w:szCs w:val="28"/>
        </w:rPr>
        <w:t>х</w:t>
      </w:r>
      <w:r w:rsidRPr="001416ED">
        <w:rPr>
          <w:sz w:val="28"/>
          <w:szCs w:val="28"/>
        </w:rPr>
        <w:t xml:space="preserve"> пет</w:t>
      </w:r>
      <w:r w:rsidR="008F1309" w:rsidRPr="001416ED">
        <w:rPr>
          <w:sz w:val="28"/>
          <w:szCs w:val="28"/>
        </w:rPr>
        <w:t>ель</w:t>
      </w:r>
      <w:r w:rsidRPr="001416ED">
        <w:rPr>
          <w:sz w:val="28"/>
          <w:szCs w:val="28"/>
        </w:rPr>
        <w:t xml:space="preserve"> </w:t>
      </w:r>
      <w:r w:rsidR="008F1309" w:rsidRPr="001416ED">
        <w:rPr>
          <w:sz w:val="28"/>
          <w:szCs w:val="28"/>
        </w:rPr>
        <w:t>між</w:t>
      </w:r>
      <w:r w:rsidRPr="001416ED">
        <w:rPr>
          <w:sz w:val="28"/>
          <w:szCs w:val="28"/>
        </w:rPr>
        <w:t xml:space="preserve"> груп</w:t>
      </w:r>
      <w:r w:rsidR="008F1309" w:rsidRPr="001416ED">
        <w:rPr>
          <w:sz w:val="28"/>
          <w:szCs w:val="28"/>
        </w:rPr>
        <w:t>ою</w:t>
      </w:r>
      <w:r w:rsidRPr="001416ED">
        <w:rPr>
          <w:sz w:val="28"/>
          <w:szCs w:val="28"/>
        </w:rPr>
        <w:t xml:space="preserve"> практично здорових осіб та пацієнтами з ГХ. Однак, у </w:t>
      </w:r>
      <w:r w:rsidR="008F1309" w:rsidRPr="001416ED">
        <w:rPr>
          <w:sz w:val="28"/>
          <w:szCs w:val="28"/>
        </w:rPr>
        <w:t>хворих</w:t>
      </w:r>
      <w:r w:rsidRPr="001416ED">
        <w:rPr>
          <w:sz w:val="28"/>
          <w:szCs w:val="28"/>
        </w:rPr>
        <w:t>, що мають ГХ частота радіальних петель достовірна нижча, а частота дуг достовірно вища ніж у практично здорових осіб</w:t>
      </w:r>
      <w:r w:rsidR="00937888" w:rsidRPr="001416ED">
        <w:rPr>
          <w:sz w:val="28"/>
          <w:szCs w:val="28"/>
        </w:rPr>
        <w:t xml:space="preserve"> [1</w:t>
      </w:r>
      <w:r w:rsidR="00D27D62" w:rsidRPr="001416ED">
        <w:rPr>
          <w:sz w:val="28"/>
          <w:szCs w:val="28"/>
        </w:rPr>
        <w:t>55</w:t>
      </w:r>
      <w:r w:rsidR="00937888" w:rsidRPr="001416ED">
        <w:rPr>
          <w:sz w:val="28"/>
          <w:szCs w:val="28"/>
        </w:rPr>
        <w:t>].</w:t>
      </w:r>
      <w:r w:rsidR="00E728D3" w:rsidRPr="001416ED">
        <w:rPr>
          <w:sz w:val="28"/>
          <w:szCs w:val="28"/>
        </w:rPr>
        <w:t xml:space="preserve"> </w:t>
      </w:r>
    </w:p>
    <w:p w:rsidR="00ED2CF4" w:rsidRPr="001416ED" w:rsidRDefault="00E728D3" w:rsidP="00E728D3">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При вивченні дерматогліфів населення південно</w:t>
      </w:r>
      <w:r w:rsidR="00BC0119" w:rsidRPr="001416ED">
        <w:rPr>
          <w:sz w:val="28"/>
          <w:szCs w:val="28"/>
        </w:rPr>
        <w:t>–</w:t>
      </w:r>
      <w:r w:rsidRPr="001416ED">
        <w:rPr>
          <w:sz w:val="28"/>
          <w:szCs w:val="28"/>
        </w:rPr>
        <w:t>західної Індії, виявлено, що у пацієнтів обох статей з ГХ рівень гребінцевого рахунку на І і І</w:t>
      </w:r>
      <w:r w:rsidRPr="001416ED">
        <w:rPr>
          <w:sz w:val="28"/>
          <w:szCs w:val="28"/>
          <w:lang w:val="en-US"/>
        </w:rPr>
        <w:t>V</w:t>
      </w:r>
      <w:r w:rsidRPr="001416ED">
        <w:rPr>
          <w:sz w:val="28"/>
          <w:szCs w:val="28"/>
        </w:rPr>
        <w:t xml:space="preserve"> пальцях правої руки був достовірно більший, ніж у пацієнтів, що входили у групу контролю. При цьому, у чоловіків з ГХ на І і І</w:t>
      </w:r>
      <w:r w:rsidRPr="001416ED">
        <w:rPr>
          <w:sz w:val="28"/>
          <w:szCs w:val="28"/>
          <w:lang w:val="en-US"/>
        </w:rPr>
        <w:t>V</w:t>
      </w:r>
      <w:r w:rsidRPr="001416ED">
        <w:rPr>
          <w:sz w:val="28"/>
          <w:szCs w:val="28"/>
        </w:rPr>
        <w:t xml:space="preserve"> пальцях правої руки достовірно частіше зустрічались завитки, </w:t>
      </w:r>
      <w:r w:rsidR="00FF5B8D" w:rsidRPr="001416ED">
        <w:rPr>
          <w:sz w:val="28"/>
          <w:szCs w:val="28"/>
        </w:rPr>
        <w:t>дуги</w:t>
      </w:r>
      <w:r w:rsidRPr="001416ED">
        <w:rPr>
          <w:sz w:val="28"/>
          <w:szCs w:val="28"/>
        </w:rPr>
        <w:t xml:space="preserve"> і петлі, ніж у практично здорових осіб. На </w:t>
      </w:r>
      <w:r w:rsidRPr="001416ED">
        <w:rPr>
          <w:sz w:val="28"/>
          <w:szCs w:val="28"/>
          <w:lang w:val="en-US"/>
        </w:rPr>
        <w:t>I</w:t>
      </w:r>
      <w:r w:rsidRPr="001416ED">
        <w:rPr>
          <w:sz w:val="28"/>
          <w:szCs w:val="28"/>
        </w:rPr>
        <w:t xml:space="preserve">, </w:t>
      </w:r>
      <w:r w:rsidRPr="001416ED">
        <w:rPr>
          <w:sz w:val="28"/>
          <w:szCs w:val="28"/>
          <w:lang w:val="en-US"/>
        </w:rPr>
        <w:t>III</w:t>
      </w:r>
      <w:r w:rsidRPr="001416ED">
        <w:rPr>
          <w:sz w:val="28"/>
          <w:szCs w:val="28"/>
        </w:rPr>
        <w:t xml:space="preserve"> та </w:t>
      </w:r>
      <w:r w:rsidRPr="001416ED">
        <w:rPr>
          <w:sz w:val="28"/>
          <w:szCs w:val="28"/>
          <w:lang w:val="en-US"/>
        </w:rPr>
        <w:t>V</w:t>
      </w:r>
      <w:r w:rsidRPr="001416ED">
        <w:rPr>
          <w:sz w:val="28"/>
          <w:szCs w:val="28"/>
        </w:rPr>
        <w:t xml:space="preserve"> пальцях правої руки </w:t>
      </w:r>
      <w:r w:rsidR="008F1309" w:rsidRPr="001416ED">
        <w:rPr>
          <w:sz w:val="28"/>
          <w:szCs w:val="28"/>
        </w:rPr>
        <w:t>ГР</w:t>
      </w:r>
      <w:r w:rsidRPr="001416ED">
        <w:rPr>
          <w:sz w:val="28"/>
          <w:szCs w:val="28"/>
        </w:rPr>
        <w:t xml:space="preserve"> був вірогідно вищий, ніж у чоловіків з групи контролю [1</w:t>
      </w:r>
      <w:r w:rsidR="00D27D62" w:rsidRPr="001416ED">
        <w:rPr>
          <w:sz w:val="28"/>
          <w:szCs w:val="28"/>
        </w:rPr>
        <w:t>23</w:t>
      </w:r>
      <w:r w:rsidRPr="001416ED">
        <w:rPr>
          <w:sz w:val="28"/>
          <w:szCs w:val="28"/>
        </w:rPr>
        <w:t>].</w:t>
      </w:r>
    </w:p>
    <w:p w:rsidR="00FF68F0" w:rsidRPr="001416ED" w:rsidRDefault="00FF68F0" w:rsidP="00FF68F0">
      <w:pPr>
        <w:pStyle w:val="ac"/>
        <w:shd w:val="clear" w:color="auto" w:fill="FFFFFF" w:themeFill="background1"/>
        <w:spacing w:before="0" w:beforeAutospacing="0" w:after="0" w:afterAutospacing="0" w:line="360" w:lineRule="auto"/>
        <w:ind w:firstLine="709"/>
        <w:jc w:val="both"/>
        <w:rPr>
          <w:sz w:val="28"/>
          <w:szCs w:val="28"/>
          <w:shd w:val="clear" w:color="auto" w:fill="FFFFFF"/>
        </w:rPr>
      </w:pPr>
      <w:r w:rsidRPr="001416ED">
        <w:rPr>
          <w:sz w:val="28"/>
          <w:szCs w:val="28"/>
          <w:shd w:val="clear" w:color="auto" w:fill="FFFFFF"/>
        </w:rPr>
        <w:t>У населення Махачкали (Росія) дерматогліфічними предикторами розвитку ІМ у хворих на ГХ є ульнарно</w:t>
      </w:r>
      <w:r w:rsidR="00BC0119" w:rsidRPr="001416ED">
        <w:rPr>
          <w:sz w:val="28"/>
          <w:szCs w:val="28"/>
          <w:shd w:val="clear" w:color="auto" w:fill="FFFFFF"/>
        </w:rPr>
        <w:t>–</w:t>
      </w:r>
      <w:r w:rsidRPr="001416ED">
        <w:rPr>
          <w:sz w:val="28"/>
          <w:szCs w:val="28"/>
          <w:shd w:val="clear" w:color="auto" w:fill="FFFFFF"/>
        </w:rPr>
        <w:t xml:space="preserve">завитковий візерунок на правій руці. Виявлено </w:t>
      </w:r>
      <w:r w:rsidR="008F1309" w:rsidRPr="001416ED">
        <w:rPr>
          <w:sz w:val="28"/>
          <w:szCs w:val="28"/>
          <w:shd w:val="clear" w:color="auto" w:fill="FFFFFF"/>
        </w:rPr>
        <w:t>асоціацію</w:t>
      </w:r>
      <w:r w:rsidRPr="001416ED">
        <w:rPr>
          <w:sz w:val="28"/>
          <w:szCs w:val="28"/>
          <w:shd w:val="clear" w:color="auto" w:fill="FFFFFF"/>
        </w:rPr>
        <w:t xml:space="preserve"> </w:t>
      </w:r>
      <w:r w:rsidR="008F1309" w:rsidRPr="001416ED">
        <w:rPr>
          <w:sz w:val="28"/>
          <w:szCs w:val="28"/>
          <w:shd w:val="clear" w:color="auto" w:fill="FFFFFF"/>
        </w:rPr>
        <w:t xml:space="preserve">між </w:t>
      </w:r>
      <w:r w:rsidRPr="001416ED">
        <w:rPr>
          <w:sz w:val="28"/>
          <w:szCs w:val="28"/>
          <w:shd w:val="clear" w:color="auto" w:fill="FFFFFF"/>
        </w:rPr>
        <w:t>переважання</w:t>
      </w:r>
      <w:r w:rsidR="008F1309" w:rsidRPr="001416ED">
        <w:rPr>
          <w:sz w:val="28"/>
          <w:szCs w:val="28"/>
          <w:shd w:val="clear" w:color="auto" w:fill="FFFFFF"/>
        </w:rPr>
        <w:t>м</w:t>
      </w:r>
      <w:r w:rsidRPr="001416ED">
        <w:rPr>
          <w:sz w:val="28"/>
          <w:szCs w:val="28"/>
          <w:shd w:val="clear" w:color="auto" w:fill="FFFFFF"/>
        </w:rPr>
        <w:t xml:space="preserve"> ульнарних петель на IV пальці лівої руки з розвитком </w:t>
      </w:r>
      <w:r w:rsidR="00654FEC" w:rsidRPr="001416ED">
        <w:rPr>
          <w:sz w:val="28"/>
          <w:szCs w:val="28"/>
          <w:shd w:val="clear" w:color="auto" w:fill="FFFFFF"/>
        </w:rPr>
        <w:t>ІМ</w:t>
      </w:r>
      <w:r w:rsidRPr="001416ED">
        <w:rPr>
          <w:sz w:val="28"/>
          <w:szCs w:val="28"/>
          <w:shd w:val="clear" w:color="auto" w:fill="FFFFFF"/>
        </w:rPr>
        <w:t xml:space="preserve"> у хворих на </w:t>
      </w:r>
      <w:r w:rsidR="00654FEC" w:rsidRPr="001416ED">
        <w:rPr>
          <w:sz w:val="28"/>
          <w:szCs w:val="28"/>
          <w:shd w:val="clear" w:color="auto" w:fill="FFFFFF"/>
        </w:rPr>
        <w:t>ГХ</w:t>
      </w:r>
      <w:r w:rsidRPr="001416ED">
        <w:rPr>
          <w:sz w:val="28"/>
          <w:szCs w:val="28"/>
          <w:shd w:val="clear" w:color="auto" w:fill="FFFFFF"/>
        </w:rPr>
        <w:t>.</w:t>
      </w:r>
      <w:r w:rsidR="00654FEC" w:rsidRPr="001416ED">
        <w:rPr>
          <w:sz w:val="28"/>
          <w:szCs w:val="28"/>
          <w:shd w:val="clear" w:color="auto" w:fill="FFFFFF"/>
        </w:rPr>
        <w:t xml:space="preserve"> </w:t>
      </w:r>
      <w:r w:rsidRPr="001416ED">
        <w:rPr>
          <w:sz w:val="28"/>
          <w:szCs w:val="28"/>
          <w:shd w:val="clear" w:color="auto" w:fill="FFFFFF"/>
        </w:rPr>
        <w:t>Протективн</w:t>
      </w:r>
      <w:r w:rsidR="00654FEC" w:rsidRPr="001416ED">
        <w:rPr>
          <w:sz w:val="28"/>
          <w:szCs w:val="28"/>
          <w:shd w:val="clear" w:color="auto" w:fill="FFFFFF"/>
        </w:rPr>
        <w:t>им</w:t>
      </w:r>
      <w:r w:rsidRPr="001416ED">
        <w:rPr>
          <w:sz w:val="28"/>
          <w:szCs w:val="28"/>
          <w:shd w:val="clear" w:color="auto" w:fill="FFFFFF"/>
        </w:rPr>
        <w:t xml:space="preserve"> фактором щодо ризику розвитку </w:t>
      </w:r>
      <w:r w:rsidR="00654FEC" w:rsidRPr="001416ED">
        <w:rPr>
          <w:sz w:val="28"/>
          <w:szCs w:val="28"/>
          <w:shd w:val="clear" w:color="auto" w:fill="FFFFFF"/>
        </w:rPr>
        <w:t>ІМ</w:t>
      </w:r>
      <w:r w:rsidRPr="001416ED">
        <w:rPr>
          <w:sz w:val="28"/>
          <w:szCs w:val="28"/>
          <w:shd w:val="clear" w:color="auto" w:fill="FFFFFF"/>
        </w:rPr>
        <w:t xml:space="preserve"> у хворих на </w:t>
      </w:r>
      <w:r w:rsidR="00654FEC" w:rsidRPr="001416ED">
        <w:rPr>
          <w:sz w:val="28"/>
          <w:szCs w:val="28"/>
          <w:shd w:val="clear" w:color="auto" w:fill="FFFFFF"/>
        </w:rPr>
        <w:t>ГХ</w:t>
      </w:r>
      <w:r w:rsidRPr="001416ED">
        <w:rPr>
          <w:sz w:val="28"/>
          <w:szCs w:val="28"/>
          <w:shd w:val="clear" w:color="auto" w:fill="FFFFFF"/>
        </w:rPr>
        <w:t xml:space="preserve"> є ульнарний візерунок на правій руці і зав</w:t>
      </w:r>
      <w:r w:rsidR="00654FEC" w:rsidRPr="001416ED">
        <w:rPr>
          <w:sz w:val="28"/>
          <w:szCs w:val="28"/>
          <w:shd w:val="clear" w:color="auto" w:fill="FFFFFF"/>
        </w:rPr>
        <w:t>и</w:t>
      </w:r>
      <w:r w:rsidRPr="001416ED">
        <w:rPr>
          <w:sz w:val="28"/>
          <w:szCs w:val="28"/>
          <w:shd w:val="clear" w:color="auto" w:fill="FFFFFF"/>
        </w:rPr>
        <w:t>тковий візерунок на IV пальці лівої руки</w:t>
      </w:r>
      <w:r w:rsidR="00817091" w:rsidRPr="001416ED">
        <w:rPr>
          <w:sz w:val="28"/>
          <w:szCs w:val="28"/>
          <w:shd w:val="clear" w:color="auto" w:fill="FFFFFF"/>
        </w:rPr>
        <w:t xml:space="preserve"> [</w:t>
      </w:r>
      <w:r w:rsidR="00325BC0" w:rsidRPr="001416ED">
        <w:rPr>
          <w:sz w:val="28"/>
          <w:szCs w:val="28"/>
          <w:shd w:val="clear" w:color="auto" w:fill="FFFFFF"/>
        </w:rPr>
        <w:t>2</w:t>
      </w:r>
      <w:r w:rsidR="00817091" w:rsidRPr="001416ED">
        <w:rPr>
          <w:sz w:val="28"/>
          <w:szCs w:val="28"/>
          <w:shd w:val="clear" w:color="auto" w:fill="FFFFFF"/>
        </w:rPr>
        <w:t>]</w:t>
      </w:r>
      <w:r w:rsidRPr="001416ED">
        <w:rPr>
          <w:sz w:val="28"/>
          <w:szCs w:val="28"/>
          <w:shd w:val="clear" w:color="auto" w:fill="FFFFFF"/>
        </w:rPr>
        <w:t>.</w:t>
      </w:r>
    </w:p>
    <w:p w:rsidR="00E728D3" w:rsidRPr="001416ED" w:rsidRDefault="00E728D3" w:rsidP="00E728D3">
      <w:pPr>
        <w:pStyle w:val="ac"/>
        <w:shd w:val="clear" w:color="auto" w:fill="FFFFFF" w:themeFill="background1"/>
        <w:spacing w:before="0" w:beforeAutospacing="0" w:after="0" w:afterAutospacing="0" w:line="360" w:lineRule="auto"/>
        <w:ind w:firstLine="709"/>
        <w:jc w:val="both"/>
        <w:rPr>
          <w:sz w:val="28"/>
          <w:szCs w:val="28"/>
          <w:shd w:val="clear" w:color="auto" w:fill="FFFFFF"/>
        </w:rPr>
      </w:pPr>
      <w:r w:rsidRPr="001416ED">
        <w:rPr>
          <w:sz w:val="28"/>
          <w:szCs w:val="28"/>
        </w:rPr>
        <w:lastRenderedPageBreak/>
        <w:t>На території України, на сьогоднішній день, дуже мало досліджень дерматогліфі</w:t>
      </w:r>
      <w:r w:rsidR="006411C9" w:rsidRPr="001416ED">
        <w:rPr>
          <w:sz w:val="28"/>
          <w:szCs w:val="28"/>
        </w:rPr>
        <w:t>в</w:t>
      </w:r>
      <w:r w:rsidRPr="001416ED">
        <w:rPr>
          <w:sz w:val="28"/>
          <w:szCs w:val="28"/>
        </w:rPr>
        <w:t xml:space="preserve"> </w:t>
      </w:r>
      <w:r w:rsidR="00BC0119" w:rsidRPr="001416ED">
        <w:rPr>
          <w:sz w:val="28"/>
          <w:szCs w:val="28"/>
        </w:rPr>
        <w:t>–</w:t>
      </w:r>
      <w:r w:rsidRPr="001416ED">
        <w:rPr>
          <w:sz w:val="28"/>
          <w:szCs w:val="28"/>
        </w:rPr>
        <w:t xml:space="preserve"> як маркерів при кардіологічний патології взагалі, та при ГХ</w:t>
      </w:r>
      <w:r w:rsidR="00B8663B" w:rsidRPr="001416ED">
        <w:rPr>
          <w:sz w:val="28"/>
          <w:szCs w:val="28"/>
        </w:rPr>
        <w:t>,</w:t>
      </w:r>
      <w:r w:rsidRPr="001416ED">
        <w:rPr>
          <w:sz w:val="28"/>
          <w:szCs w:val="28"/>
        </w:rPr>
        <w:t xml:space="preserve"> зокрема.</w:t>
      </w:r>
      <w:r w:rsidRPr="001416ED">
        <w:rPr>
          <w:bCs/>
          <w:sz w:val="28"/>
          <w:szCs w:val="28"/>
          <w:shd w:val="clear" w:color="auto" w:fill="FFFFFF"/>
        </w:rPr>
        <w:t xml:space="preserve"> У роботі </w:t>
      </w:r>
      <w:r w:rsidR="00B8663B" w:rsidRPr="001416ED">
        <w:rPr>
          <w:sz w:val="28"/>
          <w:szCs w:val="28"/>
          <w:shd w:val="clear" w:color="auto" w:fill="FFFFFF"/>
        </w:rPr>
        <w:t xml:space="preserve">І. В. </w:t>
      </w:r>
      <w:r w:rsidRPr="001416ED">
        <w:rPr>
          <w:bCs/>
          <w:sz w:val="28"/>
          <w:szCs w:val="28"/>
          <w:shd w:val="clear" w:color="auto" w:fill="FFFFFF"/>
        </w:rPr>
        <w:t>Погоріл</w:t>
      </w:r>
      <w:r w:rsidR="00784C0B" w:rsidRPr="001416ED">
        <w:rPr>
          <w:bCs/>
          <w:sz w:val="28"/>
          <w:szCs w:val="28"/>
          <w:shd w:val="clear" w:color="auto" w:fill="FFFFFF"/>
        </w:rPr>
        <w:t>ої</w:t>
      </w:r>
      <w:r w:rsidRPr="001416ED">
        <w:rPr>
          <w:sz w:val="28"/>
          <w:szCs w:val="28"/>
          <w:shd w:val="clear" w:color="auto" w:fill="FFFFFF"/>
        </w:rPr>
        <w:t xml:space="preserve"> </w:t>
      </w:r>
      <w:r w:rsidR="0070325E" w:rsidRPr="001416ED">
        <w:rPr>
          <w:sz w:val="28"/>
          <w:szCs w:val="28"/>
          <w:shd w:val="clear" w:color="auto" w:fill="FFFFFF"/>
          <w:lang w:val="ru-RU"/>
        </w:rPr>
        <w:t xml:space="preserve">та співавт. </w:t>
      </w:r>
      <w:r w:rsidRPr="001416ED">
        <w:rPr>
          <w:sz w:val="28"/>
          <w:szCs w:val="28"/>
          <w:shd w:val="clear" w:color="auto" w:fill="FFFFFF"/>
        </w:rPr>
        <w:t>п</w:t>
      </w:r>
      <w:r w:rsidRPr="001416ED">
        <w:rPr>
          <w:sz w:val="28"/>
          <w:szCs w:val="28"/>
        </w:rPr>
        <w:t xml:space="preserve">ри порівнянні частот волярних візерунків на окремих пальцях в залежності від </w:t>
      </w:r>
      <w:r w:rsidR="00E6164F">
        <w:rPr>
          <w:sz w:val="28"/>
          <w:szCs w:val="28"/>
        </w:rPr>
        <w:t>поліморфного варіанту гена</w:t>
      </w:r>
      <w:r w:rsidR="00C75AE5" w:rsidRPr="001416ED">
        <w:rPr>
          <w:sz w:val="28"/>
          <w:szCs w:val="28"/>
        </w:rPr>
        <w:t xml:space="preserve"> АТ1-Р у </w:t>
      </w:r>
      <w:r w:rsidRPr="001416ED">
        <w:rPr>
          <w:sz w:val="28"/>
          <w:szCs w:val="28"/>
        </w:rPr>
        <w:t>па</w:t>
      </w:r>
      <w:r w:rsidR="00CA56E5" w:rsidRPr="001416ED">
        <w:rPr>
          <w:sz w:val="28"/>
          <w:szCs w:val="28"/>
        </w:rPr>
        <w:t>цієнтів без серцево</w:t>
      </w:r>
      <w:r w:rsidR="00BC0119" w:rsidRPr="001416ED">
        <w:rPr>
          <w:sz w:val="28"/>
          <w:szCs w:val="28"/>
        </w:rPr>
        <w:t>–</w:t>
      </w:r>
      <w:r w:rsidR="00CA56E5" w:rsidRPr="001416ED">
        <w:rPr>
          <w:sz w:val="28"/>
          <w:szCs w:val="28"/>
        </w:rPr>
        <w:t>судинної патології,</w:t>
      </w:r>
      <w:r w:rsidRPr="001416ED">
        <w:rPr>
          <w:sz w:val="28"/>
          <w:szCs w:val="28"/>
        </w:rPr>
        <w:t xml:space="preserve"> з’ясовано: в підгрупі з генотипом АА на 1, 2 та 3</w:t>
      </w:r>
      <w:r w:rsidR="00BC0119" w:rsidRPr="001416ED">
        <w:rPr>
          <w:sz w:val="28"/>
          <w:szCs w:val="28"/>
        </w:rPr>
        <w:t>–</w:t>
      </w:r>
      <w:r w:rsidRPr="001416ED">
        <w:rPr>
          <w:sz w:val="28"/>
          <w:szCs w:val="28"/>
        </w:rPr>
        <w:t>ому пальцях обох рук частіше зустрічаються ульнарні петлі, на всіх пальцях обох рук частіше зустрічаються дуги, ніж в групі з генотипами АС та СС; на 4</w:t>
      </w:r>
      <w:r w:rsidR="00BC0119" w:rsidRPr="001416ED">
        <w:rPr>
          <w:sz w:val="28"/>
          <w:szCs w:val="28"/>
        </w:rPr>
        <w:t>–</w:t>
      </w:r>
      <w:r w:rsidRPr="001416ED">
        <w:rPr>
          <w:sz w:val="28"/>
          <w:szCs w:val="28"/>
        </w:rPr>
        <w:t>х пальцях обох рук, на 1</w:t>
      </w:r>
      <w:r w:rsidR="00BC0119" w:rsidRPr="001416ED">
        <w:rPr>
          <w:sz w:val="28"/>
          <w:szCs w:val="28"/>
        </w:rPr>
        <w:t>–</w:t>
      </w:r>
      <w:r w:rsidRPr="001416ED">
        <w:rPr>
          <w:sz w:val="28"/>
          <w:szCs w:val="28"/>
        </w:rPr>
        <w:t>ому пальці правої руки, на 5</w:t>
      </w:r>
      <w:r w:rsidR="00BC0119" w:rsidRPr="001416ED">
        <w:rPr>
          <w:sz w:val="28"/>
          <w:szCs w:val="28"/>
        </w:rPr>
        <w:t>–</w:t>
      </w:r>
      <w:r w:rsidRPr="001416ED">
        <w:rPr>
          <w:sz w:val="28"/>
          <w:szCs w:val="28"/>
        </w:rPr>
        <w:t>му пальці лівої руки зустрічаються радіальні петлі, в той час як вони відсутні в групі з генним поліморфізмом (генотипи АС, СС). В підгрупі з генотипами АС та СС на 1, 4</w:t>
      </w:r>
      <w:r w:rsidR="00BC0119" w:rsidRPr="001416ED">
        <w:rPr>
          <w:sz w:val="28"/>
          <w:szCs w:val="28"/>
        </w:rPr>
        <w:t>–</w:t>
      </w:r>
      <w:r w:rsidRPr="001416ED">
        <w:rPr>
          <w:sz w:val="28"/>
          <w:szCs w:val="28"/>
        </w:rPr>
        <w:t>ому пальцях лівої руки частіше зустрічаються завитки, на 5</w:t>
      </w:r>
      <w:r w:rsidR="00BC0119" w:rsidRPr="001416ED">
        <w:rPr>
          <w:sz w:val="28"/>
          <w:szCs w:val="28"/>
        </w:rPr>
        <w:t>–</w:t>
      </w:r>
      <w:r w:rsidRPr="001416ED">
        <w:rPr>
          <w:sz w:val="28"/>
          <w:szCs w:val="28"/>
        </w:rPr>
        <w:t>му пальці правої руки присутні радіальні петлі, в порівнянні з групою з генотипом АА [</w:t>
      </w:r>
      <w:r w:rsidR="00325BC0" w:rsidRPr="001416ED">
        <w:rPr>
          <w:sz w:val="28"/>
          <w:szCs w:val="28"/>
        </w:rPr>
        <w:t>6</w:t>
      </w:r>
      <w:r w:rsidR="00D27D62" w:rsidRPr="001416ED">
        <w:rPr>
          <w:sz w:val="28"/>
          <w:szCs w:val="28"/>
        </w:rPr>
        <w:t>5</w:t>
      </w:r>
      <w:r w:rsidRPr="001416ED">
        <w:rPr>
          <w:sz w:val="28"/>
          <w:szCs w:val="28"/>
          <w:shd w:val="clear" w:color="auto" w:fill="FFFFFF"/>
        </w:rPr>
        <w:t>].</w:t>
      </w:r>
    </w:p>
    <w:p w:rsidR="00E728D3" w:rsidRPr="001416ED" w:rsidRDefault="00E728D3" w:rsidP="00E728D3">
      <w:pPr>
        <w:pStyle w:val="ac"/>
        <w:shd w:val="clear" w:color="auto" w:fill="FFFFFF" w:themeFill="background1"/>
        <w:spacing w:before="0" w:beforeAutospacing="0" w:after="0" w:afterAutospacing="0" w:line="360" w:lineRule="auto"/>
        <w:ind w:firstLine="709"/>
        <w:jc w:val="both"/>
        <w:rPr>
          <w:sz w:val="28"/>
          <w:szCs w:val="28"/>
          <w:shd w:val="clear" w:color="auto" w:fill="FFFFFF"/>
        </w:rPr>
      </w:pPr>
      <w:r w:rsidRPr="001416ED">
        <w:rPr>
          <w:sz w:val="28"/>
          <w:szCs w:val="28"/>
          <w:shd w:val="clear" w:color="auto" w:fill="FFFFFF"/>
        </w:rPr>
        <w:t>Визначення особливостей дерматогліфічних показників у хворих з ІХС було виконано у Полтаві, де показано, що у пацієнтів з ІХС типовим є збільшення частоти петель та/або завитків на 2</w:t>
      </w:r>
      <w:r w:rsidR="00BC0119" w:rsidRPr="001416ED">
        <w:rPr>
          <w:sz w:val="28"/>
          <w:szCs w:val="28"/>
          <w:shd w:val="clear" w:color="auto" w:fill="FFFFFF"/>
        </w:rPr>
        <w:t>–</w:t>
      </w:r>
      <w:r w:rsidRPr="001416ED">
        <w:rPr>
          <w:sz w:val="28"/>
          <w:szCs w:val="28"/>
          <w:shd w:val="clear" w:color="auto" w:fill="FFFFFF"/>
        </w:rPr>
        <w:t>му та 4</w:t>
      </w:r>
      <w:r w:rsidR="00BC0119" w:rsidRPr="001416ED">
        <w:rPr>
          <w:sz w:val="28"/>
          <w:szCs w:val="28"/>
          <w:shd w:val="clear" w:color="auto" w:fill="FFFFFF"/>
        </w:rPr>
        <w:t>–</w:t>
      </w:r>
      <w:r w:rsidRPr="001416ED">
        <w:rPr>
          <w:sz w:val="28"/>
          <w:szCs w:val="28"/>
          <w:shd w:val="clear" w:color="auto" w:fill="FFFFFF"/>
        </w:rPr>
        <w:t>му пальцях рук. Однак</w:t>
      </w:r>
      <w:r w:rsidR="00E66706" w:rsidRPr="001416ED">
        <w:rPr>
          <w:sz w:val="28"/>
          <w:szCs w:val="28"/>
          <w:shd w:val="clear" w:color="auto" w:fill="FFFFFF"/>
        </w:rPr>
        <w:t>,</w:t>
      </w:r>
      <w:r w:rsidRPr="001416ED">
        <w:rPr>
          <w:sz w:val="28"/>
          <w:szCs w:val="28"/>
          <w:shd w:val="clear" w:color="auto" w:fill="FFFFFF"/>
        </w:rPr>
        <w:t xml:space="preserve"> у практично здорових осіб частіше спостерігали дуги [</w:t>
      </w:r>
      <w:r w:rsidR="00325BC0" w:rsidRPr="001416ED">
        <w:rPr>
          <w:sz w:val="28"/>
          <w:szCs w:val="28"/>
          <w:shd w:val="clear" w:color="auto" w:fill="FFFFFF"/>
        </w:rPr>
        <w:t>5</w:t>
      </w:r>
      <w:r w:rsidR="00D27D62" w:rsidRPr="001416ED">
        <w:rPr>
          <w:sz w:val="28"/>
          <w:szCs w:val="28"/>
          <w:shd w:val="clear" w:color="auto" w:fill="FFFFFF"/>
        </w:rPr>
        <w:t>0</w:t>
      </w:r>
      <w:r w:rsidRPr="001416ED">
        <w:rPr>
          <w:sz w:val="28"/>
          <w:szCs w:val="28"/>
          <w:shd w:val="clear" w:color="auto" w:fill="FFFFFF"/>
        </w:rPr>
        <w:t>].</w:t>
      </w:r>
    </w:p>
    <w:p w:rsidR="008D63CB" w:rsidRPr="001416ED" w:rsidRDefault="00E728D3" w:rsidP="00ED2CF4">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 xml:space="preserve">У роботі </w:t>
      </w:r>
      <w:r w:rsidR="0070325E" w:rsidRPr="001416ED">
        <w:rPr>
          <w:sz w:val="28"/>
          <w:szCs w:val="28"/>
        </w:rPr>
        <w:t xml:space="preserve">О. Ф. </w:t>
      </w:r>
      <w:r w:rsidRPr="001416ED">
        <w:rPr>
          <w:sz w:val="28"/>
          <w:szCs w:val="28"/>
        </w:rPr>
        <w:t>Дзвіняцької (м. Івано</w:t>
      </w:r>
      <w:r w:rsidR="00BC0119" w:rsidRPr="001416ED">
        <w:rPr>
          <w:sz w:val="28"/>
          <w:szCs w:val="28"/>
        </w:rPr>
        <w:t>–</w:t>
      </w:r>
      <w:r w:rsidRPr="001416ED">
        <w:rPr>
          <w:sz w:val="28"/>
          <w:szCs w:val="28"/>
        </w:rPr>
        <w:t>Франківськ) показано, що інформативною ознакою АГ для чоловіків є п</w:t>
      </w:r>
      <w:r w:rsidR="00F57B44" w:rsidRPr="001416ED">
        <w:rPr>
          <w:sz w:val="28"/>
          <w:szCs w:val="28"/>
        </w:rPr>
        <w:t>ереважання завитків на І та ІІ пальцях правої руки</w:t>
      </w:r>
      <w:r w:rsidR="00ED6CAE" w:rsidRPr="001416ED">
        <w:rPr>
          <w:sz w:val="28"/>
          <w:szCs w:val="28"/>
        </w:rPr>
        <w:t xml:space="preserve"> [</w:t>
      </w:r>
      <w:r w:rsidR="00D06629" w:rsidRPr="001416ED">
        <w:rPr>
          <w:sz w:val="28"/>
          <w:szCs w:val="28"/>
        </w:rPr>
        <w:t>25</w:t>
      </w:r>
      <w:r w:rsidR="00ED6CAE" w:rsidRPr="001416ED">
        <w:rPr>
          <w:sz w:val="28"/>
          <w:szCs w:val="28"/>
        </w:rPr>
        <w:t>]</w:t>
      </w:r>
      <w:r w:rsidR="00F57B44" w:rsidRPr="001416ED">
        <w:rPr>
          <w:sz w:val="28"/>
          <w:szCs w:val="28"/>
        </w:rPr>
        <w:t xml:space="preserve">. </w:t>
      </w:r>
    </w:p>
    <w:p w:rsidR="00E728D3" w:rsidRPr="001416ED" w:rsidRDefault="00E728D3" w:rsidP="00ED2CF4">
      <w:pPr>
        <w:pStyle w:val="ac"/>
        <w:shd w:val="clear" w:color="auto" w:fill="FFFFFF" w:themeFill="background1"/>
        <w:spacing w:before="0" w:beforeAutospacing="0" w:after="0" w:afterAutospacing="0" w:line="360" w:lineRule="auto"/>
        <w:ind w:firstLine="709"/>
        <w:jc w:val="both"/>
        <w:rPr>
          <w:sz w:val="28"/>
          <w:szCs w:val="28"/>
        </w:rPr>
      </w:pPr>
      <w:r w:rsidRPr="001416ED">
        <w:rPr>
          <w:sz w:val="28"/>
          <w:szCs w:val="28"/>
        </w:rPr>
        <w:t xml:space="preserve">Серед харківської популяції </w:t>
      </w:r>
      <w:r w:rsidR="00AA224D" w:rsidRPr="001416ED">
        <w:rPr>
          <w:sz w:val="28"/>
          <w:szCs w:val="28"/>
        </w:rPr>
        <w:t>у чоловіків з ГХ характерн</w:t>
      </w:r>
      <w:r w:rsidR="00E66706" w:rsidRPr="001416ED">
        <w:rPr>
          <w:sz w:val="28"/>
          <w:szCs w:val="28"/>
        </w:rPr>
        <w:t>і</w:t>
      </w:r>
      <w:r w:rsidR="00AA224D" w:rsidRPr="001416ED">
        <w:rPr>
          <w:sz w:val="28"/>
          <w:szCs w:val="28"/>
        </w:rPr>
        <w:t xml:space="preserve"> більш част</w:t>
      </w:r>
      <w:r w:rsidR="00E66706" w:rsidRPr="001416ED">
        <w:rPr>
          <w:sz w:val="28"/>
          <w:szCs w:val="28"/>
        </w:rPr>
        <w:t>і</w:t>
      </w:r>
      <w:r w:rsidR="00AA224D" w:rsidRPr="001416ED">
        <w:rPr>
          <w:sz w:val="28"/>
          <w:szCs w:val="28"/>
        </w:rPr>
        <w:t xml:space="preserve"> </w:t>
      </w:r>
      <w:r w:rsidR="00E66706" w:rsidRPr="001416ED">
        <w:rPr>
          <w:sz w:val="28"/>
          <w:szCs w:val="28"/>
        </w:rPr>
        <w:t>випадки,</w:t>
      </w:r>
      <w:r w:rsidR="00AA224D" w:rsidRPr="001416ED">
        <w:rPr>
          <w:sz w:val="28"/>
          <w:szCs w:val="28"/>
        </w:rPr>
        <w:t xml:space="preserve"> в порівнянні з контрольною групою</w:t>
      </w:r>
      <w:r w:rsidR="00E66706" w:rsidRPr="001416ED">
        <w:rPr>
          <w:sz w:val="28"/>
          <w:szCs w:val="28"/>
        </w:rPr>
        <w:t>,</w:t>
      </w:r>
      <w:r w:rsidR="00AA224D" w:rsidRPr="001416ED">
        <w:rPr>
          <w:sz w:val="28"/>
          <w:szCs w:val="28"/>
        </w:rPr>
        <w:t xml:space="preserve"> на правій руці – дуги на </w:t>
      </w:r>
      <w:r w:rsidR="00AA224D" w:rsidRPr="001416ED">
        <w:rPr>
          <w:sz w:val="28"/>
          <w:szCs w:val="28"/>
          <w:lang w:val="en-US"/>
        </w:rPr>
        <w:t>IV</w:t>
      </w:r>
      <w:r w:rsidR="00AA224D" w:rsidRPr="001416ED">
        <w:rPr>
          <w:sz w:val="28"/>
          <w:szCs w:val="28"/>
        </w:rPr>
        <w:t xml:space="preserve"> та </w:t>
      </w:r>
      <w:r w:rsidR="00AA224D" w:rsidRPr="001416ED">
        <w:rPr>
          <w:sz w:val="28"/>
          <w:szCs w:val="28"/>
          <w:lang w:val="en-US"/>
        </w:rPr>
        <w:t>V</w:t>
      </w:r>
      <w:r w:rsidR="00AA224D" w:rsidRPr="001416ED">
        <w:rPr>
          <w:sz w:val="28"/>
          <w:szCs w:val="28"/>
        </w:rPr>
        <w:t xml:space="preserve"> пальцях, на лівій руці –</w:t>
      </w:r>
      <w:r w:rsidR="00E66706" w:rsidRPr="001416ED">
        <w:rPr>
          <w:sz w:val="28"/>
          <w:szCs w:val="28"/>
        </w:rPr>
        <w:t xml:space="preserve"> </w:t>
      </w:r>
      <w:r w:rsidR="00AA224D" w:rsidRPr="001416ED">
        <w:rPr>
          <w:sz w:val="28"/>
          <w:szCs w:val="28"/>
        </w:rPr>
        <w:t xml:space="preserve">складних типів малюнків на ІІІ та </w:t>
      </w:r>
      <w:r w:rsidR="00AA224D" w:rsidRPr="001416ED">
        <w:rPr>
          <w:sz w:val="28"/>
          <w:szCs w:val="28"/>
          <w:lang w:val="en-US"/>
        </w:rPr>
        <w:t>IV</w:t>
      </w:r>
      <w:r w:rsidR="00AA224D" w:rsidRPr="001416ED">
        <w:rPr>
          <w:sz w:val="28"/>
          <w:szCs w:val="28"/>
        </w:rPr>
        <w:t xml:space="preserve"> пальцях. Для жінок були властиві наступн</w:t>
      </w:r>
      <w:r w:rsidR="00EA2F81" w:rsidRPr="001416ED">
        <w:rPr>
          <w:sz w:val="28"/>
          <w:szCs w:val="28"/>
        </w:rPr>
        <w:t xml:space="preserve">і </w:t>
      </w:r>
      <w:r w:rsidR="00AA224D" w:rsidRPr="001416ED">
        <w:rPr>
          <w:sz w:val="28"/>
          <w:szCs w:val="28"/>
        </w:rPr>
        <w:t xml:space="preserve">дерматогліфічні візерунки, що асоційовані з ГХ: більша частота дуги на </w:t>
      </w:r>
      <w:r w:rsidR="00AA224D" w:rsidRPr="001416ED">
        <w:rPr>
          <w:sz w:val="28"/>
          <w:szCs w:val="28"/>
          <w:lang w:val="en-US"/>
        </w:rPr>
        <w:t>V</w:t>
      </w:r>
      <w:r w:rsidR="00AA224D" w:rsidRPr="001416ED">
        <w:rPr>
          <w:sz w:val="28"/>
          <w:szCs w:val="28"/>
        </w:rPr>
        <w:t xml:space="preserve"> пальці правої та лівої руки</w:t>
      </w:r>
      <w:r w:rsidR="0032360D" w:rsidRPr="001416ED">
        <w:rPr>
          <w:sz w:val="28"/>
          <w:szCs w:val="28"/>
        </w:rPr>
        <w:t xml:space="preserve"> [</w:t>
      </w:r>
      <w:r w:rsidR="00D06629" w:rsidRPr="001416ED">
        <w:rPr>
          <w:sz w:val="28"/>
          <w:szCs w:val="28"/>
        </w:rPr>
        <w:t>90</w:t>
      </w:r>
      <w:r w:rsidR="0032360D" w:rsidRPr="001416ED">
        <w:rPr>
          <w:sz w:val="28"/>
          <w:szCs w:val="28"/>
        </w:rPr>
        <w:t>]</w:t>
      </w:r>
      <w:r w:rsidR="00AA224D" w:rsidRPr="001416ED">
        <w:rPr>
          <w:sz w:val="28"/>
          <w:szCs w:val="28"/>
        </w:rPr>
        <w:t>.</w:t>
      </w:r>
    </w:p>
    <w:p w:rsidR="00F57B44" w:rsidRPr="001416ED" w:rsidRDefault="00861024" w:rsidP="0032360D">
      <w:pPr>
        <w:pStyle w:val="ac"/>
        <w:shd w:val="clear" w:color="auto" w:fill="FFFFFF" w:themeFill="background1"/>
        <w:spacing w:before="0" w:beforeAutospacing="0" w:after="0" w:afterAutospacing="0" w:line="360" w:lineRule="auto"/>
        <w:ind w:firstLine="709"/>
        <w:jc w:val="both"/>
        <w:rPr>
          <w:sz w:val="28"/>
          <w:szCs w:val="28"/>
        </w:rPr>
      </w:pPr>
      <w:r w:rsidRPr="001416ED">
        <w:rPr>
          <w:rStyle w:val="hps"/>
          <w:sz w:val="28"/>
          <w:szCs w:val="28"/>
        </w:rPr>
        <w:t>Як згадувалось вище, значну роль в розвитку ГХ займає спадкова схильність, а пошук простих у використанні методів діагностики генетичної обумовленості даного захворювання є актуальним питанням на сьогоднішній день.</w:t>
      </w:r>
      <w:r w:rsidRPr="001416ED">
        <w:rPr>
          <w:rStyle w:val="hps"/>
          <w:szCs w:val="28"/>
        </w:rPr>
        <w:t xml:space="preserve"> </w:t>
      </w:r>
      <w:r w:rsidRPr="001416ED">
        <w:rPr>
          <w:bCs/>
          <w:sz w:val="28"/>
          <w:szCs w:val="28"/>
        </w:rPr>
        <w:t xml:space="preserve">Дослідниками показано, що </w:t>
      </w:r>
      <w:r w:rsidRPr="001416ED">
        <w:rPr>
          <w:sz w:val="28"/>
          <w:szCs w:val="28"/>
        </w:rPr>
        <w:t>дерматогліфи</w:t>
      </w:r>
      <w:r w:rsidRPr="001416ED">
        <w:rPr>
          <w:bCs/>
          <w:sz w:val="28"/>
          <w:szCs w:val="28"/>
        </w:rPr>
        <w:t xml:space="preserve"> є г</w:t>
      </w:r>
      <w:r w:rsidRPr="001416ED">
        <w:rPr>
          <w:sz w:val="28"/>
          <w:szCs w:val="28"/>
        </w:rPr>
        <w:t>енетично детермінованими носіями спадкової інформації</w:t>
      </w:r>
      <w:r w:rsidR="008106D2" w:rsidRPr="001416ED">
        <w:rPr>
          <w:sz w:val="28"/>
          <w:szCs w:val="28"/>
        </w:rPr>
        <w:t>, а отже можуть слугувати</w:t>
      </w:r>
      <w:r w:rsidRPr="001416ED">
        <w:rPr>
          <w:sz w:val="28"/>
          <w:szCs w:val="28"/>
        </w:rPr>
        <w:t xml:space="preserve"> </w:t>
      </w:r>
      <w:r w:rsidR="008106D2" w:rsidRPr="001416ED">
        <w:rPr>
          <w:sz w:val="28"/>
          <w:szCs w:val="28"/>
        </w:rPr>
        <w:t xml:space="preserve">скринінговим методом щодо встановлення варіанта носійства генотипів різних генів. В даному випадку, </w:t>
      </w:r>
      <w:r w:rsidR="008106D2" w:rsidRPr="001416ED">
        <w:rPr>
          <w:sz w:val="28"/>
          <w:szCs w:val="28"/>
        </w:rPr>
        <w:lastRenderedPageBreak/>
        <w:t>пи</w:t>
      </w:r>
      <w:r w:rsidR="00F57B44" w:rsidRPr="001416ED">
        <w:rPr>
          <w:sz w:val="28"/>
          <w:szCs w:val="28"/>
        </w:rPr>
        <w:t xml:space="preserve">тання </w:t>
      </w:r>
      <w:r w:rsidR="00267835" w:rsidRPr="001416ED">
        <w:rPr>
          <w:sz w:val="28"/>
          <w:szCs w:val="28"/>
        </w:rPr>
        <w:t>поширеності</w:t>
      </w:r>
      <w:r w:rsidR="00F57B44" w:rsidRPr="001416ED">
        <w:rPr>
          <w:sz w:val="28"/>
          <w:szCs w:val="28"/>
        </w:rPr>
        <w:t xml:space="preserve"> певних дерматогліфічних малюнків на пальцях </w:t>
      </w:r>
      <w:r w:rsidR="00267835" w:rsidRPr="001416ED">
        <w:rPr>
          <w:sz w:val="28"/>
          <w:szCs w:val="28"/>
        </w:rPr>
        <w:t>кистей</w:t>
      </w:r>
      <w:r w:rsidR="00F57B44" w:rsidRPr="001416ED">
        <w:rPr>
          <w:sz w:val="28"/>
          <w:szCs w:val="28"/>
        </w:rPr>
        <w:t xml:space="preserve"> в залежності від поліморфізму гена АТ1</w:t>
      </w:r>
      <w:r w:rsidR="00BC0119" w:rsidRPr="001416ED">
        <w:rPr>
          <w:sz w:val="28"/>
          <w:szCs w:val="28"/>
        </w:rPr>
        <w:t>–</w:t>
      </w:r>
      <w:r w:rsidR="00F57B44" w:rsidRPr="001416ED">
        <w:rPr>
          <w:sz w:val="28"/>
          <w:szCs w:val="28"/>
        </w:rPr>
        <w:t>Р у пацієнтів з ГХ залишається маловивченим, а гена ЕТ</w:t>
      </w:r>
      <w:r w:rsidR="00BC0119" w:rsidRPr="001416ED">
        <w:rPr>
          <w:sz w:val="28"/>
          <w:szCs w:val="28"/>
        </w:rPr>
        <w:t>–</w:t>
      </w:r>
      <w:r w:rsidR="00F57B44" w:rsidRPr="001416ED">
        <w:rPr>
          <w:sz w:val="28"/>
          <w:szCs w:val="28"/>
        </w:rPr>
        <w:t>1 взагалі не досліджене.</w:t>
      </w: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784C0B" w:rsidRPr="001416ED" w:rsidRDefault="00784C0B" w:rsidP="00A0215A">
      <w:pPr>
        <w:spacing w:line="360" w:lineRule="auto"/>
        <w:ind w:left="-540"/>
        <w:jc w:val="center"/>
        <w:outlineLvl w:val="0"/>
        <w:rPr>
          <w:b/>
          <w:bCs/>
          <w:lang w:val="uk-UA"/>
        </w:rPr>
      </w:pPr>
    </w:p>
    <w:p w:rsidR="0095018F" w:rsidRPr="001416ED" w:rsidRDefault="0095018F" w:rsidP="00A0215A">
      <w:pPr>
        <w:spacing w:line="360" w:lineRule="auto"/>
        <w:ind w:left="-540"/>
        <w:jc w:val="center"/>
        <w:outlineLvl w:val="0"/>
        <w:rPr>
          <w:b/>
          <w:bCs/>
          <w:lang w:val="uk-UA"/>
        </w:rPr>
      </w:pPr>
    </w:p>
    <w:p w:rsidR="0095018F" w:rsidRPr="001416ED" w:rsidRDefault="0095018F"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F807CD" w:rsidRPr="001416ED" w:rsidRDefault="00F807CD"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267835" w:rsidRPr="001416ED" w:rsidRDefault="00267835" w:rsidP="00A0215A">
      <w:pPr>
        <w:spacing w:line="360" w:lineRule="auto"/>
        <w:ind w:left="-540"/>
        <w:jc w:val="center"/>
        <w:outlineLvl w:val="0"/>
        <w:rPr>
          <w:b/>
          <w:bCs/>
          <w:lang w:val="uk-UA"/>
        </w:rPr>
      </w:pPr>
    </w:p>
    <w:p w:rsidR="0026087D" w:rsidRPr="001416ED" w:rsidRDefault="0026087D" w:rsidP="00BA48FD">
      <w:pPr>
        <w:spacing w:before="240" w:after="240" w:line="360" w:lineRule="auto"/>
        <w:ind w:left="-540"/>
        <w:jc w:val="center"/>
        <w:outlineLvl w:val="0"/>
        <w:rPr>
          <w:b/>
          <w:bCs/>
          <w:lang w:val="uk-UA"/>
        </w:rPr>
      </w:pPr>
    </w:p>
    <w:p w:rsidR="0026087D" w:rsidRPr="001416ED" w:rsidRDefault="0026087D" w:rsidP="00BA48FD">
      <w:pPr>
        <w:spacing w:before="240" w:after="240" w:line="360" w:lineRule="auto"/>
        <w:ind w:left="-540"/>
        <w:jc w:val="center"/>
        <w:outlineLvl w:val="0"/>
        <w:rPr>
          <w:b/>
          <w:bCs/>
          <w:lang w:val="uk-UA"/>
        </w:rPr>
      </w:pPr>
    </w:p>
    <w:p w:rsidR="0026087D" w:rsidRPr="001416ED" w:rsidRDefault="0026087D" w:rsidP="00BA48FD">
      <w:pPr>
        <w:spacing w:before="240" w:after="240" w:line="360" w:lineRule="auto"/>
        <w:ind w:left="-540"/>
        <w:jc w:val="center"/>
        <w:outlineLvl w:val="0"/>
        <w:rPr>
          <w:b/>
          <w:bCs/>
          <w:lang w:val="uk-UA"/>
        </w:rPr>
      </w:pPr>
    </w:p>
    <w:p w:rsidR="00A0215A" w:rsidRPr="001416ED" w:rsidRDefault="00A0215A" w:rsidP="00A0215A">
      <w:pPr>
        <w:spacing w:line="360" w:lineRule="auto"/>
        <w:ind w:left="-540"/>
        <w:jc w:val="center"/>
        <w:outlineLvl w:val="0"/>
        <w:rPr>
          <w:b/>
          <w:bCs/>
          <w:lang w:val="uk-UA"/>
        </w:rPr>
      </w:pPr>
      <w:r w:rsidRPr="001416ED">
        <w:rPr>
          <w:b/>
          <w:bCs/>
          <w:lang w:val="uk-UA"/>
        </w:rPr>
        <w:lastRenderedPageBreak/>
        <w:t>РОЗДІЛ 2</w:t>
      </w:r>
    </w:p>
    <w:p w:rsidR="00A0215A" w:rsidRPr="001416ED" w:rsidRDefault="00A0215A" w:rsidP="00FD4522">
      <w:pPr>
        <w:spacing w:before="240" w:after="240" w:line="360" w:lineRule="auto"/>
        <w:ind w:left="-540"/>
        <w:jc w:val="center"/>
        <w:outlineLvl w:val="0"/>
        <w:rPr>
          <w:b/>
          <w:bCs/>
          <w:lang w:val="uk-UA"/>
        </w:rPr>
      </w:pPr>
      <w:r w:rsidRPr="001416ED">
        <w:rPr>
          <w:b/>
          <w:bCs/>
          <w:lang w:val="uk-UA"/>
        </w:rPr>
        <w:t>КЛІНІЧНА ХАРАКТЕРИСТИКА ОБСТЕЖЕНИХ ОСІБ ТА ОСНОВНІ</w:t>
      </w:r>
    </w:p>
    <w:p w:rsidR="00A0215A" w:rsidRPr="001416ED" w:rsidRDefault="00A0215A" w:rsidP="00FD4522">
      <w:pPr>
        <w:spacing w:before="240" w:after="240" w:line="360" w:lineRule="auto"/>
        <w:ind w:left="-540"/>
        <w:jc w:val="center"/>
        <w:rPr>
          <w:b/>
          <w:bCs/>
          <w:lang w:val="uk-UA"/>
        </w:rPr>
      </w:pPr>
      <w:r w:rsidRPr="001416ED">
        <w:rPr>
          <w:b/>
          <w:bCs/>
          <w:lang w:val="uk-UA"/>
        </w:rPr>
        <w:t>МЕТОДИ ДОСЛІДЖЕННЯ</w:t>
      </w:r>
    </w:p>
    <w:p w:rsidR="00A0215A" w:rsidRPr="001416ED" w:rsidRDefault="00A0215A" w:rsidP="00FD4522">
      <w:pPr>
        <w:spacing w:before="240" w:after="240" w:line="360" w:lineRule="auto"/>
        <w:ind w:left="-540" w:firstLine="708"/>
        <w:jc w:val="both"/>
        <w:outlineLvl w:val="0"/>
        <w:rPr>
          <w:b/>
          <w:bCs/>
          <w:lang w:val="uk-UA"/>
        </w:rPr>
      </w:pPr>
      <w:r w:rsidRPr="001416ED">
        <w:rPr>
          <w:b/>
          <w:bCs/>
          <w:lang w:val="uk-UA"/>
        </w:rPr>
        <w:t>2.1</w:t>
      </w:r>
      <w:r w:rsidR="00C63BDF" w:rsidRPr="001416ED">
        <w:rPr>
          <w:b/>
          <w:bCs/>
          <w:lang w:val="uk-UA"/>
        </w:rPr>
        <w:t>.</w:t>
      </w:r>
      <w:r w:rsidRPr="001416ED">
        <w:rPr>
          <w:b/>
          <w:bCs/>
          <w:lang w:val="uk-UA"/>
        </w:rPr>
        <w:t xml:space="preserve"> Клінічна характеристика обстежених осіб</w:t>
      </w:r>
    </w:p>
    <w:p w:rsidR="00A0215A" w:rsidRPr="001416ED" w:rsidRDefault="00A0215A" w:rsidP="00FD4522">
      <w:pPr>
        <w:spacing w:line="360" w:lineRule="auto"/>
        <w:ind w:firstLine="540"/>
        <w:jc w:val="both"/>
        <w:rPr>
          <w:lang w:val="uk-UA"/>
        </w:rPr>
      </w:pPr>
      <w:r w:rsidRPr="001416ED">
        <w:rPr>
          <w:lang w:val="uk-UA"/>
        </w:rPr>
        <w:t>Для вирішення поставлених завдань бу</w:t>
      </w:r>
      <w:r w:rsidR="00E13309" w:rsidRPr="001416ED">
        <w:rPr>
          <w:lang w:val="uk-UA"/>
        </w:rPr>
        <w:t>в</w:t>
      </w:r>
      <w:r w:rsidRPr="001416ED">
        <w:rPr>
          <w:lang w:val="uk-UA"/>
        </w:rPr>
        <w:t xml:space="preserve"> обстежен</w:t>
      </w:r>
      <w:r w:rsidR="00E13309" w:rsidRPr="001416ED">
        <w:rPr>
          <w:lang w:val="uk-UA"/>
        </w:rPr>
        <w:t>ий</w:t>
      </w:r>
      <w:r w:rsidRPr="001416ED">
        <w:rPr>
          <w:lang w:val="uk-UA"/>
        </w:rPr>
        <w:t xml:space="preserve"> 19</w:t>
      </w:r>
      <w:r w:rsidR="00986076" w:rsidRPr="001416ED">
        <w:rPr>
          <w:lang w:val="uk-UA"/>
        </w:rPr>
        <w:t>1</w:t>
      </w:r>
      <w:r w:rsidRPr="001416ED">
        <w:rPr>
          <w:lang w:val="uk-UA"/>
        </w:rPr>
        <w:t xml:space="preserve"> </w:t>
      </w:r>
      <w:r w:rsidR="00E13309" w:rsidRPr="001416ED">
        <w:rPr>
          <w:lang w:val="uk-UA"/>
        </w:rPr>
        <w:t>чоловік</w:t>
      </w:r>
      <w:r w:rsidRPr="001416ED">
        <w:rPr>
          <w:lang w:val="uk-UA"/>
        </w:rPr>
        <w:t xml:space="preserve"> мешкан</w:t>
      </w:r>
      <w:r w:rsidR="00E13309" w:rsidRPr="001416ED">
        <w:rPr>
          <w:lang w:val="uk-UA"/>
        </w:rPr>
        <w:t>ець</w:t>
      </w:r>
      <w:r w:rsidR="00C83B4A" w:rsidRPr="001416ED">
        <w:rPr>
          <w:lang w:val="uk-UA"/>
        </w:rPr>
        <w:t xml:space="preserve"> </w:t>
      </w:r>
      <w:r w:rsidR="00394FC8" w:rsidRPr="001416ED">
        <w:rPr>
          <w:lang w:val="uk-UA"/>
        </w:rPr>
        <w:t>Подільського регіону</w:t>
      </w:r>
      <w:r w:rsidRPr="001416ED">
        <w:rPr>
          <w:lang w:val="uk-UA"/>
        </w:rPr>
        <w:t xml:space="preserve">, у віці </w:t>
      </w:r>
      <w:r w:rsidR="00394FC8" w:rsidRPr="001416ED">
        <w:rPr>
          <w:lang w:val="uk-UA"/>
        </w:rPr>
        <w:t>40</w:t>
      </w:r>
      <w:r w:rsidR="00BC0119" w:rsidRPr="001416ED">
        <w:rPr>
          <w:lang w:val="uk-UA"/>
        </w:rPr>
        <w:t>–</w:t>
      </w:r>
      <w:r w:rsidR="00394FC8" w:rsidRPr="001416ED">
        <w:rPr>
          <w:lang w:val="uk-UA"/>
        </w:rPr>
        <w:t>60</w:t>
      </w:r>
      <w:r w:rsidRPr="001416ED">
        <w:rPr>
          <w:lang w:val="uk-UA"/>
        </w:rPr>
        <w:t xml:space="preserve"> років, із них </w:t>
      </w:r>
      <w:r w:rsidR="00C21ACF" w:rsidRPr="001416ED">
        <w:rPr>
          <w:lang w:val="uk-UA"/>
        </w:rPr>
        <w:t>79</w:t>
      </w:r>
      <w:r w:rsidRPr="001416ED">
        <w:rPr>
          <w:lang w:val="uk-UA"/>
        </w:rPr>
        <w:t xml:space="preserve"> осіб склали контрольну групу</w:t>
      </w:r>
      <w:r w:rsidR="008856CF" w:rsidRPr="001416ED">
        <w:rPr>
          <w:lang w:val="uk-UA"/>
        </w:rPr>
        <w:t xml:space="preserve">. До </w:t>
      </w:r>
      <w:r w:rsidR="00153BCF" w:rsidRPr="001416ED">
        <w:rPr>
          <w:lang w:val="uk-UA"/>
        </w:rPr>
        <w:t>першої</w:t>
      </w:r>
      <w:r w:rsidR="008856CF" w:rsidRPr="001416ED">
        <w:rPr>
          <w:lang w:val="uk-UA"/>
        </w:rPr>
        <w:t xml:space="preserve"> групи увійшли </w:t>
      </w:r>
      <w:r w:rsidR="00C21ACF" w:rsidRPr="001416ED">
        <w:rPr>
          <w:lang w:val="uk-UA"/>
        </w:rPr>
        <w:t>62</w:t>
      </w:r>
      <w:r w:rsidRPr="001416ED">
        <w:rPr>
          <w:lang w:val="uk-UA"/>
        </w:rPr>
        <w:t xml:space="preserve"> ос</w:t>
      </w:r>
      <w:r w:rsidR="00C21ACF" w:rsidRPr="001416ED">
        <w:rPr>
          <w:lang w:val="uk-UA"/>
        </w:rPr>
        <w:t>оби</w:t>
      </w:r>
      <w:r w:rsidR="00E13309" w:rsidRPr="001416ED">
        <w:rPr>
          <w:lang w:val="uk-UA"/>
        </w:rPr>
        <w:t xml:space="preserve"> з ГХ ІІ ст.</w:t>
      </w:r>
      <w:r w:rsidR="008856CF" w:rsidRPr="001416ED">
        <w:rPr>
          <w:lang w:val="uk-UA"/>
        </w:rPr>
        <w:t xml:space="preserve">, </w:t>
      </w:r>
      <w:r w:rsidRPr="001416ED">
        <w:rPr>
          <w:lang w:val="uk-UA"/>
        </w:rPr>
        <w:t xml:space="preserve"> </w:t>
      </w:r>
      <w:r w:rsidR="00047E52" w:rsidRPr="001416ED">
        <w:rPr>
          <w:lang w:val="uk-UA"/>
        </w:rPr>
        <w:t xml:space="preserve">до другої </w:t>
      </w:r>
      <w:r w:rsidR="00BC0119" w:rsidRPr="001416ED">
        <w:rPr>
          <w:lang w:val="uk-UA"/>
        </w:rPr>
        <w:t>–</w:t>
      </w:r>
      <w:r w:rsidR="00047E52" w:rsidRPr="001416ED">
        <w:rPr>
          <w:lang w:val="uk-UA"/>
        </w:rPr>
        <w:t xml:space="preserve"> </w:t>
      </w:r>
      <w:r w:rsidR="00C21ACF" w:rsidRPr="001416ED">
        <w:rPr>
          <w:lang w:val="uk-UA"/>
        </w:rPr>
        <w:t>50</w:t>
      </w:r>
      <w:r w:rsidRPr="001416ED">
        <w:rPr>
          <w:lang w:val="uk-UA"/>
        </w:rPr>
        <w:t xml:space="preserve"> пацієнт</w:t>
      </w:r>
      <w:r w:rsidR="00A4040B" w:rsidRPr="001416ED">
        <w:rPr>
          <w:lang w:val="uk-UA"/>
        </w:rPr>
        <w:t>ів з ГХ</w:t>
      </w:r>
      <w:r w:rsidR="00E13309" w:rsidRPr="001416ED">
        <w:rPr>
          <w:lang w:val="uk-UA"/>
        </w:rPr>
        <w:t xml:space="preserve"> ІІІ ст. (що ускладнена ХСН ІІ А ст.</w:t>
      </w:r>
      <w:r w:rsidR="00C21ACF" w:rsidRPr="001416ED">
        <w:rPr>
          <w:lang w:val="uk-UA"/>
        </w:rPr>
        <w:t xml:space="preserve"> </w:t>
      </w:r>
      <w:r w:rsidR="00C86927" w:rsidRPr="001416ED">
        <w:rPr>
          <w:lang w:val="uk-UA"/>
        </w:rPr>
        <w:t xml:space="preserve">ІІ – ІІІ ФК за </w:t>
      </w:r>
      <w:r w:rsidR="00C86927" w:rsidRPr="001416ED">
        <w:rPr>
          <w:lang w:val="en-US"/>
        </w:rPr>
        <w:t>NYHA</w:t>
      </w:r>
      <w:r w:rsidR="00632AA0" w:rsidRPr="001416ED">
        <w:rPr>
          <w:lang w:val="uk-UA"/>
        </w:rPr>
        <w:t>)</w:t>
      </w:r>
      <w:r w:rsidR="00047E52" w:rsidRPr="001416ED">
        <w:rPr>
          <w:lang w:val="uk-UA"/>
        </w:rPr>
        <w:t>.</w:t>
      </w:r>
    </w:p>
    <w:p w:rsidR="00A0215A" w:rsidRPr="001416ED" w:rsidRDefault="00A0215A" w:rsidP="00A0215A">
      <w:pPr>
        <w:pStyle w:val="21"/>
        <w:ind w:firstLine="708"/>
        <w:rPr>
          <w:lang w:eastAsia="uk-UA" w:bidi="uk-UA"/>
        </w:rPr>
      </w:pPr>
      <w:r w:rsidRPr="001416ED">
        <w:t xml:space="preserve">Всі </w:t>
      </w:r>
      <w:r w:rsidR="002B0583" w:rsidRPr="001416ED">
        <w:t>особи з групи контролю та з ГХ ІІ та ІІІ ст.</w:t>
      </w:r>
      <w:r w:rsidRPr="001416ED">
        <w:t xml:space="preserve"> знаходились на лікуванні в терапевтичному та неврологічному відділеннях Вінницького обласного </w:t>
      </w:r>
      <w:r w:rsidR="001D52D7" w:rsidRPr="001416ED">
        <w:t xml:space="preserve">спеціалізованого </w:t>
      </w:r>
      <w:r w:rsidRPr="001416ED">
        <w:t>клінічного диспансеру радіаційного захисту населення</w:t>
      </w:r>
      <w:r w:rsidR="00C86927" w:rsidRPr="001416ED">
        <w:t xml:space="preserve"> МОЗ України</w:t>
      </w:r>
      <w:r w:rsidR="00D13611" w:rsidRPr="001416ED">
        <w:t>,</w:t>
      </w:r>
      <w:r w:rsidRPr="001416ED">
        <w:t xml:space="preserve"> </w:t>
      </w:r>
      <w:r w:rsidR="00D13611" w:rsidRPr="001416ED">
        <w:t>Військово</w:t>
      </w:r>
      <w:r w:rsidR="00BC0119" w:rsidRPr="001416ED">
        <w:t>–</w:t>
      </w:r>
      <w:r w:rsidR="00D13611" w:rsidRPr="001416ED">
        <w:t xml:space="preserve">медичному </w:t>
      </w:r>
      <w:r w:rsidR="0010780C" w:rsidRPr="001416ED">
        <w:t xml:space="preserve">клінічному </w:t>
      </w:r>
      <w:r w:rsidR="00D13611" w:rsidRPr="001416ED">
        <w:t>центрі Центрального регіону Військово</w:t>
      </w:r>
      <w:r w:rsidR="00BC0119" w:rsidRPr="001416ED">
        <w:t>–</w:t>
      </w:r>
      <w:r w:rsidR="00D13611" w:rsidRPr="001416ED">
        <w:t xml:space="preserve">повітряних сил України (м. Вінниця) та </w:t>
      </w:r>
      <w:r w:rsidRPr="001416ED">
        <w:t xml:space="preserve">спостерігалися амбулаторно у період </w:t>
      </w:r>
      <w:r w:rsidR="00D13611" w:rsidRPr="001416ED">
        <w:rPr>
          <w:lang w:eastAsia="uk-UA" w:bidi="uk-UA"/>
        </w:rPr>
        <w:t>з грудня 2013 року по червень 201</w:t>
      </w:r>
      <w:r w:rsidR="004F2E1D" w:rsidRPr="001416ED">
        <w:rPr>
          <w:lang w:eastAsia="uk-UA" w:bidi="uk-UA"/>
        </w:rPr>
        <w:t>4</w:t>
      </w:r>
      <w:r w:rsidR="00D13611" w:rsidRPr="001416ED">
        <w:rPr>
          <w:lang w:eastAsia="uk-UA" w:bidi="uk-UA"/>
        </w:rPr>
        <w:t xml:space="preserve"> року.</w:t>
      </w:r>
    </w:p>
    <w:p w:rsidR="00A56E30" w:rsidRPr="001416ED" w:rsidRDefault="00D13611" w:rsidP="00A56E30">
      <w:pPr>
        <w:pStyle w:val="21"/>
        <w:spacing w:before="240" w:after="240"/>
        <w:ind w:firstLine="0"/>
        <w:rPr>
          <w:b/>
          <w:lang w:val="ru-RU" w:eastAsia="uk-UA" w:bidi="uk-UA"/>
        </w:rPr>
      </w:pPr>
      <w:r w:rsidRPr="001416ED">
        <w:rPr>
          <w:b/>
          <w:lang w:eastAsia="uk-UA" w:bidi="uk-UA"/>
        </w:rPr>
        <w:t xml:space="preserve">2.1.1. </w:t>
      </w:r>
      <w:r w:rsidR="00A56E30" w:rsidRPr="001416ED">
        <w:rPr>
          <w:b/>
          <w:lang w:val="ru-RU" w:eastAsia="uk-UA" w:bidi="uk-UA"/>
        </w:rPr>
        <w:t>Чоловіки групи контролю</w:t>
      </w:r>
    </w:p>
    <w:p w:rsidR="00E871DC" w:rsidRPr="001416ED" w:rsidRDefault="00A0215A" w:rsidP="00C002D9">
      <w:pPr>
        <w:pStyle w:val="21"/>
        <w:spacing w:before="240"/>
        <w:ind w:firstLine="0"/>
      </w:pPr>
      <w:r w:rsidRPr="001416ED">
        <w:tab/>
      </w:r>
      <w:r w:rsidR="008630D3" w:rsidRPr="001416ED">
        <w:t>До контрольної групи дослідження увійшло 79 чоловіків, с</w:t>
      </w:r>
      <w:r w:rsidRPr="001416ED">
        <w:t xml:space="preserve">ередній вік </w:t>
      </w:r>
      <w:r w:rsidR="008630D3" w:rsidRPr="001416ED">
        <w:t>яких</w:t>
      </w:r>
      <w:r w:rsidRPr="001416ED">
        <w:t xml:space="preserve"> становив </w:t>
      </w:r>
      <w:r w:rsidR="007C67DB" w:rsidRPr="001416ED">
        <w:t>(</w:t>
      </w:r>
      <w:r w:rsidR="008630D3" w:rsidRPr="001416ED">
        <w:rPr>
          <w:lang w:eastAsia="uk-UA" w:bidi="uk-UA"/>
        </w:rPr>
        <w:t>49,01</w:t>
      </w:r>
      <w:r w:rsidR="007A07A9" w:rsidRPr="001416ED">
        <w:rPr>
          <w:lang w:eastAsia="uk-UA" w:bidi="uk-UA"/>
        </w:rPr>
        <w:t xml:space="preserve"> ± </w:t>
      </w:r>
      <w:r w:rsidR="008630D3" w:rsidRPr="001416ED">
        <w:rPr>
          <w:lang w:eastAsia="uk-UA" w:bidi="uk-UA"/>
        </w:rPr>
        <w:t>0,73</w:t>
      </w:r>
      <w:r w:rsidR="007C67DB" w:rsidRPr="001416ED">
        <w:rPr>
          <w:lang w:eastAsia="uk-UA" w:bidi="uk-UA"/>
        </w:rPr>
        <w:t>)</w:t>
      </w:r>
      <w:r w:rsidR="008630D3" w:rsidRPr="001416ED">
        <w:rPr>
          <w:lang w:eastAsia="uk-UA" w:bidi="uk-UA"/>
        </w:rPr>
        <w:t xml:space="preserve"> років</w:t>
      </w:r>
      <w:r w:rsidRPr="001416ED">
        <w:t xml:space="preserve">. </w:t>
      </w:r>
      <w:r w:rsidR="009441BA" w:rsidRPr="001416ED">
        <w:t xml:space="preserve">Відбір осіб до </w:t>
      </w:r>
      <w:r w:rsidR="008630D3" w:rsidRPr="001416ED">
        <w:t>групи</w:t>
      </w:r>
      <w:r w:rsidR="009441BA" w:rsidRPr="001416ED">
        <w:t xml:space="preserve"> </w:t>
      </w:r>
      <w:r w:rsidR="00472F94" w:rsidRPr="001416ED">
        <w:t>контролю</w:t>
      </w:r>
      <w:r w:rsidR="008630D3" w:rsidRPr="001416ED">
        <w:t xml:space="preserve"> проводи</w:t>
      </w:r>
      <w:r w:rsidR="007C67DB" w:rsidRPr="001416ED">
        <w:t>ли</w:t>
      </w:r>
      <w:r w:rsidR="008630D3" w:rsidRPr="001416ED">
        <w:t xml:space="preserve"> шляхом детального збору анамнезу та обстеження із використанням стандартних клінічних, </w:t>
      </w:r>
      <w:r w:rsidR="002B0583" w:rsidRPr="001416ED">
        <w:t>лабораторних</w:t>
      </w:r>
      <w:r w:rsidR="00D32116">
        <w:t>,</w:t>
      </w:r>
      <w:r w:rsidR="002B0583" w:rsidRPr="001416ED">
        <w:t xml:space="preserve"> </w:t>
      </w:r>
      <w:r w:rsidR="008630D3" w:rsidRPr="001416ED">
        <w:t>інструментальних</w:t>
      </w:r>
      <w:r w:rsidR="00162E20" w:rsidRPr="001416ED">
        <w:t xml:space="preserve"> методів дослідження</w:t>
      </w:r>
      <w:r w:rsidR="00D32116" w:rsidRPr="00D32116">
        <w:t xml:space="preserve"> </w:t>
      </w:r>
      <w:r w:rsidR="00D32116" w:rsidRPr="001416ED">
        <w:t>та аналізу амбулаторних карт пацієнтів</w:t>
      </w:r>
      <w:r w:rsidR="008630D3" w:rsidRPr="001416ED">
        <w:t>. До даної групи були включені особи, резу</w:t>
      </w:r>
      <w:r w:rsidR="000F6138" w:rsidRPr="001416ED">
        <w:t>льтати об'єктивного та загально</w:t>
      </w:r>
      <w:r w:rsidR="008630D3" w:rsidRPr="001416ED">
        <w:t>клінічного обстеження яких не виявили патологічних змін</w:t>
      </w:r>
      <w:r w:rsidR="00033A9E" w:rsidRPr="001416ED">
        <w:t xml:space="preserve"> з боку </w:t>
      </w:r>
      <w:r w:rsidR="009D144F">
        <w:t>серцево-судинної системи (</w:t>
      </w:r>
      <w:r w:rsidR="00033A9E" w:rsidRPr="001416ED">
        <w:t>ССС</w:t>
      </w:r>
      <w:r w:rsidR="009D144F">
        <w:t>)</w:t>
      </w:r>
      <w:r w:rsidR="00162E20" w:rsidRPr="001416ED">
        <w:t xml:space="preserve"> та ГХ, зокрема</w:t>
      </w:r>
      <w:r w:rsidR="008630D3" w:rsidRPr="001416ED">
        <w:t>. Під час відбору чоловіків до контрольної групи обов’язково</w:t>
      </w:r>
      <w:r w:rsidR="00033A9E" w:rsidRPr="001416ED">
        <w:t xml:space="preserve"> </w:t>
      </w:r>
      <w:r w:rsidR="008630D3" w:rsidRPr="001416ED">
        <w:t xml:space="preserve">враховували такі критерії виключення із подальшого дослідження, як наявність хронічного обструктивного захворювання легень, новоутворень, порушень функції нирок, печінки, ендокринні захворювання, хвороби системи крові. </w:t>
      </w:r>
    </w:p>
    <w:p w:rsidR="008630D3" w:rsidRPr="001416ED" w:rsidRDefault="008630D3" w:rsidP="00162E20">
      <w:pPr>
        <w:pStyle w:val="a3"/>
        <w:spacing w:after="0" w:line="360" w:lineRule="auto"/>
        <w:ind w:left="0" w:firstLine="567"/>
        <w:jc w:val="both"/>
      </w:pPr>
      <w:r w:rsidRPr="001416ED">
        <w:lastRenderedPageBreak/>
        <w:t>Усі особи, які увійшли до контрольної групи, як і пацієнт</w:t>
      </w:r>
      <w:r w:rsidR="00033A9E" w:rsidRPr="001416ED">
        <w:rPr>
          <w:lang w:val="uk-UA"/>
        </w:rPr>
        <w:t>и</w:t>
      </w:r>
      <w:r w:rsidRPr="001416ED">
        <w:t xml:space="preserve"> з </w:t>
      </w:r>
      <w:r w:rsidR="004E682D" w:rsidRPr="001416ED">
        <w:rPr>
          <w:lang w:val="uk-UA"/>
        </w:rPr>
        <w:t>першої та другої</w:t>
      </w:r>
      <w:r w:rsidRPr="001416ED">
        <w:t xml:space="preserve"> груп</w:t>
      </w:r>
      <w:r w:rsidR="00917931" w:rsidRPr="001416ED">
        <w:rPr>
          <w:lang w:val="uk-UA"/>
        </w:rPr>
        <w:t xml:space="preserve"> </w:t>
      </w:r>
      <w:proofErr w:type="gramStart"/>
      <w:r w:rsidR="00917931" w:rsidRPr="001416ED">
        <w:rPr>
          <w:lang w:val="uk-UA"/>
        </w:rPr>
        <w:t>досл</w:t>
      </w:r>
      <w:proofErr w:type="gramEnd"/>
      <w:r w:rsidR="00917931" w:rsidRPr="001416ED">
        <w:rPr>
          <w:lang w:val="uk-UA"/>
        </w:rPr>
        <w:t>ідження</w:t>
      </w:r>
      <w:r w:rsidRPr="001416ED">
        <w:t xml:space="preserve">, були обстежені у відповідності з </w:t>
      </w:r>
      <w:r w:rsidR="000E665D" w:rsidRPr="001416ED">
        <w:rPr>
          <w:lang w:val="uk-UA"/>
        </w:rPr>
        <w:t>картою обстеження</w:t>
      </w:r>
      <w:r w:rsidR="00162E20" w:rsidRPr="001416ED">
        <w:rPr>
          <w:lang w:val="uk-UA"/>
        </w:rPr>
        <w:t xml:space="preserve"> (додаток А) та після підписання інформован</w:t>
      </w:r>
      <w:r w:rsidR="00E871DC" w:rsidRPr="001416ED">
        <w:rPr>
          <w:lang w:val="uk-UA"/>
        </w:rPr>
        <w:t>их</w:t>
      </w:r>
      <w:r w:rsidR="00162E20" w:rsidRPr="001416ED">
        <w:rPr>
          <w:lang w:val="uk-UA"/>
        </w:rPr>
        <w:t xml:space="preserve"> згод про участь в науковому дослідженні</w:t>
      </w:r>
      <w:r w:rsidR="00E871DC" w:rsidRPr="001416ED">
        <w:rPr>
          <w:lang w:val="uk-UA"/>
        </w:rPr>
        <w:t>, а також</w:t>
      </w:r>
      <w:r w:rsidR="00162E20" w:rsidRPr="001416ED">
        <w:rPr>
          <w:lang w:val="uk-UA"/>
        </w:rPr>
        <w:t xml:space="preserve"> на проведення дактилоскопії та обробку персональних даних</w:t>
      </w:r>
      <w:r w:rsidRPr="001416ED">
        <w:t>.</w:t>
      </w:r>
    </w:p>
    <w:p w:rsidR="004E682D" w:rsidRPr="001416ED" w:rsidRDefault="004E682D" w:rsidP="004E682D">
      <w:pPr>
        <w:pStyle w:val="a3"/>
        <w:spacing w:after="0" w:line="360" w:lineRule="auto"/>
        <w:ind w:left="0" w:firstLine="567"/>
        <w:jc w:val="both"/>
        <w:rPr>
          <w:lang w:val="uk-UA"/>
        </w:rPr>
      </w:pPr>
      <w:proofErr w:type="gramStart"/>
      <w:r w:rsidRPr="001416ED">
        <w:t xml:space="preserve">При </w:t>
      </w:r>
      <w:r w:rsidRPr="001416ED">
        <w:rPr>
          <w:lang w:val="uk-UA"/>
        </w:rPr>
        <w:t>зборі</w:t>
      </w:r>
      <w:r w:rsidRPr="001416ED">
        <w:t xml:space="preserve"> анамнезу життя </w:t>
      </w:r>
      <w:r w:rsidRPr="001416ED">
        <w:rPr>
          <w:lang w:val="uk-UA"/>
        </w:rPr>
        <w:t xml:space="preserve">у чоловіків групи </w:t>
      </w:r>
      <w:r w:rsidR="00472F94" w:rsidRPr="001416ED">
        <w:rPr>
          <w:lang w:val="uk-UA"/>
        </w:rPr>
        <w:t>контролю</w:t>
      </w:r>
      <w:r w:rsidRPr="001416ED">
        <w:rPr>
          <w:lang w:val="uk-UA"/>
        </w:rPr>
        <w:t xml:space="preserve"> </w:t>
      </w:r>
      <w:r w:rsidRPr="001416ED">
        <w:t xml:space="preserve">встановлено: </w:t>
      </w:r>
      <w:r w:rsidRPr="001416ED">
        <w:rPr>
          <w:lang w:val="uk-UA"/>
        </w:rPr>
        <w:t>48</w:t>
      </w:r>
      <w:r w:rsidRPr="001416ED">
        <w:t xml:space="preserve"> (</w:t>
      </w:r>
      <w:r w:rsidRPr="001416ED">
        <w:rPr>
          <w:lang w:val="uk-UA"/>
        </w:rPr>
        <w:t>60,76</w:t>
      </w:r>
      <w:r w:rsidR="007C67DB" w:rsidRPr="001416ED">
        <w:rPr>
          <w:lang w:val="uk-UA"/>
        </w:rPr>
        <w:t xml:space="preserve"> </w:t>
      </w:r>
      <w:r w:rsidR="00D4219F" w:rsidRPr="001416ED">
        <w:t>%</w:t>
      </w:r>
      <w:r w:rsidRPr="001416ED">
        <w:t xml:space="preserve">) </w:t>
      </w:r>
      <w:r w:rsidRPr="001416ED">
        <w:rPr>
          <w:lang w:val="uk-UA"/>
        </w:rPr>
        <w:t>чоловіків</w:t>
      </w:r>
      <w:r w:rsidRPr="001416ED">
        <w:t xml:space="preserve"> вели малорухливий спосіб життя, </w:t>
      </w:r>
      <w:r w:rsidR="00E86B58" w:rsidRPr="001416ED">
        <w:rPr>
          <w:lang w:val="uk-UA"/>
        </w:rPr>
        <w:t>11</w:t>
      </w:r>
      <w:r w:rsidRPr="001416ED">
        <w:t xml:space="preserve"> (</w:t>
      </w:r>
      <w:r w:rsidR="00E86B58" w:rsidRPr="001416ED">
        <w:rPr>
          <w:lang w:val="uk-UA"/>
        </w:rPr>
        <w:t>13,92</w:t>
      </w:r>
      <w:r w:rsidR="007C67DB" w:rsidRPr="001416ED">
        <w:rPr>
          <w:lang w:val="uk-UA"/>
        </w:rPr>
        <w:t xml:space="preserve"> </w:t>
      </w:r>
      <w:r w:rsidR="00D4219F" w:rsidRPr="001416ED">
        <w:t>%</w:t>
      </w:r>
      <w:r w:rsidRPr="001416ED">
        <w:t xml:space="preserve">) </w:t>
      </w:r>
      <w:r w:rsidR="00BC0119" w:rsidRPr="001416ED">
        <w:t>–</w:t>
      </w:r>
      <w:r w:rsidRPr="001416ED">
        <w:t xml:space="preserve"> палили, </w:t>
      </w:r>
      <w:r w:rsidR="003F1AC6" w:rsidRPr="001416ED">
        <w:rPr>
          <w:lang w:val="uk-UA"/>
        </w:rPr>
        <w:t xml:space="preserve">42 </w:t>
      </w:r>
      <w:r w:rsidRPr="001416ED">
        <w:t>(</w:t>
      </w:r>
      <w:r w:rsidR="003F1AC6" w:rsidRPr="001416ED">
        <w:rPr>
          <w:lang w:val="uk-UA"/>
        </w:rPr>
        <w:t>53,17</w:t>
      </w:r>
      <w:r w:rsidR="007C67DB" w:rsidRPr="001416ED">
        <w:rPr>
          <w:lang w:val="uk-UA"/>
        </w:rPr>
        <w:t xml:space="preserve"> </w:t>
      </w:r>
      <w:r w:rsidR="00D4219F" w:rsidRPr="001416ED">
        <w:t>%</w:t>
      </w:r>
      <w:r w:rsidRPr="001416ED">
        <w:t>) вживали надмірну (&gt;</w:t>
      </w:r>
      <w:r w:rsidR="00162E20" w:rsidRPr="001416ED">
        <w:rPr>
          <w:lang w:val="uk-UA"/>
        </w:rPr>
        <w:t xml:space="preserve"> </w:t>
      </w:r>
      <w:smartTag w:uri="urn:schemas-microsoft-com:office:smarttags" w:element="metricconverter">
        <w:smartTagPr>
          <w:attr w:name="ProductID" w:val="3,5 г"/>
        </w:smartTagPr>
        <w:r w:rsidRPr="001416ED">
          <w:t>3,5 г</w:t>
        </w:r>
      </w:smartTag>
      <w:r w:rsidR="008C7FCD" w:rsidRPr="001416ED">
        <w:t xml:space="preserve"> на добу) кількість солі.</w:t>
      </w:r>
      <w:r w:rsidRPr="001416ED">
        <w:t xml:space="preserve"> При вивченні сімейного анамнезу виявлено, що обтяжену спадковість по </w:t>
      </w:r>
      <w:r w:rsidR="008C7FCD" w:rsidRPr="001416ED">
        <w:rPr>
          <w:lang w:val="uk-UA"/>
        </w:rPr>
        <w:t>ГХ</w:t>
      </w:r>
      <w:r w:rsidRPr="001416ED">
        <w:t xml:space="preserve"> мали </w:t>
      </w:r>
      <w:r w:rsidR="008C7FCD" w:rsidRPr="001416ED">
        <w:rPr>
          <w:lang w:val="uk-UA"/>
        </w:rPr>
        <w:t>15 чоловіків</w:t>
      </w:r>
      <w:r w:rsidRPr="001416ED">
        <w:t xml:space="preserve"> (</w:t>
      </w:r>
      <w:r w:rsidR="008C7FCD" w:rsidRPr="001416ED">
        <w:rPr>
          <w:lang w:val="uk-UA"/>
        </w:rPr>
        <w:t>18,99</w:t>
      </w:r>
      <w:r w:rsidR="007C67DB" w:rsidRPr="001416ED">
        <w:rPr>
          <w:lang w:val="uk-UA"/>
        </w:rPr>
        <w:t xml:space="preserve"> </w:t>
      </w:r>
      <w:r w:rsidR="00D4219F" w:rsidRPr="001416ED">
        <w:t>%</w:t>
      </w:r>
      <w:r w:rsidRPr="001416ED">
        <w:t>)</w:t>
      </w:r>
      <w:r w:rsidR="008C7FCD" w:rsidRPr="001416ED">
        <w:rPr>
          <w:lang w:val="uk-UA"/>
        </w:rPr>
        <w:t xml:space="preserve"> з групи контролю</w:t>
      </w:r>
      <w:r w:rsidRPr="001416ED">
        <w:t xml:space="preserve">. </w:t>
      </w:r>
      <w:proofErr w:type="gramEnd"/>
    </w:p>
    <w:p w:rsidR="004E682D" w:rsidRPr="001416ED" w:rsidRDefault="00162E20" w:rsidP="00C002D9">
      <w:pPr>
        <w:spacing w:line="360" w:lineRule="auto"/>
        <w:ind w:firstLine="709"/>
        <w:contextualSpacing/>
        <w:jc w:val="both"/>
        <w:rPr>
          <w:lang w:val="uk-UA"/>
        </w:rPr>
      </w:pPr>
      <w:r w:rsidRPr="001416ED">
        <w:t>ІМТ</w:t>
      </w:r>
      <w:r w:rsidR="00F770F0" w:rsidRPr="001416ED">
        <w:t xml:space="preserve"> визначали за ре</w:t>
      </w:r>
      <w:r w:rsidR="007A61A2" w:rsidRPr="001416ED">
        <w:t>комендаціями ВООЗ [1997]: ІМТ=</w:t>
      </w:r>
      <w:r w:rsidR="00F770F0" w:rsidRPr="001416ED">
        <w:t>маса тіла</w:t>
      </w:r>
      <w:r w:rsidR="00821839" w:rsidRPr="001416ED">
        <w:rPr>
          <w:bCs/>
        </w:rPr>
        <w:t>/</w:t>
      </w:r>
      <w:r w:rsidR="00F770F0" w:rsidRPr="001416ED">
        <w:t>ріст</w:t>
      </w:r>
      <w:r w:rsidR="00F770F0" w:rsidRPr="001416ED">
        <w:rPr>
          <w:vertAlign w:val="superscript"/>
        </w:rPr>
        <w:t>2</w:t>
      </w:r>
      <w:r w:rsidR="00F770F0" w:rsidRPr="001416ED">
        <w:t xml:space="preserve"> (кг/м</w:t>
      </w:r>
      <w:r w:rsidR="00F770F0" w:rsidRPr="001416ED">
        <w:rPr>
          <w:vertAlign w:val="superscript"/>
        </w:rPr>
        <w:t>2</w:t>
      </w:r>
      <w:r w:rsidR="00E871DC" w:rsidRPr="001416ED">
        <w:t>).</w:t>
      </w:r>
      <w:r w:rsidR="00E871DC" w:rsidRPr="001416ED">
        <w:rPr>
          <w:lang w:val="uk-UA"/>
        </w:rPr>
        <w:t xml:space="preserve"> </w:t>
      </w:r>
      <w:r w:rsidR="00F770F0" w:rsidRPr="001416ED">
        <w:t xml:space="preserve">Масу тіла вважали надмірною, якщо ІМТ становив </w:t>
      </w:r>
      <w:r w:rsidR="007C67DB" w:rsidRPr="001416ED">
        <w:rPr>
          <w:lang w:val="uk-UA"/>
        </w:rPr>
        <w:t>(</w:t>
      </w:r>
      <w:r w:rsidR="00F770F0" w:rsidRPr="001416ED">
        <w:t>25</w:t>
      </w:r>
      <w:r w:rsidR="007C67DB" w:rsidRPr="001416ED">
        <w:rPr>
          <w:lang w:val="uk-UA"/>
        </w:rPr>
        <w:t>,0</w:t>
      </w:r>
      <w:r w:rsidR="00BC0119" w:rsidRPr="001416ED">
        <w:t>–</w:t>
      </w:r>
      <w:r w:rsidR="00F770F0" w:rsidRPr="001416ED">
        <w:t>29,9</w:t>
      </w:r>
      <w:r w:rsidR="007C67DB" w:rsidRPr="001416ED">
        <w:rPr>
          <w:lang w:val="uk-UA"/>
        </w:rPr>
        <w:t>)</w:t>
      </w:r>
      <w:r w:rsidR="00F770F0" w:rsidRPr="001416ED">
        <w:t xml:space="preserve"> кг/м</w:t>
      </w:r>
      <w:r w:rsidR="00F770F0" w:rsidRPr="001416ED">
        <w:rPr>
          <w:vertAlign w:val="superscript"/>
        </w:rPr>
        <w:t>2</w:t>
      </w:r>
      <w:r w:rsidR="00F770F0" w:rsidRPr="001416ED">
        <w:t>. Діагноз ожиріння встановлювали згідно з рекомендаціями ВООЗ [1997], якщо ІМТ складав 30</w:t>
      </w:r>
      <w:r w:rsidR="007C67DB" w:rsidRPr="001416ED">
        <w:rPr>
          <w:lang w:val="uk-UA"/>
        </w:rPr>
        <w:t>,0</w:t>
      </w:r>
      <w:r w:rsidR="00F770F0" w:rsidRPr="001416ED">
        <w:t xml:space="preserve"> кг/м</w:t>
      </w:r>
      <w:r w:rsidR="00F770F0" w:rsidRPr="001416ED">
        <w:rPr>
          <w:vertAlign w:val="superscript"/>
        </w:rPr>
        <w:t>2</w:t>
      </w:r>
      <w:r w:rsidR="00F770F0" w:rsidRPr="001416ED">
        <w:t xml:space="preserve"> та вище, при цьому І ступінь ожиріння визначали при ІМТ </w:t>
      </w:r>
      <w:r w:rsidR="007C67DB" w:rsidRPr="001416ED">
        <w:rPr>
          <w:lang w:val="uk-UA"/>
        </w:rPr>
        <w:t>(</w:t>
      </w:r>
      <w:r w:rsidR="00F770F0" w:rsidRPr="001416ED">
        <w:t>30</w:t>
      </w:r>
      <w:r w:rsidR="007C67DB" w:rsidRPr="001416ED">
        <w:rPr>
          <w:lang w:val="uk-UA"/>
        </w:rPr>
        <w:t>,0</w:t>
      </w:r>
      <w:r w:rsidR="00BC0119" w:rsidRPr="001416ED">
        <w:t>–</w:t>
      </w:r>
      <w:r w:rsidR="00F770F0" w:rsidRPr="001416ED">
        <w:t>34,9</w:t>
      </w:r>
      <w:r w:rsidR="007C67DB" w:rsidRPr="001416ED">
        <w:rPr>
          <w:lang w:val="uk-UA"/>
        </w:rPr>
        <w:t>)</w:t>
      </w:r>
      <w:r w:rsidR="00F770F0" w:rsidRPr="001416ED">
        <w:t xml:space="preserve"> кг/м</w:t>
      </w:r>
      <w:r w:rsidR="00F770F0" w:rsidRPr="001416ED">
        <w:rPr>
          <w:vertAlign w:val="superscript"/>
        </w:rPr>
        <w:t>2</w:t>
      </w:r>
      <w:r w:rsidR="00F770F0" w:rsidRPr="001416ED">
        <w:t>,</w:t>
      </w:r>
      <w:r w:rsidR="00F770F0" w:rsidRPr="001416ED">
        <w:rPr>
          <w:vertAlign w:val="superscript"/>
        </w:rPr>
        <w:t xml:space="preserve"> </w:t>
      </w:r>
      <w:r w:rsidR="00F770F0" w:rsidRPr="001416ED">
        <w:t xml:space="preserve">ІІ ступінь – при ІМТ </w:t>
      </w:r>
      <w:r w:rsidR="007C67DB" w:rsidRPr="001416ED">
        <w:rPr>
          <w:lang w:val="uk-UA"/>
        </w:rPr>
        <w:t>(</w:t>
      </w:r>
      <w:r w:rsidR="00F770F0" w:rsidRPr="001416ED">
        <w:t>35</w:t>
      </w:r>
      <w:r w:rsidR="00BC0119" w:rsidRPr="001416ED">
        <w:t>–</w:t>
      </w:r>
      <w:r w:rsidR="00F770F0" w:rsidRPr="001416ED">
        <w:t>39,9</w:t>
      </w:r>
      <w:r w:rsidR="007C67DB" w:rsidRPr="001416ED">
        <w:rPr>
          <w:lang w:val="uk-UA"/>
        </w:rPr>
        <w:t>)</w:t>
      </w:r>
      <w:r w:rsidR="00F770F0" w:rsidRPr="001416ED">
        <w:t xml:space="preserve"> кг/м</w:t>
      </w:r>
      <w:r w:rsidR="00F770F0" w:rsidRPr="001416ED">
        <w:rPr>
          <w:vertAlign w:val="superscript"/>
        </w:rPr>
        <w:t>2</w:t>
      </w:r>
      <w:r w:rsidR="00F770F0" w:rsidRPr="001416ED">
        <w:t>, ІІІ ступінь – при ІМТ ≥</w:t>
      </w:r>
      <w:r w:rsidR="00A64D10" w:rsidRPr="001416ED">
        <w:rPr>
          <w:lang w:val="uk-UA"/>
        </w:rPr>
        <w:t xml:space="preserve"> </w:t>
      </w:r>
      <w:r w:rsidR="00F770F0" w:rsidRPr="001416ED">
        <w:t>40</w:t>
      </w:r>
      <w:r w:rsidR="007C67DB" w:rsidRPr="001416ED">
        <w:rPr>
          <w:lang w:val="uk-UA"/>
        </w:rPr>
        <w:t>,</w:t>
      </w:r>
      <w:r w:rsidR="00F770F0" w:rsidRPr="001416ED">
        <w:t xml:space="preserve"> кг/м</w:t>
      </w:r>
      <w:r w:rsidR="00F770F0" w:rsidRPr="001416ED">
        <w:rPr>
          <w:vertAlign w:val="superscript"/>
        </w:rPr>
        <w:t>2</w:t>
      </w:r>
      <w:r w:rsidR="00F770F0" w:rsidRPr="001416ED">
        <w:t>.</w:t>
      </w:r>
      <w:r w:rsidR="00C002D9" w:rsidRPr="001416ED">
        <w:rPr>
          <w:lang w:val="uk-UA"/>
        </w:rPr>
        <w:t xml:space="preserve"> </w:t>
      </w:r>
      <w:r w:rsidR="00F770F0" w:rsidRPr="001416ED">
        <w:t xml:space="preserve">При визначенні </w:t>
      </w:r>
      <w:r w:rsidR="004E682D" w:rsidRPr="001416ED">
        <w:rPr>
          <w:lang w:val="uk-UA"/>
        </w:rPr>
        <w:t>ІМТ</w:t>
      </w:r>
      <w:r w:rsidR="004E682D" w:rsidRPr="001416ED">
        <w:t xml:space="preserve"> було виявлено, що у </w:t>
      </w:r>
      <w:r w:rsidR="000C2EB5" w:rsidRPr="001416ED">
        <w:rPr>
          <w:lang w:val="uk-UA"/>
        </w:rPr>
        <w:t>чоловіків контрольної групи</w:t>
      </w:r>
      <w:r w:rsidR="004E682D" w:rsidRPr="001416ED">
        <w:t xml:space="preserve"> визначал</w:t>
      </w:r>
      <w:r w:rsidR="007C67DB" w:rsidRPr="001416ED">
        <w:rPr>
          <w:lang w:val="uk-UA"/>
        </w:rPr>
        <w:t>и</w:t>
      </w:r>
      <w:r w:rsidR="004E682D" w:rsidRPr="001416ED">
        <w:t xml:space="preserve"> </w:t>
      </w:r>
      <w:r w:rsidR="000C2EB5" w:rsidRPr="001416ED">
        <w:t>нормальн</w:t>
      </w:r>
      <w:r w:rsidR="007C67DB" w:rsidRPr="001416ED">
        <w:rPr>
          <w:lang w:val="uk-UA"/>
        </w:rPr>
        <w:t>у</w:t>
      </w:r>
      <w:r w:rsidR="000C2EB5" w:rsidRPr="001416ED">
        <w:t xml:space="preserve"> та </w:t>
      </w:r>
      <w:r w:rsidR="004E682D" w:rsidRPr="001416ED">
        <w:t>надмірн</w:t>
      </w:r>
      <w:r w:rsidR="007C67DB" w:rsidRPr="001416ED">
        <w:rPr>
          <w:lang w:val="uk-UA"/>
        </w:rPr>
        <w:t>у</w:t>
      </w:r>
      <w:r w:rsidR="004E682D" w:rsidRPr="001416ED">
        <w:t xml:space="preserve"> </w:t>
      </w:r>
      <w:r w:rsidR="000C2EB5" w:rsidRPr="001416ED">
        <w:t>ваг</w:t>
      </w:r>
      <w:r w:rsidR="007C67DB" w:rsidRPr="001416ED">
        <w:rPr>
          <w:lang w:val="uk-UA"/>
        </w:rPr>
        <w:t>у</w:t>
      </w:r>
      <w:r w:rsidR="000C2EB5" w:rsidRPr="001416ED">
        <w:t xml:space="preserve"> тіла</w:t>
      </w:r>
      <w:r w:rsidR="000C2EB5" w:rsidRPr="001416ED">
        <w:rPr>
          <w:lang w:val="uk-UA"/>
        </w:rPr>
        <w:t xml:space="preserve">, </w:t>
      </w:r>
      <w:r w:rsidR="004E682D" w:rsidRPr="001416ED">
        <w:t xml:space="preserve">відповідно у </w:t>
      </w:r>
      <w:r w:rsidR="000C2EB5" w:rsidRPr="001416ED">
        <w:rPr>
          <w:lang w:val="uk-UA"/>
        </w:rPr>
        <w:t>50</w:t>
      </w:r>
      <w:r w:rsidR="004E682D" w:rsidRPr="001416ED">
        <w:t xml:space="preserve"> (</w:t>
      </w:r>
      <w:r w:rsidR="000C2EB5" w:rsidRPr="001416ED">
        <w:rPr>
          <w:lang w:val="uk-UA"/>
        </w:rPr>
        <w:t>63,29</w:t>
      </w:r>
      <w:r w:rsidR="007C67DB" w:rsidRPr="001416ED">
        <w:rPr>
          <w:lang w:val="uk-UA"/>
        </w:rPr>
        <w:t xml:space="preserve"> </w:t>
      </w:r>
      <w:r w:rsidR="00D4219F" w:rsidRPr="001416ED">
        <w:t>%</w:t>
      </w:r>
      <w:r w:rsidR="004E682D" w:rsidRPr="001416ED">
        <w:t xml:space="preserve">) та у </w:t>
      </w:r>
      <w:r w:rsidR="000C2EB5" w:rsidRPr="001416ED">
        <w:rPr>
          <w:lang w:val="uk-UA"/>
        </w:rPr>
        <w:t>2</w:t>
      </w:r>
      <w:r w:rsidR="001D0954" w:rsidRPr="001416ED">
        <w:rPr>
          <w:lang w:val="uk-UA"/>
        </w:rPr>
        <w:t>9</w:t>
      </w:r>
      <w:r w:rsidR="000C2EB5" w:rsidRPr="001416ED">
        <w:rPr>
          <w:lang w:val="uk-UA"/>
        </w:rPr>
        <w:t xml:space="preserve"> </w:t>
      </w:r>
      <w:r w:rsidR="004E682D" w:rsidRPr="001416ED">
        <w:t>(</w:t>
      </w:r>
      <w:r w:rsidR="000C2EB5" w:rsidRPr="001416ED">
        <w:rPr>
          <w:lang w:val="uk-UA"/>
        </w:rPr>
        <w:t>3</w:t>
      </w:r>
      <w:r w:rsidR="001D0954" w:rsidRPr="001416ED">
        <w:rPr>
          <w:lang w:val="uk-UA"/>
        </w:rPr>
        <w:t>6</w:t>
      </w:r>
      <w:r w:rsidR="000C2EB5" w:rsidRPr="001416ED">
        <w:rPr>
          <w:lang w:val="uk-UA"/>
        </w:rPr>
        <w:t>,</w:t>
      </w:r>
      <w:r w:rsidR="001D0954" w:rsidRPr="001416ED">
        <w:rPr>
          <w:lang w:val="uk-UA"/>
        </w:rPr>
        <w:t>71</w:t>
      </w:r>
      <w:r w:rsidR="007C67DB" w:rsidRPr="001416ED">
        <w:rPr>
          <w:lang w:val="uk-UA"/>
        </w:rPr>
        <w:t xml:space="preserve"> </w:t>
      </w:r>
      <w:r w:rsidR="00D4219F" w:rsidRPr="001416ED">
        <w:t>%</w:t>
      </w:r>
      <w:r w:rsidR="004E682D" w:rsidRPr="001416ED">
        <w:t>)</w:t>
      </w:r>
      <w:r w:rsidR="000C2EB5" w:rsidRPr="001416ED">
        <w:rPr>
          <w:lang w:val="uk-UA"/>
        </w:rPr>
        <w:t xml:space="preserve"> пацієнтів</w:t>
      </w:r>
      <w:r w:rsidR="004E682D" w:rsidRPr="001416ED">
        <w:t>. Під час проведення фізикального обстеження</w:t>
      </w:r>
      <w:r w:rsidR="004E682D" w:rsidRPr="001416ED">
        <w:rPr>
          <w:lang w:val="uk-UA"/>
        </w:rPr>
        <w:t xml:space="preserve"> ССС</w:t>
      </w:r>
      <w:r w:rsidR="004E682D" w:rsidRPr="001416ED">
        <w:t xml:space="preserve"> патологічн</w:t>
      </w:r>
      <w:r w:rsidR="000C2EB5" w:rsidRPr="001416ED">
        <w:rPr>
          <w:lang w:val="uk-UA"/>
        </w:rPr>
        <w:t xml:space="preserve">их </w:t>
      </w:r>
      <w:r w:rsidR="004E682D" w:rsidRPr="001416ED">
        <w:t>змін</w:t>
      </w:r>
      <w:r w:rsidR="000C2EB5" w:rsidRPr="001416ED">
        <w:t xml:space="preserve"> не виявл</w:t>
      </w:r>
      <w:r w:rsidR="000C2EB5" w:rsidRPr="001416ED">
        <w:rPr>
          <w:lang w:val="uk-UA"/>
        </w:rPr>
        <w:t>ено</w:t>
      </w:r>
      <w:r w:rsidR="004E682D" w:rsidRPr="001416ED">
        <w:t>.</w:t>
      </w:r>
    </w:p>
    <w:p w:rsidR="004E682D" w:rsidRPr="001416ED" w:rsidRDefault="00162E20" w:rsidP="004E682D">
      <w:pPr>
        <w:pStyle w:val="a3"/>
        <w:spacing w:after="0" w:line="360" w:lineRule="auto"/>
        <w:ind w:left="0" w:firstLine="567"/>
        <w:jc w:val="both"/>
        <w:rPr>
          <w:lang w:val="uk-UA"/>
        </w:rPr>
      </w:pPr>
      <w:r w:rsidRPr="001416ED">
        <w:rPr>
          <w:lang w:val="uk-UA"/>
        </w:rPr>
        <w:t xml:space="preserve">Офісний </w:t>
      </w:r>
      <w:r w:rsidR="004E682D" w:rsidRPr="001416ED">
        <w:rPr>
          <w:lang w:val="uk-UA"/>
        </w:rPr>
        <w:t>САТ</w:t>
      </w:r>
      <w:r w:rsidRPr="001416ED">
        <w:rPr>
          <w:lang w:val="uk-UA"/>
        </w:rPr>
        <w:t xml:space="preserve"> у чоловіків</w:t>
      </w:r>
      <w:r w:rsidR="00B278E5" w:rsidRPr="001416ED">
        <w:rPr>
          <w:lang w:val="uk-UA"/>
        </w:rPr>
        <w:t xml:space="preserve"> групи контролю становив</w:t>
      </w:r>
      <w:r w:rsidR="004E682D" w:rsidRPr="001416ED">
        <w:rPr>
          <w:lang w:val="uk-UA"/>
        </w:rPr>
        <w:t xml:space="preserve"> </w:t>
      </w:r>
      <w:r w:rsidR="007C67DB" w:rsidRPr="001416ED">
        <w:rPr>
          <w:lang w:val="uk-UA"/>
        </w:rPr>
        <w:t>(</w:t>
      </w:r>
      <w:r w:rsidR="004E682D" w:rsidRPr="001416ED">
        <w:rPr>
          <w:lang w:val="uk-UA"/>
        </w:rPr>
        <w:t>12</w:t>
      </w:r>
      <w:r w:rsidR="00B278E5" w:rsidRPr="001416ED">
        <w:rPr>
          <w:lang w:val="uk-UA"/>
        </w:rPr>
        <w:t>0</w:t>
      </w:r>
      <w:r w:rsidR="004E682D" w:rsidRPr="001416ED">
        <w:rPr>
          <w:lang w:val="uk-UA"/>
        </w:rPr>
        <w:t>,</w:t>
      </w:r>
      <w:r w:rsidR="00B278E5" w:rsidRPr="001416ED">
        <w:rPr>
          <w:lang w:val="uk-UA"/>
        </w:rPr>
        <w:t>51</w:t>
      </w:r>
      <w:r w:rsidR="007A07A9" w:rsidRPr="001416ED">
        <w:rPr>
          <w:lang w:val="uk-UA"/>
        </w:rPr>
        <w:t xml:space="preserve"> ± </w:t>
      </w:r>
      <w:r w:rsidR="00B278E5" w:rsidRPr="001416ED">
        <w:rPr>
          <w:lang w:val="uk-UA"/>
        </w:rPr>
        <w:t>1,11</w:t>
      </w:r>
      <w:r w:rsidR="007C67DB" w:rsidRPr="001416ED">
        <w:rPr>
          <w:lang w:val="uk-UA"/>
        </w:rPr>
        <w:t>)</w:t>
      </w:r>
      <w:r w:rsidR="004E682D" w:rsidRPr="001416ED">
        <w:rPr>
          <w:lang w:val="uk-UA"/>
        </w:rPr>
        <w:t xml:space="preserve"> мм рт.ст., </w:t>
      </w:r>
      <w:r w:rsidRPr="001416ED">
        <w:rPr>
          <w:lang w:val="uk-UA"/>
        </w:rPr>
        <w:t xml:space="preserve">офісний </w:t>
      </w:r>
      <w:r w:rsidR="004E682D" w:rsidRPr="001416ED">
        <w:rPr>
          <w:lang w:val="uk-UA"/>
        </w:rPr>
        <w:t xml:space="preserve">ДАТ – </w:t>
      </w:r>
      <w:r w:rsidR="007C67DB" w:rsidRPr="001416ED">
        <w:rPr>
          <w:lang w:val="uk-UA"/>
        </w:rPr>
        <w:t>(</w:t>
      </w:r>
      <w:r w:rsidR="004E682D" w:rsidRPr="001416ED">
        <w:rPr>
          <w:lang w:val="uk-UA"/>
        </w:rPr>
        <w:t>75,</w:t>
      </w:r>
      <w:r w:rsidR="00B278E5" w:rsidRPr="001416ED">
        <w:rPr>
          <w:lang w:val="uk-UA"/>
        </w:rPr>
        <w:t>25</w:t>
      </w:r>
      <w:r w:rsidR="007A07A9" w:rsidRPr="001416ED">
        <w:rPr>
          <w:lang w:val="uk-UA"/>
        </w:rPr>
        <w:t xml:space="preserve"> ± </w:t>
      </w:r>
      <w:r w:rsidR="004E682D" w:rsidRPr="001416ED">
        <w:rPr>
          <w:lang w:val="uk-UA"/>
        </w:rPr>
        <w:t>0,</w:t>
      </w:r>
      <w:r w:rsidR="00B278E5" w:rsidRPr="001416ED">
        <w:rPr>
          <w:lang w:val="uk-UA"/>
        </w:rPr>
        <w:t>90</w:t>
      </w:r>
      <w:r w:rsidR="007C67DB" w:rsidRPr="001416ED">
        <w:rPr>
          <w:lang w:val="uk-UA"/>
        </w:rPr>
        <w:t>)</w:t>
      </w:r>
      <w:r w:rsidR="004E682D" w:rsidRPr="001416ED">
        <w:rPr>
          <w:lang w:val="uk-UA"/>
        </w:rPr>
        <w:t xml:space="preserve"> мм рт.ст. </w:t>
      </w:r>
      <w:r w:rsidR="008D4644" w:rsidRPr="001416ED">
        <w:rPr>
          <w:lang w:val="uk-UA"/>
        </w:rPr>
        <w:t>АТ</w:t>
      </w:r>
      <w:r w:rsidR="004E682D" w:rsidRPr="001416ED">
        <w:rPr>
          <w:lang w:val="uk-UA"/>
        </w:rPr>
        <w:t xml:space="preserve"> у </w:t>
      </w:r>
      <w:r w:rsidR="00EB7835" w:rsidRPr="001416ED">
        <w:rPr>
          <w:lang w:val="uk-UA"/>
        </w:rPr>
        <w:t>пацієнтів чоловічої статі контрольної групи</w:t>
      </w:r>
      <w:r w:rsidR="004E682D" w:rsidRPr="001416ED">
        <w:rPr>
          <w:lang w:val="uk-UA"/>
        </w:rPr>
        <w:t xml:space="preserve"> не пере</w:t>
      </w:r>
      <w:r w:rsidR="00EB7835" w:rsidRPr="001416ED">
        <w:rPr>
          <w:lang w:val="uk-UA"/>
        </w:rPr>
        <w:t>вищува</w:t>
      </w:r>
      <w:r w:rsidRPr="001416ED">
        <w:rPr>
          <w:lang w:val="uk-UA"/>
        </w:rPr>
        <w:t>в</w:t>
      </w:r>
      <w:r w:rsidR="00EB7835" w:rsidRPr="001416ED">
        <w:rPr>
          <w:lang w:val="uk-UA"/>
        </w:rPr>
        <w:t xml:space="preserve"> нормотензивни</w:t>
      </w:r>
      <w:r w:rsidRPr="001416ED">
        <w:rPr>
          <w:lang w:val="uk-UA"/>
        </w:rPr>
        <w:t>х</w:t>
      </w:r>
      <w:r w:rsidR="00EB7835" w:rsidRPr="001416ED">
        <w:rPr>
          <w:lang w:val="uk-UA"/>
        </w:rPr>
        <w:t xml:space="preserve"> рів</w:t>
      </w:r>
      <w:r w:rsidRPr="001416ED">
        <w:rPr>
          <w:lang w:val="uk-UA"/>
        </w:rPr>
        <w:t>нів</w:t>
      </w:r>
      <w:r w:rsidR="00EB7835" w:rsidRPr="001416ED">
        <w:rPr>
          <w:lang w:val="uk-UA"/>
        </w:rPr>
        <w:t>. У 20 пацієнтів (25,32</w:t>
      </w:r>
      <w:r w:rsidR="007C67DB" w:rsidRPr="001416ED">
        <w:rPr>
          <w:lang w:val="uk-UA"/>
        </w:rPr>
        <w:t xml:space="preserve"> </w:t>
      </w:r>
      <w:r w:rsidR="00D4219F" w:rsidRPr="001416ED">
        <w:rPr>
          <w:lang w:val="uk-UA"/>
        </w:rPr>
        <w:t>%</w:t>
      </w:r>
      <w:r w:rsidR="00EB7835" w:rsidRPr="001416ED">
        <w:rPr>
          <w:lang w:val="uk-UA"/>
        </w:rPr>
        <w:t xml:space="preserve">) встановлений оптимальний АТ, у 33 </w:t>
      </w:r>
      <w:r w:rsidR="004E682D" w:rsidRPr="001416ED">
        <w:rPr>
          <w:lang w:val="uk-UA"/>
        </w:rPr>
        <w:t>(</w:t>
      </w:r>
      <w:r w:rsidR="00EB7835" w:rsidRPr="001416ED">
        <w:rPr>
          <w:lang w:val="uk-UA"/>
        </w:rPr>
        <w:t>41</w:t>
      </w:r>
      <w:r w:rsidR="004E682D" w:rsidRPr="001416ED">
        <w:rPr>
          <w:lang w:val="uk-UA"/>
        </w:rPr>
        <w:t>,</w:t>
      </w:r>
      <w:r w:rsidR="00EB7835" w:rsidRPr="001416ED">
        <w:rPr>
          <w:lang w:val="uk-UA"/>
        </w:rPr>
        <w:t>77</w:t>
      </w:r>
      <w:r w:rsidR="007C67DB" w:rsidRPr="001416ED">
        <w:rPr>
          <w:lang w:val="uk-UA"/>
        </w:rPr>
        <w:t xml:space="preserve"> </w:t>
      </w:r>
      <w:r w:rsidR="00D4219F" w:rsidRPr="001416ED">
        <w:rPr>
          <w:lang w:val="uk-UA"/>
        </w:rPr>
        <w:t>%</w:t>
      </w:r>
      <w:r w:rsidR="004E682D" w:rsidRPr="001416ED">
        <w:rPr>
          <w:lang w:val="uk-UA"/>
        </w:rPr>
        <w:t>) осіб визнача</w:t>
      </w:r>
      <w:r w:rsidR="007C67DB" w:rsidRPr="001416ED">
        <w:rPr>
          <w:lang w:val="uk-UA"/>
        </w:rPr>
        <w:t>ли</w:t>
      </w:r>
      <w:r w:rsidR="004E682D" w:rsidRPr="001416ED">
        <w:rPr>
          <w:lang w:val="uk-UA"/>
        </w:rPr>
        <w:t xml:space="preserve"> </w:t>
      </w:r>
      <w:r w:rsidR="00EB7835" w:rsidRPr="001416ED">
        <w:rPr>
          <w:lang w:val="uk-UA"/>
        </w:rPr>
        <w:t>нормальний</w:t>
      </w:r>
      <w:r w:rsidR="004E682D" w:rsidRPr="001416ED">
        <w:rPr>
          <w:lang w:val="uk-UA"/>
        </w:rPr>
        <w:t xml:space="preserve"> АТ, </w:t>
      </w:r>
      <w:r w:rsidR="00EB7835" w:rsidRPr="001416ED">
        <w:rPr>
          <w:lang w:val="uk-UA"/>
        </w:rPr>
        <w:t xml:space="preserve">однак у </w:t>
      </w:r>
      <w:r w:rsidR="004E682D" w:rsidRPr="001416ED">
        <w:rPr>
          <w:lang w:val="uk-UA"/>
        </w:rPr>
        <w:t xml:space="preserve"> 2</w:t>
      </w:r>
      <w:r w:rsidR="00EB7835" w:rsidRPr="001416ED">
        <w:rPr>
          <w:lang w:val="uk-UA"/>
        </w:rPr>
        <w:t>6</w:t>
      </w:r>
      <w:r w:rsidR="004E682D" w:rsidRPr="001416ED">
        <w:rPr>
          <w:lang w:val="uk-UA"/>
        </w:rPr>
        <w:t xml:space="preserve"> (</w:t>
      </w:r>
      <w:r w:rsidR="00EB7835" w:rsidRPr="001416ED">
        <w:rPr>
          <w:lang w:val="uk-UA"/>
        </w:rPr>
        <w:t>32,91</w:t>
      </w:r>
      <w:r w:rsidR="007C67DB" w:rsidRPr="001416ED">
        <w:rPr>
          <w:lang w:val="uk-UA"/>
        </w:rPr>
        <w:t xml:space="preserve"> </w:t>
      </w:r>
      <w:r w:rsidR="00D4219F" w:rsidRPr="001416ED">
        <w:rPr>
          <w:lang w:val="uk-UA"/>
        </w:rPr>
        <w:t>%</w:t>
      </w:r>
      <w:r w:rsidR="004E682D" w:rsidRPr="001416ED">
        <w:rPr>
          <w:lang w:val="uk-UA"/>
        </w:rPr>
        <w:t xml:space="preserve">) </w:t>
      </w:r>
      <w:r w:rsidR="00EB7835" w:rsidRPr="001416ED">
        <w:rPr>
          <w:lang w:val="uk-UA"/>
        </w:rPr>
        <w:t>чоловіків</w:t>
      </w:r>
      <w:r w:rsidR="004E682D" w:rsidRPr="001416ED">
        <w:rPr>
          <w:lang w:val="uk-UA"/>
        </w:rPr>
        <w:t xml:space="preserve"> був в</w:t>
      </w:r>
      <w:r w:rsidR="00EB7835" w:rsidRPr="001416ED">
        <w:rPr>
          <w:lang w:val="uk-UA"/>
        </w:rPr>
        <w:t xml:space="preserve">изначений високий нормальний АТ, що може слугувати </w:t>
      </w:r>
      <w:r w:rsidR="004E682D" w:rsidRPr="001416ED">
        <w:t xml:space="preserve"> в подальшому </w:t>
      </w:r>
      <w:r w:rsidR="00EB7835" w:rsidRPr="001416ED">
        <w:rPr>
          <w:lang w:val="uk-UA"/>
        </w:rPr>
        <w:t>передумовою</w:t>
      </w:r>
      <w:r w:rsidR="004E682D" w:rsidRPr="001416ED">
        <w:t xml:space="preserve"> до </w:t>
      </w:r>
      <w:r w:rsidR="00EB7835" w:rsidRPr="001416ED">
        <w:rPr>
          <w:lang w:val="uk-UA"/>
        </w:rPr>
        <w:t xml:space="preserve">розвитку </w:t>
      </w:r>
      <w:r w:rsidR="004E682D" w:rsidRPr="001416ED">
        <w:rPr>
          <w:lang w:val="uk-UA"/>
        </w:rPr>
        <w:t xml:space="preserve">ГХ </w:t>
      </w:r>
      <w:r w:rsidR="004E682D" w:rsidRPr="001416ED">
        <w:t xml:space="preserve">у таких </w:t>
      </w:r>
      <w:r w:rsidR="00EB7835" w:rsidRPr="001416ED">
        <w:rPr>
          <w:lang w:val="uk-UA"/>
        </w:rPr>
        <w:t>чоловіків</w:t>
      </w:r>
      <w:r w:rsidR="004E682D" w:rsidRPr="001416ED">
        <w:t>.</w:t>
      </w:r>
    </w:p>
    <w:p w:rsidR="00C002D9" w:rsidRPr="001416ED" w:rsidRDefault="00F9403A" w:rsidP="00C002D9">
      <w:pPr>
        <w:spacing w:line="360" w:lineRule="auto"/>
        <w:ind w:firstLine="567"/>
        <w:jc w:val="both"/>
        <w:rPr>
          <w:lang w:val="uk-UA"/>
        </w:rPr>
      </w:pPr>
      <w:r w:rsidRPr="001416ED">
        <w:rPr>
          <w:lang w:val="uk-UA"/>
        </w:rPr>
        <w:t>Н</w:t>
      </w:r>
      <w:r w:rsidR="004E682D" w:rsidRPr="001416ED">
        <w:rPr>
          <w:lang w:val="uk-UA"/>
        </w:rPr>
        <w:t>ормальн</w:t>
      </w:r>
      <w:r w:rsidR="007C67DB" w:rsidRPr="001416ED">
        <w:rPr>
          <w:lang w:val="uk-UA"/>
        </w:rPr>
        <w:t>у</w:t>
      </w:r>
      <w:r w:rsidR="004E682D" w:rsidRPr="001416ED">
        <w:rPr>
          <w:lang w:val="uk-UA"/>
        </w:rPr>
        <w:t xml:space="preserve"> частот</w:t>
      </w:r>
      <w:r w:rsidR="007C67DB" w:rsidRPr="001416ED">
        <w:rPr>
          <w:lang w:val="uk-UA"/>
        </w:rPr>
        <w:t xml:space="preserve">у </w:t>
      </w:r>
      <w:r w:rsidR="004E682D" w:rsidRPr="001416ED">
        <w:rPr>
          <w:lang w:val="uk-UA"/>
        </w:rPr>
        <w:t xml:space="preserve">ритму </w:t>
      </w:r>
      <w:r w:rsidRPr="001416ED">
        <w:rPr>
          <w:lang w:val="uk-UA"/>
        </w:rPr>
        <w:t xml:space="preserve">серця </w:t>
      </w:r>
      <w:r w:rsidR="004E682D" w:rsidRPr="001416ED">
        <w:rPr>
          <w:lang w:val="uk-UA"/>
        </w:rPr>
        <w:t>визначал</w:t>
      </w:r>
      <w:r w:rsidR="007C67DB" w:rsidRPr="001416ED">
        <w:rPr>
          <w:lang w:val="uk-UA"/>
        </w:rPr>
        <w:t>и</w:t>
      </w:r>
      <w:r w:rsidR="004E682D" w:rsidRPr="001416ED">
        <w:rPr>
          <w:lang w:val="uk-UA"/>
        </w:rPr>
        <w:t xml:space="preserve"> у </w:t>
      </w:r>
      <w:r w:rsidRPr="001416ED">
        <w:rPr>
          <w:lang w:val="uk-UA"/>
        </w:rPr>
        <w:t>72</w:t>
      </w:r>
      <w:r w:rsidR="004E682D" w:rsidRPr="001416ED">
        <w:rPr>
          <w:lang w:val="uk-UA"/>
        </w:rPr>
        <w:t xml:space="preserve"> (</w:t>
      </w:r>
      <w:r w:rsidRPr="001416ED">
        <w:rPr>
          <w:lang w:val="uk-UA"/>
        </w:rPr>
        <w:t>91,13</w:t>
      </w:r>
      <w:r w:rsidR="007C67DB" w:rsidRPr="001416ED">
        <w:rPr>
          <w:lang w:val="uk-UA"/>
        </w:rPr>
        <w:t xml:space="preserve"> </w:t>
      </w:r>
      <w:r w:rsidR="00D4219F" w:rsidRPr="001416ED">
        <w:rPr>
          <w:lang w:val="uk-UA"/>
        </w:rPr>
        <w:t>%</w:t>
      </w:r>
      <w:r w:rsidR="004E682D" w:rsidRPr="001416ED">
        <w:rPr>
          <w:lang w:val="uk-UA"/>
        </w:rPr>
        <w:t>)</w:t>
      </w:r>
      <w:r w:rsidRPr="001416ED">
        <w:rPr>
          <w:lang w:val="uk-UA"/>
        </w:rPr>
        <w:t xml:space="preserve"> чоловіків</w:t>
      </w:r>
      <w:r w:rsidR="004E682D" w:rsidRPr="001416ED">
        <w:rPr>
          <w:lang w:val="uk-UA"/>
        </w:rPr>
        <w:t>, синусов</w:t>
      </w:r>
      <w:r w:rsidR="007C67DB" w:rsidRPr="001416ED">
        <w:rPr>
          <w:lang w:val="uk-UA"/>
        </w:rPr>
        <w:t>у</w:t>
      </w:r>
      <w:r w:rsidR="004E682D" w:rsidRPr="001416ED">
        <w:rPr>
          <w:lang w:val="uk-UA"/>
        </w:rPr>
        <w:t xml:space="preserve"> тахікарді</w:t>
      </w:r>
      <w:r w:rsidR="007C67DB" w:rsidRPr="001416ED">
        <w:rPr>
          <w:lang w:val="uk-UA"/>
        </w:rPr>
        <w:t>ю</w:t>
      </w:r>
      <w:r w:rsidR="004E682D" w:rsidRPr="001416ED">
        <w:rPr>
          <w:lang w:val="uk-UA"/>
        </w:rPr>
        <w:t xml:space="preserve"> </w:t>
      </w:r>
      <w:r w:rsidR="00BC0119" w:rsidRPr="001416ED">
        <w:rPr>
          <w:lang w:val="uk-UA"/>
        </w:rPr>
        <w:t>–</w:t>
      </w:r>
      <w:r w:rsidR="007C67DB" w:rsidRPr="001416ED">
        <w:rPr>
          <w:lang w:val="uk-UA"/>
        </w:rPr>
        <w:t xml:space="preserve"> </w:t>
      </w:r>
      <w:r w:rsidRPr="001416ED">
        <w:rPr>
          <w:lang w:val="uk-UA"/>
        </w:rPr>
        <w:t>7</w:t>
      </w:r>
      <w:r w:rsidR="004E682D" w:rsidRPr="001416ED">
        <w:rPr>
          <w:lang w:val="uk-UA"/>
        </w:rPr>
        <w:t xml:space="preserve"> (</w:t>
      </w:r>
      <w:r w:rsidRPr="001416ED">
        <w:rPr>
          <w:lang w:val="uk-UA"/>
        </w:rPr>
        <w:t>8,87</w:t>
      </w:r>
      <w:r w:rsidR="007C67DB" w:rsidRPr="001416ED">
        <w:rPr>
          <w:lang w:val="uk-UA"/>
        </w:rPr>
        <w:t xml:space="preserve"> </w:t>
      </w:r>
      <w:r w:rsidR="00D4219F" w:rsidRPr="001416ED">
        <w:rPr>
          <w:lang w:val="uk-UA"/>
        </w:rPr>
        <w:t>%</w:t>
      </w:r>
      <w:r w:rsidR="004E682D" w:rsidRPr="001416ED">
        <w:rPr>
          <w:lang w:val="uk-UA"/>
        </w:rPr>
        <w:t xml:space="preserve">) осіб, середня </w:t>
      </w:r>
      <w:r w:rsidRPr="001416ED">
        <w:rPr>
          <w:lang w:val="uk-UA"/>
        </w:rPr>
        <w:t>частота серцевих скорочень (ЧСС)</w:t>
      </w:r>
      <w:r w:rsidR="004E682D" w:rsidRPr="001416ED">
        <w:rPr>
          <w:lang w:val="uk-UA"/>
        </w:rPr>
        <w:t xml:space="preserve"> становила </w:t>
      </w:r>
      <w:r w:rsidR="007C67DB" w:rsidRPr="001416ED">
        <w:rPr>
          <w:lang w:val="uk-UA"/>
        </w:rPr>
        <w:t>(</w:t>
      </w:r>
      <w:r w:rsidRPr="001416ED">
        <w:rPr>
          <w:lang w:val="uk-UA"/>
        </w:rPr>
        <w:t>68</w:t>
      </w:r>
      <w:r w:rsidR="004E682D" w:rsidRPr="001416ED">
        <w:rPr>
          <w:lang w:val="uk-UA"/>
        </w:rPr>
        <w:t>,4</w:t>
      </w:r>
      <w:r w:rsidRPr="001416ED">
        <w:rPr>
          <w:lang w:val="uk-UA"/>
        </w:rPr>
        <w:t>7</w:t>
      </w:r>
      <w:r w:rsidR="007A07A9" w:rsidRPr="001416ED">
        <w:rPr>
          <w:lang w:val="uk-UA"/>
        </w:rPr>
        <w:t xml:space="preserve"> ± </w:t>
      </w:r>
      <w:r w:rsidR="004E682D" w:rsidRPr="001416ED">
        <w:rPr>
          <w:lang w:val="uk-UA"/>
        </w:rPr>
        <w:t>0,</w:t>
      </w:r>
      <w:r w:rsidRPr="001416ED">
        <w:rPr>
          <w:lang w:val="uk-UA"/>
        </w:rPr>
        <w:t>93</w:t>
      </w:r>
      <w:r w:rsidR="007C67DB" w:rsidRPr="001416ED">
        <w:rPr>
          <w:lang w:val="uk-UA"/>
        </w:rPr>
        <w:t>)</w:t>
      </w:r>
      <w:r w:rsidR="004E682D" w:rsidRPr="001416ED">
        <w:rPr>
          <w:lang w:val="uk-UA"/>
        </w:rPr>
        <w:t xml:space="preserve"> </w:t>
      </w:r>
      <w:r w:rsidR="007C67DB" w:rsidRPr="001416ED">
        <w:rPr>
          <w:lang w:val="uk-UA"/>
        </w:rPr>
        <w:t xml:space="preserve">ударів </w:t>
      </w:r>
      <w:r w:rsidR="004E682D" w:rsidRPr="001416ED">
        <w:rPr>
          <w:lang w:val="uk-UA"/>
        </w:rPr>
        <w:t xml:space="preserve">за 1 хвилину. </w:t>
      </w:r>
    </w:p>
    <w:p w:rsidR="004E682D" w:rsidRPr="001416ED" w:rsidRDefault="00C002D9" w:rsidP="00F9403A">
      <w:pPr>
        <w:spacing w:after="240" w:line="360" w:lineRule="auto"/>
        <w:ind w:firstLine="567"/>
        <w:jc w:val="both"/>
        <w:rPr>
          <w:lang w:val="uk-UA"/>
        </w:rPr>
      </w:pPr>
      <w:r w:rsidRPr="001416ED">
        <w:rPr>
          <w:lang w:val="uk-UA"/>
        </w:rPr>
        <w:t xml:space="preserve">Усім 79 (100%) особам групи котролю проводили дерматогліфічне обстеження пальців правої і </w:t>
      </w:r>
      <w:r w:rsidR="00352B92">
        <w:rPr>
          <w:lang w:val="uk-UA"/>
        </w:rPr>
        <w:t>лівої кисті (ПК і ЛК) по</w:t>
      </w:r>
      <w:r w:rsidRPr="001416ED">
        <w:rPr>
          <w:lang w:val="uk-UA"/>
        </w:rPr>
        <w:t xml:space="preserve"> методи</w:t>
      </w:r>
      <w:r w:rsidR="00352B92">
        <w:rPr>
          <w:lang w:val="uk-UA"/>
        </w:rPr>
        <w:t>ці</w:t>
      </w:r>
      <w:r w:rsidRPr="001416ED">
        <w:rPr>
          <w:lang w:val="uk-UA"/>
        </w:rPr>
        <w:t xml:space="preserve"> Т. Д. Гладкової за </w:t>
      </w:r>
      <w:r w:rsidRPr="001416ED">
        <w:rPr>
          <w:lang w:val="uk-UA"/>
        </w:rPr>
        <w:lastRenderedPageBreak/>
        <w:t xml:space="preserve">допомогою </w:t>
      </w:r>
      <w:r w:rsidR="00352B92">
        <w:rPr>
          <w:lang w:val="uk-UA"/>
        </w:rPr>
        <w:t xml:space="preserve">портативного </w:t>
      </w:r>
      <w:r w:rsidRPr="001416ED">
        <w:rPr>
          <w:lang w:val="uk-UA"/>
        </w:rPr>
        <w:t>електронного прокатного сканера Futronic FS50с</w:t>
      </w:r>
      <w:r w:rsidR="00A2328C" w:rsidRPr="001416ED">
        <w:rPr>
          <w:lang w:val="uk-UA"/>
        </w:rPr>
        <w:t xml:space="preserve"> </w:t>
      </w:r>
      <w:r w:rsidRPr="001416ED">
        <w:rPr>
          <w:lang w:val="uk-UA"/>
        </w:rPr>
        <w:t>з наступним аналізом отриманих даних.</w:t>
      </w:r>
    </w:p>
    <w:p w:rsidR="00F9403A" w:rsidRPr="001416ED" w:rsidRDefault="00F9403A" w:rsidP="007A61A2">
      <w:pPr>
        <w:pStyle w:val="a3"/>
        <w:spacing w:line="360" w:lineRule="auto"/>
        <w:ind w:left="0"/>
        <w:jc w:val="both"/>
        <w:rPr>
          <w:b/>
          <w:lang w:val="uk-UA"/>
        </w:rPr>
      </w:pPr>
      <w:r w:rsidRPr="001416ED">
        <w:rPr>
          <w:b/>
          <w:lang w:val="uk-UA"/>
        </w:rPr>
        <w:t>2.1.2. Хворі на гіпертонічну хворобу</w:t>
      </w:r>
    </w:p>
    <w:p w:rsidR="00C002D9" w:rsidRPr="001416ED" w:rsidRDefault="00F9403A" w:rsidP="000F6138">
      <w:pPr>
        <w:pStyle w:val="a3"/>
        <w:spacing w:after="0" w:line="360" w:lineRule="auto"/>
        <w:ind w:left="0" w:firstLine="567"/>
        <w:jc w:val="both"/>
        <w:rPr>
          <w:lang w:val="uk-UA"/>
        </w:rPr>
      </w:pPr>
      <w:r w:rsidRPr="001416ED">
        <w:rPr>
          <w:lang w:val="uk-UA"/>
        </w:rPr>
        <w:t xml:space="preserve">Критеріями включення у дослідження були: верифікований діагноз </w:t>
      </w:r>
      <w:r w:rsidR="008F180D" w:rsidRPr="001416ED">
        <w:rPr>
          <w:lang w:val="uk-UA"/>
        </w:rPr>
        <w:t xml:space="preserve">ГХ, </w:t>
      </w:r>
      <w:r w:rsidRPr="001416ED">
        <w:rPr>
          <w:lang w:val="uk-UA"/>
        </w:rPr>
        <w:t xml:space="preserve">з обов‘язковим виключенням симптоматичної </w:t>
      </w:r>
      <w:r w:rsidR="008F180D" w:rsidRPr="001416ED">
        <w:rPr>
          <w:lang w:val="uk-UA"/>
        </w:rPr>
        <w:t>АГ</w:t>
      </w:r>
      <w:r w:rsidRPr="001416ED">
        <w:rPr>
          <w:lang w:val="uk-UA"/>
        </w:rPr>
        <w:t>,</w:t>
      </w:r>
      <w:r w:rsidR="00145533" w:rsidRPr="001416ED">
        <w:rPr>
          <w:lang w:val="uk-UA"/>
        </w:rPr>
        <w:t xml:space="preserve"> наявність ГЛШ,</w:t>
      </w:r>
      <w:r w:rsidRPr="001416ED">
        <w:rPr>
          <w:lang w:val="uk-UA"/>
        </w:rPr>
        <w:t xml:space="preserve"> відсутність в анамнезі та за </w:t>
      </w:r>
      <w:r w:rsidR="008F180D" w:rsidRPr="001416ED">
        <w:rPr>
          <w:lang w:val="uk-UA"/>
        </w:rPr>
        <w:t>медичною</w:t>
      </w:r>
      <w:r w:rsidRPr="001416ED">
        <w:rPr>
          <w:lang w:val="uk-UA"/>
        </w:rPr>
        <w:t xml:space="preserve"> документаці</w:t>
      </w:r>
      <w:r w:rsidR="008F180D" w:rsidRPr="001416ED">
        <w:rPr>
          <w:lang w:val="uk-UA"/>
        </w:rPr>
        <w:t>єю</w:t>
      </w:r>
      <w:r w:rsidRPr="001416ED">
        <w:rPr>
          <w:lang w:val="uk-UA"/>
        </w:rPr>
        <w:t xml:space="preserve"> даних про перенесені ускладнення ГХ,</w:t>
      </w:r>
      <w:r w:rsidR="008F180D" w:rsidRPr="001416ED">
        <w:rPr>
          <w:lang w:val="uk-UA"/>
        </w:rPr>
        <w:t xml:space="preserve"> таких</w:t>
      </w:r>
      <w:r w:rsidRPr="001416ED">
        <w:rPr>
          <w:lang w:val="uk-UA"/>
        </w:rPr>
        <w:t xml:space="preserve"> як</w:t>
      </w:r>
      <w:r w:rsidR="008F180D" w:rsidRPr="001416ED">
        <w:rPr>
          <w:lang w:val="uk-UA"/>
        </w:rPr>
        <w:t xml:space="preserve"> ІМ</w:t>
      </w:r>
      <w:r w:rsidRPr="001416ED">
        <w:rPr>
          <w:lang w:val="uk-UA"/>
        </w:rPr>
        <w:t xml:space="preserve">, гостре порушення мозкового кровообігу, а також наявність симптомів та анамнестичних указівок на </w:t>
      </w:r>
      <w:r w:rsidR="00FE27FB" w:rsidRPr="001416ED">
        <w:rPr>
          <w:lang w:val="uk-UA"/>
        </w:rPr>
        <w:t>ІХС</w:t>
      </w:r>
      <w:r w:rsidRPr="001416ED">
        <w:rPr>
          <w:lang w:val="uk-UA"/>
        </w:rPr>
        <w:t xml:space="preserve">, розвиток якої передував виникненню ГХ. </w:t>
      </w:r>
    </w:p>
    <w:p w:rsidR="00F9403A" w:rsidRPr="001416ED" w:rsidRDefault="000F6138" w:rsidP="00F9403A">
      <w:pPr>
        <w:pStyle w:val="a3"/>
        <w:spacing w:after="0" w:line="360" w:lineRule="auto"/>
        <w:ind w:left="0" w:firstLine="567"/>
        <w:jc w:val="both"/>
        <w:rPr>
          <w:lang w:val="uk-UA"/>
        </w:rPr>
      </w:pPr>
      <w:r w:rsidRPr="001416ED">
        <w:rPr>
          <w:lang w:val="uk-UA"/>
        </w:rPr>
        <w:t xml:space="preserve">Діагноз ГХ встановлювали на підставі скарг хворих, даних анамнезу та фізикального обстеження, лабораторних та інструментальних методів дослідження згідно з Наказом МОЗ України від 24.05.2012 року №384. </w:t>
      </w:r>
      <w:r w:rsidR="00F9403A" w:rsidRPr="001416ED">
        <w:rPr>
          <w:lang w:val="uk-UA"/>
        </w:rPr>
        <w:t xml:space="preserve">Усім хворим </w:t>
      </w:r>
      <w:r w:rsidR="00352B92">
        <w:rPr>
          <w:lang w:val="uk-UA"/>
        </w:rPr>
        <w:t xml:space="preserve">індивідуалізовано </w:t>
      </w:r>
      <w:r w:rsidR="00F9403A" w:rsidRPr="001416ED">
        <w:rPr>
          <w:lang w:val="uk-UA"/>
        </w:rPr>
        <w:t xml:space="preserve">призначали базисну терапію у відповідності з </w:t>
      </w:r>
      <w:r w:rsidR="00FE27FB" w:rsidRPr="001416ED">
        <w:rPr>
          <w:rStyle w:val="ab"/>
          <w:b w:val="0"/>
          <w:shd w:val="clear" w:color="auto" w:fill="FFFFFF"/>
          <w:lang w:val="uk-UA"/>
        </w:rPr>
        <w:t>Уніфікованим клінічним протоколом медичної допомоги при артеріальній гіпертензії,</w:t>
      </w:r>
      <w:r w:rsidR="00F9403A" w:rsidRPr="001416ED">
        <w:rPr>
          <w:lang w:val="uk-UA"/>
        </w:rPr>
        <w:t xml:space="preserve"> затвердженим Наказом МОЗ України від </w:t>
      </w:r>
      <w:r w:rsidR="00FE27FB" w:rsidRPr="001416ED">
        <w:rPr>
          <w:lang w:val="uk-UA"/>
        </w:rPr>
        <w:t>24.05</w:t>
      </w:r>
      <w:r w:rsidR="00F9403A" w:rsidRPr="001416ED">
        <w:rPr>
          <w:lang w:val="uk-UA"/>
        </w:rPr>
        <w:t>.20</w:t>
      </w:r>
      <w:r w:rsidR="00FE27FB" w:rsidRPr="001416ED">
        <w:rPr>
          <w:lang w:val="uk-UA"/>
        </w:rPr>
        <w:t>12</w:t>
      </w:r>
      <w:r w:rsidR="00F9403A" w:rsidRPr="001416ED">
        <w:rPr>
          <w:lang w:val="uk-UA"/>
        </w:rPr>
        <w:t xml:space="preserve"> року №</w:t>
      </w:r>
      <w:r w:rsidR="00FE27FB" w:rsidRPr="001416ED">
        <w:rPr>
          <w:lang w:val="uk-UA"/>
        </w:rPr>
        <w:t>384</w:t>
      </w:r>
      <w:r w:rsidR="00F9403A" w:rsidRPr="001416ED">
        <w:rPr>
          <w:lang w:val="uk-UA"/>
        </w:rPr>
        <w:t xml:space="preserve"> та </w:t>
      </w:r>
      <w:r w:rsidR="00F31083" w:rsidRPr="001416ED">
        <w:rPr>
          <w:lang w:val="uk-UA"/>
        </w:rPr>
        <w:t xml:space="preserve">клінічних </w:t>
      </w:r>
      <w:r w:rsidR="00FE27FB" w:rsidRPr="001416ED">
        <w:rPr>
          <w:lang w:val="uk-UA"/>
        </w:rPr>
        <w:t xml:space="preserve">рекомендацій з артеріальної гіпертензії Європейського товариства гіпертензії </w:t>
      </w:r>
      <w:r w:rsidR="00FE27FB" w:rsidRPr="001416ED">
        <w:rPr>
          <w:caps/>
          <w:lang w:val="uk-UA"/>
        </w:rPr>
        <w:t>(</w:t>
      </w:r>
      <w:r w:rsidR="00FE27FB" w:rsidRPr="001416ED">
        <w:rPr>
          <w:caps/>
        </w:rPr>
        <w:t>ESH</w:t>
      </w:r>
      <w:r w:rsidR="00FE27FB" w:rsidRPr="001416ED">
        <w:rPr>
          <w:caps/>
          <w:lang w:val="uk-UA"/>
        </w:rPr>
        <w:t xml:space="preserve">) </w:t>
      </w:r>
      <w:r w:rsidR="00FE27FB" w:rsidRPr="001416ED">
        <w:rPr>
          <w:lang w:val="uk-UA"/>
        </w:rPr>
        <w:t xml:space="preserve">та Європейського товариства кардіологів </w:t>
      </w:r>
      <w:r w:rsidR="00FE27FB" w:rsidRPr="001416ED">
        <w:rPr>
          <w:caps/>
          <w:lang w:val="uk-UA"/>
        </w:rPr>
        <w:t>(</w:t>
      </w:r>
      <w:r w:rsidR="00FE27FB" w:rsidRPr="001416ED">
        <w:rPr>
          <w:caps/>
        </w:rPr>
        <w:t>ESC</w:t>
      </w:r>
      <w:r w:rsidR="00FE27FB" w:rsidRPr="001416ED">
        <w:rPr>
          <w:caps/>
          <w:lang w:val="uk-UA"/>
        </w:rPr>
        <w:t xml:space="preserve">) 2013 </w:t>
      </w:r>
      <w:r w:rsidR="00FE27FB" w:rsidRPr="001416ED">
        <w:rPr>
          <w:lang w:val="uk-UA"/>
        </w:rPr>
        <w:t>року</w:t>
      </w:r>
      <w:r w:rsidR="007430DE" w:rsidRPr="001416ED">
        <w:rPr>
          <w:lang w:val="uk-UA"/>
        </w:rPr>
        <w:t xml:space="preserve"> [</w:t>
      </w:r>
      <w:r w:rsidR="00D06629" w:rsidRPr="001416ED">
        <w:rPr>
          <w:lang w:val="uk-UA"/>
        </w:rPr>
        <w:t>58</w:t>
      </w:r>
      <w:r w:rsidR="007430DE" w:rsidRPr="001416ED">
        <w:rPr>
          <w:lang w:val="uk-UA"/>
        </w:rPr>
        <w:t>,</w:t>
      </w:r>
      <w:r w:rsidR="008A5FBF" w:rsidRPr="001416ED">
        <w:rPr>
          <w:lang w:val="uk-UA"/>
        </w:rPr>
        <w:t xml:space="preserve"> </w:t>
      </w:r>
      <w:r w:rsidR="00D06629" w:rsidRPr="001416ED">
        <w:rPr>
          <w:lang w:val="uk-UA"/>
        </w:rPr>
        <w:t>94</w:t>
      </w:r>
      <w:r w:rsidR="007430DE" w:rsidRPr="001416ED">
        <w:rPr>
          <w:lang w:val="uk-UA"/>
        </w:rPr>
        <w:t>]</w:t>
      </w:r>
      <w:r w:rsidR="00F31083" w:rsidRPr="001416ED">
        <w:rPr>
          <w:lang w:val="uk-UA"/>
        </w:rPr>
        <w:t xml:space="preserve">. </w:t>
      </w:r>
    </w:p>
    <w:p w:rsidR="00F9403A" w:rsidRPr="001416ED" w:rsidRDefault="00F9403A" w:rsidP="00C002D9">
      <w:pPr>
        <w:spacing w:line="360" w:lineRule="auto"/>
        <w:ind w:firstLine="720"/>
        <w:contextualSpacing/>
        <w:jc w:val="both"/>
        <w:rPr>
          <w:lang w:val="uk-UA"/>
        </w:rPr>
      </w:pPr>
      <w:r w:rsidRPr="001416ED">
        <w:rPr>
          <w:lang w:val="uk-UA"/>
        </w:rPr>
        <w:t>Діагноз ХСН, як і ГХ, встановлюва</w:t>
      </w:r>
      <w:r w:rsidR="002F5E01" w:rsidRPr="001416ED">
        <w:rPr>
          <w:lang w:val="uk-UA"/>
        </w:rPr>
        <w:t>ли</w:t>
      </w:r>
      <w:r w:rsidRPr="001416ED">
        <w:rPr>
          <w:lang w:val="uk-UA"/>
        </w:rPr>
        <w:t xml:space="preserve"> на підставі скарг хворих, даних анамнезу</w:t>
      </w:r>
      <w:r w:rsidR="00433457" w:rsidRPr="001416ED">
        <w:rPr>
          <w:lang w:val="uk-UA"/>
        </w:rPr>
        <w:t>,</w:t>
      </w:r>
      <w:r w:rsidRPr="001416ED">
        <w:rPr>
          <w:lang w:val="uk-UA"/>
        </w:rPr>
        <w:t xml:space="preserve"> фізикального</w:t>
      </w:r>
      <w:r w:rsidR="00433457" w:rsidRPr="001416ED">
        <w:rPr>
          <w:lang w:val="uk-UA"/>
        </w:rPr>
        <w:t>,</w:t>
      </w:r>
      <w:r w:rsidRPr="001416ED">
        <w:rPr>
          <w:lang w:val="uk-UA"/>
        </w:rPr>
        <w:t xml:space="preserve"> </w:t>
      </w:r>
      <w:r w:rsidR="00433457" w:rsidRPr="001416ED">
        <w:rPr>
          <w:lang w:val="uk-UA"/>
        </w:rPr>
        <w:t>лабораторних та інструментальних методів дослідження</w:t>
      </w:r>
      <w:r w:rsidRPr="001416ED">
        <w:rPr>
          <w:lang w:val="uk-UA"/>
        </w:rPr>
        <w:t xml:space="preserve">, </w:t>
      </w:r>
      <w:r w:rsidR="001B1943" w:rsidRPr="001416ED">
        <w:rPr>
          <w:lang w:val="uk-UA"/>
        </w:rPr>
        <w:t>у відповідності з Протоколом надання медичної допомоги хворим із хронічною серцевою недостатніст</w:t>
      </w:r>
      <w:r w:rsidR="00933E7C">
        <w:rPr>
          <w:lang w:val="uk-UA"/>
        </w:rPr>
        <w:t>ю</w:t>
      </w:r>
      <w:r w:rsidR="001B1943" w:rsidRPr="001416ED">
        <w:rPr>
          <w:lang w:val="uk-UA"/>
        </w:rPr>
        <w:t>, затвердженим Наказом МОЗ України №436 від 03.03.2006 року та рекомендаці</w:t>
      </w:r>
      <w:r w:rsidR="00433457" w:rsidRPr="001416ED">
        <w:rPr>
          <w:lang w:val="uk-UA"/>
        </w:rPr>
        <w:t>ями</w:t>
      </w:r>
      <w:r w:rsidR="001B1943" w:rsidRPr="001416ED">
        <w:rPr>
          <w:lang w:val="uk-UA"/>
        </w:rPr>
        <w:t xml:space="preserve"> Асоціації кардіологів України Української Асоціації фахівців з серцевої недостатності</w:t>
      </w:r>
      <w:r w:rsidR="00433457" w:rsidRPr="001416ED">
        <w:rPr>
          <w:lang w:val="uk-UA"/>
        </w:rPr>
        <w:t xml:space="preserve"> (2012) та рекомендаціями з діагностики та лікування серцевої недостатності Європейського кардіологічного товариства (2012)</w:t>
      </w:r>
      <w:r w:rsidR="008A5FBF" w:rsidRPr="001416ED">
        <w:rPr>
          <w:lang w:val="uk-UA"/>
        </w:rPr>
        <w:t xml:space="preserve"> [1</w:t>
      </w:r>
      <w:r w:rsidR="00D06629" w:rsidRPr="001416ED">
        <w:rPr>
          <w:lang w:val="uk-UA"/>
        </w:rPr>
        <w:t>6</w:t>
      </w:r>
      <w:r w:rsidR="008A5FBF" w:rsidRPr="001416ED">
        <w:rPr>
          <w:lang w:val="uk-UA"/>
        </w:rPr>
        <w:t xml:space="preserve">, </w:t>
      </w:r>
      <w:r w:rsidR="008A5FBF" w:rsidRPr="001416ED">
        <w:rPr>
          <w:lang w:val="en-US"/>
        </w:rPr>
        <w:t>131</w:t>
      </w:r>
      <w:r w:rsidR="008A5FBF" w:rsidRPr="001416ED">
        <w:rPr>
          <w:lang w:val="uk-UA"/>
        </w:rPr>
        <w:t>]</w:t>
      </w:r>
      <w:r w:rsidR="00433457" w:rsidRPr="001416ED">
        <w:rPr>
          <w:lang w:val="uk-UA"/>
        </w:rPr>
        <w:t>.</w:t>
      </w:r>
      <w:r w:rsidR="00C002D9" w:rsidRPr="001416ED">
        <w:rPr>
          <w:lang w:val="uk-UA"/>
        </w:rPr>
        <w:t xml:space="preserve"> </w:t>
      </w:r>
      <w:r w:rsidRPr="001416ED">
        <w:rPr>
          <w:lang w:val="uk-UA"/>
        </w:rPr>
        <w:t>Стан систолічної функції міокарду ЛШ оцінювал</w:t>
      </w:r>
      <w:r w:rsidR="00A56AA9" w:rsidRPr="001416ED">
        <w:rPr>
          <w:lang w:val="uk-UA"/>
        </w:rPr>
        <w:t>и за показником ФВ</w:t>
      </w:r>
      <w:r w:rsidRPr="001416ED">
        <w:rPr>
          <w:lang w:val="uk-UA"/>
        </w:rPr>
        <w:t xml:space="preserve">. </w:t>
      </w:r>
      <w:r w:rsidRPr="001416ED">
        <w:t xml:space="preserve">Систолічна функція вважалася зниженою у випадках, коли ФВ складала менше </w:t>
      </w:r>
      <w:r w:rsidR="00A56AA9" w:rsidRPr="001416ED">
        <w:rPr>
          <w:lang w:val="uk-UA"/>
        </w:rPr>
        <w:t xml:space="preserve"> </w:t>
      </w:r>
      <w:r w:rsidRPr="001416ED">
        <w:t>45</w:t>
      </w:r>
      <w:r w:rsidR="002F5E01" w:rsidRPr="001416ED">
        <w:rPr>
          <w:lang w:val="uk-UA"/>
        </w:rPr>
        <w:t xml:space="preserve"> </w:t>
      </w:r>
      <w:r w:rsidR="00D4219F" w:rsidRPr="001416ED">
        <w:t>%</w:t>
      </w:r>
      <w:r w:rsidRPr="001416ED">
        <w:t>.</w:t>
      </w:r>
    </w:p>
    <w:p w:rsidR="001B445F" w:rsidRPr="001416ED" w:rsidRDefault="001B445F" w:rsidP="001B445F">
      <w:pPr>
        <w:pStyle w:val="a3"/>
        <w:spacing w:after="0" w:line="360" w:lineRule="auto"/>
        <w:ind w:left="0" w:firstLine="567"/>
        <w:jc w:val="both"/>
        <w:rPr>
          <w:lang w:val="uk-UA"/>
        </w:rPr>
      </w:pPr>
      <w:r w:rsidRPr="001416ED">
        <w:rPr>
          <w:lang w:val="uk-UA"/>
        </w:rPr>
        <w:lastRenderedPageBreak/>
        <w:t xml:space="preserve">Обстежено 112 чоловіків з ГХ, середній вік хворих становив </w:t>
      </w:r>
      <w:r w:rsidR="002F5E01" w:rsidRPr="001416ED">
        <w:rPr>
          <w:lang w:val="uk-UA"/>
        </w:rPr>
        <w:t>(</w:t>
      </w:r>
      <w:r w:rsidRPr="001416ED">
        <w:rPr>
          <w:lang w:val="uk-UA"/>
        </w:rPr>
        <w:t>49,66</w:t>
      </w:r>
      <w:r w:rsidR="007A07A9" w:rsidRPr="001416ED">
        <w:rPr>
          <w:lang w:val="uk-UA"/>
        </w:rPr>
        <w:t xml:space="preserve"> ± </w:t>
      </w:r>
      <w:r w:rsidRPr="001416ED">
        <w:rPr>
          <w:lang w:val="uk-UA"/>
        </w:rPr>
        <w:t>0,40</w:t>
      </w:r>
      <w:r w:rsidR="002F5E01" w:rsidRPr="001416ED">
        <w:rPr>
          <w:lang w:val="uk-UA"/>
        </w:rPr>
        <w:t>)</w:t>
      </w:r>
      <w:r w:rsidRPr="001416ED">
        <w:rPr>
          <w:lang w:val="uk-UA"/>
        </w:rPr>
        <w:t xml:space="preserve"> років та достовірно не відрізнявся від віку чоловіків з групи контролю. З них 62 пацієнта мали ознаки ГХ ІІ ст</w:t>
      </w:r>
      <w:r w:rsidR="00A56AA9" w:rsidRPr="001416ED">
        <w:rPr>
          <w:lang w:val="uk-UA"/>
        </w:rPr>
        <w:t xml:space="preserve">. </w:t>
      </w:r>
      <w:r w:rsidRPr="001416ED">
        <w:rPr>
          <w:lang w:val="uk-UA"/>
        </w:rPr>
        <w:t xml:space="preserve">(середній вік – </w:t>
      </w:r>
      <w:r w:rsidR="002F5E01" w:rsidRPr="001416ED">
        <w:rPr>
          <w:lang w:val="uk-UA"/>
        </w:rPr>
        <w:t>(</w:t>
      </w:r>
      <w:r w:rsidRPr="001416ED">
        <w:rPr>
          <w:lang w:val="uk-UA"/>
        </w:rPr>
        <w:t>49,19</w:t>
      </w:r>
      <w:r w:rsidR="007A07A9" w:rsidRPr="001416ED">
        <w:rPr>
          <w:lang w:val="uk-UA"/>
        </w:rPr>
        <w:t xml:space="preserve"> ± </w:t>
      </w:r>
      <w:r w:rsidRPr="001416ED">
        <w:rPr>
          <w:lang w:val="uk-UA"/>
        </w:rPr>
        <w:t>0,</w:t>
      </w:r>
      <w:r w:rsidR="00304350" w:rsidRPr="001416ED">
        <w:rPr>
          <w:lang w:val="uk-UA"/>
        </w:rPr>
        <w:t>66</w:t>
      </w:r>
      <w:r w:rsidRPr="001416ED">
        <w:rPr>
          <w:lang w:val="uk-UA"/>
        </w:rPr>
        <w:t xml:space="preserve"> років). </w:t>
      </w:r>
      <w:r w:rsidR="00A56AA9" w:rsidRPr="001416ED">
        <w:rPr>
          <w:lang w:val="uk-UA"/>
        </w:rPr>
        <w:t>У 10 хворих</w:t>
      </w:r>
      <w:r w:rsidR="0051695F" w:rsidRPr="001416ED">
        <w:rPr>
          <w:lang w:val="uk-UA"/>
        </w:rPr>
        <w:t xml:space="preserve"> (16,12 %) </w:t>
      </w:r>
      <w:r w:rsidR="00A56AA9" w:rsidRPr="001416ED">
        <w:rPr>
          <w:lang w:val="uk-UA"/>
        </w:rPr>
        <w:t xml:space="preserve"> з ГХ ІІ ст. були присутні ознаки ХСН І ст. </w:t>
      </w:r>
      <w:r w:rsidR="00D73AF9" w:rsidRPr="001416ED">
        <w:rPr>
          <w:lang w:val="uk-UA"/>
        </w:rPr>
        <w:t xml:space="preserve">за класифікацією М. Д. Стражеска – В. Х. Василенка, </w:t>
      </w:r>
      <w:r w:rsidR="00A56AA9" w:rsidRPr="001416ED">
        <w:rPr>
          <w:lang w:val="uk-UA"/>
        </w:rPr>
        <w:t xml:space="preserve">в межах І ФК </w:t>
      </w:r>
      <w:r w:rsidR="00A56AA9" w:rsidRPr="001416ED">
        <w:t xml:space="preserve">за </w:t>
      </w:r>
      <w:r w:rsidR="00A56AA9" w:rsidRPr="001416ED">
        <w:rPr>
          <w:lang w:val="en-US"/>
        </w:rPr>
        <w:t>NYHA</w:t>
      </w:r>
      <w:r w:rsidR="00A56AA9" w:rsidRPr="001416ED">
        <w:rPr>
          <w:lang w:val="uk-UA"/>
        </w:rPr>
        <w:t>, у інших 52</w:t>
      </w:r>
      <w:r w:rsidR="0051695F" w:rsidRPr="001416ED">
        <w:rPr>
          <w:lang w:val="uk-UA"/>
        </w:rPr>
        <w:t xml:space="preserve"> (83,83 %)</w:t>
      </w:r>
      <w:r w:rsidR="00A56AA9" w:rsidRPr="001416ED">
        <w:rPr>
          <w:lang w:val="uk-UA"/>
        </w:rPr>
        <w:t xml:space="preserve"> чоловіків симптоми ХСН не </w:t>
      </w:r>
      <w:r w:rsidR="00131EB6">
        <w:rPr>
          <w:lang w:val="uk-UA"/>
        </w:rPr>
        <w:t>були виявлені</w:t>
      </w:r>
      <w:r w:rsidR="00A56AA9" w:rsidRPr="001416ED">
        <w:rPr>
          <w:lang w:val="uk-UA"/>
        </w:rPr>
        <w:t xml:space="preserve"> взагалі (ХСН 0 ст.). </w:t>
      </w:r>
      <w:r w:rsidRPr="001416ED">
        <w:rPr>
          <w:lang w:val="uk-UA"/>
        </w:rPr>
        <w:t>У 50 хворих з ГХ</w:t>
      </w:r>
      <w:r w:rsidR="00A56AA9" w:rsidRPr="001416ED">
        <w:rPr>
          <w:lang w:val="uk-UA"/>
        </w:rPr>
        <w:t xml:space="preserve"> ІІІ ст.</w:t>
      </w:r>
      <w:r w:rsidRPr="001416ED">
        <w:rPr>
          <w:lang w:val="uk-UA"/>
        </w:rPr>
        <w:t xml:space="preserve"> були клінічні ознаки ХСН </w:t>
      </w:r>
      <w:r w:rsidR="004A4E68" w:rsidRPr="001416ED">
        <w:rPr>
          <w:lang w:val="uk-UA"/>
        </w:rPr>
        <w:t>ІІ А</w:t>
      </w:r>
      <w:r w:rsidRPr="001416ED">
        <w:rPr>
          <w:lang w:val="uk-UA"/>
        </w:rPr>
        <w:t xml:space="preserve"> стадії за класифікацією М.</w:t>
      </w:r>
      <w:r w:rsidR="00A56AA9" w:rsidRPr="001416ED">
        <w:rPr>
          <w:lang w:val="uk-UA"/>
        </w:rPr>
        <w:t xml:space="preserve"> </w:t>
      </w:r>
      <w:r w:rsidRPr="001416ED">
        <w:rPr>
          <w:lang w:val="uk-UA"/>
        </w:rPr>
        <w:t xml:space="preserve">Д. Стражеска </w:t>
      </w:r>
      <w:r w:rsidR="00BC0119" w:rsidRPr="001416ED">
        <w:rPr>
          <w:lang w:val="uk-UA"/>
        </w:rPr>
        <w:t>–</w:t>
      </w:r>
      <w:r w:rsidRPr="001416ED">
        <w:rPr>
          <w:lang w:val="uk-UA"/>
        </w:rPr>
        <w:t xml:space="preserve"> В.</w:t>
      </w:r>
      <w:r w:rsidR="00A56AA9" w:rsidRPr="001416ED">
        <w:rPr>
          <w:lang w:val="uk-UA"/>
        </w:rPr>
        <w:t xml:space="preserve"> </w:t>
      </w:r>
      <w:r w:rsidRPr="001416ED">
        <w:rPr>
          <w:lang w:val="uk-UA"/>
        </w:rPr>
        <w:t>Х. Василенка,</w:t>
      </w:r>
      <w:r w:rsidR="006D4EE3" w:rsidRPr="001416ED">
        <w:rPr>
          <w:lang w:val="uk-UA"/>
        </w:rPr>
        <w:t xml:space="preserve"> які</w:t>
      </w:r>
      <w:r w:rsidRPr="001416ED">
        <w:rPr>
          <w:lang w:val="uk-UA"/>
        </w:rPr>
        <w:t xml:space="preserve"> </w:t>
      </w:r>
      <w:r w:rsidR="006D4EE3" w:rsidRPr="001416ED">
        <w:t>знаход</w:t>
      </w:r>
      <w:r w:rsidR="006D4EE3" w:rsidRPr="001416ED">
        <w:rPr>
          <w:lang w:val="uk-UA"/>
        </w:rPr>
        <w:t>ились</w:t>
      </w:r>
      <w:r w:rsidR="006D4EE3" w:rsidRPr="001416ED">
        <w:t xml:space="preserve"> в межах ІІ–ІІІ </w:t>
      </w:r>
      <w:r w:rsidR="006D4EE3" w:rsidRPr="001416ED">
        <w:rPr>
          <w:lang w:val="uk-UA"/>
        </w:rPr>
        <w:t>ФК</w:t>
      </w:r>
      <w:r w:rsidR="006D4EE3" w:rsidRPr="001416ED">
        <w:t xml:space="preserve"> за </w:t>
      </w:r>
      <w:r w:rsidR="006D4EE3" w:rsidRPr="001416ED">
        <w:rPr>
          <w:lang w:val="en-US"/>
        </w:rPr>
        <w:t>NYHA</w:t>
      </w:r>
      <w:r w:rsidR="006D4EE3" w:rsidRPr="001416ED">
        <w:rPr>
          <w:lang w:val="uk-UA"/>
        </w:rPr>
        <w:t>. С</w:t>
      </w:r>
      <w:r w:rsidRPr="001416ED">
        <w:rPr>
          <w:lang w:val="uk-UA"/>
        </w:rPr>
        <w:t xml:space="preserve">ередній вік </w:t>
      </w:r>
      <w:r w:rsidR="00BE735F" w:rsidRPr="001416ED">
        <w:rPr>
          <w:lang w:val="uk-UA"/>
        </w:rPr>
        <w:t>пацієнтів</w:t>
      </w:r>
      <w:r w:rsidR="006D4EE3" w:rsidRPr="001416ED">
        <w:rPr>
          <w:lang w:val="uk-UA"/>
        </w:rPr>
        <w:t xml:space="preserve"> з ГХ ІІІ ст.</w:t>
      </w:r>
      <w:r w:rsidR="00BE735F" w:rsidRPr="001416ED">
        <w:rPr>
          <w:lang w:val="uk-UA"/>
        </w:rPr>
        <w:t xml:space="preserve"> </w:t>
      </w:r>
      <w:r w:rsidRPr="001416ED">
        <w:rPr>
          <w:lang w:val="uk-UA"/>
        </w:rPr>
        <w:t xml:space="preserve">становив </w:t>
      </w:r>
      <w:r w:rsidR="002F5E01" w:rsidRPr="001416ED">
        <w:rPr>
          <w:lang w:val="uk-UA"/>
        </w:rPr>
        <w:t>(</w:t>
      </w:r>
      <w:r w:rsidR="00304350" w:rsidRPr="001416ED">
        <w:rPr>
          <w:lang w:val="uk-UA"/>
        </w:rPr>
        <w:t>50,14</w:t>
      </w:r>
      <w:r w:rsidR="007A07A9" w:rsidRPr="001416ED">
        <w:rPr>
          <w:lang w:val="uk-UA"/>
        </w:rPr>
        <w:t xml:space="preserve"> ± </w:t>
      </w:r>
      <w:r w:rsidRPr="001416ED">
        <w:rPr>
          <w:lang w:val="uk-UA"/>
        </w:rPr>
        <w:t>0,</w:t>
      </w:r>
      <w:r w:rsidR="00304350" w:rsidRPr="001416ED">
        <w:rPr>
          <w:lang w:val="uk-UA"/>
        </w:rPr>
        <w:t>99</w:t>
      </w:r>
      <w:r w:rsidR="002F5E01" w:rsidRPr="001416ED">
        <w:rPr>
          <w:lang w:val="uk-UA"/>
        </w:rPr>
        <w:t>)</w:t>
      </w:r>
      <w:r w:rsidR="00304350" w:rsidRPr="001416ED">
        <w:rPr>
          <w:lang w:val="uk-UA"/>
        </w:rPr>
        <w:t xml:space="preserve"> </w:t>
      </w:r>
      <w:r w:rsidRPr="001416ED">
        <w:rPr>
          <w:lang w:val="uk-UA"/>
        </w:rPr>
        <w:t xml:space="preserve">років та достовірно не відрізнявся від віку </w:t>
      </w:r>
      <w:r w:rsidR="00BE735F" w:rsidRPr="001416ED">
        <w:rPr>
          <w:lang w:val="uk-UA"/>
        </w:rPr>
        <w:t>чоловіків</w:t>
      </w:r>
      <w:r w:rsidR="000E665D" w:rsidRPr="001416ED">
        <w:rPr>
          <w:lang w:val="uk-UA"/>
        </w:rPr>
        <w:t xml:space="preserve"> із ГХ</w:t>
      </w:r>
      <w:r w:rsidR="006D4EE3" w:rsidRPr="001416ED">
        <w:rPr>
          <w:lang w:val="uk-UA"/>
        </w:rPr>
        <w:t xml:space="preserve"> ІІ ст</w:t>
      </w:r>
      <w:r w:rsidR="000E665D" w:rsidRPr="001416ED">
        <w:rPr>
          <w:lang w:val="uk-UA"/>
        </w:rPr>
        <w:t>.</w:t>
      </w:r>
      <w:r w:rsidR="00944454" w:rsidRPr="001416ED">
        <w:rPr>
          <w:lang w:val="uk-UA"/>
        </w:rPr>
        <w:t xml:space="preserve"> та особами групи контролю.</w:t>
      </w:r>
    </w:p>
    <w:p w:rsidR="00E8670F" w:rsidRPr="001416ED" w:rsidRDefault="00E8670F" w:rsidP="00A0215A">
      <w:pPr>
        <w:widowControl w:val="0"/>
        <w:autoSpaceDE w:val="0"/>
        <w:autoSpaceDN w:val="0"/>
        <w:adjustRightInd w:val="0"/>
        <w:spacing w:line="360" w:lineRule="auto"/>
        <w:ind w:firstLine="708"/>
        <w:jc w:val="both"/>
        <w:rPr>
          <w:lang w:val="uk-UA"/>
        </w:rPr>
      </w:pPr>
      <w:r w:rsidRPr="001416ED">
        <w:rPr>
          <w:lang w:val="uk-UA"/>
        </w:rPr>
        <w:t xml:space="preserve">Тривалість </w:t>
      </w:r>
      <w:r w:rsidR="00A56AA9" w:rsidRPr="001416ED">
        <w:rPr>
          <w:lang w:val="uk-UA"/>
        </w:rPr>
        <w:t>АГ</w:t>
      </w:r>
      <w:r w:rsidRPr="001416ED">
        <w:rPr>
          <w:lang w:val="uk-UA"/>
        </w:rPr>
        <w:t xml:space="preserve"> у хворих на ГХ ІІ ст</w:t>
      </w:r>
      <w:r w:rsidR="00F942B3" w:rsidRPr="001416ED">
        <w:rPr>
          <w:lang w:val="uk-UA"/>
        </w:rPr>
        <w:t xml:space="preserve">. </w:t>
      </w:r>
      <w:r w:rsidRPr="001416ED">
        <w:rPr>
          <w:lang w:val="uk-UA"/>
        </w:rPr>
        <w:t xml:space="preserve">становила </w:t>
      </w:r>
      <w:r w:rsidR="002F5E01" w:rsidRPr="001416ED">
        <w:rPr>
          <w:lang w:val="uk-UA"/>
        </w:rPr>
        <w:t>(</w:t>
      </w:r>
      <w:r w:rsidRPr="001416ED">
        <w:rPr>
          <w:lang w:val="uk-UA"/>
        </w:rPr>
        <w:t>9,02</w:t>
      </w:r>
      <w:r w:rsidR="007A07A9" w:rsidRPr="001416ED">
        <w:rPr>
          <w:lang w:val="uk-UA"/>
        </w:rPr>
        <w:t xml:space="preserve"> ± </w:t>
      </w:r>
      <w:r w:rsidRPr="001416ED">
        <w:rPr>
          <w:lang w:val="uk-UA"/>
        </w:rPr>
        <w:t>0,78</w:t>
      </w:r>
      <w:r w:rsidR="002F5E01" w:rsidRPr="001416ED">
        <w:rPr>
          <w:lang w:val="uk-UA"/>
        </w:rPr>
        <w:t>)</w:t>
      </w:r>
      <w:r w:rsidRPr="001416ED">
        <w:rPr>
          <w:lang w:val="uk-UA"/>
        </w:rPr>
        <w:t xml:space="preserve"> років</w:t>
      </w:r>
      <w:r w:rsidR="002C55C1" w:rsidRPr="001416ED">
        <w:rPr>
          <w:lang w:val="uk-UA"/>
        </w:rPr>
        <w:t>. При аналізі анамнезу життя у чоловіків з ГХ ІІ ст</w:t>
      </w:r>
      <w:r w:rsidR="00F942B3" w:rsidRPr="001416ED">
        <w:rPr>
          <w:lang w:val="uk-UA"/>
        </w:rPr>
        <w:t>.</w:t>
      </w:r>
      <w:r w:rsidR="002C55C1" w:rsidRPr="001416ED">
        <w:rPr>
          <w:lang w:val="uk-UA"/>
        </w:rPr>
        <w:t xml:space="preserve"> встановлено, що</w:t>
      </w:r>
      <w:r w:rsidR="00674504" w:rsidRPr="001416ED">
        <w:rPr>
          <w:lang w:val="uk-UA"/>
        </w:rPr>
        <w:t xml:space="preserve"> </w:t>
      </w:r>
      <w:r w:rsidR="002C55C1" w:rsidRPr="001416ED">
        <w:rPr>
          <w:lang w:val="uk-UA"/>
        </w:rPr>
        <w:t>52 (83,87</w:t>
      </w:r>
      <w:r w:rsidR="002F5E01" w:rsidRPr="001416ED">
        <w:rPr>
          <w:lang w:val="uk-UA"/>
        </w:rPr>
        <w:t xml:space="preserve"> </w:t>
      </w:r>
      <w:r w:rsidR="00D4219F" w:rsidRPr="001416ED">
        <w:rPr>
          <w:lang w:val="uk-UA"/>
        </w:rPr>
        <w:t>%</w:t>
      </w:r>
      <w:r w:rsidR="002C55C1" w:rsidRPr="001416ED">
        <w:rPr>
          <w:lang w:val="uk-UA"/>
        </w:rPr>
        <w:t>) чоловіка мали малорухливий спосіб життя, 13 (20,97</w:t>
      </w:r>
      <w:r w:rsidR="002F5E01" w:rsidRPr="001416ED">
        <w:rPr>
          <w:lang w:val="uk-UA"/>
        </w:rPr>
        <w:t xml:space="preserve"> </w:t>
      </w:r>
      <w:r w:rsidR="00D4219F" w:rsidRPr="001416ED">
        <w:rPr>
          <w:lang w:val="uk-UA"/>
        </w:rPr>
        <w:t>%</w:t>
      </w:r>
      <w:r w:rsidR="002C55C1" w:rsidRPr="001416ED">
        <w:rPr>
          <w:lang w:val="uk-UA"/>
        </w:rPr>
        <w:t xml:space="preserve">) </w:t>
      </w:r>
      <w:r w:rsidR="00BC0119" w:rsidRPr="001416ED">
        <w:rPr>
          <w:lang w:val="uk-UA"/>
        </w:rPr>
        <w:t>–</w:t>
      </w:r>
      <w:r w:rsidR="002C55C1" w:rsidRPr="001416ED">
        <w:rPr>
          <w:lang w:val="uk-UA"/>
        </w:rPr>
        <w:t xml:space="preserve"> палили, 48 (77,42</w:t>
      </w:r>
      <w:r w:rsidR="002F5E01" w:rsidRPr="001416ED">
        <w:rPr>
          <w:lang w:val="uk-UA"/>
        </w:rPr>
        <w:t xml:space="preserve"> </w:t>
      </w:r>
      <w:r w:rsidR="00D4219F" w:rsidRPr="001416ED">
        <w:rPr>
          <w:lang w:val="uk-UA"/>
        </w:rPr>
        <w:t>%</w:t>
      </w:r>
      <w:r w:rsidR="002C55C1" w:rsidRPr="001416ED">
        <w:rPr>
          <w:lang w:val="uk-UA"/>
        </w:rPr>
        <w:t>) вживали надмірну (&gt;</w:t>
      </w:r>
      <w:r w:rsidR="002F5E01" w:rsidRPr="001416ED">
        <w:rPr>
          <w:lang w:val="uk-UA"/>
        </w:rPr>
        <w:t xml:space="preserve"> </w:t>
      </w:r>
      <w:smartTag w:uri="urn:schemas-microsoft-com:office:smarttags" w:element="metricconverter">
        <w:smartTagPr>
          <w:attr w:name="ProductID" w:val="3,5 г"/>
        </w:smartTagPr>
        <w:r w:rsidR="002C55C1" w:rsidRPr="001416ED">
          <w:rPr>
            <w:lang w:val="uk-UA"/>
          </w:rPr>
          <w:t>3,5 г</w:t>
        </w:r>
      </w:smartTag>
      <w:r w:rsidR="002C55C1" w:rsidRPr="001416ED">
        <w:rPr>
          <w:lang w:val="uk-UA"/>
        </w:rPr>
        <w:t xml:space="preserve"> на добу) кількість солі. </w:t>
      </w:r>
      <w:r w:rsidR="002C55C1" w:rsidRPr="001416ED">
        <w:t xml:space="preserve">При вивченні сімейного анамнезу виявлено, що обтяжену спадковість по </w:t>
      </w:r>
      <w:r w:rsidR="002C55C1" w:rsidRPr="001416ED">
        <w:rPr>
          <w:lang w:val="uk-UA"/>
        </w:rPr>
        <w:t>ГХ</w:t>
      </w:r>
      <w:r w:rsidR="002C55C1" w:rsidRPr="001416ED">
        <w:t xml:space="preserve"> мали </w:t>
      </w:r>
      <w:r w:rsidR="002C55C1" w:rsidRPr="001416ED">
        <w:rPr>
          <w:lang w:val="uk-UA"/>
        </w:rPr>
        <w:t>51 чоловік</w:t>
      </w:r>
      <w:r w:rsidR="002C55C1" w:rsidRPr="001416ED">
        <w:t xml:space="preserve"> (</w:t>
      </w:r>
      <w:r w:rsidR="002C55C1" w:rsidRPr="001416ED">
        <w:rPr>
          <w:lang w:val="uk-UA"/>
        </w:rPr>
        <w:t>82,26</w:t>
      </w:r>
      <w:r w:rsidR="002F5E01" w:rsidRPr="001416ED">
        <w:rPr>
          <w:lang w:val="uk-UA"/>
        </w:rPr>
        <w:t xml:space="preserve"> </w:t>
      </w:r>
      <w:r w:rsidR="00D4219F" w:rsidRPr="001416ED">
        <w:t>%</w:t>
      </w:r>
      <w:r w:rsidR="002C55C1" w:rsidRPr="001416ED">
        <w:t>)</w:t>
      </w:r>
      <w:r w:rsidR="00F942B3" w:rsidRPr="001416ED">
        <w:rPr>
          <w:lang w:val="uk-UA"/>
        </w:rPr>
        <w:t xml:space="preserve"> з ГХ ІІ ст.</w:t>
      </w:r>
    </w:p>
    <w:p w:rsidR="00751A94" w:rsidRPr="001416ED" w:rsidRDefault="00006A1D" w:rsidP="00751A94">
      <w:pPr>
        <w:spacing w:line="360" w:lineRule="auto"/>
        <w:ind w:firstLine="708"/>
        <w:jc w:val="both"/>
        <w:rPr>
          <w:lang w:val="uk-UA"/>
        </w:rPr>
      </w:pPr>
      <w:r w:rsidRPr="001416ED">
        <w:rPr>
          <w:lang w:val="uk-UA"/>
        </w:rPr>
        <w:t xml:space="preserve">При вивченні ІМТ </w:t>
      </w:r>
      <w:r w:rsidR="00F942B3" w:rsidRPr="001416ED">
        <w:rPr>
          <w:lang w:val="uk-UA"/>
        </w:rPr>
        <w:t>у чоловіків з ГХ ІІ ст.</w:t>
      </w:r>
      <w:r w:rsidR="00E56A6C" w:rsidRPr="001416ED">
        <w:rPr>
          <w:lang w:val="uk-UA"/>
        </w:rPr>
        <w:t>, встановлен</w:t>
      </w:r>
      <w:r w:rsidR="00DD252A" w:rsidRPr="001416ED">
        <w:rPr>
          <w:lang w:val="uk-UA"/>
        </w:rPr>
        <w:t>о, що нормальн</w:t>
      </w:r>
      <w:r w:rsidR="002F5E01" w:rsidRPr="001416ED">
        <w:rPr>
          <w:lang w:val="uk-UA"/>
        </w:rPr>
        <w:t>у</w:t>
      </w:r>
      <w:r w:rsidR="00DD252A" w:rsidRPr="001416ED">
        <w:rPr>
          <w:lang w:val="uk-UA"/>
        </w:rPr>
        <w:t xml:space="preserve">  ваг</w:t>
      </w:r>
      <w:r w:rsidR="002F5E01" w:rsidRPr="001416ED">
        <w:rPr>
          <w:lang w:val="uk-UA"/>
        </w:rPr>
        <w:t>у</w:t>
      </w:r>
      <w:r w:rsidR="00DD252A" w:rsidRPr="001416ED">
        <w:rPr>
          <w:lang w:val="uk-UA"/>
        </w:rPr>
        <w:t xml:space="preserve"> тіл</w:t>
      </w:r>
      <w:r w:rsidR="002F5E01" w:rsidRPr="001416ED">
        <w:rPr>
          <w:lang w:val="uk-UA"/>
        </w:rPr>
        <w:t>а</w:t>
      </w:r>
      <w:r w:rsidR="00DD252A" w:rsidRPr="001416ED">
        <w:rPr>
          <w:lang w:val="uk-UA"/>
        </w:rPr>
        <w:t xml:space="preserve"> </w:t>
      </w:r>
      <w:r w:rsidR="002F5E01" w:rsidRPr="001416ED">
        <w:rPr>
          <w:lang w:val="uk-UA"/>
        </w:rPr>
        <w:t>визначали</w:t>
      </w:r>
      <w:r w:rsidR="00DD252A" w:rsidRPr="001416ED">
        <w:rPr>
          <w:lang w:val="uk-UA"/>
        </w:rPr>
        <w:t xml:space="preserve"> у 28 (45,16</w:t>
      </w:r>
      <w:r w:rsidR="002F5E01" w:rsidRPr="001416ED">
        <w:rPr>
          <w:lang w:val="uk-UA"/>
        </w:rPr>
        <w:t xml:space="preserve"> </w:t>
      </w:r>
      <w:r w:rsidR="00D4219F" w:rsidRPr="001416ED">
        <w:rPr>
          <w:lang w:val="uk-UA"/>
        </w:rPr>
        <w:t>%</w:t>
      </w:r>
      <w:r w:rsidR="00DD252A" w:rsidRPr="001416ED">
        <w:rPr>
          <w:lang w:val="uk-UA"/>
        </w:rPr>
        <w:t>) пацієнтів, надмірн</w:t>
      </w:r>
      <w:r w:rsidR="002F5E01" w:rsidRPr="001416ED">
        <w:rPr>
          <w:lang w:val="uk-UA"/>
        </w:rPr>
        <w:t>у</w:t>
      </w:r>
      <w:r w:rsidR="00BC0119" w:rsidRPr="001416ED">
        <w:rPr>
          <w:lang w:val="uk-UA"/>
        </w:rPr>
        <w:t>–</w:t>
      </w:r>
      <w:r w:rsidR="00DD252A" w:rsidRPr="001416ED">
        <w:rPr>
          <w:lang w:val="uk-UA"/>
        </w:rPr>
        <w:t xml:space="preserve"> у 21 (33,87</w:t>
      </w:r>
      <w:r w:rsidR="002F5E01" w:rsidRPr="001416ED">
        <w:rPr>
          <w:lang w:val="uk-UA"/>
        </w:rPr>
        <w:t xml:space="preserve"> </w:t>
      </w:r>
      <w:r w:rsidR="00D4219F" w:rsidRPr="001416ED">
        <w:rPr>
          <w:lang w:val="uk-UA"/>
        </w:rPr>
        <w:t>%</w:t>
      </w:r>
      <w:r w:rsidR="00DD252A" w:rsidRPr="001416ED">
        <w:rPr>
          <w:lang w:val="uk-UA"/>
        </w:rPr>
        <w:t>), ожиріння І ступеня – у 13 (20,97</w:t>
      </w:r>
      <w:r w:rsidR="002F5E01" w:rsidRPr="001416ED">
        <w:rPr>
          <w:lang w:val="uk-UA"/>
        </w:rPr>
        <w:t xml:space="preserve"> </w:t>
      </w:r>
      <w:r w:rsidR="00D4219F" w:rsidRPr="001416ED">
        <w:rPr>
          <w:lang w:val="uk-UA"/>
        </w:rPr>
        <w:t>%</w:t>
      </w:r>
      <w:r w:rsidR="00DD252A" w:rsidRPr="001416ED">
        <w:rPr>
          <w:lang w:val="uk-UA"/>
        </w:rPr>
        <w:t>) осіб.</w:t>
      </w:r>
      <w:r w:rsidR="00751A94" w:rsidRPr="001416ED">
        <w:rPr>
          <w:lang w:val="uk-UA"/>
        </w:rPr>
        <w:t xml:space="preserve"> </w:t>
      </w:r>
    </w:p>
    <w:p w:rsidR="00A0215A" w:rsidRPr="001416ED" w:rsidRDefault="00F942B3" w:rsidP="00A460FB">
      <w:pPr>
        <w:spacing w:line="360" w:lineRule="auto"/>
        <w:ind w:firstLine="709"/>
        <w:jc w:val="both"/>
        <w:rPr>
          <w:lang w:val="uk-UA"/>
        </w:rPr>
      </w:pPr>
      <w:r w:rsidRPr="001416ED">
        <w:rPr>
          <w:lang w:val="uk-UA"/>
        </w:rPr>
        <w:t>Офісний АТ</w:t>
      </w:r>
      <w:r w:rsidR="00751A94" w:rsidRPr="001416ED">
        <w:rPr>
          <w:lang w:val="uk-UA"/>
        </w:rPr>
        <w:t xml:space="preserve"> у пацієнтів з ГХ </w:t>
      </w:r>
      <w:r w:rsidRPr="001416ED">
        <w:rPr>
          <w:lang w:val="uk-UA"/>
        </w:rPr>
        <w:t xml:space="preserve">ІІ ст. </w:t>
      </w:r>
      <w:r w:rsidR="00751A94" w:rsidRPr="001416ED">
        <w:rPr>
          <w:lang w:val="uk-UA"/>
        </w:rPr>
        <w:t>дорівнював: САТ</w:t>
      </w:r>
      <w:r w:rsidR="00A460FB" w:rsidRPr="001416ED">
        <w:rPr>
          <w:lang w:val="uk-UA"/>
        </w:rPr>
        <w:t xml:space="preserve"> </w:t>
      </w:r>
      <w:r w:rsidR="00CB4685" w:rsidRPr="001416ED">
        <w:rPr>
          <w:lang w:val="uk-UA"/>
        </w:rPr>
        <w:t>(</w:t>
      </w:r>
      <w:r w:rsidR="00A460FB" w:rsidRPr="001416ED">
        <w:t>165,55</w:t>
      </w:r>
      <w:r w:rsidR="007A07A9" w:rsidRPr="001416ED">
        <w:t xml:space="preserve"> ± </w:t>
      </w:r>
      <w:r w:rsidR="00A460FB" w:rsidRPr="001416ED">
        <w:t>2,19</w:t>
      </w:r>
      <w:r w:rsidR="00CB4685" w:rsidRPr="001416ED">
        <w:rPr>
          <w:lang w:val="uk-UA"/>
        </w:rPr>
        <w:t>)</w:t>
      </w:r>
      <w:r w:rsidR="00A460FB" w:rsidRPr="001416ED">
        <w:t xml:space="preserve"> </w:t>
      </w:r>
      <w:r w:rsidR="00A460FB" w:rsidRPr="001416ED">
        <w:rPr>
          <w:lang w:val="uk-UA"/>
        </w:rPr>
        <w:t>мм рт. ст.</w:t>
      </w:r>
      <w:r w:rsidR="00751A94" w:rsidRPr="001416ED">
        <w:rPr>
          <w:lang w:val="uk-UA"/>
        </w:rPr>
        <w:t xml:space="preserve">, ДАТ – </w:t>
      </w:r>
      <w:r w:rsidR="00CB4685" w:rsidRPr="001416ED">
        <w:rPr>
          <w:lang w:val="uk-UA"/>
        </w:rPr>
        <w:t>(</w:t>
      </w:r>
      <w:r w:rsidR="00A460FB" w:rsidRPr="001416ED">
        <w:t>100,11</w:t>
      </w:r>
      <w:r w:rsidR="007A07A9" w:rsidRPr="001416ED">
        <w:t xml:space="preserve"> ± </w:t>
      </w:r>
      <w:r w:rsidR="00A460FB" w:rsidRPr="001416ED">
        <w:t>1,03</w:t>
      </w:r>
      <w:r w:rsidR="00CB4685" w:rsidRPr="001416ED">
        <w:rPr>
          <w:lang w:val="uk-UA"/>
        </w:rPr>
        <w:t>)</w:t>
      </w:r>
      <w:r w:rsidR="00A460FB" w:rsidRPr="001416ED">
        <w:rPr>
          <w:lang w:val="uk-UA"/>
        </w:rPr>
        <w:t xml:space="preserve"> </w:t>
      </w:r>
      <w:r w:rsidR="00751A94" w:rsidRPr="001416ED">
        <w:rPr>
          <w:lang w:val="uk-UA"/>
        </w:rPr>
        <w:t>мм рт. ст.</w:t>
      </w:r>
      <w:r w:rsidR="00A460FB" w:rsidRPr="001416ED">
        <w:rPr>
          <w:lang w:val="uk-UA"/>
        </w:rPr>
        <w:t xml:space="preserve"> </w:t>
      </w:r>
      <w:r w:rsidR="00A0215A" w:rsidRPr="001416ED">
        <w:rPr>
          <w:lang w:val="uk-UA"/>
        </w:rPr>
        <w:t>Серед хворих з ГХ І</w:t>
      </w:r>
      <w:r w:rsidR="00A460FB" w:rsidRPr="001416ED">
        <w:rPr>
          <w:lang w:val="uk-UA"/>
        </w:rPr>
        <w:t>І стадії 1 ступінь</w:t>
      </w:r>
      <w:r w:rsidR="00A0215A" w:rsidRPr="001416ED">
        <w:rPr>
          <w:lang w:val="uk-UA"/>
        </w:rPr>
        <w:t xml:space="preserve"> АГ мали </w:t>
      </w:r>
      <w:r w:rsidR="00E0515C" w:rsidRPr="001416ED">
        <w:rPr>
          <w:lang w:val="uk-UA"/>
        </w:rPr>
        <w:t>20</w:t>
      </w:r>
      <w:r w:rsidR="00A0215A" w:rsidRPr="001416ED">
        <w:rPr>
          <w:lang w:val="uk-UA"/>
        </w:rPr>
        <w:t xml:space="preserve"> хвор</w:t>
      </w:r>
      <w:r w:rsidR="00E0515C" w:rsidRPr="001416ED">
        <w:rPr>
          <w:lang w:val="uk-UA"/>
        </w:rPr>
        <w:t>их</w:t>
      </w:r>
      <w:r w:rsidR="00A0215A" w:rsidRPr="001416ED">
        <w:rPr>
          <w:lang w:val="uk-UA"/>
        </w:rPr>
        <w:t xml:space="preserve"> (</w:t>
      </w:r>
      <w:r w:rsidR="00E0515C" w:rsidRPr="001416ED">
        <w:rPr>
          <w:lang w:val="uk-UA"/>
        </w:rPr>
        <w:t>32,26</w:t>
      </w:r>
      <w:r w:rsidR="00CB4685" w:rsidRPr="001416ED">
        <w:rPr>
          <w:lang w:val="uk-UA"/>
        </w:rPr>
        <w:t xml:space="preserve"> </w:t>
      </w:r>
      <w:r w:rsidR="00D4219F" w:rsidRPr="001416ED">
        <w:rPr>
          <w:lang w:val="uk-UA"/>
        </w:rPr>
        <w:t>%</w:t>
      </w:r>
      <w:r w:rsidR="00A0215A" w:rsidRPr="001416ED">
        <w:rPr>
          <w:lang w:val="uk-UA"/>
        </w:rPr>
        <w:t xml:space="preserve">), </w:t>
      </w:r>
      <w:r w:rsidR="00E0515C" w:rsidRPr="001416ED">
        <w:rPr>
          <w:lang w:val="uk-UA"/>
        </w:rPr>
        <w:t>2</w:t>
      </w:r>
      <w:r w:rsidR="00A0215A" w:rsidRPr="001416ED">
        <w:rPr>
          <w:lang w:val="uk-UA"/>
        </w:rPr>
        <w:t xml:space="preserve"> ступінь АГ вия</w:t>
      </w:r>
      <w:r w:rsidR="00DD252A" w:rsidRPr="001416ED">
        <w:rPr>
          <w:lang w:val="uk-UA"/>
        </w:rPr>
        <w:t xml:space="preserve">влений у </w:t>
      </w:r>
      <w:r w:rsidR="00E0515C" w:rsidRPr="001416ED">
        <w:rPr>
          <w:lang w:val="uk-UA"/>
        </w:rPr>
        <w:t>23</w:t>
      </w:r>
      <w:r w:rsidR="00DD252A" w:rsidRPr="001416ED">
        <w:rPr>
          <w:lang w:val="uk-UA"/>
        </w:rPr>
        <w:t xml:space="preserve"> (</w:t>
      </w:r>
      <w:r w:rsidR="00E0515C" w:rsidRPr="001416ED">
        <w:rPr>
          <w:lang w:val="uk-UA"/>
        </w:rPr>
        <w:t>37,10</w:t>
      </w:r>
      <w:r w:rsidR="00CB4685" w:rsidRPr="001416ED">
        <w:rPr>
          <w:lang w:val="uk-UA"/>
        </w:rPr>
        <w:t xml:space="preserve"> </w:t>
      </w:r>
      <w:r w:rsidR="00D4219F" w:rsidRPr="001416ED">
        <w:rPr>
          <w:lang w:val="uk-UA"/>
        </w:rPr>
        <w:t>%</w:t>
      </w:r>
      <w:r w:rsidR="00DD252A" w:rsidRPr="001416ED">
        <w:rPr>
          <w:lang w:val="uk-UA"/>
        </w:rPr>
        <w:t>)</w:t>
      </w:r>
      <w:r w:rsidR="00A0215A" w:rsidRPr="001416ED">
        <w:rPr>
          <w:lang w:val="uk-UA"/>
        </w:rPr>
        <w:t xml:space="preserve"> </w:t>
      </w:r>
      <w:r w:rsidR="00E0515C" w:rsidRPr="001416ED">
        <w:rPr>
          <w:lang w:val="uk-UA"/>
        </w:rPr>
        <w:t>чоловіків</w:t>
      </w:r>
      <w:r w:rsidR="00A0215A" w:rsidRPr="001416ED">
        <w:rPr>
          <w:lang w:val="uk-UA"/>
        </w:rPr>
        <w:t xml:space="preserve">, в той час як </w:t>
      </w:r>
      <w:r w:rsidR="00E0515C" w:rsidRPr="001416ED">
        <w:rPr>
          <w:lang w:val="uk-UA"/>
        </w:rPr>
        <w:t xml:space="preserve">3 </w:t>
      </w:r>
      <w:r w:rsidR="00A0215A" w:rsidRPr="001416ED">
        <w:rPr>
          <w:lang w:val="uk-UA"/>
        </w:rPr>
        <w:t xml:space="preserve">ступінь АГ був відзначений у </w:t>
      </w:r>
      <w:r w:rsidR="0037117B" w:rsidRPr="001416ED">
        <w:rPr>
          <w:lang w:val="uk-UA"/>
        </w:rPr>
        <w:t>19</w:t>
      </w:r>
      <w:r w:rsidR="00A0215A" w:rsidRPr="001416ED">
        <w:rPr>
          <w:lang w:val="uk-UA"/>
        </w:rPr>
        <w:t xml:space="preserve"> хворих (</w:t>
      </w:r>
      <w:r w:rsidR="0037117B" w:rsidRPr="001416ED">
        <w:rPr>
          <w:lang w:val="uk-UA"/>
        </w:rPr>
        <w:t>30,65</w:t>
      </w:r>
      <w:r w:rsidR="00CB4685" w:rsidRPr="001416ED">
        <w:rPr>
          <w:lang w:val="uk-UA"/>
        </w:rPr>
        <w:t xml:space="preserve"> </w:t>
      </w:r>
      <w:r w:rsidR="00D4219F" w:rsidRPr="001416ED">
        <w:rPr>
          <w:lang w:val="uk-UA"/>
        </w:rPr>
        <w:t>%</w:t>
      </w:r>
      <w:r w:rsidR="00A0215A" w:rsidRPr="001416ED">
        <w:rPr>
          <w:lang w:val="uk-UA"/>
        </w:rPr>
        <w:t xml:space="preserve">). </w:t>
      </w:r>
    </w:p>
    <w:p w:rsidR="0037117B" w:rsidRPr="001416ED" w:rsidRDefault="0037117B" w:rsidP="0037117B">
      <w:pPr>
        <w:widowControl w:val="0"/>
        <w:autoSpaceDE w:val="0"/>
        <w:autoSpaceDN w:val="0"/>
        <w:adjustRightInd w:val="0"/>
        <w:spacing w:line="360" w:lineRule="auto"/>
        <w:ind w:firstLine="708"/>
        <w:jc w:val="both"/>
        <w:rPr>
          <w:lang w:val="uk-UA"/>
        </w:rPr>
      </w:pPr>
      <w:r w:rsidRPr="001416ED">
        <w:rPr>
          <w:lang w:val="uk-UA"/>
        </w:rPr>
        <w:t xml:space="preserve">Тривалість гіпертонічного </w:t>
      </w:r>
      <w:r w:rsidR="00D73AF9" w:rsidRPr="001416ED">
        <w:rPr>
          <w:lang w:val="uk-UA"/>
        </w:rPr>
        <w:t>анамнезу</w:t>
      </w:r>
      <w:r w:rsidR="00131EB6">
        <w:rPr>
          <w:lang w:val="uk-UA"/>
        </w:rPr>
        <w:t xml:space="preserve"> у</w:t>
      </w:r>
      <w:r w:rsidR="00D73AF9" w:rsidRPr="001416ED">
        <w:rPr>
          <w:lang w:val="uk-UA"/>
        </w:rPr>
        <w:t xml:space="preserve"> пацієнтів на ГХ ІІІ ст. </w:t>
      </w:r>
      <w:r w:rsidR="00BC0119" w:rsidRPr="001416ED">
        <w:rPr>
          <w:lang w:val="uk-UA"/>
        </w:rPr>
        <w:t>–</w:t>
      </w:r>
      <w:r w:rsidRPr="001416ED">
        <w:rPr>
          <w:lang w:val="uk-UA"/>
        </w:rPr>
        <w:t xml:space="preserve"> </w:t>
      </w:r>
      <w:r w:rsidR="00CB4685" w:rsidRPr="001416ED">
        <w:rPr>
          <w:lang w:val="uk-UA"/>
        </w:rPr>
        <w:t>(</w:t>
      </w:r>
      <w:r w:rsidRPr="001416ED">
        <w:rPr>
          <w:lang w:val="uk-UA"/>
        </w:rPr>
        <w:t>13,24</w:t>
      </w:r>
      <w:r w:rsidR="007A07A9" w:rsidRPr="001416ED">
        <w:rPr>
          <w:lang w:val="uk-UA"/>
        </w:rPr>
        <w:t xml:space="preserve"> ± </w:t>
      </w:r>
      <w:r w:rsidRPr="001416ED">
        <w:rPr>
          <w:lang w:val="uk-UA"/>
        </w:rPr>
        <w:t>0,78</w:t>
      </w:r>
      <w:r w:rsidR="00CB4685" w:rsidRPr="001416ED">
        <w:rPr>
          <w:lang w:val="uk-UA"/>
        </w:rPr>
        <w:t>)</w:t>
      </w:r>
      <w:r w:rsidRPr="001416ED">
        <w:rPr>
          <w:lang w:val="uk-UA"/>
        </w:rPr>
        <w:t xml:space="preserve"> років. З анамнезу життя чоловіків з ГХ ІІІ ст</w:t>
      </w:r>
      <w:r w:rsidR="00F942B3" w:rsidRPr="001416ED">
        <w:rPr>
          <w:lang w:val="uk-UA"/>
        </w:rPr>
        <w:t>.</w:t>
      </w:r>
      <w:r w:rsidRPr="001416ED">
        <w:rPr>
          <w:lang w:val="uk-UA"/>
        </w:rPr>
        <w:t xml:space="preserve"> з’ясовано</w:t>
      </w:r>
      <w:r w:rsidR="00F942B3" w:rsidRPr="001416ED">
        <w:rPr>
          <w:lang w:val="uk-UA"/>
        </w:rPr>
        <w:t xml:space="preserve">, </w:t>
      </w:r>
      <w:r w:rsidRPr="001416ED">
        <w:rPr>
          <w:lang w:val="uk-UA"/>
        </w:rPr>
        <w:t xml:space="preserve">що </w:t>
      </w:r>
      <w:r w:rsidR="00633E14" w:rsidRPr="001416ED">
        <w:rPr>
          <w:lang w:val="uk-UA"/>
        </w:rPr>
        <w:t>45</w:t>
      </w:r>
      <w:r w:rsidRPr="001416ED">
        <w:rPr>
          <w:lang w:val="uk-UA"/>
        </w:rPr>
        <w:t xml:space="preserve"> (</w:t>
      </w:r>
      <w:r w:rsidR="00633E14" w:rsidRPr="001416ED">
        <w:rPr>
          <w:lang w:val="uk-UA"/>
        </w:rPr>
        <w:t>90</w:t>
      </w:r>
      <w:r w:rsidR="00CB4685" w:rsidRPr="001416ED">
        <w:rPr>
          <w:lang w:val="uk-UA"/>
        </w:rPr>
        <w:t xml:space="preserve"> </w:t>
      </w:r>
      <w:r w:rsidR="00D4219F" w:rsidRPr="001416ED">
        <w:rPr>
          <w:lang w:val="uk-UA"/>
        </w:rPr>
        <w:t>%</w:t>
      </w:r>
      <w:r w:rsidRPr="001416ED">
        <w:rPr>
          <w:lang w:val="uk-UA"/>
        </w:rPr>
        <w:t>) чоловік</w:t>
      </w:r>
      <w:r w:rsidR="00633E14" w:rsidRPr="001416ED">
        <w:rPr>
          <w:lang w:val="uk-UA"/>
        </w:rPr>
        <w:t>ів</w:t>
      </w:r>
      <w:r w:rsidRPr="001416ED">
        <w:rPr>
          <w:lang w:val="uk-UA"/>
        </w:rPr>
        <w:t xml:space="preserve"> мали малорухливий спосіб життя, </w:t>
      </w:r>
      <w:r w:rsidR="00633E14" w:rsidRPr="001416ED">
        <w:rPr>
          <w:lang w:val="uk-UA"/>
        </w:rPr>
        <w:t>26</w:t>
      </w:r>
      <w:r w:rsidRPr="001416ED">
        <w:rPr>
          <w:lang w:val="uk-UA"/>
        </w:rPr>
        <w:t xml:space="preserve"> (</w:t>
      </w:r>
      <w:r w:rsidR="00633E14" w:rsidRPr="001416ED">
        <w:rPr>
          <w:lang w:val="uk-UA"/>
        </w:rPr>
        <w:t>52</w:t>
      </w:r>
      <w:r w:rsidR="00CB4685" w:rsidRPr="001416ED">
        <w:rPr>
          <w:lang w:val="uk-UA"/>
        </w:rPr>
        <w:t xml:space="preserve"> </w:t>
      </w:r>
      <w:r w:rsidR="00D4219F" w:rsidRPr="001416ED">
        <w:rPr>
          <w:lang w:val="uk-UA"/>
        </w:rPr>
        <w:t>%</w:t>
      </w:r>
      <w:r w:rsidRPr="001416ED">
        <w:rPr>
          <w:lang w:val="uk-UA"/>
        </w:rPr>
        <w:t xml:space="preserve">) </w:t>
      </w:r>
      <w:r w:rsidR="00BC0119" w:rsidRPr="001416ED">
        <w:rPr>
          <w:lang w:val="uk-UA"/>
        </w:rPr>
        <w:t>–</w:t>
      </w:r>
      <w:r w:rsidRPr="001416ED">
        <w:rPr>
          <w:lang w:val="uk-UA"/>
        </w:rPr>
        <w:t xml:space="preserve"> палили, 4</w:t>
      </w:r>
      <w:r w:rsidR="00633E14" w:rsidRPr="001416ED">
        <w:rPr>
          <w:lang w:val="uk-UA"/>
        </w:rPr>
        <w:t>6</w:t>
      </w:r>
      <w:r w:rsidRPr="001416ED">
        <w:rPr>
          <w:lang w:val="uk-UA"/>
        </w:rPr>
        <w:t xml:space="preserve"> (</w:t>
      </w:r>
      <w:r w:rsidR="00633E14" w:rsidRPr="001416ED">
        <w:rPr>
          <w:lang w:val="uk-UA"/>
        </w:rPr>
        <w:t>92</w:t>
      </w:r>
      <w:r w:rsidR="00CB4685" w:rsidRPr="001416ED">
        <w:rPr>
          <w:lang w:val="uk-UA"/>
        </w:rPr>
        <w:t xml:space="preserve"> </w:t>
      </w:r>
      <w:r w:rsidR="00D4219F" w:rsidRPr="001416ED">
        <w:rPr>
          <w:lang w:val="uk-UA"/>
        </w:rPr>
        <w:t>%</w:t>
      </w:r>
      <w:r w:rsidRPr="001416ED">
        <w:rPr>
          <w:lang w:val="uk-UA"/>
        </w:rPr>
        <w:t>) вживали надмірну (&gt;</w:t>
      </w:r>
      <w:r w:rsidR="00CB4685" w:rsidRPr="001416ED">
        <w:rPr>
          <w:lang w:val="uk-UA"/>
        </w:rPr>
        <w:t xml:space="preserve"> </w:t>
      </w:r>
      <w:smartTag w:uri="urn:schemas-microsoft-com:office:smarttags" w:element="metricconverter">
        <w:smartTagPr>
          <w:attr w:name="ProductID" w:val="3,5 г"/>
        </w:smartTagPr>
        <w:r w:rsidRPr="001416ED">
          <w:rPr>
            <w:lang w:val="uk-UA"/>
          </w:rPr>
          <w:t>3,5 г</w:t>
        </w:r>
      </w:smartTag>
      <w:r w:rsidRPr="001416ED">
        <w:rPr>
          <w:lang w:val="uk-UA"/>
        </w:rPr>
        <w:t xml:space="preserve"> на добу) кількість солі. При вивченні сімейного анамнезу виявлено, що обтяжену спадковість по ГХ мали </w:t>
      </w:r>
      <w:r w:rsidR="00A25BF8" w:rsidRPr="001416ED">
        <w:rPr>
          <w:lang w:val="uk-UA"/>
        </w:rPr>
        <w:t xml:space="preserve">усі </w:t>
      </w:r>
      <w:r w:rsidRPr="001416ED">
        <w:rPr>
          <w:lang w:val="uk-UA"/>
        </w:rPr>
        <w:t>чоловік</w:t>
      </w:r>
      <w:r w:rsidR="009B0FC9" w:rsidRPr="001416ED">
        <w:rPr>
          <w:lang w:val="uk-UA"/>
        </w:rPr>
        <w:t xml:space="preserve">и з </w:t>
      </w:r>
      <w:r w:rsidR="00F942B3" w:rsidRPr="001416ED">
        <w:rPr>
          <w:lang w:val="uk-UA"/>
        </w:rPr>
        <w:t>ГХ ІІІ ст.</w:t>
      </w:r>
      <w:r w:rsidRPr="001416ED">
        <w:rPr>
          <w:lang w:val="uk-UA"/>
        </w:rPr>
        <w:t xml:space="preserve"> (</w:t>
      </w:r>
      <w:r w:rsidR="00A25BF8" w:rsidRPr="001416ED">
        <w:rPr>
          <w:lang w:val="uk-UA"/>
        </w:rPr>
        <w:t>100</w:t>
      </w:r>
      <w:r w:rsidR="00CB4685" w:rsidRPr="001416ED">
        <w:rPr>
          <w:lang w:val="uk-UA"/>
        </w:rPr>
        <w:t xml:space="preserve"> </w:t>
      </w:r>
      <w:r w:rsidR="00D4219F" w:rsidRPr="001416ED">
        <w:rPr>
          <w:lang w:val="uk-UA"/>
        </w:rPr>
        <w:t>%</w:t>
      </w:r>
      <w:r w:rsidRPr="001416ED">
        <w:rPr>
          <w:lang w:val="uk-UA"/>
        </w:rPr>
        <w:t>).</w:t>
      </w:r>
    </w:p>
    <w:p w:rsidR="0037117B" w:rsidRPr="001416ED" w:rsidRDefault="002D3268" w:rsidP="009E001B">
      <w:pPr>
        <w:pStyle w:val="a3"/>
        <w:spacing w:after="0" w:line="360" w:lineRule="auto"/>
        <w:ind w:left="0" w:firstLine="708"/>
        <w:jc w:val="both"/>
        <w:rPr>
          <w:lang w:val="uk-UA"/>
        </w:rPr>
      </w:pPr>
      <w:r w:rsidRPr="001416ED">
        <w:rPr>
          <w:lang w:val="uk-UA"/>
        </w:rPr>
        <w:lastRenderedPageBreak/>
        <w:t>Об’єктивно серед чоловіків з ГХ ІІІ ст</w:t>
      </w:r>
      <w:r w:rsidR="00131EB6">
        <w:rPr>
          <w:lang w:val="uk-UA"/>
        </w:rPr>
        <w:t>.</w:t>
      </w:r>
      <w:r w:rsidRPr="001416ED">
        <w:rPr>
          <w:lang w:val="uk-UA"/>
        </w:rPr>
        <w:t xml:space="preserve"> нормальну вагу тіла мали</w:t>
      </w:r>
      <w:r w:rsidR="00662590" w:rsidRPr="001416ED">
        <w:rPr>
          <w:lang w:val="uk-UA"/>
        </w:rPr>
        <w:t xml:space="preserve"> 4</w:t>
      </w:r>
      <w:r w:rsidRPr="001416ED">
        <w:rPr>
          <w:lang w:val="uk-UA"/>
        </w:rPr>
        <w:t xml:space="preserve"> </w:t>
      </w:r>
      <w:r w:rsidR="00662590" w:rsidRPr="001416ED">
        <w:rPr>
          <w:lang w:val="uk-UA"/>
        </w:rPr>
        <w:t>(8</w:t>
      </w:r>
      <w:r w:rsidR="00CB4685" w:rsidRPr="001416ED">
        <w:rPr>
          <w:lang w:val="uk-UA"/>
        </w:rPr>
        <w:t xml:space="preserve"> </w:t>
      </w:r>
      <w:r w:rsidR="00D4219F" w:rsidRPr="001416ED">
        <w:rPr>
          <w:lang w:val="uk-UA"/>
        </w:rPr>
        <w:t>%</w:t>
      </w:r>
      <w:r w:rsidR="00662590" w:rsidRPr="001416ED">
        <w:rPr>
          <w:lang w:val="uk-UA"/>
        </w:rPr>
        <w:t xml:space="preserve">) особи, надмірну </w:t>
      </w:r>
      <w:r w:rsidR="00131EB6">
        <w:rPr>
          <w:lang w:val="uk-UA"/>
        </w:rPr>
        <w:t>масу</w:t>
      </w:r>
      <w:r w:rsidR="00662590" w:rsidRPr="001416ED">
        <w:rPr>
          <w:lang w:val="uk-UA"/>
        </w:rPr>
        <w:t xml:space="preserve"> – 21 (42</w:t>
      </w:r>
      <w:r w:rsidR="00CB4685" w:rsidRPr="001416ED">
        <w:rPr>
          <w:lang w:val="uk-UA"/>
        </w:rPr>
        <w:t xml:space="preserve"> </w:t>
      </w:r>
      <w:r w:rsidR="00D4219F" w:rsidRPr="001416ED">
        <w:rPr>
          <w:lang w:val="uk-UA"/>
        </w:rPr>
        <w:t>%</w:t>
      </w:r>
      <w:r w:rsidR="00662590" w:rsidRPr="001416ED">
        <w:rPr>
          <w:lang w:val="uk-UA"/>
        </w:rPr>
        <w:t>) чоловік, ожиріння І ступеня 2</w:t>
      </w:r>
      <w:r w:rsidR="00CB79C2" w:rsidRPr="001416ED">
        <w:rPr>
          <w:lang w:val="uk-UA"/>
        </w:rPr>
        <w:t>5 (50</w:t>
      </w:r>
      <w:r w:rsidR="00CB4685" w:rsidRPr="001416ED">
        <w:rPr>
          <w:lang w:val="uk-UA"/>
        </w:rPr>
        <w:t xml:space="preserve"> </w:t>
      </w:r>
      <w:r w:rsidR="00D4219F" w:rsidRPr="001416ED">
        <w:rPr>
          <w:lang w:val="uk-UA"/>
        </w:rPr>
        <w:t>%</w:t>
      </w:r>
      <w:r w:rsidR="00CB79C2" w:rsidRPr="001416ED">
        <w:rPr>
          <w:lang w:val="uk-UA"/>
        </w:rPr>
        <w:t>)</w:t>
      </w:r>
      <w:r w:rsidR="00662590" w:rsidRPr="001416ED">
        <w:rPr>
          <w:lang w:val="uk-UA"/>
        </w:rPr>
        <w:t xml:space="preserve"> пацієнт</w:t>
      </w:r>
      <w:r w:rsidR="00F942B3" w:rsidRPr="001416ED">
        <w:rPr>
          <w:lang w:val="uk-UA"/>
        </w:rPr>
        <w:t>ів</w:t>
      </w:r>
      <w:r w:rsidR="00662590" w:rsidRPr="001416ED">
        <w:rPr>
          <w:lang w:val="uk-UA"/>
        </w:rPr>
        <w:t xml:space="preserve"> чоловічої статі</w:t>
      </w:r>
      <w:r w:rsidR="009E001B" w:rsidRPr="001416ED">
        <w:rPr>
          <w:lang w:val="uk-UA"/>
        </w:rPr>
        <w:t>.</w:t>
      </w:r>
    </w:p>
    <w:p w:rsidR="009E001B" w:rsidRPr="001416ED" w:rsidRDefault="009E001B" w:rsidP="009E001B">
      <w:pPr>
        <w:spacing w:line="360" w:lineRule="auto"/>
        <w:ind w:firstLine="709"/>
        <w:jc w:val="both"/>
        <w:rPr>
          <w:lang w:val="uk-UA"/>
        </w:rPr>
      </w:pPr>
      <w:r w:rsidRPr="001416ED">
        <w:rPr>
          <w:lang w:val="uk-UA"/>
        </w:rPr>
        <w:t xml:space="preserve">Рівень </w:t>
      </w:r>
      <w:r w:rsidR="00CB79C2" w:rsidRPr="001416ED">
        <w:rPr>
          <w:lang w:val="uk-UA"/>
        </w:rPr>
        <w:t xml:space="preserve">офісного </w:t>
      </w:r>
      <w:r w:rsidRPr="001416ED">
        <w:rPr>
          <w:lang w:val="uk-UA"/>
        </w:rPr>
        <w:t>САТ у чолові</w:t>
      </w:r>
      <w:r w:rsidR="009B0FC9" w:rsidRPr="001416ED">
        <w:rPr>
          <w:lang w:val="uk-UA"/>
        </w:rPr>
        <w:t>ків з ГХ</w:t>
      </w:r>
      <w:r w:rsidR="00F942B3" w:rsidRPr="001416ED">
        <w:rPr>
          <w:lang w:val="uk-UA"/>
        </w:rPr>
        <w:t xml:space="preserve"> І</w:t>
      </w:r>
      <w:r w:rsidR="004A4E68" w:rsidRPr="001416ED">
        <w:rPr>
          <w:lang w:val="uk-UA"/>
        </w:rPr>
        <w:t xml:space="preserve">ІІ </w:t>
      </w:r>
      <w:r w:rsidRPr="001416ED">
        <w:rPr>
          <w:lang w:val="uk-UA"/>
        </w:rPr>
        <w:t>ст</w:t>
      </w:r>
      <w:r w:rsidR="00F942B3" w:rsidRPr="001416ED">
        <w:rPr>
          <w:lang w:val="uk-UA"/>
        </w:rPr>
        <w:t>.</w:t>
      </w:r>
      <w:r w:rsidRPr="001416ED">
        <w:rPr>
          <w:lang w:val="uk-UA"/>
        </w:rPr>
        <w:t xml:space="preserve"> становив </w:t>
      </w:r>
      <w:r w:rsidR="00CB4685" w:rsidRPr="001416ED">
        <w:rPr>
          <w:lang w:val="uk-UA"/>
        </w:rPr>
        <w:t>(</w:t>
      </w:r>
      <w:r w:rsidRPr="001416ED">
        <w:rPr>
          <w:lang w:val="uk-UA"/>
        </w:rPr>
        <w:t>173,82</w:t>
      </w:r>
      <w:r w:rsidR="007A07A9" w:rsidRPr="001416ED">
        <w:rPr>
          <w:lang w:val="uk-UA"/>
        </w:rPr>
        <w:t xml:space="preserve"> ± </w:t>
      </w:r>
      <w:r w:rsidRPr="001416ED">
        <w:rPr>
          <w:lang w:val="uk-UA"/>
        </w:rPr>
        <w:t>2,08</w:t>
      </w:r>
      <w:r w:rsidR="00CB4685" w:rsidRPr="001416ED">
        <w:rPr>
          <w:lang w:val="uk-UA"/>
        </w:rPr>
        <w:t>)</w:t>
      </w:r>
      <w:r w:rsidRPr="001416ED">
        <w:rPr>
          <w:lang w:val="uk-UA"/>
        </w:rPr>
        <w:t xml:space="preserve"> мм рт.ст., ДАТ </w:t>
      </w:r>
      <w:r w:rsidR="00BC0119" w:rsidRPr="001416ED">
        <w:rPr>
          <w:lang w:val="uk-UA"/>
        </w:rPr>
        <w:t>–</w:t>
      </w:r>
      <w:r w:rsidRPr="001416ED">
        <w:rPr>
          <w:lang w:val="uk-UA"/>
        </w:rPr>
        <w:t xml:space="preserve"> </w:t>
      </w:r>
      <w:r w:rsidR="00CB4685" w:rsidRPr="001416ED">
        <w:rPr>
          <w:lang w:val="uk-UA"/>
        </w:rPr>
        <w:t>(</w:t>
      </w:r>
      <w:r w:rsidRPr="001416ED">
        <w:rPr>
          <w:lang w:val="uk-UA"/>
        </w:rPr>
        <w:t>105,60</w:t>
      </w:r>
      <w:r w:rsidR="007A07A9" w:rsidRPr="001416ED">
        <w:rPr>
          <w:lang w:val="uk-UA"/>
        </w:rPr>
        <w:t xml:space="preserve"> ± </w:t>
      </w:r>
      <w:r w:rsidRPr="001416ED">
        <w:rPr>
          <w:lang w:val="uk-UA"/>
        </w:rPr>
        <w:t>1,41</w:t>
      </w:r>
      <w:r w:rsidR="00CB4685" w:rsidRPr="001416ED">
        <w:rPr>
          <w:lang w:val="uk-UA"/>
        </w:rPr>
        <w:t>)</w:t>
      </w:r>
      <w:r w:rsidRPr="001416ED">
        <w:rPr>
          <w:lang w:val="uk-UA"/>
        </w:rPr>
        <w:t xml:space="preserve"> мм рт.ст. М'яка АГ мала місце у </w:t>
      </w:r>
      <w:r w:rsidR="005F05F5" w:rsidRPr="001416ED">
        <w:rPr>
          <w:lang w:val="uk-UA"/>
        </w:rPr>
        <w:t>6 (</w:t>
      </w:r>
      <w:r w:rsidRPr="001416ED">
        <w:rPr>
          <w:lang w:val="uk-UA"/>
        </w:rPr>
        <w:t>12</w:t>
      </w:r>
      <w:r w:rsidR="00CB4685" w:rsidRPr="001416ED">
        <w:rPr>
          <w:lang w:val="uk-UA"/>
        </w:rPr>
        <w:t xml:space="preserve"> </w:t>
      </w:r>
      <w:r w:rsidR="00D4219F" w:rsidRPr="001416ED">
        <w:rPr>
          <w:lang w:val="uk-UA"/>
        </w:rPr>
        <w:t>%</w:t>
      </w:r>
      <w:r w:rsidR="005F05F5" w:rsidRPr="001416ED">
        <w:rPr>
          <w:lang w:val="uk-UA"/>
        </w:rPr>
        <w:t xml:space="preserve">) </w:t>
      </w:r>
      <w:r w:rsidRPr="001416ED">
        <w:rPr>
          <w:lang w:val="uk-UA"/>
        </w:rPr>
        <w:t xml:space="preserve">чоловіків, помірна АГ – у </w:t>
      </w:r>
      <w:r w:rsidR="005F05F5" w:rsidRPr="001416ED">
        <w:rPr>
          <w:lang w:val="uk-UA"/>
        </w:rPr>
        <w:t>22 (</w:t>
      </w:r>
      <w:r w:rsidRPr="001416ED">
        <w:rPr>
          <w:lang w:val="uk-UA"/>
        </w:rPr>
        <w:t>44</w:t>
      </w:r>
      <w:r w:rsidR="00CB4685" w:rsidRPr="001416ED">
        <w:rPr>
          <w:lang w:val="uk-UA"/>
        </w:rPr>
        <w:t xml:space="preserve"> </w:t>
      </w:r>
      <w:r w:rsidR="00D4219F" w:rsidRPr="001416ED">
        <w:rPr>
          <w:lang w:val="uk-UA"/>
        </w:rPr>
        <w:t>%</w:t>
      </w:r>
      <w:r w:rsidR="005F05F5" w:rsidRPr="001416ED">
        <w:rPr>
          <w:lang w:val="uk-UA"/>
        </w:rPr>
        <w:t>)</w:t>
      </w:r>
      <w:r w:rsidRPr="001416ED">
        <w:rPr>
          <w:lang w:val="uk-UA"/>
        </w:rPr>
        <w:t xml:space="preserve"> хворих, тяжка АГ – у </w:t>
      </w:r>
      <w:r w:rsidR="005F05F5" w:rsidRPr="001416ED">
        <w:rPr>
          <w:lang w:val="uk-UA"/>
        </w:rPr>
        <w:t>22 (</w:t>
      </w:r>
      <w:r w:rsidRPr="001416ED">
        <w:rPr>
          <w:lang w:val="uk-UA"/>
        </w:rPr>
        <w:t>44</w:t>
      </w:r>
      <w:r w:rsidR="00CB4685" w:rsidRPr="001416ED">
        <w:rPr>
          <w:lang w:val="uk-UA"/>
        </w:rPr>
        <w:t xml:space="preserve"> </w:t>
      </w:r>
      <w:r w:rsidR="00D4219F" w:rsidRPr="001416ED">
        <w:rPr>
          <w:lang w:val="uk-UA"/>
        </w:rPr>
        <w:t>%</w:t>
      </w:r>
      <w:r w:rsidR="005F05F5" w:rsidRPr="001416ED">
        <w:rPr>
          <w:lang w:val="uk-UA"/>
        </w:rPr>
        <w:t>)</w:t>
      </w:r>
      <w:r w:rsidRPr="001416ED">
        <w:rPr>
          <w:lang w:val="uk-UA"/>
        </w:rPr>
        <w:t xml:space="preserve"> пацієнтів. </w:t>
      </w:r>
    </w:p>
    <w:p w:rsidR="009E001B" w:rsidRPr="001416ED" w:rsidRDefault="0039330C" w:rsidP="009E001B">
      <w:pPr>
        <w:widowControl w:val="0"/>
        <w:autoSpaceDE w:val="0"/>
        <w:autoSpaceDN w:val="0"/>
        <w:adjustRightInd w:val="0"/>
        <w:spacing w:line="360" w:lineRule="auto"/>
        <w:ind w:firstLine="720"/>
        <w:jc w:val="both"/>
        <w:rPr>
          <w:lang w:val="uk-UA"/>
        </w:rPr>
      </w:pPr>
      <w:r w:rsidRPr="001416ED">
        <w:rPr>
          <w:lang w:val="uk-UA"/>
        </w:rPr>
        <w:t xml:space="preserve">Доведено, що ожиріння та </w:t>
      </w:r>
      <w:r w:rsidR="005D3EF7" w:rsidRPr="001416ED">
        <w:rPr>
          <w:lang w:val="uk-UA"/>
        </w:rPr>
        <w:t xml:space="preserve">високий рівень АТ є факторами ризику розвитку ССЗ, та ГХ зокрема, тому було вирішено проаналізувати </w:t>
      </w:r>
      <w:r w:rsidR="00ED5DA8" w:rsidRPr="001416ED">
        <w:rPr>
          <w:lang w:val="uk-UA"/>
        </w:rPr>
        <w:t>рівні АТ (табл. 2.1</w:t>
      </w:r>
      <w:r w:rsidR="005D3EF7" w:rsidRPr="001416ED">
        <w:rPr>
          <w:lang w:val="uk-UA"/>
        </w:rPr>
        <w:t xml:space="preserve">) та </w:t>
      </w:r>
      <w:r w:rsidR="00ED5DA8" w:rsidRPr="001416ED">
        <w:rPr>
          <w:lang w:val="uk-UA"/>
        </w:rPr>
        <w:t xml:space="preserve">ІМТ </w:t>
      </w:r>
      <w:r w:rsidR="005D3EF7" w:rsidRPr="001416ED">
        <w:rPr>
          <w:lang w:val="uk-UA"/>
        </w:rPr>
        <w:t>(табл. 2.2) у осіб контрольної групи т</w:t>
      </w:r>
      <w:r w:rsidR="00ED5DA8" w:rsidRPr="001416ED">
        <w:rPr>
          <w:lang w:val="uk-UA"/>
        </w:rPr>
        <w:t>а у пацієнтів з ГХ (табл. 2.2).</w:t>
      </w:r>
    </w:p>
    <w:p w:rsidR="00ED5DA8" w:rsidRPr="001416ED" w:rsidRDefault="00ED5DA8" w:rsidP="00ED5DA8">
      <w:pPr>
        <w:widowControl w:val="0"/>
        <w:autoSpaceDE w:val="0"/>
        <w:autoSpaceDN w:val="0"/>
        <w:adjustRightInd w:val="0"/>
        <w:spacing w:line="360" w:lineRule="auto"/>
        <w:ind w:firstLine="720"/>
        <w:jc w:val="right"/>
        <w:rPr>
          <w:b/>
          <w:lang w:val="uk-UA"/>
        </w:rPr>
      </w:pPr>
      <w:r w:rsidRPr="001416ED">
        <w:rPr>
          <w:b/>
          <w:lang w:val="uk-UA"/>
        </w:rPr>
        <w:t>Таблиця 2.1</w:t>
      </w:r>
    </w:p>
    <w:p w:rsidR="00ED5DA8" w:rsidRPr="001416ED" w:rsidRDefault="00ED5DA8" w:rsidP="00ED5DA8">
      <w:pPr>
        <w:spacing w:after="240" w:line="360" w:lineRule="auto"/>
        <w:jc w:val="center"/>
        <w:rPr>
          <w:b/>
          <w:lang w:val="uk-UA"/>
        </w:rPr>
      </w:pPr>
      <w:r w:rsidRPr="001416ED">
        <w:rPr>
          <w:b/>
          <w:lang w:val="uk-UA"/>
        </w:rPr>
        <w:t>Показники системної гемодинаміки у обстежених осіб</w:t>
      </w:r>
      <w:r w:rsidRPr="001416ED">
        <w:rPr>
          <w:b/>
        </w:rPr>
        <w:t xml:space="preserve"> (</w:t>
      </w:r>
      <w:r w:rsidRPr="001416ED">
        <w:rPr>
          <w:b/>
          <w:lang w:val="uk-UA"/>
        </w:rPr>
        <w:t>М</w:t>
      </w:r>
      <w:r w:rsidR="007A07A9" w:rsidRPr="001416ED">
        <w:rPr>
          <w:b/>
          <w:lang w:val="uk-UA"/>
        </w:rPr>
        <w:t xml:space="preserve"> ± </w:t>
      </w:r>
      <w:r w:rsidRPr="001416ED">
        <w:rPr>
          <w:b/>
          <w:lang w:val="en-US"/>
        </w:rPr>
        <w:t>m</w:t>
      </w:r>
      <w:r w:rsidR="00A66A09" w:rsidRPr="001416ED">
        <w:rPr>
          <w:b/>
          <w:lang w:val="uk-UA"/>
        </w:rPr>
        <w:t>)</w:t>
      </w:r>
      <w:r w:rsidRPr="001416ED">
        <w:t xml:space="preserve"> </w:t>
      </w:r>
      <w:r w:rsidR="007A61A2" w:rsidRPr="001416ED">
        <w:rPr>
          <w:b/>
          <w:lang w:val="uk-UA"/>
        </w:rPr>
        <w:t>(мм рт.ст.)</w:t>
      </w:r>
    </w:p>
    <w:tbl>
      <w:tblPr>
        <w:tblStyle w:val="af5"/>
        <w:tblW w:w="10173" w:type="dxa"/>
        <w:tblLook w:val="04A0" w:firstRow="1" w:lastRow="0" w:firstColumn="1" w:lastColumn="0" w:noHBand="0" w:noVBand="1"/>
      </w:tblPr>
      <w:tblGrid>
        <w:gridCol w:w="3510"/>
        <w:gridCol w:w="3402"/>
        <w:gridCol w:w="3261"/>
      </w:tblGrid>
      <w:tr w:rsidR="00326921" w:rsidRPr="001416ED" w:rsidTr="00F942B3">
        <w:tc>
          <w:tcPr>
            <w:tcW w:w="3510" w:type="dxa"/>
          </w:tcPr>
          <w:p w:rsidR="00326921" w:rsidRPr="001416ED" w:rsidRDefault="00326921" w:rsidP="007A61A2">
            <w:pPr>
              <w:spacing w:line="360" w:lineRule="auto"/>
              <w:jc w:val="center"/>
              <w:rPr>
                <w:b/>
              </w:rPr>
            </w:pPr>
            <w:r w:rsidRPr="001416ED">
              <w:rPr>
                <w:b/>
              </w:rPr>
              <w:t>Група</w:t>
            </w:r>
          </w:p>
        </w:tc>
        <w:tc>
          <w:tcPr>
            <w:tcW w:w="3402" w:type="dxa"/>
          </w:tcPr>
          <w:p w:rsidR="00326921" w:rsidRPr="001416ED" w:rsidRDefault="00326921" w:rsidP="007A61A2">
            <w:pPr>
              <w:spacing w:line="360" w:lineRule="auto"/>
              <w:jc w:val="center"/>
              <w:rPr>
                <w:b/>
                <w:lang w:val="uk-UA"/>
              </w:rPr>
            </w:pPr>
            <w:r w:rsidRPr="001416ED">
              <w:rPr>
                <w:b/>
              </w:rPr>
              <w:t>САТ</w:t>
            </w:r>
            <w:r w:rsidRPr="001416ED">
              <w:rPr>
                <w:b/>
                <w:lang w:val="uk-UA"/>
              </w:rPr>
              <w:t>,</w:t>
            </w:r>
            <w:r w:rsidRPr="001416ED">
              <w:rPr>
                <w:b/>
              </w:rPr>
              <w:t xml:space="preserve"> мм рт.ст.</w:t>
            </w:r>
          </w:p>
        </w:tc>
        <w:tc>
          <w:tcPr>
            <w:tcW w:w="3261" w:type="dxa"/>
          </w:tcPr>
          <w:p w:rsidR="00326921" w:rsidRPr="001416ED" w:rsidRDefault="00326921" w:rsidP="007A61A2">
            <w:pPr>
              <w:spacing w:line="360" w:lineRule="auto"/>
              <w:jc w:val="center"/>
              <w:rPr>
                <w:b/>
                <w:lang w:val="en-US"/>
              </w:rPr>
            </w:pPr>
            <w:r w:rsidRPr="001416ED">
              <w:rPr>
                <w:b/>
              </w:rPr>
              <w:t>ДАТ</w:t>
            </w:r>
            <w:r w:rsidRPr="001416ED">
              <w:rPr>
                <w:b/>
                <w:lang w:val="uk-UA"/>
              </w:rPr>
              <w:t>,</w:t>
            </w:r>
            <w:r w:rsidRPr="001416ED">
              <w:rPr>
                <w:b/>
              </w:rPr>
              <w:t xml:space="preserve"> мм рт.ст.</w:t>
            </w:r>
          </w:p>
        </w:tc>
      </w:tr>
      <w:tr w:rsidR="00326921" w:rsidRPr="001416ED" w:rsidTr="00F942B3">
        <w:tc>
          <w:tcPr>
            <w:tcW w:w="3510" w:type="dxa"/>
          </w:tcPr>
          <w:p w:rsidR="00326921" w:rsidRPr="001416ED" w:rsidRDefault="00326921" w:rsidP="00A74086">
            <w:pPr>
              <w:spacing w:line="360" w:lineRule="auto"/>
              <w:jc w:val="both"/>
            </w:pPr>
            <w:r w:rsidRPr="001416ED">
              <w:t>Група контролю (</w:t>
            </w:r>
            <w:r w:rsidRPr="001416ED">
              <w:rPr>
                <w:lang w:val="en-US"/>
              </w:rPr>
              <w:t>n</w:t>
            </w:r>
            <w:r w:rsidRPr="001416ED">
              <w:t>=79</w:t>
            </w:r>
            <w:r w:rsidRPr="001416ED">
              <w:rPr>
                <w:lang w:val="en-US"/>
              </w:rPr>
              <w:t>)</w:t>
            </w:r>
          </w:p>
        </w:tc>
        <w:tc>
          <w:tcPr>
            <w:tcW w:w="3402" w:type="dxa"/>
          </w:tcPr>
          <w:p w:rsidR="00326921" w:rsidRPr="001416ED" w:rsidRDefault="00326921" w:rsidP="00326921">
            <w:pPr>
              <w:spacing w:line="360" w:lineRule="auto"/>
              <w:jc w:val="center"/>
            </w:pPr>
            <w:r w:rsidRPr="001416ED">
              <w:t>120,51</w:t>
            </w:r>
            <w:r w:rsidR="007A07A9" w:rsidRPr="001416ED">
              <w:t xml:space="preserve"> ± </w:t>
            </w:r>
            <w:r w:rsidRPr="001416ED">
              <w:t>1,11</w:t>
            </w:r>
            <w:r w:rsidRPr="001416ED">
              <w:rPr>
                <w:lang w:val="uk-UA"/>
              </w:rPr>
              <w:t xml:space="preserve"> </w:t>
            </w:r>
            <w:r w:rsidRPr="001416ED">
              <w:t>(1)</w:t>
            </w:r>
          </w:p>
        </w:tc>
        <w:tc>
          <w:tcPr>
            <w:tcW w:w="3261" w:type="dxa"/>
          </w:tcPr>
          <w:p w:rsidR="00326921" w:rsidRPr="001416ED" w:rsidRDefault="00326921" w:rsidP="00326921">
            <w:pPr>
              <w:spacing w:line="360" w:lineRule="auto"/>
              <w:jc w:val="center"/>
            </w:pPr>
            <w:r w:rsidRPr="001416ED">
              <w:t>75,25</w:t>
            </w:r>
            <w:r w:rsidR="007A07A9" w:rsidRPr="001416ED">
              <w:t xml:space="preserve"> ± </w:t>
            </w:r>
            <w:r w:rsidRPr="001416ED">
              <w:t>0,90</w:t>
            </w:r>
            <w:r w:rsidRPr="001416ED">
              <w:rPr>
                <w:lang w:val="uk-UA"/>
              </w:rPr>
              <w:t xml:space="preserve"> </w:t>
            </w:r>
            <w:r w:rsidRPr="001416ED">
              <w:t>(4)</w:t>
            </w:r>
          </w:p>
        </w:tc>
      </w:tr>
      <w:tr w:rsidR="00326921" w:rsidRPr="001416ED" w:rsidTr="00F942B3">
        <w:tc>
          <w:tcPr>
            <w:tcW w:w="3510" w:type="dxa"/>
          </w:tcPr>
          <w:p w:rsidR="00326921" w:rsidRPr="001416ED" w:rsidRDefault="00326921" w:rsidP="00A74086">
            <w:pPr>
              <w:spacing w:line="360" w:lineRule="auto"/>
            </w:pPr>
            <w:r w:rsidRPr="001416ED">
              <w:rPr>
                <w:lang w:val="uk-UA"/>
              </w:rPr>
              <w:t xml:space="preserve">Пацієнти з ГХ ІІ ст. </w:t>
            </w:r>
            <w:r w:rsidRPr="001416ED">
              <w:t>(</w:t>
            </w:r>
            <w:r w:rsidRPr="001416ED">
              <w:rPr>
                <w:lang w:val="en-US"/>
              </w:rPr>
              <w:t>n</w:t>
            </w:r>
            <w:r w:rsidRPr="001416ED">
              <w:t>=62)</w:t>
            </w:r>
          </w:p>
        </w:tc>
        <w:tc>
          <w:tcPr>
            <w:tcW w:w="3402" w:type="dxa"/>
          </w:tcPr>
          <w:p w:rsidR="00326921" w:rsidRPr="001416ED" w:rsidRDefault="00326921" w:rsidP="00326921">
            <w:pPr>
              <w:spacing w:line="360" w:lineRule="auto"/>
              <w:jc w:val="center"/>
            </w:pPr>
            <w:r w:rsidRPr="001416ED">
              <w:t>165,55</w:t>
            </w:r>
            <w:r w:rsidR="007A07A9" w:rsidRPr="001416ED">
              <w:t xml:space="preserve"> ± </w:t>
            </w:r>
            <w:r w:rsidRPr="001416ED">
              <w:t>2,19 (2)</w:t>
            </w:r>
          </w:p>
        </w:tc>
        <w:tc>
          <w:tcPr>
            <w:tcW w:w="3261" w:type="dxa"/>
          </w:tcPr>
          <w:p w:rsidR="00326921" w:rsidRPr="001416ED" w:rsidRDefault="00326921" w:rsidP="00326921">
            <w:pPr>
              <w:spacing w:line="360" w:lineRule="auto"/>
              <w:jc w:val="center"/>
            </w:pPr>
            <w:r w:rsidRPr="001416ED">
              <w:t>100,11</w:t>
            </w:r>
            <w:r w:rsidR="007A07A9" w:rsidRPr="001416ED">
              <w:t xml:space="preserve"> ± </w:t>
            </w:r>
            <w:r w:rsidRPr="001416ED">
              <w:t>1,03</w:t>
            </w:r>
            <w:r w:rsidRPr="001416ED">
              <w:rPr>
                <w:lang w:val="uk-UA"/>
              </w:rPr>
              <w:t xml:space="preserve"> </w:t>
            </w:r>
            <w:r w:rsidRPr="001416ED">
              <w:t>(5)</w:t>
            </w:r>
          </w:p>
        </w:tc>
      </w:tr>
      <w:tr w:rsidR="00326921" w:rsidRPr="001416ED" w:rsidTr="00F942B3">
        <w:tc>
          <w:tcPr>
            <w:tcW w:w="3510" w:type="dxa"/>
          </w:tcPr>
          <w:p w:rsidR="00326921" w:rsidRPr="001416ED" w:rsidRDefault="00326921" w:rsidP="00F942B3">
            <w:pPr>
              <w:spacing w:line="360" w:lineRule="auto"/>
            </w:pPr>
            <w:r w:rsidRPr="001416ED">
              <w:rPr>
                <w:lang w:val="uk-UA"/>
              </w:rPr>
              <w:t>Пацієнти з ГХ</w:t>
            </w:r>
            <w:r w:rsidR="00F942B3" w:rsidRPr="001416ED">
              <w:rPr>
                <w:lang w:val="uk-UA"/>
              </w:rPr>
              <w:t xml:space="preserve"> ІІІ ст.</w:t>
            </w:r>
            <w:r w:rsidRPr="001416ED">
              <w:rPr>
                <w:lang w:val="uk-UA"/>
              </w:rPr>
              <w:t>(</w:t>
            </w:r>
            <w:r w:rsidRPr="001416ED">
              <w:rPr>
                <w:lang w:val="en-US"/>
              </w:rPr>
              <w:t>n</w:t>
            </w:r>
            <w:r w:rsidRPr="001416ED">
              <w:t>=50)</w:t>
            </w:r>
          </w:p>
        </w:tc>
        <w:tc>
          <w:tcPr>
            <w:tcW w:w="3402" w:type="dxa"/>
          </w:tcPr>
          <w:p w:rsidR="00326921" w:rsidRPr="001416ED" w:rsidRDefault="00326921" w:rsidP="00326921">
            <w:pPr>
              <w:spacing w:line="360" w:lineRule="auto"/>
              <w:jc w:val="center"/>
            </w:pPr>
            <w:r w:rsidRPr="001416ED">
              <w:t>173,82</w:t>
            </w:r>
            <w:r w:rsidR="007A07A9" w:rsidRPr="001416ED">
              <w:t xml:space="preserve"> ± </w:t>
            </w:r>
            <w:r w:rsidRPr="001416ED">
              <w:t>2,08 (3)</w:t>
            </w:r>
          </w:p>
        </w:tc>
        <w:tc>
          <w:tcPr>
            <w:tcW w:w="3261" w:type="dxa"/>
          </w:tcPr>
          <w:p w:rsidR="00326921" w:rsidRPr="001416ED" w:rsidRDefault="00326921" w:rsidP="00326921">
            <w:pPr>
              <w:spacing w:line="360" w:lineRule="auto"/>
              <w:jc w:val="center"/>
            </w:pPr>
            <w:r w:rsidRPr="001416ED">
              <w:t>105,60</w:t>
            </w:r>
            <w:r w:rsidR="007A07A9" w:rsidRPr="001416ED">
              <w:t xml:space="preserve"> ± </w:t>
            </w:r>
            <w:r w:rsidRPr="001416ED">
              <w:t>1,41</w:t>
            </w:r>
            <w:r w:rsidRPr="001416ED">
              <w:rPr>
                <w:lang w:val="uk-UA"/>
              </w:rPr>
              <w:t xml:space="preserve"> </w:t>
            </w:r>
            <w:r w:rsidRPr="001416ED">
              <w:t>(6)</w:t>
            </w:r>
          </w:p>
        </w:tc>
      </w:tr>
      <w:tr w:rsidR="00326921" w:rsidRPr="001416ED" w:rsidTr="00F942B3">
        <w:tc>
          <w:tcPr>
            <w:tcW w:w="3510" w:type="dxa"/>
          </w:tcPr>
          <w:p w:rsidR="00326921" w:rsidRPr="001416ED" w:rsidRDefault="00326921" w:rsidP="00A74086">
            <w:pPr>
              <w:spacing w:line="360" w:lineRule="auto"/>
            </w:pPr>
            <w:r w:rsidRPr="001416ED">
              <w:t>р</w:t>
            </w:r>
          </w:p>
        </w:tc>
        <w:tc>
          <w:tcPr>
            <w:tcW w:w="3402" w:type="dxa"/>
          </w:tcPr>
          <w:p w:rsidR="00326921" w:rsidRPr="001416ED" w:rsidRDefault="00326921" w:rsidP="00A74086">
            <w:pPr>
              <w:spacing w:line="360" w:lineRule="auto"/>
              <w:jc w:val="center"/>
            </w:pPr>
            <w:r w:rsidRPr="001416ED">
              <w:t>р</w:t>
            </w:r>
            <w:r w:rsidRPr="001416ED">
              <w:rPr>
                <w:vertAlign w:val="subscript"/>
              </w:rPr>
              <w:t>2–1</w:t>
            </w:r>
            <w:r w:rsidRPr="001416ED">
              <w:t>&lt;0,0001</w:t>
            </w:r>
            <w:r w:rsidR="00F942B3" w:rsidRPr="001416ED">
              <w:rPr>
                <w:lang w:val="uk-UA"/>
              </w:rPr>
              <w:t xml:space="preserve">; </w:t>
            </w:r>
            <w:r w:rsidRPr="001416ED">
              <w:t>р</w:t>
            </w:r>
            <w:r w:rsidRPr="001416ED">
              <w:rPr>
                <w:vertAlign w:val="subscript"/>
              </w:rPr>
              <w:t>3–1</w:t>
            </w:r>
            <w:r w:rsidRPr="001416ED">
              <w:t>&lt;0,0001</w:t>
            </w:r>
          </w:p>
          <w:p w:rsidR="00326921" w:rsidRPr="001416ED" w:rsidRDefault="00326921" w:rsidP="00A74086">
            <w:pPr>
              <w:spacing w:line="360" w:lineRule="auto"/>
              <w:jc w:val="center"/>
            </w:pPr>
            <w:r w:rsidRPr="001416ED">
              <w:t>р</w:t>
            </w:r>
            <w:r w:rsidRPr="001416ED">
              <w:rPr>
                <w:vertAlign w:val="subscript"/>
              </w:rPr>
              <w:t>3–2</w:t>
            </w:r>
            <w:r w:rsidRPr="001416ED">
              <w:t>&lt;0,01</w:t>
            </w:r>
          </w:p>
        </w:tc>
        <w:tc>
          <w:tcPr>
            <w:tcW w:w="3261" w:type="dxa"/>
          </w:tcPr>
          <w:p w:rsidR="00326921" w:rsidRPr="001416ED" w:rsidRDefault="00326921" w:rsidP="00A74086">
            <w:pPr>
              <w:spacing w:line="360" w:lineRule="auto"/>
              <w:jc w:val="center"/>
            </w:pPr>
            <w:r w:rsidRPr="001416ED">
              <w:t>р</w:t>
            </w:r>
            <w:r w:rsidRPr="001416ED">
              <w:rPr>
                <w:vertAlign w:val="subscript"/>
              </w:rPr>
              <w:t>5–4</w:t>
            </w:r>
            <w:r w:rsidRPr="001416ED">
              <w:t>&lt;0,001</w:t>
            </w:r>
            <w:r w:rsidR="00F942B3" w:rsidRPr="001416ED">
              <w:rPr>
                <w:lang w:val="uk-UA"/>
              </w:rPr>
              <w:t xml:space="preserve">; </w:t>
            </w:r>
            <w:r w:rsidRPr="001416ED">
              <w:t>р</w:t>
            </w:r>
            <w:r w:rsidRPr="001416ED">
              <w:rPr>
                <w:vertAlign w:val="subscript"/>
              </w:rPr>
              <w:t>6–4</w:t>
            </w:r>
            <w:r w:rsidRPr="001416ED">
              <w:t>&lt;0,001</w:t>
            </w:r>
          </w:p>
          <w:p w:rsidR="00326921" w:rsidRPr="001416ED" w:rsidRDefault="00326921" w:rsidP="00A74086">
            <w:pPr>
              <w:spacing w:line="360" w:lineRule="auto"/>
              <w:jc w:val="center"/>
            </w:pPr>
            <w:r w:rsidRPr="001416ED">
              <w:t>р</w:t>
            </w:r>
            <w:r w:rsidRPr="001416ED">
              <w:rPr>
                <w:vertAlign w:val="subscript"/>
              </w:rPr>
              <w:t>6–</w:t>
            </w:r>
            <w:r w:rsidRPr="001416ED">
              <w:rPr>
                <w:vertAlign w:val="subscript"/>
                <w:lang w:val="uk-UA"/>
              </w:rPr>
              <w:t>5</w:t>
            </w:r>
            <w:r w:rsidRPr="001416ED">
              <w:t>&lt;0,001</w:t>
            </w:r>
          </w:p>
        </w:tc>
      </w:tr>
    </w:tbl>
    <w:p w:rsidR="00ED5DA8" w:rsidRPr="001416ED" w:rsidRDefault="00ED5DA8" w:rsidP="00ED5DA8">
      <w:pPr>
        <w:pStyle w:val="a3"/>
        <w:spacing w:before="240" w:after="0" w:line="360" w:lineRule="auto"/>
        <w:ind w:left="0" w:firstLine="708"/>
        <w:jc w:val="both"/>
        <w:rPr>
          <w:lang w:val="uk-UA"/>
        </w:rPr>
      </w:pPr>
      <w:r w:rsidRPr="001416ED">
        <w:rPr>
          <w:lang w:val="uk-UA"/>
        </w:rPr>
        <w:t>Рівні САТ та ДАТ у чоловіків з ГХ</w:t>
      </w:r>
      <w:r w:rsidR="00F942B3" w:rsidRPr="001416ED">
        <w:rPr>
          <w:lang w:val="uk-UA"/>
        </w:rPr>
        <w:t xml:space="preserve"> ІІ та ІІІ ст.</w:t>
      </w:r>
      <w:r w:rsidRPr="001416ED">
        <w:rPr>
          <w:lang w:val="uk-UA"/>
        </w:rPr>
        <w:t xml:space="preserve"> достовірно вищі ніж у групі контролю, при цьому найвищий рівень як САТ так і ДАТ </w:t>
      </w:r>
      <w:r w:rsidR="007C49D3" w:rsidRPr="001416ED">
        <w:rPr>
          <w:lang w:val="uk-UA"/>
        </w:rPr>
        <w:t>у пацієнтів з ГХ І</w:t>
      </w:r>
      <w:r w:rsidR="004A4E68" w:rsidRPr="001416ED">
        <w:rPr>
          <w:lang w:val="uk-UA"/>
        </w:rPr>
        <w:t xml:space="preserve">ІІ </w:t>
      </w:r>
      <w:r w:rsidR="007C49D3" w:rsidRPr="001416ED">
        <w:rPr>
          <w:lang w:val="uk-UA"/>
        </w:rPr>
        <w:t>ст</w:t>
      </w:r>
      <w:r w:rsidRPr="001416ED">
        <w:rPr>
          <w:lang w:val="uk-UA"/>
        </w:rPr>
        <w:t>.</w:t>
      </w:r>
    </w:p>
    <w:p w:rsidR="00300C00" w:rsidRPr="001416ED" w:rsidRDefault="00300C00" w:rsidP="007A61A2">
      <w:pPr>
        <w:widowControl w:val="0"/>
        <w:autoSpaceDE w:val="0"/>
        <w:autoSpaceDN w:val="0"/>
        <w:adjustRightInd w:val="0"/>
        <w:spacing w:line="360" w:lineRule="auto"/>
        <w:ind w:firstLine="720"/>
        <w:jc w:val="right"/>
        <w:rPr>
          <w:b/>
          <w:lang w:val="uk-UA"/>
        </w:rPr>
      </w:pPr>
      <w:r w:rsidRPr="001416ED">
        <w:rPr>
          <w:b/>
          <w:lang w:val="uk-UA"/>
        </w:rPr>
        <w:t>Таблиця 2.</w:t>
      </w:r>
      <w:r w:rsidR="00ED5DA8" w:rsidRPr="001416ED">
        <w:rPr>
          <w:b/>
          <w:lang w:val="uk-UA"/>
        </w:rPr>
        <w:t>2</w:t>
      </w:r>
    </w:p>
    <w:p w:rsidR="00300C00" w:rsidRPr="001416ED" w:rsidRDefault="00157ACC" w:rsidP="00D63FD7">
      <w:pPr>
        <w:spacing w:line="360" w:lineRule="auto"/>
        <w:jc w:val="center"/>
        <w:rPr>
          <w:b/>
        </w:rPr>
      </w:pPr>
      <w:r w:rsidRPr="001416ED">
        <w:rPr>
          <w:b/>
          <w:lang w:val="uk-UA"/>
        </w:rPr>
        <w:t xml:space="preserve">Частота різного </w:t>
      </w:r>
      <w:r w:rsidR="00300C00" w:rsidRPr="001416ED">
        <w:rPr>
          <w:b/>
          <w:lang w:val="uk-UA"/>
        </w:rPr>
        <w:t>ІМТ</w:t>
      </w:r>
      <w:r w:rsidR="007D71B9" w:rsidRPr="001416ED">
        <w:rPr>
          <w:b/>
          <w:lang w:val="uk-UA"/>
        </w:rPr>
        <w:t xml:space="preserve"> у</w:t>
      </w:r>
      <w:r w:rsidR="00300C00" w:rsidRPr="001416ED">
        <w:rPr>
          <w:b/>
          <w:lang w:val="uk-UA"/>
        </w:rPr>
        <w:t xml:space="preserve"> чоловіків</w:t>
      </w:r>
      <w:r w:rsidR="00781F24" w:rsidRPr="001416ED">
        <w:rPr>
          <w:b/>
          <w:lang w:val="uk-UA"/>
        </w:rPr>
        <w:t xml:space="preserve"> контрольної групи</w:t>
      </w:r>
      <w:r w:rsidR="00300C00" w:rsidRPr="001416ED">
        <w:rPr>
          <w:b/>
          <w:lang w:val="uk-UA"/>
        </w:rPr>
        <w:t>, хворих на ГХ ІІ ст</w:t>
      </w:r>
      <w:r w:rsidR="00131EB6">
        <w:rPr>
          <w:b/>
          <w:lang w:val="uk-UA"/>
        </w:rPr>
        <w:t xml:space="preserve"> </w:t>
      </w:r>
      <w:r w:rsidR="00300C00" w:rsidRPr="001416ED">
        <w:rPr>
          <w:b/>
          <w:lang w:val="uk-UA"/>
        </w:rPr>
        <w:t xml:space="preserve">та у пацієнтів з ГХ, ускладненою </w:t>
      </w:r>
      <w:r w:rsidR="00300C00" w:rsidRPr="001416ED">
        <w:rPr>
          <w:b/>
        </w:rPr>
        <w:t>ХСН ІІ А ст.</w:t>
      </w:r>
      <w:r w:rsidR="00A66A09" w:rsidRPr="001416ED">
        <w:rPr>
          <w:b/>
          <w:lang w:val="uk-UA"/>
        </w:rPr>
        <w:t>,</w:t>
      </w:r>
      <w:r w:rsidR="00300C00" w:rsidRPr="001416ED">
        <w:rPr>
          <w:b/>
        </w:rPr>
        <w:t xml:space="preserve"> (</w:t>
      </w:r>
      <w:r w:rsidR="00D4219F" w:rsidRPr="001416ED">
        <w:rPr>
          <w:b/>
          <w:lang w:val="uk-UA"/>
        </w:rPr>
        <w:t>%</w:t>
      </w:r>
      <w:r w:rsidR="00300C00" w:rsidRPr="001416ED">
        <w:rPr>
          <w:b/>
        </w:rPr>
        <w:t>)</w:t>
      </w:r>
    </w:p>
    <w:tbl>
      <w:tblPr>
        <w:tblStyle w:val="af5"/>
        <w:tblW w:w="10173" w:type="dxa"/>
        <w:tblLook w:val="04A0" w:firstRow="1" w:lastRow="0" w:firstColumn="1" w:lastColumn="0" w:noHBand="0" w:noVBand="1"/>
      </w:tblPr>
      <w:tblGrid>
        <w:gridCol w:w="1668"/>
        <w:gridCol w:w="2409"/>
        <w:gridCol w:w="2127"/>
        <w:gridCol w:w="1984"/>
        <w:gridCol w:w="1985"/>
      </w:tblGrid>
      <w:tr w:rsidR="00E53B97" w:rsidRPr="001416ED" w:rsidTr="00C002D9">
        <w:tc>
          <w:tcPr>
            <w:tcW w:w="1668" w:type="dxa"/>
          </w:tcPr>
          <w:p w:rsidR="00E53B97" w:rsidRPr="001416ED" w:rsidRDefault="00E53B97" w:rsidP="00B73828">
            <w:pPr>
              <w:widowControl w:val="0"/>
              <w:autoSpaceDE w:val="0"/>
              <w:autoSpaceDN w:val="0"/>
              <w:adjustRightInd w:val="0"/>
              <w:spacing w:line="360" w:lineRule="auto"/>
              <w:jc w:val="center"/>
              <w:rPr>
                <w:b/>
                <w:lang w:val="uk-UA"/>
              </w:rPr>
            </w:pPr>
            <w:r w:rsidRPr="001416ED">
              <w:rPr>
                <w:b/>
                <w:lang w:val="uk-UA"/>
              </w:rPr>
              <w:t>Група</w:t>
            </w:r>
          </w:p>
        </w:tc>
        <w:tc>
          <w:tcPr>
            <w:tcW w:w="2409" w:type="dxa"/>
          </w:tcPr>
          <w:p w:rsidR="00E53B97" w:rsidRPr="001416ED" w:rsidRDefault="00E53B97" w:rsidP="00B73828">
            <w:pPr>
              <w:widowControl w:val="0"/>
              <w:autoSpaceDE w:val="0"/>
              <w:autoSpaceDN w:val="0"/>
              <w:adjustRightInd w:val="0"/>
              <w:spacing w:line="360" w:lineRule="auto"/>
              <w:jc w:val="center"/>
              <w:rPr>
                <w:b/>
                <w:lang w:val="uk-UA"/>
              </w:rPr>
            </w:pPr>
            <w:r w:rsidRPr="001416ED">
              <w:rPr>
                <w:b/>
                <w:lang w:val="uk-UA"/>
              </w:rPr>
              <w:t>Група контролю (n=79)</w:t>
            </w:r>
          </w:p>
        </w:tc>
        <w:tc>
          <w:tcPr>
            <w:tcW w:w="2127" w:type="dxa"/>
          </w:tcPr>
          <w:p w:rsidR="00E53B97" w:rsidRPr="001416ED" w:rsidRDefault="00E53B97" w:rsidP="00B73828">
            <w:pPr>
              <w:widowControl w:val="0"/>
              <w:autoSpaceDE w:val="0"/>
              <w:autoSpaceDN w:val="0"/>
              <w:adjustRightInd w:val="0"/>
              <w:spacing w:line="360" w:lineRule="auto"/>
              <w:jc w:val="center"/>
              <w:rPr>
                <w:b/>
                <w:lang w:val="uk-UA"/>
              </w:rPr>
            </w:pPr>
            <w:r w:rsidRPr="001416ED">
              <w:rPr>
                <w:b/>
                <w:lang w:val="uk-UA"/>
              </w:rPr>
              <w:t>Пацієнти з ГХ ІІ ст. (n=62)</w:t>
            </w:r>
          </w:p>
        </w:tc>
        <w:tc>
          <w:tcPr>
            <w:tcW w:w="1984" w:type="dxa"/>
          </w:tcPr>
          <w:p w:rsidR="00E53B97" w:rsidRPr="001416ED" w:rsidRDefault="00E53B97" w:rsidP="007C49D3">
            <w:pPr>
              <w:widowControl w:val="0"/>
              <w:autoSpaceDE w:val="0"/>
              <w:autoSpaceDN w:val="0"/>
              <w:adjustRightInd w:val="0"/>
              <w:spacing w:line="360" w:lineRule="auto"/>
              <w:jc w:val="center"/>
              <w:rPr>
                <w:b/>
                <w:lang w:val="uk-UA"/>
              </w:rPr>
            </w:pPr>
            <w:r w:rsidRPr="001416ED">
              <w:rPr>
                <w:b/>
                <w:lang w:val="uk-UA"/>
              </w:rPr>
              <w:t>Пацієнти з ГХ</w:t>
            </w:r>
            <w:r w:rsidR="007C49D3" w:rsidRPr="001416ED">
              <w:rPr>
                <w:b/>
                <w:lang w:val="uk-UA"/>
              </w:rPr>
              <w:t xml:space="preserve"> ІІІ</w:t>
            </w:r>
            <w:r w:rsidRPr="001416ED">
              <w:rPr>
                <w:b/>
                <w:lang w:val="uk-UA"/>
              </w:rPr>
              <w:t xml:space="preserve"> ст. </w:t>
            </w:r>
            <w:r w:rsidR="004D57BE" w:rsidRPr="001416ED">
              <w:rPr>
                <w:b/>
                <w:lang w:val="uk-UA"/>
              </w:rPr>
              <w:t>(</w:t>
            </w:r>
            <w:r w:rsidRPr="001416ED">
              <w:rPr>
                <w:b/>
                <w:lang w:val="uk-UA"/>
              </w:rPr>
              <w:t>n=50)</w:t>
            </w:r>
          </w:p>
        </w:tc>
        <w:tc>
          <w:tcPr>
            <w:tcW w:w="1985" w:type="dxa"/>
          </w:tcPr>
          <w:p w:rsidR="00E53B97" w:rsidRPr="001416ED" w:rsidRDefault="00E53B97" w:rsidP="00B73828">
            <w:pPr>
              <w:widowControl w:val="0"/>
              <w:autoSpaceDE w:val="0"/>
              <w:autoSpaceDN w:val="0"/>
              <w:adjustRightInd w:val="0"/>
              <w:spacing w:line="360" w:lineRule="auto"/>
              <w:jc w:val="center"/>
              <w:rPr>
                <w:b/>
                <w:lang w:val="uk-UA"/>
              </w:rPr>
            </w:pPr>
            <w:r w:rsidRPr="001416ED">
              <w:rPr>
                <w:b/>
                <w:lang w:val="uk-UA"/>
              </w:rPr>
              <w:t>р</w:t>
            </w:r>
          </w:p>
        </w:tc>
      </w:tr>
      <w:tr w:rsidR="00E53B97" w:rsidRPr="001416ED" w:rsidTr="00C002D9">
        <w:tc>
          <w:tcPr>
            <w:tcW w:w="1668" w:type="dxa"/>
          </w:tcPr>
          <w:p w:rsidR="00E53B97" w:rsidRPr="001416ED" w:rsidRDefault="00E53B97" w:rsidP="007C49D3">
            <w:pPr>
              <w:widowControl w:val="0"/>
              <w:autoSpaceDE w:val="0"/>
              <w:autoSpaceDN w:val="0"/>
              <w:adjustRightInd w:val="0"/>
              <w:spacing w:line="360" w:lineRule="auto"/>
              <w:rPr>
                <w:lang w:val="uk-UA"/>
              </w:rPr>
            </w:pPr>
            <w:r w:rsidRPr="001416ED">
              <w:rPr>
                <w:lang w:val="uk-UA"/>
              </w:rPr>
              <w:t>Нормальна маса тіла</w:t>
            </w:r>
          </w:p>
        </w:tc>
        <w:tc>
          <w:tcPr>
            <w:tcW w:w="2409" w:type="dxa"/>
          </w:tcPr>
          <w:p w:rsidR="007C49D3" w:rsidRPr="001416ED" w:rsidRDefault="00E53B97" w:rsidP="004D57BE">
            <w:pPr>
              <w:widowControl w:val="0"/>
              <w:autoSpaceDE w:val="0"/>
              <w:autoSpaceDN w:val="0"/>
              <w:adjustRightInd w:val="0"/>
              <w:spacing w:line="360" w:lineRule="auto"/>
              <w:jc w:val="center"/>
              <w:rPr>
                <w:lang w:val="uk-UA"/>
              </w:rPr>
            </w:pPr>
            <w:r w:rsidRPr="001416ED">
              <w:rPr>
                <w:lang w:val="uk-UA"/>
              </w:rPr>
              <w:t>63,29</w:t>
            </w:r>
            <w:r w:rsidR="00CB4685" w:rsidRPr="001416ED">
              <w:rPr>
                <w:lang w:val="uk-UA"/>
              </w:rPr>
              <w:t xml:space="preserve"> </w:t>
            </w:r>
            <w:r w:rsidR="00D4219F" w:rsidRPr="001416ED">
              <w:rPr>
                <w:lang w:val="uk-UA"/>
              </w:rPr>
              <w:t>%</w:t>
            </w:r>
            <w:r w:rsidRPr="001416ED">
              <w:rPr>
                <w:lang w:val="uk-UA"/>
              </w:rPr>
              <w:t xml:space="preserve"> (n=50)</w:t>
            </w:r>
            <w:r w:rsidR="004D57BE" w:rsidRPr="001416ED">
              <w:rPr>
                <w:lang w:val="uk-UA"/>
              </w:rPr>
              <w:t xml:space="preserve"> </w:t>
            </w:r>
          </w:p>
          <w:p w:rsidR="00E53B97" w:rsidRPr="001416ED" w:rsidRDefault="00E53B97" w:rsidP="004D57BE">
            <w:pPr>
              <w:widowControl w:val="0"/>
              <w:autoSpaceDE w:val="0"/>
              <w:autoSpaceDN w:val="0"/>
              <w:adjustRightInd w:val="0"/>
              <w:spacing w:line="360" w:lineRule="auto"/>
              <w:jc w:val="center"/>
              <w:rPr>
                <w:lang w:val="uk-UA"/>
              </w:rPr>
            </w:pPr>
            <w:r w:rsidRPr="001416ED">
              <w:rPr>
                <w:lang w:val="uk-UA"/>
              </w:rPr>
              <w:t>(1)</w:t>
            </w:r>
          </w:p>
        </w:tc>
        <w:tc>
          <w:tcPr>
            <w:tcW w:w="2127" w:type="dxa"/>
          </w:tcPr>
          <w:p w:rsidR="00E53B97" w:rsidRPr="001416ED" w:rsidRDefault="00E53B97" w:rsidP="004D57BE">
            <w:pPr>
              <w:widowControl w:val="0"/>
              <w:autoSpaceDE w:val="0"/>
              <w:autoSpaceDN w:val="0"/>
              <w:adjustRightInd w:val="0"/>
              <w:spacing w:line="360" w:lineRule="auto"/>
              <w:jc w:val="center"/>
              <w:rPr>
                <w:lang w:val="uk-UA"/>
              </w:rPr>
            </w:pPr>
            <w:r w:rsidRPr="001416ED">
              <w:rPr>
                <w:lang w:val="uk-UA"/>
              </w:rPr>
              <w:t>45,16</w:t>
            </w:r>
            <w:r w:rsidR="00CB4685" w:rsidRPr="001416ED">
              <w:rPr>
                <w:lang w:val="uk-UA"/>
              </w:rPr>
              <w:t xml:space="preserve"> </w:t>
            </w:r>
            <w:r w:rsidR="00D4219F" w:rsidRPr="001416ED">
              <w:rPr>
                <w:lang w:val="uk-UA"/>
              </w:rPr>
              <w:t>%</w:t>
            </w:r>
            <w:r w:rsidRPr="001416ED">
              <w:rPr>
                <w:lang w:val="uk-UA"/>
              </w:rPr>
              <w:t xml:space="preserve"> (n=28)</w:t>
            </w:r>
            <w:r w:rsidR="004D57BE" w:rsidRPr="001416ED">
              <w:rPr>
                <w:lang w:val="uk-UA"/>
              </w:rPr>
              <w:t xml:space="preserve"> </w:t>
            </w:r>
            <w:r w:rsidRPr="001416ED">
              <w:rPr>
                <w:lang w:val="uk-UA"/>
              </w:rPr>
              <w:t>(2)</w:t>
            </w:r>
          </w:p>
        </w:tc>
        <w:tc>
          <w:tcPr>
            <w:tcW w:w="1984" w:type="dxa"/>
          </w:tcPr>
          <w:p w:rsidR="007C49D3" w:rsidRPr="001416ED" w:rsidRDefault="00E53B97" w:rsidP="00242974">
            <w:pPr>
              <w:widowControl w:val="0"/>
              <w:autoSpaceDE w:val="0"/>
              <w:autoSpaceDN w:val="0"/>
              <w:adjustRightInd w:val="0"/>
              <w:spacing w:line="360" w:lineRule="auto"/>
              <w:jc w:val="center"/>
              <w:rPr>
                <w:lang w:val="uk-UA"/>
              </w:rPr>
            </w:pPr>
            <w:r w:rsidRPr="001416ED">
              <w:rPr>
                <w:lang w:val="uk-UA"/>
              </w:rPr>
              <w:t>8</w:t>
            </w:r>
            <w:r w:rsidR="00CB4685" w:rsidRPr="001416ED">
              <w:rPr>
                <w:lang w:val="uk-UA"/>
              </w:rPr>
              <w:t xml:space="preserve"> </w:t>
            </w:r>
            <w:r w:rsidR="00D4219F" w:rsidRPr="001416ED">
              <w:rPr>
                <w:lang w:val="uk-UA"/>
              </w:rPr>
              <w:t>%</w:t>
            </w:r>
            <w:r w:rsidRPr="001416ED">
              <w:rPr>
                <w:lang w:val="uk-UA"/>
              </w:rPr>
              <w:t xml:space="preserve"> (n=4)</w:t>
            </w:r>
            <w:r w:rsidR="00242974" w:rsidRPr="001416ED">
              <w:rPr>
                <w:lang w:val="uk-UA"/>
              </w:rPr>
              <w:t xml:space="preserve"> </w:t>
            </w:r>
          </w:p>
          <w:p w:rsidR="00E53B97" w:rsidRPr="001416ED" w:rsidRDefault="00E53B97" w:rsidP="00242974">
            <w:pPr>
              <w:widowControl w:val="0"/>
              <w:autoSpaceDE w:val="0"/>
              <w:autoSpaceDN w:val="0"/>
              <w:adjustRightInd w:val="0"/>
              <w:spacing w:line="360" w:lineRule="auto"/>
              <w:jc w:val="center"/>
              <w:rPr>
                <w:lang w:val="uk-UA"/>
              </w:rPr>
            </w:pPr>
            <w:r w:rsidRPr="001416ED">
              <w:rPr>
                <w:lang w:val="uk-UA"/>
              </w:rPr>
              <w:t>(3)</w:t>
            </w:r>
          </w:p>
        </w:tc>
        <w:tc>
          <w:tcPr>
            <w:tcW w:w="1985" w:type="dxa"/>
          </w:tcPr>
          <w:p w:rsidR="00E53B97" w:rsidRPr="001416ED" w:rsidRDefault="00E53B97" w:rsidP="00B7382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Pr="001416ED">
              <w:rPr>
                <w:lang w:val="uk-UA"/>
              </w:rPr>
              <w:t>&lt;0,05</w:t>
            </w:r>
            <w:r w:rsidR="00FE7A82" w:rsidRPr="001416ED">
              <w:rPr>
                <w:lang w:val="uk-UA"/>
              </w:rPr>
              <w:t>;</w:t>
            </w:r>
          </w:p>
          <w:p w:rsidR="00E53B97" w:rsidRPr="001416ED" w:rsidRDefault="00E53B97" w:rsidP="00B7382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1</w:t>
            </w:r>
            <w:r w:rsidR="004D57BE" w:rsidRPr="001416ED">
              <w:rPr>
                <w:lang w:val="uk-UA"/>
              </w:rPr>
              <w:t>&lt;0,000</w:t>
            </w:r>
            <w:r w:rsidRPr="001416ED">
              <w:rPr>
                <w:lang w:val="uk-UA"/>
              </w:rPr>
              <w:t>1</w:t>
            </w:r>
            <w:r w:rsidR="00FE7A82" w:rsidRPr="001416ED">
              <w:rPr>
                <w:lang w:val="uk-UA"/>
              </w:rPr>
              <w:t>;</w:t>
            </w:r>
          </w:p>
          <w:p w:rsidR="00E53B97" w:rsidRPr="001416ED" w:rsidRDefault="00E53B97" w:rsidP="00B7382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2</w:t>
            </w:r>
            <w:r w:rsidR="004D57BE" w:rsidRPr="001416ED">
              <w:rPr>
                <w:lang w:val="uk-UA"/>
              </w:rPr>
              <w:t>&lt;0,000</w:t>
            </w:r>
            <w:r w:rsidRPr="001416ED">
              <w:rPr>
                <w:lang w:val="uk-UA"/>
              </w:rPr>
              <w:t>1</w:t>
            </w:r>
          </w:p>
        </w:tc>
      </w:tr>
    </w:tbl>
    <w:p w:rsidR="00C002D9" w:rsidRPr="001416ED" w:rsidRDefault="00C002D9" w:rsidP="00C002D9">
      <w:pPr>
        <w:widowControl w:val="0"/>
        <w:autoSpaceDE w:val="0"/>
        <w:autoSpaceDN w:val="0"/>
        <w:adjustRightInd w:val="0"/>
        <w:spacing w:before="240" w:line="360" w:lineRule="auto"/>
        <w:ind w:firstLine="720"/>
        <w:jc w:val="right"/>
        <w:rPr>
          <w:i/>
          <w:lang w:val="uk-UA"/>
        </w:rPr>
      </w:pPr>
      <w:r w:rsidRPr="001416ED">
        <w:rPr>
          <w:i/>
          <w:lang w:val="uk-UA"/>
        </w:rPr>
        <w:lastRenderedPageBreak/>
        <w:t>Продовження табл. 2.2</w:t>
      </w:r>
    </w:p>
    <w:tbl>
      <w:tblPr>
        <w:tblStyle w:val="af5"/>
        <w:tblW w:w="0" w:type="auto"/>
        <w:tblLook w:val="04A0" w:firstRow="1" w:lastRow="0" w:firstColumn="1" w:lastColumn="0" w:noHBand="0" w:noVBand="1"/>
      </w:tblPr>
      <w:tblGrid>
        <w:gridCol w:w="1668"/>
        <w:gridCol w:w="2387"/>
        <w:gridCol w:w="2149"/>
        <w:gridCol w:w="1984"/>
        <w:gridCol w:w="1951"/>
      </w:tblGrid>
      <w:tr w:rsidR="00250B3B" w:rsidRPr="001416ED" w:rsidTr="00C002D9">
        <w:tc>
          <w:tcPr>
            <w:tcW w:w="1668" w:type="dxa"/>
          </w:tcPr>
          <w:p w:rsidR="00250B3B" w:rsidRPr="001416ED" w:rsidRDefault="00250B3B" w:rsidP="00175F78">
            <w:pPr>
              <w:widowControl w:val="0"/>
              <w:autoSpaceDE w:val="0"/>
              <w:autoSpaceDN w:val="0"/>
              <w:adjustRightInd w:val="0"/>
              <w:spacing w:line="360" w:lineRule="auto"/>
              <w:rPr>
                <w:lang w:val="uk-UA"/>
              </w:rPr>
            </w:pPr>
            <w:r w:rsidRPr="001416ED">
              <w:rPr>
                <w:lang w:val="uk-UA"/>
              </w:rPr>
              <w:t>Надмірна маса тіла</w:t>
            </w:r>
          </w:p>
        </w:tc>
        <w:tc>
          <w:tcPr>
            <w:tcW w:w="2387"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36,71 % (n=29)</w:t>
            </w:r>
          </w:p>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 xml:space="preserve"> (4)</w:t>
            </w:r>
          </w:p>
        </w:tc>
        <w:tc>
          <w:tcPr>
            <w:tcW w:w="2149"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33,87 % (n=21) (5)</w:t>
            </w:r>
          </w:p>
        </w:tc>
        <w:tc>
          <w:tcPr>
            <w:tcW w:w="1984"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 xml:space="preserve">42 % (n=21) </w:t>
            </w:r>
          </w:p>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(6)</w:t>
            </w:r>
          </w:p>
        </w:tc>
        <w:tc>
          <w:tcPr>
            <w:tcW w:w="1951" w:type="dxa"/>
          </w:tcPr>
          <w:p w:rsidR="00250B3B" w:rsidRPr="001416ED" w:rsidRDefault="00250B3B" w:rsidP="00175F7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5–4</w:t>
            </w:r>
            <w:r w:rsidRPr="001416ED">
              <w:rPr>
                <w:lang w:val="uk-UA"/>
              </w:rPr>
              <w:t>&gt;0,05;</w:t>
            </w:r>
          </w:p>
          <w:p w:rsidR="00250B3B" w:rsidRPr="001416ED" w:rsidRDefault="00250B3B" w:rsidP="00175F7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6–4</w:t>
            </w:r>
            <w:r w:rsidRPr="001416ED">
              <w:rPr>
                <w:lang w:val="uk-UA"/>
              </w:rPr>
              <w:t>&gt;0,05;</w:t>
            </w:r>
          </w:p>
          <w:p w:rsidR="00250B3B" w:rsidRPr="001416ED" w:rsidRDefault="00250B3B" w:rsidP="00175F7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6–5</w:t>
            </w:r>
            <w:r w:rsidRPr="001416ED">
              <w:rPr>
                <w:lang w:val="uk-UA"/>
              </w:rPr>
              <w:t>&gt;0,05</w:t>
            </w:r>
          </w:p>
        </w:tc>
      </w:tr>
      <w:tr w:rsidR="00250B3B" w:rsidRPr="001416ED" w:rsidTr="00C002D9">
        <w:tc>
          <w:tcPr>
            <w:tcW w:w="1668" w:type="dxa"/>
          </w:tcPr>
          <w:p w:rsidR="00250B3B" w:rsidRPr="001416ED" w:rsidRDefault="00250B3B" w:rsidP="00175F78">
            <w:pPr>
              <w:widowControl w:val="0"/>
              <w:autoSpaceDE w:val="0"/>
              <w:autoSpaceDN w:val="0"/>
              <w:adjustRightInd w:val="0"/>
              <w:spacing w:line="360" w:lineRule="auto"/>
              <w:rPr>
                <w:lang w:val="uk-UA"/>
              </w:rPr>
            </w:pPr>
            <w:r w:rsidRPr="001416ED">
              <w:rPr>
                <w:lang w:val="uk-UA"/>
              </w:rPr>
              <w:t>Ожирінння І ст.</w:t>
            </w:r>
          </w:p>
        </w:tc>
        <w:tc>
          <w:tcPr>
            <w:tcW w:w="2387"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w:t>
            </w:r>
          </w:p>
        </w:tc>
        <w:tc>
          <w:tcPr>
            <w:tcW w:w="2149"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20,97 % (n=13) (7)</w:t>
            </w:r>
          </w:p>
        </w:tc>
        <w:tc>
          <w:tcPr>
            <w:tcW w:w="1984" w:type="dxa"/>
          </w:tcPr>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 xml:space="preserve">50 % (n=25) </w:t>
            </w:r>
          </w:p>
          <w:p w:rsidR="00250B3B" w:rsidRPr="001416ED" w:rsidRDefault="00250B3B" w:rsidP="00175F78">
            <w:pPr>
              <w:widowControl w:val="0"/>
              <w:autoSpaceDE w:val="0"/>
              <w:autoSpaceDN w:val="0"/>
              <w:adjustRightInd w:val="0"/>
              <w:spacing w:line="360" w:lineRule="auto"/>
              <w:jc w:val="center"/>
              <w:rPr>
                <w:lang w:val="uk-UA"/>
              </w:rPr>
            </w:pPr>
            <w:r w:rsidRPr="001416ED">
              <w:rPr>
                <w:lang w:val="uk-UA"/>
              </w:rPr>
              <w:t>(8)</w:t>
            </w:r>
          </w:p>
        </w:tc>
        <w:tc>
          <w:tcPr>
            <w:tcW w:w="1951" w:type="dxa"/>
          </w:tcPr>
          <w:p w:rsidR="00250B3B" w:rsidRPr="001416ED" w:rsidRDefault="00250B3B" w:rsidP="00175F78">
            <w:pPr>
              <w:widowControl w:val="0"/>
              <w:autoSpaceDE w:val="0"/>
              <w:autoSpaceDN w:val="0"/>
              <w:adjustRightInd w:val="0"/>
              <w:spacing w:line="360" w:lineRule="auto"/>
              <w:jc w:val="both"/>
              <w:rPr>
                <w:lang w:val="uk-UA"/>
              </w:rPr>
            </w:pPr>
            <w:r w:rsidRPr="001416ED">
              <w:rPr>
                <w:lang w:val="uk-UA"/>
              </w:rPr>
              <w:t>р</w:t>
            </w:r>
            <w:r w:rsidRPr="001416ED">
              <w:rPr>
                <w:vertAlign w:val="subscript"/>
                <w:lang w:val="uk-UA"/>
              </w:rPr>
              <w:t>8–7</w:t>
            </w:r>
            <w:r w:rsidRPr="001416ED">
              <w:rPr>
                <w:lang w:val="uk-UA"/>
              </w:rPr>
              <w:t>&lt;0,0001</w:t>
            </w:r>
          </w:p>
          <w:p w:rsidR="00250B3B" w:rsidRPr="001416ED" w:rsidRDefault="00250B3B" w:rsidP="00175F78">
            <w:pPr>
              <w:widowControl w:val="0"/>
              <w:autoSpaceDE w:val="0"/>
              <w:autoSpaceDN w:val="0"/>
              <w:adjustRightInd w:val="0"/>
              <w:spacing w:line="360" w:lineRule="auto"/>
              <w:jc w:val="both"/>
              <w:rPr>
                <w:lang w:val="uk-UA"/>
              </w:rPr>
            </w:pPr>
          </w:p>
        </w:tc>
      </w:tr>
      <w:tr w:rsidR="00250B3B" w:rsidRPr="001416ED" w:rsidTr="00C002D9">
        <w:tc>
          <w:tcPr>
            <w:tcW w:w="1668" w:type="dxa"/>
          </w:tcPr>
          <w:p w:rsidR="00250B3B" w:rsidRPr="001416ED" w:rsidRDefault="00250B3B" w:rsidP="00F225E8">
            <w:pPr>
              <w:widowControl w:val="0"/>
              <w:autoSpaceDE w:val="0"/>
              <w:autoSpaceDN w:val="0"/>
              <w:adjustRightInd w:val="0"/>
              <w:spacing w:line="360" w:lineRule="auto"/>
              <w:jc w:val="both"/>
              <w:rPr>
                <w:lang w:val="uk-UA"/>
              </w:rPr>
            </w:pPr>
            <w:r w:rsidRPr="001416ED">
              <w:rPr>
                <w:lang w:val="uk-UA"/>
              </w:rPr>
              <w:t>р</w:t>
            </w:r>
          </w:p>
        </w:tc>
        <w:tc>
          <w:tcPr>
            <w:tcW w:w="2387" w:type="dxa"/>
          </w:tcPr>
          <w:p w:rsidR="00250B3B" w:rsidRPr="001416ED" w:rsidRDefault="00250B3B" w:rsidP="00224829">
            <w:pPr>
              <w:pStyle w:val="a3"/>
              <w:spacing w:after="0" w:line="360" w:lineRule="auto"/>
              <w:ind w:left="0"/>
            </w:pPr>
            <w:r w:rsidRPr="001416ED">
              <w:t>р</w:t>
            </w:r>
            <w:r w:rsidRPr="001416ED">
              <w:rPr>
                <w:vertAlign w:val="subscript"/>
              </w:rPr>
              <w:t>4–1</w:t>
            </w:r>
            <w:r w:rsidRPr="001416ED">
              <w:t>&lt;0,01</w:t>
            </w:r>
          </w:p>
          <w:p w:rsidR="00250B3B" w:rsidRPr="001416ED" w:rsidRDefault="00250B3B" w:rsidP="00224829">
            <w:pPr>
              <w:pStyle w:val="a3"/>
              <w:spacing w:after="0" w:line="360" w:lineRule="auto"/>
              <w:ind w:left="0"/>
            </w:pPr>
          </w:p>
        </w:tc>
        <w:tc>
          <w:tcPr>
            <w:tcW w:w="2149" w:type="dxa"/>
          </w:tcPr>
          <w:p w:rsidR="00250B3B" w:rsidRPr="001416ED" w:rsidRDefault="00250B3B" w:rsidP="00224829">
            <w:pPr>
              <w:widowControl w:val="0"/>
              <w:autoSpaceDE w:val="0"/>
              <w:autoSpaceDN w:val="0"/>
              <w:adjustRightInd w:val="0"/>
              <w:spacing w:line="360" w:lineRule="auto"/>
              <w:rPr>
                <w:lang w:val="uk-UA"/>
              </w:rPr>
            </w:pPr>
            <w:r w:rsidRPr="001416ED">
              <w:rPr>
                <w:lang w:val="uk-UA"/>
              </w:rPr>
              <w:t>р</w:t>
            </w:r>
            <w:r w:rsidRPr="001416ED">
              <w:rPr>
                <w:vertAlign w:val="subscript"/>
                <w:lang w:val="uk-UA"/>
              </w:rPr>
              <w:t>5–2</w:t>
            </w:r>
            <w:r w:rsidRPr="001416ED">
              <w:rPr>
                <w:lang w:val="uk-UA"/>
              </w:rPr>
              <w:t>&gt;0,05;</w:t>
            </w:r>
          </w:p>
          <w:p w:rsidR="00250B3B" w:rsidRPr="001416ED" w:rsidRDefault="00250B3B" w:rsidP="00224829">
            <w:pPr>
              <w:widowControl w:val="0"/>
              <w:autoSpaceDE w:val="0"/>
              <w:autoSpaceDN w:val="0"/>
              <w:adjustRightInd w:val="0"/>
              <w:spacing w:line="360" w:lineRule="auto"/>
              <w:rPr>
                <w:lang w:val="uk-UA"/>
              </w:rPr>
            </w:pPr>
            <w:r w:rsidRPr="001416ED">
              <w:rPr>
                <w:lang w:val="uk-UA"/>
              </w:rPr>
              <w:t>р</w:t>
            </w:r>
            <w:r w:rsidRPr="001416ED">
              <w:rPr>
                <w:vertAlign w:val="subscript"/>
                <w:lang w:val="uk-UA"/>
              </w:rPr>
              <w:t>7–2</w:t>
            </w:r>
            <w:r w:rsidRPr="001416ED">
              <w:rPr>
                <w:lang w:val="uk-UA"/>
              </w:rPr>
              <w:t>&lt;0,01;</w:t>
            </w:r>
          </w:p>
          <w:p w:rsidR="00250B3B" w:rsidRPr="001416ED" w:rsidRDefault="00250B3B" w:rsidP="00224829">
            <w:pPr>
              <w:widowControl w:val="0"/>
              <w:autoSpaceDE w:val="0"/>
              <w:autoSpaceDN w:val="0"/>
              <w:adjustRightInd w:val="0"/>
              <w:spacing w:line="360" w:lineRule="auto"/>
              <w:rPr>
                <w:lang w:val="uk-UA"/>
              </w:rPr>
            </w:pPr>
            <w:r w:rsidRPr="001416ED">
              <w:rPr>
                <w:lang w:val="uk-UA"/>
              </w:rPr>
              <w:t>р</w:t>
            </w:r>
            <w:r w:rsidRPr="001416ED">
              <w:rPr>
                <w:vertAlign w:val="subscript"/>
                <w:lang w:val="uk-UA"/>
              </w:rPr>
              <w:t>7–5</w:t>
            </w:r>
            <w:r w:rsidRPr="001416ED">
              <w:rPr>
                <w:lang w:val="uk-UA"/>
              </w:rPr>
              <w:t>&gt;0,05</w:t>
            </w:r>
          </w:p>
        </w:tc>
        <w:tc>
          <w:tcPr>
            <w:tcW w:w="1984" w:type="dxa"/>
          </w:tcPr>
          <w:p w:rsidR="00250B3B" w:rsidRPr="001416ED" w:rsidRDefault="00250B3B" w:rsidP="00224829">
            <w:pPr>
              <w:pStyle w:val="a3"/>
              <w:spacing w:after="0" w:line="360" w:lineRule="auto"/>
              <w:ind w:left="0"/>
              <w:rPr>
                <w:lang w:val="uk-UA"/>
              </w:rPr>
            </w:pPr>
            <w:r w:rsidRPr="001416ED">
              <w:rPr>
                <w:lang w:val="uk-UA"/>
              </w:rPr>
              <w:t>р</w:t>
            </w:r>
            <w:r w:rsidRPr="001416ED">
              <w:rPr>
                <w:vertAlign w:val="subscript"/>
                <w:lang w:val="uk-UA"/>
              </w:rPr>
              <w:t>6–3</w:t>
            </w:r>
            <w:r w:rsidRPr="001416ED">
              <w:rPr>
                <w:lang w:val="uk-UA"/>
              </w:rPr>
              <w:t>&lt;0,0001;</w:t>
            </w:r>
          </w:p>
          <w:p w:rsidR="00250B3B" w:rsidRPr="001416ED" w:rsidRDefault="00250B3B" w:rsidP="00224829">
            <w:pPr>
              <w:pStyle w:val="a3"/>
              <w:spacing w:after="0" w:line="360" w:lineRule="auto"/>
              <w:ind w:left="0"/>
              <w:rPr>
                <w:lang w:val="uk-UA"/>
              </w:rPr>
            </w:pPr>
            <w:r w:rsidRPr="001416ED">
              <w:rPr>
                <w:lang w:val="uk-UA"/>
              </w:rPr>
              <w:t>р</w:t>
            </w:r>
            <w:r w:rsidRPr="001416ED">
              <w:rPr>
                <w:vertAlign w:val="subscript"/>
                <w:lang w:val="uk-UA"/>
              </w:rPr>
              <w:t>8–3</w:t>
            </w:r>
            <w:r w:rsidRPr="001416ED">
              <w:rPr>
                <w:lang w:val="uk-UA"/>
              </w:rPr>
              <w:t>&lt;0,0001;</w:t>
            </w:r>
          </w:p>
          <w:p w:rsidR="00250B3B" w:rsidRPr="001416ED" w:rsidRDefault="00250B3B" w:rsidP="00224829">
            <w:pPr>
              <w:pStyle w:val="a3"/>
              <w:spacing w:after="0" w:line="360" w:lineRule="auto"/>
              <w:ind w:left="0"/>
              <w:rPr>
                <w:lang w:val="uk-UA"/>
              </w:rPr>
            </w:pPr>
            <w:r w:rsidRPr="001416ED">
              <w:rPr>
                <w:lang w:val="uk-UA"/>
              </w:rPr>
              <w:t>р</w:t>
            </w:r>
            <w:r w:rsidRPr="001416ED">
              <w:rPr>
                <w:vertAlign w:val="subscript"/>
                <w:lang w:val="uk-UA"/>
              </w:rPr>
              <w:t>8–6</w:t>
            </w:r>
            <w:r w:rsidRPr="001416ED">
              <w:rPr>
                <w:lang w:val="uk-UA"/>
              </w:rPr>
              <w:t xml:space="preserve">&gt;0,05 </w:t>
            </w:r>
          </w:p>
        </w:tc>
        <w:tc>
          <w:tcPr>
            <w:tcW w:w="1951" w:type="dxa"/>
          </w:tcPr>
          <w:p w:rsidR="00250B3B" w:rsidRPr="001416ED" w:rsidRDefault="00250B3B" w:rsidP="00F225E8">
            <w:pPr>
              <w:widowControl w:val="0"/>
              <w:autoSpaceDE w:val="0"/>
              <w:autoSpaceDN w:val="0"/>
              <w:adjustRightInd w:val="0"/>
              <w:spacing w:line="360" w:lineRule="auto"/>
              <w:jc w:val="both"/>
              <w:rPr>
                <w:lang w:val="uk-UA"/>
              </w:rPr>
            </w:pPr>
          </w:p>
        </w:tc>
      </w:tr>
    </w:tbl>
    <w:p w:rsidR="00EB28A0" w:rsidRPr="001416ED" w:rsidRDefault="00263945" w:rsidP="002417A6">
      <w:pPr>
        <w:widowControl w:val="0"/>
        <w:autoSpaceDE w:val="0"/>
        <w:autoSpaceDN w:val="0"/>
        <w:adjustRightInd w:val="0"/>
        <w:spacing w:before="240" w:line="360" w:lineRule="auto"/>
        <w:ind w:firstLine="720"/>
        <w:jc w:val="both"/>
        <w:rPr>
          <w:lang w:val="uk-UA"/>
        </w:rPr>
      </w:pPr>
      <w:r w:rsidRPr="001416ED">
        <w:rPr>
          <w:lang w:val="uk-UA"/>
        </w:rPr>
        <w:t>Вс</w:t>
      </w:r>
      <w:r w:rsidR="00EB28A0" w:rsidRPr="001416ED">
        <w:rPr>
          <w:lang w:val="uk-UA"/>
        </w:rPr>
        <w:t xml:space="preserve">тановлено, </w:t>
      </w:r>
      <w:r w:rsidR="007C3899" w:rsidRPr="001416ED">
        <w:rPr>
          <w:lang w:val="uk-UA"/>
        </w:rPr>
        <w:t>що у чоловіків з групи контролю</w:t>
      </w:r>
      <w:r w:rsidR="00EB28A0" w:rsidRPr="001416ED">
        <w:rPr>
          <w:lang w:val="uk-UA"/>
        </w:rPr>
        <w:t xml:space="preserve"> </w:t>
      </w:r>
      <w:r w:rsidR="007C3899" w:rsidRPr="001416ED">
        <w:rPr>
          <w:lang w:val="uk-UA"/>
        </w:rPr>
        <w:t>достовірно частіше фіксували</w:t>
      </w:r>
      <w:r w:rsidR="00EB28A0" w:rsidRPr="001416ED">
        <w:rPr>
          <w:lang w:val="uk-UA"/>
        </w:rPr>
        <w:t xml:space="preserve"> нормальн</w:t>
      </w:r>
      <w:r w:rsidR="007C3899" w:rsidRPr="001416ED">
        <w:rPr>
          <w:lang w:val="uk-UA"/>
        </w:rPr>
        <w:t xml:space="preserve">у </w:t>
      </w:r>
      <w:r w:rsidR="00E733D7" w:rsidRPr="001416ED">
        <w:rPr>
          <w:lang w:val="uk-UA"/>
        </w:rPr>
        <w:t>мас</w:t>
      </w:r>
      <w:r w:rsidR="00224829" w:rsidRPr="001416ED">
        <w:rPr>
          <w:lang w:val="uk-UA"/>
        </w:rPr>
        <w:t>у</w:t>
      </w:r>
      <w:r w:rsidR="00E733D7" w:rsidRPr="001416ED">
        <w:rPr>
          <w:lang w:val="uk-UA"/>
        </w:rPr>
        <w:t xml:space="preserve"> тіла</w:t>
      </w:r>
      <w:r w:rsidR="00EB28A0" w:rsidRPr="001416ED">
        <w:rPr>
          <w:lang w:val="uk-UA"/>
        </w:rPr>
        <w:t xml:space="preserve">, </w:t>
      </w:r>
      <w:r w:rsidR="007C3899" w:rsidRPr="001416ED">
        <w:rPr>
          <w:lang w:val="uk-UA"/>
        </w:rPr>
        <w:t>у осіб з ГХ ІІ ст. – нормальну масу тіла виявляли частіше, ніж ожиріння І ст., проте не було різниці з</w:t>
      </w:r>
      <w:r w:rsidR="00E733D7" w:rsidRPr="001416ED">
        <w:rPr>
          <w:lang w:val="uk-UA"/>
        </w:rPr>
        <w:t xml:space="preserve"> частотою встановлення</w:t>
      </w:r>
      <w:r w:rsidR="007C3899" w:rsidRPr="001416ED">
        <w:rPr>
          <w:lang w:val="uk-UA"/>
        </w:rPr>
        <w:t xml:space="preserve"> надмірно</w:t>
      </w:r>
      <w:r w:rsidR="00E733D7" w:rsidRPr="001416ED">
        <w:rPr>
          <w:lang w:val="uk-UA"/>
        </w:rPr>
        <w:t>ї</w:t>
      </w:r>
      <w:r w:rsidR="007C3899" w:rsidRPr="001416ED">
        <w:rPr>
          <w:lang w:val="uk-UA"/>
        </w:rPr>
        <w:t xml:space="preserve"> ваг</w:t>
      </w:r>
      <w:r w:rsidR="00E733D7" w:rsidRPr="001416ED">
        <w:rPr>
          <w:lang w:val="uk-UA"/>
        </w:rPr>
        <w:t>и тіла</w:t>
      </w:r>
      <w:r w:rsidR="007C3899" w:rsidRPr="001416ED">
        <w:rPr>
          <w:lang w:val="uk-UA"/>
        </w:rPr>
        <w:t>. У</w:t>
      </w:r>
      <w:r w:rsidR="00E733D7" w:rsidRPr="001416ED">
        <w:rPr>
          <w:lang w:val="uk-UA"/>
        </w:rPr>
        <w:t xml:space="preserve"> </w:t>
      </w:r>
      <w:r w:rsidR="00EB28A0" w:rsidRPr="001416ED">
        <w:rPr>
          <w:lang w:val="uk-UA"/>
        </w:rPr>
        <w:t xml:space="preserve">пацієнтів з </w:t>
      </w:r>
      <w:r w:rsidR="007C3899" w:rsidRPr="001416ED">
        <w:rPr>
          <w:lang w:val="uk-UA"/>
        </w:rPr>
        <w:t xml:space="preserve">ГХ ІІІ ст. </w:t>
      </w:r>
      <w:r w:rsidR="00EB28A0" w:rsidRPr="001416ED">
        <w:rPr>
          <w:lang w:val="uk-UA"/>
        </w:rPr>
        <w:t>вірогідно переважа</w:t>
      </w:r>
      <w:r w:rsidR="00CB4685" w:rsidRPr="001416ED">
        <w:rPr>
          <w:lang w:val="uk-UA"/>
        </w:rPr>
        <w:t xml:space="preserve">ла </w:t>
      </w:r>
      <w:r w:rsidR="00EB28A0" w:rsidRPr="001416ED">
        <w:rPr>
          <w:lang w:val="uk-UA"/>
        </w:rPr>
        <w:t>надмірна маса тіла та ожиріння І ступеня.</w:t>
      </w:r>
    </w:p>
    <w:p w:rsidR="002417A6" w:rsidRPr="001416ED" w:rsidRDefault="007E6546" w:rsidP="000F6138">
      <w:pPr>
        <w:widowControl w:val="0"/>
        <w:autoSpaceDE w:val="0"/>
        <w:autoSpaceDN w:val="0"/>
        <w:adjustRightInd w:val="0"/>
        <w:spacing w:line="360" w:lineRule="auto"/>
        <w:ind w:firstLine="720"/>
        <w:jc w:val="both"/>
        <w:rPr>
          <w:lang w:val="uk-UA"/>
        </w:rPr>
      </w:pPr>
      <w:r w:rsidRPr="001416ED">
        <w:rPr>
          <w:lang w:val="uk-UA"/>
        </w:rPr>
        <w:t>При порівнянні частот</w:t>
      </w:r>
      <w:r w:rsidR="003E50E4" w:rsidRPr="001416ED">
        <w:rPr>
          <w:lang w:val="uk-UA"/>
        </w:rPr>
        <w:t xml:space="preserve"> показників</w:t>
      </w:r>
      <w:r w:rsidRPr="001416ED">
        <w:rPr>
          <w:lang w:val="uk-UA"/>
        </w:rPr>
        <w:t xml:space="preserve"> ІМТ у осіб чоловічої статі з різних груп дослідження, визначено, що нормальна маса тіла достовірно частіше зустріча</w:t>
      </w:r>
      <w:r w:rsidR="00CB4685" w:rsidRPr="001416ED">
        <w:rPr>
          <w:lang w:val="uk-UA"/>
        </w:rPr>
        <w:t>лась</w:t>
      </w:r>
      <w:r w:rsidRPr="001416ED">
        <w:rPr>
          <w:lang w:val="uk-UA"/>
        </w:rPr>
        <w:t xml:space="preserve"> у пацієнтів з групи контролю. Однак</w:t>
      </w:r>
      <w:r w:rsidR="003E50E4" w:rsidRPr="001416ED">
        <w:rPr>
          <w:lang w:val="uk-UA"/>
        </w:rPr>
        <w:t>,</w:t>
      </w:r>
      <w:r w:rsidRPr="001416ED">
        <w:rPr>
          <w:lang w:val="uk-UA"/>
        </w:rPr>
        <w:t xml:space="preserve"> немає вірогідної різниці у частоті </w:t>
      </w:r>
      <w:r w:rsidR="003E50E4" w:rsidRPr="001416ED">
        <w:rPr>
          <w:lang w:val="uk-UA"/>
        </w:rPr>
        <w:t>випадків</w:t>
      </w:r>
      <w:r w:rsidRPr="001416ED">
        <w:rPr>
          <w:lang w:val="uk-UA"/>
        </w:rPr>
        <w:t xml:space="preserve"> надмірної маси тіла між пацієнтами </w:t>
      </w:r>
      <w:r w:rsidR="003E50E4" w:rsidRPr="001416ED">
        <w:rPr>
          <w:lang w:val="uk-UA"/>
        </w:rPr>
        <w:t xml:space="preserve">з </w:t>
      </w:r>
      <w:r w:rsidRPr="001416ED">
        <w:rPr>
          <w:lang w:val="uk-UA"/>
        </w:rPr>
        <w:t>груп обстеження.</w:t>
      </w:r>
      <w:r w:rsidR="00EB2875" w:rsidRPr="001416ED">
        <w:rPr>
          <w:lang w:val="uk-UA"/>
        </w:rPr>
        <w:t xml:space="preserve"> Ожиріння І ступеня достовірно частіше зустрічалось у пацієнтів з ГХ </w:t>
      </w:r>
      <w:r w:rsidR="003E50E4" w:rsidRPr="001416ED">
        <w:rPr>
          <w:lang w:val="uk-UA"/>
        </w:rPr>
        <w:t>І</w:t>
      </w:r>
      <w:r w:rsidR="00EB2875" w:rsidRPr="001416ED">
        <w:rPr>
          <w:lang w:val="uk-UA"/>
        </w:rPr>
        <w:t>ІІ ст.</w:t>
      </w:r>
    </w:p>
    <w:p w:rsidR="00A0215A" w:rsidRPr="001416ED" w:rsidRDefault="00A0215A" w:rsidP="00E80FF6">
      <w:pPr>
        <w:pStyle w:val="a3"/>
        <w:spacing w:after="0" w:line="360" w:lineRule="auto"/>
        <w:ind w:left="0" w:firstLine="709"/>
        <w:jc w:val="both"/>
        <w:rPr>
          <w:strike/>
          <w:lang w:val="uk-UA"/>
        </w:rPr>
      </w:pPr>
      <w:r w:rsidRPr="001416ED">
        <w:rPr>
          <w:lang w:val="uk-UA"/>
        </w:rPr>
        <w:t>Серед хворих на ГХ ІІ ст</w:t>
      </w:r>
      <w:r w:rsidR="005C3F64" w:rsidRPr="001416ED">
        <w:rPr>
          <w:lang w:val="uk-UA"/>
        </w:rPr>
        <w:t>.</w:t>
      </w:r>
      <w:r w:rsidRPr="001416ED">
        <w:rPr>
          <w:lang w:val="uk-UA"/>
        </w:rPr>
        <w:t xml:space="preserve"> скарги</w:t>
      </w:r>
      <w:r w:rsidR="00B01342" w:rsidRPr="001416ED">
        <w:rPr>
          <w:lang w:val="uk-UA"/>
        </w:rPr>
        <w:t xml:space="preserve"> на головні болі висловлювали 42</w:t>
      </w:r>
      <w:r w:rsidRPr="001416ED">
        <w:rPr>
          <w:lang w:val="uk-UA"/>
        </w:rPr>
        <w:t xml:space="preserve"> (</w:t>
      </w:r>
      <w:r w:rsidR="00B01342" w:rsidRPr="001416ED">
        <w:rPr>
          <w:lang w:val="uk-UA"/>
        </w:rPr>
        <w:t>67,74</w:t>
      </w:r>
      <w:r w:rsidR="00CB4685" w:rsidRPr="001416ED">
        <w:rPr>
          <w:lang w:val="uk-UA"/>
        </w:rPr>
        <w:t xml:space="preserve"> </w:t>
      </w:r>
      <w:r w:rsidR="00D4219F" w:rsidRPr="001416ED">
        <w:rPr>
          <w:lang w:val="uk-UA"/>
        </w:rPr>
        <w:t>%</w:t>
      </w:r>
      <w:r w:rsidRPr="001416ED">
        <w:rPr>
          <w:lang w:val="uk-UA"/>
        </w:rPr>
        <w:t xml:space="preserve">) хворих, на мерехтіння мушок перед очима </w:t>
      </w:r>
      <w:r w:rsidR="00BC0119" w:rsidRPr="001416ED">
        <w:rPr>
          <w:lang w:val="uk-UA"/>
        </w:rPr>
        <w:t>–</w:t>
      </w:r>
      <w:r w:rsidRPr="001416ED">
        <w:rPr>
          <w:lang w:val="uk-UA"/>
        </w:rPr>
        <w:t xml:space="preserve"> </w:t>
      </w:r>
      <w:r w:rsidR="00B01342" w:rsidRPr="001416ED">
        <w:rPr>
          <w:lang w:val="uk-UA"/>
        </w:rPr>
        <w:t>25</w:t>
      </w:r>
      <w:r w:rsidRPr="001416ED">
        <w:rPr>
          <w:lang w:val="uk-UA"/>
        </w:rPr>
        <w:t xml:space="preserve"> (</w:t>
      </w:r>
      <w:r w:rsidR="00B01342" w:rsidRPr="001416ED">
        <w:rPr>
          <w:lang w:val="uk-UA"/>
        </w:rPr>
        <w:t>40,32</w:t>
      </w:r>
      <w:r w:rsidR="00CB4685" w:rsidRPr="001416ED">
        <w:rPr>
          <w:lang w:val="uk-UA"/>
        </w:rPr>
        <w:t xml:space="preserve"> </w:t>
      </w:r>
      <w:r w:rsidR="00D4219F" w:rsidRPr="001416ED">
        <w:rPr>
          <w:lang w:val="uk-UA"/>
        </w:rPr>
        <w:t>%</w:t>
      </w:r>
      <w:r w:rsidRPr="001416ED">
        <w:rPr>
          <w:lang w:val="uk-UA"/>
        </w:rPr>
        <w:t xml:space="preserve">) осіб, на запаморочення </w:t>
      </w:r>
      <w:r w:rsidR="00BC0119" w:rsidRPr="001416ED">
        <w:rPr>
          <w:lang w:val="uk-UA"/>
        </w:rPr>
        <w:t>–</w:t>
      </w:r>
      <w:r w:rsidRPr="001416ED">
        <w:rPr>
          <w:lang w:val="uk-UA"/>
        </w:rPr>
        <w:t xml:space="preserve"> 2</w:t>
      </w:r>
      <w:r w:rsidR="00B01342" w:rsidRPr="001416ED">
        <w:rPr>
          <w:lang w:val="uk-UA"/>
        </w:rPr>
        <w:t>0</w:t>
      </w:r>
      <w:r w:rsidRPr="001416ED">
        <w:rPr>
          <w:lang w:val="uk-UA"/>
        </w:rPr>
        <w:t xml:space="preserve"> (</w:t>
      </w:r>
      <w:r w:rsidR="00B01342" w:rsidRPr="001416ED">
        <w:rPr>
          <w:lang w:val="uk-UA"/>
        </w:rPr>
        <w:t>32,26</w:t>
      </w:r>
      <w:r w:rsidR="00CB4685" w:rsidRPr="001416ED">
        <w:rPr>
          <w:lang w:val="uk-UA"/>
        </w:rPr>
        <w:t xml:space="preserve"> </w:t>
      </w:r>
      <w:r w:rsidR="00D4219F" w:rsidRPr="001416ED">
        <w:rPr>
          <w:lang w:val="uk-UA"/>
        </w:rPr>
        <w:t>%</w:t>
      </w:r>
      <w:r w:rsidRPr="001416ED">
        <w:rPr>
          <w:lang w:val="uk-UA"/>
        </w:rPr>
        <w:t xml:space="preserve">), на  шум </w:t>
      </w:r>
      <w:r w:rsidR="00F515A3" w:rsidRPr="001416ED">
        <w:rPr>
          <w:lang w:val="uk-UA"/>
        </w:rPr>
        <w:t>в голові</w:t>
      </w:r>
      <w:r w:rsidRPr="001416ED">
        <w:rPr>
          <w:lang w:val="uk-UA"/>
        </w:rPr>
        <w:t xml:space="preserve"> – </w:t>
      </w:r>
      <w:r w:rsidR="00F515A3" w:rsidRPr="001416ED">
        <w:rPr>
          <w:lang w:val="uk-UA"/>
        </w:rPr>
        <w:t>38</w:t>
      </w:r>
      <w:r w:rsidRPr="001416ED">
        <w:rPr>
          <w:lang w:val="uk-UA"/>
        </w:rPr>
        <w:t xml:space="preserve"> (</w:t>
      </w:r>
      <w:r w:rsidR="00F515A3" w:rsidRPr="001416ED">
        <w:rPr>
          <w:lang w:val="uk-UA"/>
        </w:rPr>
        <w:t>61,29</w:t>
      </w:r>
      <w:r w:rsidR="00CB4685" w:rsidRPr="001416ED">
        <w:rPr>
          <w:lang w:val="uk-UA"/>
        </w:rPr>
        <w:t xml:space="preserve"> </w:t>
      </w:r>
      <w:r w:rsidR="00D4219F" w:rsidRPr="001416ED">
        <w:rPr>
          <w:lang w:val="uk-UA"/>
        </w:rPr>
        <w:t>%</w:t>
      </w:r>
      <w:r w:rsidRPr="001416ED">
        <w:rPr>
          <w:lang w:val="uk-UA"/>
        </w:rPr>
        <w:t xml:space="preserve">) пацієнтів, на болі в ділянці серці колючого характеру незалежно від фізичного навантаження </w:t>
      </w:r>
      <w:r w:rsidR="00BC0119" w:rsidRPr="001416ED">
        <w:rPr>
          <w:lang w:val="uk-UA"/>
        </w:rPr>
        <w:t>–</w:t>
      </w:r>
      <w:r w:rsidRPr="001416ED">
        <w:rPr>
          <w:lang w:val="uk-UA"/>
        </w:rPr>
        <w:t xml:space="preserve"> </w:t>
      </w:r>
      <w:r w:rsidR="00F515A3" w:rsidRPr="001416ED">
        <w:rPr>
          <w:lang w:val="uk-UA"/>
        </w:rPr>
        <w:t>2</w:t>
      </w:r>
      <w:r w:rsidRPr="001416ED">
        <w:rPr>
          <w:lang w:val="uk-UA"/>
        </w:rPr>
        <w:t>6 (</w:t>
      </w:r>
      <w:r w:rsidR="00F515A3" w:rsidRPr="001416ED">
        <w:rPr>
          <w:lang w:val="uk-UA"/>
        </w:rPr>
        <w:t>41,94</w:t>
      </w:r>
      <w:r w:rsidR="00CB4685" w:rsidRPr="001416ED">
        <w:rPr>
          <w:lang w:val="uk-UA"/>
        </w:rPr>
        <w:t xml:space="preserve"> </w:t>
      </w:r>
      <w:r w:rsidR="00D4219F" w:rsidRPr="001416ED">
        <w:rPr>
          <w:lang w:val="uk-UA"/>
        </w:rPr>
        <w:t>%</w:t>
      </w:r>
      <w:r w:rsidRPr="001416ED">
        <w:rPr>
          <w:lang w:val="uk-UA"/>
        </w:rPr>
        <w:t xml:space="preserve">) хворих, на періодично виникаючі відчуття серцебиття та перебоїв у роботі серця </w:t>
      </w:r>
      <w:r w:rsidR="00BC0119" w:rsidRPr="001416ED">
        <w:rPr>
          <w:lang w:val="uk-UA"/>
        </w:rPr>
        <w:t>–</w:t>
      </w:r>
      <w:r w:rsidRPr="001416ED">
        <w:rPr>
          <w:lang w:val="uk-UA"/>
        </w:rPr>
        <w:t xml:space="preserve"> </w:t>
      </w:r>
      <w:r w:rsidR="00F515A3" w:rsidRPr="001416ED">
        <w:rPr>
          <w:lang w:val="uk-UA"/>
        </w:rPr>
        <w:t>1</w:t>
      </w:r>
      <w:r w:rsidRPr="001416ED">
        <w:rPr>
          <w:lang w:val="uk-UA"/>
        </w:rPr>
        <w:t>0 (</w:t>
      </w:r>
      <w:r w:rsidR="00F515A3" w:rsidRPr="001416ED">
        <w:rPr>
          <w:lang w:val="uk-UA"/>
        </w:rPr>
        <w:t>16,13</w:t>
      </w:r>
      <w:r w:rsidR="00CB4685" w:rsidRPr="001416ED">
        <w:rPr>
          <w:lang w:val="uk-UA"/>
        </w:rPr>
        <w:t xml:space="preserve"> </w:t>
      </w:r>
      <w:r w:rsidR="00D4219F" w:rsidRPr="001416ED">
        <w:rPr>
          <w:lang w:val="uk-UA"/>
        </w:rPr>
        <w:t>%</w:t>
      </w:r>
      <w:r w:rsidRPr="001416ED">
        <w:rPr>
          <w:lang w:val="uk-UA"/>
        </w:rPr>
        <w:t>) осіб</w:t>
      </w:r>
      <w:r w:rsidR="004E07BB" w:rsidRPr="001416ED">
        <w:rPr>
          <w:lang w:val="uk-UA"/>
        </w:rPr>
        <w:t>.</w:t>
      </w:r>
      <w:r w:rsidR="00F515A3" w:rsidRPr="001416ED">
        <w:rPr>
          <w:lang w:val="uk-UA"/>
        </w:rPr>
        <w:t xml:space="preserve"> </w:t>
      </w:r>
      <w:r w:rsidR="004E07BB" w:rsidRPr="001416ED">
        <w:rPr>
          <w:lang w:val="uk-UA"/>
        </w:rPr>
        <w:t xml:space="preserve">10 </w:t>
      </w:r>
      <w:r w:rsidR="007A61A2" w:rsidRPr="001416ED">
        <w:rPr>
          <w:lang w:val="uk-UA"/>
        </w:rPr>
        <w:t>чоловіків</w:t>
      </w:r>
      <w:r w:rsidR="004E07BB" w:rsidRPr="001416ED">
        <w:rPr>
          <w:lang w:val="uk-UA"/>
        </w:rPr>
        <w:t xml:space="preserve"> (16,1</w:t>
      </w:r>
      <w:r w:rsidR="00D73AF9" w:rsidRPr="001416ED">
        <w:rPr>
          <w:lang w:val="uk-UA"/>
        </w:rPr>
        <w:t>3</w:t>
      </w:r>
      <w:r w:rsidR="004E07BB" w:rsidRPr="001416ED">
        <w:rPr>
          <w:lang w:val="uk-UA"/>
        </w:rPr>
        <w:t xml:space="preserve"> %) висловлювали появу задишки змішаного характеру</w:t>
      </w:r>
      <w:r w:rsidR="00F621A2" w:rsidRPr="001416ED">
        <w:rPr>
          <w:lang w:val="uk-UA"/>
        </w:rPr>
        <w:t xml:space="preserve">, </w:t>
      </w:r>
      <w:r w:rsidR="00224829" w:rsidRPr="001416ED">
        <w:rPr>
          <w:lang w:val="uk-UA"/>
        </w:rPr>
        <w:t xml:space="preserve">серцебиття, </w:t>
      </w:r>
      <w:r w:rsidR="00F621A2" w:rsidRPr="001416ED">
        <w:rPr>
          <w:lang w:val="uk-UA"/>
        </w:rPr>
        <w:t>загальну слабкість</w:t>
      </w:r>
      <w:r w:rsidR="00917931" w:rsidRPr="001416ED">
        <w:rPr>
          <w:lang w:val="uk-UA"/>
        </w:rPr>
        <w:t xml:space="preserve"> та</w:t>
      </w:r>
      <w:r w:rsidR="00F621A2" w:rsidRPr="001416ED">
        <w:rPr>
          <w:lang w:val="uk-UA"/>
        </w:rPr>
        <w:t xml:space="preserve"> втомлюваність</w:t>
      </w:r>
      <w:r w:rsidR="004E07BB" w:rsidRPr="001416ED">
        <w:rPr>
          <w:lang w:val="uk-UA"/>
        </w:rPr>
        <w:t xml:space="preserve"> при надмірному фізичному навантаженні. </w:t>
      </w:r>
    </w:p>
    <w:p w:rsidR="00C7556D" w:rsidRPr="001416ED" w:rsidRDefault="00C7556D" w:rsidP="00C7556D">
      <w:pPr>
        <w:spacing w:line="360" w:lineRule="auto"/>
        <w:ind w:firstLine="708"/>
        <w:jc w:val="both"/>
        <w:rPr>
          <w:strike/>
          <w:lang w:val="uk-UA"/>
        </w:rPr>
      </w:pPr>
      <w:r w:rsidRPr="001416ED">
        <w:rPr>
          <w:lang w:val="uk-UA"/>
        </w:rPr>
        <w:t>При фізикальному обстежені хворих на ГХ ІІ ст</w:t>
      </w:r>
      <w:r w:rsidR="004E07BB" w:rsidRPr="001416ED">
        <w:rPr>
          <w:lang w:val="uk-UA"/>
        </w:rPr>
        <w:t xml:space="preserve">. </w:t>
      </w:r>
      <w:r w:rsidRPr="001416ED">
        <w:rPr>
          <w:lang w:val="uk-UA"/>
        </w:rPr>
        <w:t>посилений серцевий поштовх реєструва</w:t>
      </w:r>
      <w:r w:rsidR="00CB4685" w:rsidRPr="001416ED">
        <w:rPr>
          <w:lang w:val="uk-UA"/>
        </w:rPr>
        <w:t xml:space="preserve">ли </w:t>
      </w:r>
      <w:r w:rsidRPr="001416ED">
        <w:rPr>
          <w:lang w:val="uk-UA"/>
        </w:rPr>
        <w:t>у 46 (74,19</w:t>
      </w:r>
      <w:r w:rsidR="004E07BB" w:rsidRPr="001416ED">
        <w:rPr>
          <w:lang w:val="uk-UA"/>
        </w:rPr>
        <w:t xml:space="preserve"> </w:t>
      </w:r>
      <w:r w:rsidR="00D4219F" w:rsidRPr="001416ED">
        <w:rPr>
          <w:lang w:val="uk-UA"/>
        </w:rPr>
        <w:t>%</w:t>
      </w:r>
      <w:r w:rsidRPr="001416ED">
        <w:rPr>
          <w:lang w:val="uk-UA"/>
        </w:rPr>
        <w:t xml:space="preserve">), зміщення лівої межі серця </w:t>
      </w:r>
      <w:r w:rsidR="000C20E0">
        <w:rPr>
          <w:lang w:val="uk-UA"/>
        </w:rPr>
        <w:t xml:space="preserve">назовні від лівої </w:t>
      </w:r>
      <w:r w:rsidR="000C20E0">
        <w:rPr>
          <w:lang w:val="uk-UA"/>
        </w:rPr>
        <w:lastRenderedPageBreak/>
        <w:t xml:space="preserve">середньоключичиної лінії </w:t>
      </w:r>
      <w:r w:rsidRPr="001416ED">
        <w:rPr>
          <w:lang w:val="uk-UA"/>
        </w:rPr>
        <w:t xml:space="preserve">– у </w:t>
      </w:r>
      <w:r w:rsidR="00005D2C" w:rsidRPr="001416ED">
        <w:rPr>
          <w:lang w:val="uk-UA"/>
        </w:rPr>
        <w:t>5</w:t>
      </w:r>
      <w:r w:rsidRPr="001416ED">
        <w:rPr>
          <w:lang w:val="uk-UA"/>
        </w:rPr>
        <w:t>2 (8</w:t>
      </w:r>
      <w:r w:rsidR="00005D2C" w:rsidRPr="001416ED">
        <w:rPr>
          <w:lang w:val="uk-UA"/>
        </w:rPr>
        <w:t>3,87</w:t>
      </w:r>
      <w:r w:rsidR="00CB4685" w:rsidRPr="001416ED">
        <w:rPr>
          <w:lang w:val="uk-UA"/>
        </w:rPr>
        <w:t xml:space="preserve"> </w:t>
      </w:r>
      <w:r w:rsidR="00D4219F" w:rsidRPr="001416ED">
        <w:rPr>
          <w:lang w:val="uk-UA"/>
        </w:rPr>
        <w:t>%</w:t>
      </w:r>
      <w:r w:rsidRPr="001416ED">
        <w:rPr>
          <w:lang w:val="uk-UA"/>
        </w:rPr>
        <w:t xml:space="preserve">) хворих. При аускультації ослаблення І тону на верхівці серця спостерігали у </w:t>
      </w:r>
      <w:r w:rsidR="00005D2C" w:rsidRPr="001416ED">
        <w:rPr>
          <w:lang w:val="uk-UA"/>
        </w:rPr>
        <w:t>55</w:t>
      </w:r>
      <w:r w:rsidRPr="001416ED">
        <w:rPr>
          <w:lang w:val="uk-UA"/>
        </w:rPr>
        <w:t xml:space="preserve"> (8</w:t>
      </w:r>
      <w:r w:rsidR="00005D2C" w:rsidRPr="001416ED">
        <w:rPr>
          <w:lang w:val="uk-UA"/>
        </w:rPr>
        <w:t>8,71</w:t>
      </w:r>
      <w:r w:rsidR="00CB4685" w:rsidRPr="001416ED">
        <w:rPr>
          <w:lang w:val="uk-UA"/>
        </w:rPr>
        <w:t xml:space="preserve"> </w:t>
      </w:r>
      <w:r w:rsidR="00D4219F" w:rsidRPr="001416ED">
        <w:rPr>
          <w:lang w:val="uk-UA"/>
        </w:rPr>
        <w:t>%</w:t>
      </w:r>
      <w:r w:rsidR="004E07BB" w:rsidRPr="001416ED">
        <w:rPr>
          <w:lang w:val="uk-UA"/>
        </w:rPr>
        <w:t>) хворих на ГХ ІІ ст.</w:t>
      </w:r>
      <w:r w:rsidRPr="001416ED">
        <w:rPr>
          <w:lang w:val="uk-UA"/>
        </w:rPr>
        <w:t xml:space="preserve">, акцент ІІ тону над аортою  </w:t>
      </w:r>
      <w:r w:rsidR="00BC0119" w:rsidRPr="001416ED">
        <w:rPr>
          <w:lang w:val="uk-UA"/>
        </w:rPr>
        <w:t>–</w:t>
      </w:r>
      <w:r w:rsidRPr="001416ED">
        <w:rPr>
          <w:lang w:val="uk-UA"/>
        </w:rPr>
        <w:t xml:space="preserve"> у </w:t>
      </w:r>
      <w:r w:rsidR="00005D2C" w:rsidRPr="001416ED">
        <w:rPr>
          <w:lang w:val="uk-UA"/>
        </w:rPr>
        <w:t>59</w:t>
      </w:r>
      <w:r w:rsidRPr="001416ED">
        <w:rPr>
          <w:lang w:val="uk-UA"/>
        </w:rPr>
        <w:t xml:space="preserve"> (9</w:t>
      </w:r>
      <w:r w:rsidR="00005D2C" w:rsidRPr="001416ED">
        <w:rPr>
          <w:lang w:val="uk-UA"/>
        </w:rPr>
        <w:t>5,16</w:t>
      </w:r>
      <w:r w:rsidR="00CB4685" w:rsidRPr="001416ED">
        <w:rPr>
          <w:lang w:val="uk-UA"/>
        </w:rPr>
        <w:t xml:space="preserve"> </w:t>
      </w:r>
      <w:r w:rsidR="00D4219F" w:rsidRPr="001416ED">
        <w:rPr>
          <w:lang w:val="uk-UA"/>
        </w:rPr>
        <w:t>%</w:t>
      </w:r>
      <w:r w:rsidRPr="001416ED">
        <w:rPr>
          <w:lang w:val="uk-UA"/>
        </w:rPr>
        <w:t xml:space="preserve">). </w:t>
      </w:r>
    </w:p>
    <w:p w:rsidR="00C002D9" w:rsidRPr="001416ED" w:rsidRDefault="009A3A61" w:rsidP="00C002D9">
      <w:pPr>
        <w:spacing w:line="360" w:lineRule="auto"/>
        <w:ind w:firstLine="708"/>
        <w:jc w:val="both"/>
        <w:rPr>
          <w:lang w:val="uk-UA"/>
        </w:rPr>
      </w:pPr>
      <w:r w:rsidRPr="001416ED">
        <w:rPr>
          <w:lang w:val="uk-UA"/>
        </w:rPr>
        <w:t>При аналізі ЕКГ серед хворих на ГХ ІІ ст. у</w:t>
      </w:r>
      <w:r w:rsidR="00156DEB" w:rsidRPr="001416ED">
        <w:rPr>
          <w:lang w:val="uk-UA"/>
        </w:rPr>
        <w:t xml:space="preserve"> 35 (56,45</w:t>
      </w:r>
      <w:r w:rsidR="00CB4685" w:rsidRPr="001416ED">
        <w:rPr>
          <w:lang w:val="uk-UA"/>
        </w:rPr>
        <w:t xml:space="preserve"> </w:t>
      </w:r>
      <w:r w:rsidR="00D4219F" w:rsidRPr="001416ED">
        <w:rPr>
          <w:lang w:val="uk-UA"/>
        </w:rPr>
        <w:t>%</w:t>
      </w:r>
      <w:r w:rsidR="00F73C17" w:rsidRPr="001416ED">
        <w:rPr>
          <w:lang w:val="uk-UA"/>
        </w:rPr>
        <w:t>) чоловіків визнача</w:t>
      </w:r>
      <w:r w:rsidR="00CB4685" w:rsidRPr="001416ED">
        <w:rPr>
          <w:lang w:val="uk-UA"/>
        </w:rPr>
        <w:t>ли</w:t>
      </w:r>
      <w:r w:rsidR="00156DEB" w:rsidRPr="001416ED">
        <w:rPr>
          <w:lang w:val="uk-UA"/>
        </w:rPr>
        <w:t xml:space="preserve"> нормальн</w:t>
      </w:r>
      <w:r w:rsidR="000C20E0">
        <w:rPr>
          <w:lang w:val="uk-UA"/>
        </w:rPr>
        <w:t>у</w:t>
      </w:r>
      <w:r w:rsidR="00156DEB" w:rsidRPr="001416ED">
        <w:rPr>
          <w:lang w:val="uk-UA"/>
        </w:rPr>
        <w:t xml:space="preserve"> частота ритму, у</w:t>
      </w:r>
      <w:r w:rsidRPr="001416ED">
        <w:rPr>
          <w:lang w:val="uk-UA"/>
        </w:rPr>
        <w:t xml:space="preserve"> </w:t>
      </w:r>
      <w:r w:rsidR="00156DEB" w:rsidRPr="001416ED">
        <w:rPr>
          <w:lang w:val="uk-UA"/>
        </w:rPr>
        <w:t>21</w:t>
      </w:r>
      <w:r w:rsidRPr="001416ED">
        <w:rPr>
          <w:lang w:val="uk-UA"/>
        </w:rPr>
        <w:t xml:space="preserve"> (3</w:t>
      </w:r>
      <w:r w:rsidR="00156DEB" w:rsidRPr="001416ED">
        <w:rPr>
          <w:lang w:val="uk-UA"/>
        </w:rPr>
        <w:t>3,87</w:t>
      </w:r>
      <w:r w:rsidR="00CB4685" w:rsidRPr="001416ED">
        <w:rPr>
          <w:lang w:val="uk-UA"/>
        </w:rPr>
        <w:t xml:space="preserve"> </w:t>
      </w:r>
      <w:r w:rsidR="00D4219F" w:rsidRPr="001416ED">
        <w:rPr>
          <w:lang w:val="uk-UA"/>
        </w:rPr>
        <w:t>%</w:t>
      </w:r>
      <w:r w:rsidRPr="001416ED">
        <w:rPr>
          <w:lang w:val="uk-UA"/>
        </w:rPr>
        <w:t>) пацієнт</w:t>
      </w:r>
      <w:r w:rsidR="00A666A3" w:rsidRPr="001416ED">
        <w:rPr>
          <w:lang w:val="uk-UA"/>
        </w:rPr>
        <w:t>а</w:t>
      </w:r>
      <w:r w:rsidR="00F73C17" w:rsidRPr="001416ED">
        <w:rPr>
          <w:lang w:val="uk-UA"/>
        </w:rPr>
        <w:t xml:space="preserve"> спостеріга</w:t>
      </w:r>
      <w:r w:rsidR="00CB4685" w:rsidRPr="001416ED">
        <w:rPr>
          <w:lang w:val="uk-UA"/>
        </w:rPr>
        <w:t xml:space="preserve">ли </w:t>
      </w:r>
      <w:r w:rsidRPr="001416ED">
        <w:rPr>
          <w:lang w:val="uk-UA"/>
        </w:rPr>
        <w:t>синусов</w:t>
      </w:r>
      <w:r w:rsidR="00CB4685" w:rsidRPr="001416ED">
        <w:rPr>
          <w:lang w:val="uk-UA"/>
        </w:rPr>
        <w:t>у</w:t>
      </w:r>
      <w:r w:rsidRPr="001416ED">
        <w:rPr>
          <w:lang w:val="uk-UA"/>
        </w:rPr>
        <w:t xml:space="preserve"> тахікарді</w:t>
      </w:r>
      <w:r w:rsidR="00CB4685" w:rsidRPr="001416ED">
        <w:rPr>
          <w:lang w:val="uk-UA"/>
        </w:rPr>
        <w:t>ю</w:t>
      </w:r>
      <w:r w:rsidRPr="001416ED">
        <w:rPr>
          <w:lang w:val="uk-UA"/>
        </w:rPr>
        <w:t xml:space="preserve">, у </w:t>
      </w:r>
      <w:r w:rsidR="003A6648" w:rsidRPr="001416ED">
        <w:rPr>
          <w:lang w:val="uk-UA"/>
        </w:rPr>
        <w:t>6</w:t>
      </w:r>
      <w:r w:rsidRPr="001416ED">
        <w:rPr>
          <w:lang w:val="uk-UA"/>
        </w:rPr>
        <w:t xml:space="preserve"> (</w:t>
      </w:r>
      <w:r w:rsidR="003A6648" w:rsidRPr="001416ED">
        <w:rPr>
          <w:lang w:val="uk-UA"/>
        </w:rPr>
        <w:t>9,68</w:t>
      </w:r>
      <w:r w:rsidR="00CB4685" w:rsidRPr="001416ED">
        <w:rPr>
          <w:lang w:val="uk-UA"/>
        </w:rPr>
        <w:t xml:space="preserve"> </w:t>
      </w:r>
      <w:r w:rsidR="00D4219F" w:rsidRPr="001416ED">
        <w:rPr>
          <w:lang w:val="uk-UA"/>
        </w:rPr>
        <w:t>%</w:t>
      </w:r>
      <w:r w:rsidRPr="001416ED">
        <w:rPr>
          <w:lang w:val="uk-UA"/>
        </w:rPr>
        <w:t>)</w:t>
      </w:r>
      <w:r w:rsidR="003A6648" w:rsidRPr="001416ED">
        <w:rPr>
          <w:lang w:val="uk-UA"/>
        </w:rPr>
        <w:t xml:space="preserve"> хворих – синусов</w:t>
      </w:r>
      <w:r w:rsidR="00CB4685" w:rsidRPr="001416ED">
        <w:rPr>
          <w:lang w:val="uk-UA"/>
        </w:rPr>
        <w:t>у</w:t>
      </w:r>
      <w:r w:rsidR="003A6648" w:rsidRPr="001416ED">
        <w:rPr>
          <w:lang w:val="uk-UA"/>
        </w:rPr>
        <w:t xml:space="preserve"> брадикарді</w:t>
      </w:r>
      <w:r w:rsidR="00CB4685" w:rsidRPr="001416ED">
        <w:rPr>
          <w:lang w:val="uk-UA"/>
        </w:rPr>
        <w:t>ю</w:t>
      </w:r>
      <w:r w:rsidR="003A6648" w:rsidRPr="001416ED">
        <w:rPr>
          <w:lang w:val="uk-UA"/>
        </w:rPr>
        <w:t xml:space="preserve">. Середня частота </w:t>
      </w:r>
      <w:r w:rsidR="003D23F0" w:rsidRPr="001416ED">
        <w:rPr>
          <w:lang w:val="uk-UA"/>
        </w:rPr>
        <w:t>серцевих скорочень</w:t>
      </w:r>
      <w:r w:rsidR="003A6648" w:rsidRPr="001416ED">
        <w:rPr>
          <w:lang w:val="uk-UA"/>
        </w:rPr>
        <w:t xml:space="preserve"> </w:t>
      </w:r>
      <w:r w:rsidR="006663CE" w:rsidRPr="001416ED">
        <w:rPr>
          <w:lang w:val="uk-UA"/>
        </w:rPr>
        <w:t>(</w:t>
      </w:r>
      <w:r w:rsidR="003A6648" w:rsidRPr="001416ED">
        <w:rPr>
          <w:lang w:val="uk-UA"/>
        </w:rPr>
        <w:t>75,60</w:t>
      </w:r>
      <w:r w:rsidR="007A07A9" w:rsidRPr="001416ED">
        <w:t xml:space="preserve"> ± </w:t>
      </w:r>
      <w:r w:rsidR="003A6648" w:rsidRPr="001416ED">
        <w:rPr>
          <w:lang w:val="uk-UA"/>
        </w:rPr>
        <w:t>1,78</w:t>
      </w:r>
      <w:r w:rsidR="006663CE" w:rsidRPr="001416ED">
        <w:rPr>
          <w:lang w:val="uk-UA"/>
        </w:rPr>
        <w:t>) ударів</w:t>
      </w:r>
      <w:r w:rsidR="003A6648" w:rsidRPr="001416ED">
        <w:rPr>
          <w:lang w:val="uk-UA"/>
        </w:rPr>
        <w:t xml:space="preserve"> за хвилину. </w:t>
      </w:r>
      <w:r w:rsidRPr="001416ED">
        <w:rPr>
          <w:lang w:val="uk-UA"/>
        </w:rPr>
        <w:t xml:space="preserve">Ознаки </w:t>
      </w:r>
      <w:r w:rsidR="000C20E0">
        <w:rPr>
          <w:lang w:val="uk-UA"/>
        </w:rPr>
        <w:t>ГЛШ</w:t>
      </w:r>
      <w:r w:rsidRPr="001416ED">
        <w:rPr>
          <w:lang w:val="uk-UA"/>
        </w:rPr>
        <w:t xml:space="preserve"> (за електрокардіографічними критеріями) виявили у </w:t>
      </w:r>
      <w:r w:rsidR="00A666A3" w:rsidRPr="001416ED">
        <w:rPr>
          <w:lang w:val="uk-UA"/>
        </w:rPr>
        <w:t>5</w:t>
      </w:r>
      <w:r w:rsidRPr="001416ED">
        <w:rPr>
          <w:lang w:val="uk-UA"/>
        </w:rPr>
        <w:t>9 (9</w:t>
      </w:r>
      <w:r w:rsidR="00A666A3" w:rsidRPr="001416ED">
        <w:rPr>
          <w:lang w:val="uk-UA"/>
        </w:rPr>
        <w:t>5,16</w:t>
      </w:r>
      <w:r w:rsidR="006663CE" w:rsidRPr="001416ED">
        <w:rPr>
          <w:lang w:val="uk-UA"/>
        </w:rPr>
        <w:t xml:space="preserve"> </w:t>
      </w:r>
      <w:r w:rsidR="00D4219F" w:rsidRPr="001416ED">
        <w:rPr>
          <w:lang w:val="uk-UA"/>
        </w:rPr>
        <w:t>%</w:t>
      </w:r>
      <w:r w:rsidRPr="001416ED">
        <w:rPr>
          <w:lang w:val="uk-UA"/>
        </w:rPr>
        <w:t xml:space="preserve">) хворих, за даними ехокардіографії – у </w:t>
      </w:r>
      <w:r w:rsidR="00A666A3" w:rsidRPr="001416ED">
        <w:rPr>
          <w:lang w:val="uk-UA"/>
        </w:rPr>
        <w:t>62</w:t>
      </w:r>
      <w:r w:rsidRPr="001416ED">
        <w:rPr>
          <w:lang w:val="uk-UA"/>
        </w:rPr>
        <w:t xml:space="preserve"> (100</w:t>
      </w:r>
      <w:r w:rsidR="006663CE" w:rsidRPr="001416ED">
        <w:rPr>
          <w:lang w:val="uk-UA"/>
        </w:rPr>
        <w:t xml:space="preserve"> </w:t>
      </w:r>
      <w:r w:rsidR="00D4219F" w:rsidRPr="001416ED">
        <w:rPr>
          <w:lang w:val="uk-UA"/>
        </w:rPr>
        <w:t>%</w:t>
      </w:r>
      <w:r w:rsidRPr="001416ED">
        <w:rPr>
          <w:lang w:val="uk-UA"/>
        </w:rPr>
        <w:t>) пацієнт</w:t>
      </w:r>
      <w:r w:rsidR="00A666A3" w:rsidRPr="001416ED">
        <w:rPr>
          <w:lang w:val="uk-UA"/>
        </w:rPr>
        <w:t>ів</w:t>
      </w:r>
      <w:r w:rsidRPr="001416ED">
        <w:rPr>
          <w:szCs w:val="24"/>
          <w:lang w:val="uk-UA"/>
        </w:rPr>
        <w:t>.</w:t>
      </w:r>
      <w:r w:rsidRPr="001416ED">
        <w:rPr>
          <w:lang w:val="uk-UA"/>
        </w:rPr>
        <w:t xml:space="preserve"> Всі </w:t>
      </w:r>
      <w:r w:rsidR="00A666A3" w:rsidRPr="001416ED">
        <w:rPr>
          <w:lang w:val="uk-UA"/>
        </w:rPr>
        <w:t>особи</w:t>
      </w:r>
      <w:r w:rsidRPr="001416ED">
        <w:rPr>
          <w:lang w:val="uk-UA"/>
        </w:rPr>
        <w:t xml:space="preserve"> мали збережену систолічну</w:t>
      </w:r>
      <w:r w:rsidR="00274F81" w:rsidRPr="001416ED">
        <w:rPr>
          <w:lang w:val="uk-UA"/>
        </w:rPr>
        <w:t xml:space="preserve"> функцію лівого шлуночка (ФВ</w:t>
      </w:r>
      <w:r w:rsidR="006663CE" w:rsidRPr="001416ED">
        <w:rPr>
          <w:lang w:val="uk-UA"/>
        </w:rPr>
        <w:t xml:space="preserve"> </w:t>
      </w:r>
      <w:r w:rsidR="00274F81" w:rsidRPr="001416ED">
        <w:rPr>
          <w:lang w:val="uk-UA"/>
        </w:rPr>
        <w:t>&gt;</w:t>
      </w:r>
      <w:r w:rsidR="006663CE" w:rsidRPr="001416ED">
        <w:rPr>
          <w:lang w:val="uk-UA"/>
        </w:rPr>
        <w:t xml:space="preserve"> </w:t>
      </w:r>
      <w:r w:rsidR="00274F81" w:rsidRPr="001416ED">
        <w:rPr>
          <w:lang w:val="uk-UA"/>
        </w:rPr>
        <w:t>45</w:t>
      </w:r>
      <w:r w:rsidR="006663CE" w:rsidRPr="001416ED">
        <w:rPr>
          <w:lang w:val="uk-UA"/>
        </w:rPr>
        <w:t xml:space="preserve"> </w:t>
      </w:r>
      <w:r w:rsidR="00D4219F" w:rsidRPr="001416ED">
        <w:rPr>
          <w:lang w:val="uk-UA"/>
        </w:rPr>
        <w:t>%</w:t>
      </w:r>
      <w:r w:rsidRPr="001416ED">
        <w:rPr>
          <w:lang w:val="uk-UA"/>
        </w:rPr>
        <w:t>), діастолічна дисфункція</w:t>
      </w:r>
      <w:r w:rsidR="00F621A2" w:rsidRPr="001416ED">
        <w:rPr>
          <w:lang w:val="uk-UA"/>
        </w:rPr>
        <w:t xml:space="preserve"> І типу </w:t>
      </w:r>
      <w:r w:rsidRPr="001416ED">
        <w:rPr>
          <w:lang w:val="uk-UA"/>
        </w:rPr>
        <w:t xml:space="preserve">виявлена у </w:t>
      </w:r>
      <w:r w:rsidR="00F621A2" w:rsidRPr="001416ED">
        <w:rPr>
          <w:lang w:val="uk-UA"/>
        </w:rPr>
        <w:t>18</w:t>
      </w:r>
      <w:r w:rsidRPr="001416ED">
        <w:rPr>
          <w:lang w:val="uk-UA"/>
        </w:rPr>
        <w:t xml:space="preserve"> (</w:t>
      </w:r>
      <w:r w:rsidR="00F621A2" w:rsidRPr="001416ED">
        <w:rPr>
          <w:lang w:val="uk-UA"/>
        </w:rPr>
        <w:t>29,03</w:t>
      </w:r>
      <w:r w:rsidR="006663CE" w:rsidRPr="001416ED">
        <w:rPr>
          <w:lang w:val="uk-UA"/>
        </w:rPr>
        <w:t xml:space="preserve"> </w:t>
      </w:r>
      <w:r w:rsidR="00D4219F" w:rsidRPr="001416ED">
        <w:rPr>
          <w:lang w:val="uk-UA"/>
        </w:rPr>
        <w:t>%</w:t>
      </w:r>
      <w:r w:rsidRPr="001416ED">
        <w:rPr>
          <w:lang w:val="uk-UA"/>
        </w:rPr>
        <w:t>) осіб</w:t>
      </w:r>
      <w:r w:rsidR="00F621A2" w:rsidRPr="001416ED">
        <w:rPr>
          <w:lang w:val="uk-UA"/>
        </w:rPr>
        <w:t>, ІІ типу у 2 чоловіків (3,22 %)</w:t>
      </w:r>
      <w:r w:rsidR="00126C3A">
        <w:rPr>
          <w:lang w:val="uk-UA"/>
        </w:rPr>
        <w:t>.</w:t>
      </w:r>
      <w:r w:rsidRPr="001416ED">
        <w:rPr>
          <w:lang w:val="uk-UA"/>
        </w:rPr>
        <w:t xml:space="preserve"> Ангіопатія сітківки гіпертонічного </w:t>
      </w:r>
      <w:r w:rsidR="00F73C17" w:rsidRPr="001416ED">
        <w:rPr>
          <w:lang w:val="uk-UA"/>
        </w:rPr>
        <w:t>ґенезу</w:t>
      </w:r>
      <w:r w:rsidRPr="001416ED">
        <w:rPr>
          <w:lang w:val="uk-UA"/>
        </w:rPr>
        <w:t xml:space="preserve"> була діагностована у </w:t>
      </w:r>
      <w:r w:rsidR="002A7547" w:rsidRPr="001416ED">
        <w:rPr>
          <w:lang w:val="uk-UA"/>
        </w:rPr>
        <w:t>5</w:t>
      </w:r>
      <w:r w:rsidRPr="001416ED">
        <w:rPr>
          <w:lang w:val="uk-UA"/>
        </w:rPr>
        <w:t>6 (9</w:t>
      </w:r>
      <w:r w:rsidR="002A7547" w:rsidRPr="001416ED">
        <w:rPr>
          <w:lang w:val="uk-UA"/>
        </w:rPr>
        <w:t>0,32</w:t>
      </w:r>
      <w:r w:rsidR="006663CE" w:rsidRPr="001416ED">
        <w:rPr>
          <w:lang w:val="uk-UA"/>
        </w:rPr>
        <w:t xml:space="preserve"> </w:t>
      </w:r>
      <w:r w:rsidR="00D4219F" w:rsidRPr="001416ED">
        <w:rPr>
          <w:lang w:val="uk-UA"/>
        </w:rPr>
        <w:t>%</w:t>
      </w:r>
      <w:r w:rsidRPr="001416ED">
        <w:rPr>
          <w:lang w:val="uk-UA"/>
        </w:rPr>
        <w:t>) хворих.</w:t>
      </w:r>
      <w:r w:rsidR="00B13A95" w:rsidRPr="001416ED">
        <w:rPr>
          <w:lang w:val="uk-UA"/>
        </w:rPr>
        <w:t xml:space="preserve"> </w:t>
      </w:r>
      <w:r w:rsidR="00C002D9" w:rsidRPr="001416ED">
        <w:rPr>
          <w:lang w:val="uk-UA"/>
        </w:rPr>
        <w:t>Усім 62 (100%) пацієнтам з ГХ ІІ ст. проводили дерматогліфічне обстеження пальців обох кист</w:t>
      </w:r>
      <w:r w:rsidR="00224829" w:rsidRPr="001416ED">
        <w:rPr>
          <w:lang w:val="uk-UA"/>
        </w:rPr>
        <w:t>ей</w:t>
      </w:r>
      <w:r w:rsidR="00C002D9" w:rsidRPr="001416ED">
        <w:rPr>
          <w:lang w:val="uk-UA"/>
        </w:rPr>
        <w:t xml:space="preserve"> за методикою Т. Д. Гладкової за допомогою </w:t>
      </w:r>
      <w:r w:rsidR="00D33E82">
        <w:rPr>
          <w:lang w:val="uk-UA"/>
        </w:rPr>
        <w:t xml:space="preserve">портативного </w:t>
      </w:r>
      <w:r w:rsidR="00C002D9" w:rsidRPr="001416ED">
        <w:rPr>
          <w:lang w:val="uk-UA"/>
        </w:rPr>
        <w:t>електронного прокатного сканера Futronic FS50с</w:t>
      </w:r>
      <w:r w:rsidR="00A2328C" w:rsidRPr="001416ED">
        <w:rPr>
          <w:lang w:val="uk-UA"/>
        </w:rPr>
        <w:t xml:space="preserve"> </w:t>
      </w:r>
      <w:r w:rsidR="00C002D9" w:rsidRPr="001416ED">
        <w:rPr>
          <w:lang w:val="uk-UA"/>
        </w:rPr>
        <w:t>з наступним аналізом отриманих даних.</w:t>
      </w:r>
    </w:p>
    <w:p w:rsidR="00A0215A" w:rsidRPr="001416ED" w:rsidRDefault="00F621A2" w:rsidP="00A0215A">
      <w:pPr>
        <w:spacing w:line="360" w:lineRule="auto"/>
        <w:ind w:firstLine="708"/>
        <w:jc w:val="both"/>
        <w:rPr>
          <w:lang w:val="uk-UA"/>
        </w:rPr>
      </w:pPr>
      <w:r w:rsidRPr="001416ED">
        <w:rPr>
          <w:lang w:val="uk-UA"/>
        </w:rPr>
        <w:t>Серед хворих на ГХ ІІІ ст.</w:t>
      </w:r>
      <w:r w:rsidR="00A0215A" w:rsidRPr="001416ED">
        <w:rPr>
          <w:lang w:val="uk-UA"/>
        </w:rPr>
        <w:t>, що ускладн</w:t>
      </w:r>
      <w:r w:rsidRPr="001416ED">
        <w:rPr>
          <w:lang w:val="uk-UA"/>
        </w:rPr>
        <w:t>ена</w:t>
      </w:r>
      <w:r w:rsidR="00A0215A" w:rsidRPr="001416ED">
        <w:rPr>
          <w:lang w:val="uk-UA"/>
        </w:rPr>
        <w:t xml:space="preserve"> </w:t>
      </w:r>
      <w:r w:rsidR="00B13A95" w:rsidRPr="001416ED">
        <w:rPr>
          <w:lang w:val="uk-UA"/>
        </w:rPr>
        <w:t>ХСН</w:t>
      </w:r>
      <w:r w:rsidR="00274F81" w:rsidRPr="001416ED">
        <w:rPr>
          <w:lang w:val="uk-UA"/>
        </w:rPr>
        <w:t xml:space="preserve"> ІІ А стадії ІІ</w:t>
      </w:r>
      <w:r w:rsidR="00BC0119" w:rsidRPr="001416ED">
        <w:rPr>
          <w:lang w:val="uk-UA"/>
        </w:rPr>
        <w:t>–</w:t>
      </w:r>
      <w:r w:rsidR="00274F81" w:rsidRPr="001416ED">
        <w:rPr>
          <w:lang w:val="uk-UA"/>
        </w:rPr>
        <w:t xml:space="preserve">ІІІ ФК за </w:t>
      </w:r>
      <w:r w:rsidR="00991F01" w:rsidRPr="001416ED">
        <w:rPr>
          <w:lang w:val="en-US"/>
        </w:rPr>
        <w:t>NYHA</w:t>
      </w:r>
      <w:r w:rsidR="00A0215A" w:rsidRPr="001416ED">
        <w:rPr>
          <w:lang w:val="uk-UA"/>
        </w:rPr>
        <w:t>, скаржилися на загальну слабкість</w:t>
      </w:r>
      <w:r w:rsidR="00274F81" w:rsidRPr="001416ED">
        <w:rPr>
          <w:lang w:val="uk-UA"/>
        </w:rPr>
        <w:t>,</w:t>
      </w:r>
      <w:r w:rsidR="00A0215A" w:rsidRPr="001416ED">
        <w:rPr>
          <w:lang w:val="uk-UA"/>
        </w:rPr>
        <w:t xml:space="preserve"> втомлюваність</w:t>
      </w:r>
      <w:r w:rsidR="00274F81" w:rsidRPr="001416ED">
        <w:rPr>
          <w:lang w:val="uk-UA"/>
        </w:rPr>
        <w:t xml:space="preserve"> та на задишку при звич</w:t>
      </w:r>
      <w:r w:rsidR="00991F01" w:rsidRPr="001416ED">
        <w:rPr>
          <w:lang w:val="uk-UA"/>
        </w:rPr>
        <w:t>айному або незначному фізичному навантаженні</w:t>
      </w:r>
      <w:r w:rsidR="00421A9B" w:rsidRPr="001416ED">
        <w:rPr>
          <w:lang w:val="uk-UA"/>
        </w:rPr>
        <w:t xml:space="preserve"> та наявність набряків на нижніх кінцівках</w:t>
      </w:r>
      <w:r w:rsidR="00A0215A" w:rsidRPr="001416ED">
        <w:rPr>
          <w:lang w:val="uk-UA"/>
        </w:rPr>
        <w:t xml:space="preserve"> </w:t>
      </w:r>
      <w:r w:rsidR="00D33E82">
        <w:rPr>
          <w:lang w:val="uk-UA"/>
        </w:rPr>
        <w:t xml:space="preserve">у </w:t>
      </w:r>
      <w:r w:rsidR="00147CB8" w:rsidRPr="001416ED">
        <w:rPr>
          <w:lang w:val="uk-UA"/>
        </w:rPr>
        <w:t>50</w:t>
      </w:r>
      <w:r w:rsidR="00A0215A" w:rsidRPr="001416ED">
        <w:rPr>
          <w:lang w:val="uk-UA"/>
        </w:rPr>
        <w:t xml:space="preserve"> (100</w:t>
      </w:r>
      <w:r w:rsidR="0060120A" w:rsidRPr="001416ED">
        <w:rPr>
          <w:lang w:val="uk-UA"/>
        </w:rPr>
        <w:t xml:space="preserve"> </w:t>
      </w:r>
      <w:r w:rsidR="00D4219F" w:rsidRPr="001416ED">
        <w:rPr>
          <w:lang w:val="uk-UA"/>
        </w:rPr>
        <w:t>%</w:t>
      </w:r>
      <w:r w:rsidR="00A0215A" w:rsidRPr="001416ED">
        <w:rPr>
          <w:lang w:val="uk-UA"/>
        </w:rPr>
        <w:t>)</w:t>
      </w:r>
      <w:r w:rsidR="00147CB8" w:rsidRPr="001416ED">
        <w:rPr>
          <w:lang w:val="uk-UA"/>
        </w:rPr>
        <w:t xml:space="preserve"> чоловіків</w:t>
      </w:r>
      <w:r w:rsidR="00A0215A" w:rsidRPr="001416ED">
        <w:rPr>
          <w:lang w:val="uk-UA"/>
        </w:rPr>
        <w:t xml:space="preserve">. Головний біль відзначали </w:t>
      </w:r>
      <w:r w:rsidR="003530EF" w:rsidRPr="001416ED">
        <w:rPr>
          <w:lang w:val="uk-UA"/>
        </w:rPr>
        <w:t>4</w:t>
      </w:r>
      <w:r w:rsidR="00A0215A" w:rsidRPr="001416ED">
        <w:rPr>
          <w:lang w:val="uk-UA"/>
        </w:rPr>
        <w:t>7</w:t>
      </w:r>
      <w:r w:rsidR="00A0215A" w:rsidRPr="001416ED">
        <w:t xml:space="preserve"> (</w:t>
      </w:r>
      <w:r w:rsidR="003530EF" w:rsidRPr="001416ED">
        <w:rPr>
          <w:lang w:val="uk-UA"/>
        </w:rPr>
        <w:t>94</w:t>
      </w:r>
      <w:r w:rsidR="00321D03" w:rsidRPr="001416ED">
        <w:rPr>
          <w:lang w:val="uk-UA"/>
        </w:rPr>
        <w:t xml:space="preserve"> </w:t>
      </w:r>
      <w:r w:rsidR="00D4219F" w:rsidRPr="001416ED">
        <w:t>%</w:t>
      </w:r>
      <w:r w:rsidR="00A0215A" w:rsidRPr="001416ED">
        <w:t>)</w:t>
      </w:r>
      <w:r w:rsidR="00A0215A" w:rsidRPr="001416ED">
        <w:rPr>
          <w:lang w:val="uk-UA"/>
        </w:rPr>
        <w:t xml:space="preserve"> хворих</w:t>
      </w:r>
      <w:r w:rsidR="00A0215A" w:rsidRPr="001416ED">
        <w:t xml:space="preserve">, </w:t>
      </w:r>
      <w:r w:rsidR="00A0215A" w:rsidRPr="001416ED">
        <w:rPr>
          <w:lang w:val="uk-UA"/>
        </w:rPr>
        <w:t xml:space="preserve">головокружіння та мерехтіння мушок перед очима </w:t>
      </w:r>
      <w:r w:rsidR="00BC0119" w:rsidRPr="001416ED">
        <w:rPr>
          <w:lang w:val="uk-UA"/>
        </w:rPr>
        <w:t>–</w:t>
      </w:r>
      <w:r w:rsidR="00A0215A" w:rsidRPr="001416ED">
        <w:t xml:space="preserve"> </w:t>
      </w:r>
      <w:r w:rsidR="003530EF" w:rsidRPr="001416ED">
        <w:rPr>
          <w:lang w:val="uk-UA"/>
        </w:rPr>
        <w:t>3</w:t>
      </w:r>
      <w:r w:rsidR="00A0215A" w:rsidRPr="001416ED">
        <w:rPr>
          <w:lang w:val="uk-UA"/>
        </w:rPr>
        <w:t>8</w:t>
      </w:r>
      <w:r w:rsidR="00A0215A" w:rsidRPr="001416ED">
        <w:t xml:space="preserve"> (</w:t>
      </w:r>
      <w:r w:rsidR="003530EF" w:rsidRPr="001416ED">
        <w:rPr>
          <w:lang w:val="uk-UA"/>
        </w:rPr>
        <w:t>7</w:t>
      </w:r>
      <w:r w:rsidR="00A0215A" w:rsidRPr="001416ED">
        <w:rPr>
          <w:lang w:val="uk-UA"/>
        </w:rPr>
        <w:t>6</w:t>
      </w:r>
      <w:r w:rsidR="00321D03" w:rsidRPr="001416ED">
        <w:rPr>
          <w:lang w:val="uk-UA"/>
        </w:rPr>
        <w:t xml:space="preserve"> </w:t>
      </w:r>
      <w:r w:rsidR="00D4219F" w:rsidRPr="001416ED">
        <w:t>%</w:t>
      </w:r>
      <w:r w:rsidR="00A0215A" w:rsidRPr="001416ED">
        <w:t>)</w:t>
      </w:r>
      <w:r w:rsidRPr="001416ED">
        <w:rPr>
          <w:lang w:val="uk-UA"/>
        </w:rPr>
        <w:t xml:space="preserve"> пацієнтів</w:t>
      </w:r>
      <w:r w:rsidR="00A0215A" w:rsidRPr="001416ED">
        <w:t>,</w:t>
      </w:r>
      <w:r w:rsidR="00A0215A" w:rsidRPr="001416ED">
        <w:rPr>
          <w:lang w:val="uk-UA"/>
        </w:rPr>
        <w:t xml:space="preserve"> шум в вухах</w:t>
      </w:r>
      <w:r w:rsidR="00A0215A" w:rsidRPr="001416ED">
        <w:t xml:space="preserve"> </w:t>
      </w:r>
      <w:r w:rsidR="00BC0119" w:rsidRPr="001416ED">
        <w:rPr>
          <w:lang w:val="uk-UA"/>
        </w:rPr>
        <w:t>–</w:t>
      </w:r>
      <w:r w:rsidR="00A0215A" w:rsidRPr="001416ED">
        <w:rPr>
          <w:lang w:val="uk-UA"/>
        </w:rPr>
        <w:t xml:space="preserve"> </w:t>
      </w:r>
      <w:r w:rsidR="003530EF" w:rsidRPr="001416ED">
        <w:rPr>
          <w:lang w:val="uk-UA"/>
        </w:rPr>
        <w:t>2</w:t>
      </w:r>
      <w:r w:rsidR="00A0215A" w:rsidRPr="001416ED">
        <w:rPr>
          <w:lang w:val="uk-UA"/>
        </w:rPr>
        <w:t>5</w:t>
      </w:r>
      <w:r w:rsidR="00A0215A" w:rsidRPr="001416ED">
        <w:t xml:space="preserve"> (</w:t>
      </w:r>
      <w:r w:rsidR="003530EF" w:rsidRPr="001416ED">
        <w:rPr>
          <w:lang w:val="uk-UA"/>
        </w:rPr>
        <w:t>50</w:t>
      </w:r>
      <w:r w:rsidR="0060120A" w:rsidRPr="001416ED">
        <w:rPr>
          <w:lang w:val="uk-UA"/>
        </w:rPr>
        <w:t xml:space="preserve"> </w:t>
      </w:r>
      <w:r w:rsidR="00D4219F" w:rsidRPr="001416ED">
        <w:rPr>
          <w:lang w:val="uk-UA"/>
        </w:rPr>
        <w:t>%</w:t>
      </w:r>
      <w:r w:rsidR="00A0215A" w:rsidRPr="001416ED">
        <w:t>)</w:t>
      </w:r>
      <w:r w:rsidRPr="001416ED">
        <w:rPr>
          <w:lang w:val="uk-UA"/>
        </w:rPr>
        <w:t>,</w:t>
      </w:r>
      <w:r w:rsidR="00A0215A" w:rsidRPr="001416ED">
        <w:rPr>
          <w:lang w:val="uk-UA"/>
        </w:rPr>
        <w:t xml:space="preserve"> </w:t>
      </w:r>
      <w:r w:rsidR="003530EF" w:rsidRPr="001416ED">
        <w:rPr>
          <w:lang w:val="uk-UA"/>
        </w:rPr>
        <w:t xml:space="preserve">серцебиття </w:t>
      </w:r>
      <w:r w:rsidR="00201D99" w:rsidRPr="001416ED">
        <w:rPr>
          <w:lang w:val="uk-UA"/>
        </w:rPr>
        <w:t>– 22 (44</w:t>
      </w:r>
      <w:r w:rsidR="00321D03" w:rsidRPr="001416ED">
        <w:rPr>
          <w:lang w:val="uk-UA"/>
        </w:rPr>
        <w:t xml:space="preserve"> </w:t>
      </w:r>
      <w:r w:rsidR="00D4219F" w:rsidRPr="001416ED">
        <w:rPr>
          <w:lang w:val="uk-UA"/>
        </w:rPr>
        <w:t>%</w:t>
      </w:r>
      <w:r w:rsidR="00201D99" w:rsidRPr="001416ED">
        <w:rPr>
          <w:lang w:val="uk-UA"/>
        </w:rPr>
        <w:t>) чоловіків</w:t>
      </w:r>
      <w:r w:rsidR="00FA684C" w:rsidRPr="001416ED">
        <w:rPr>
          <w:lang w:val="uk-UA"/>
        </w:rPr>
        <w:t xml:space="preserve">, 5 (10 %) на біль за грудиною, що не пов'язаний з фізичним навантаженням та емоційним стресом, </w:t>
      </w:r>
      <w:r w:rsidR="00224829" w:rsidRPr="001416ED">
        <w:rPr>
          <w:lang w:val="uk-UA"/>
        </w:rPr>
        <w:t xml:space="preserve">який </w:t>
      </w:r>
      <w:r w:rsidR="00FA684C" w:rsidRPr="001416ED">
        <w:rPr>
          <w:lang w:val="uk-UA"/>
        </w:rPr>
        <w:t>не зникав при прийомі нітрогліцерину та відпочинку, тривалістю більше 15 хвилин.</w:t>
      </w:r>
    </w:p>
    <w:p w:rsidR="00201D99" w:rsidRPr="001416ED" w:rsidRDefault="00A0215A" w:rsidP="00201D99">
      <w:pPr>
        <w:pStyle w:val="a3"/>
        <w:spacing w:after="0" w:line="360" w:lineRule="auto"/>
        <w:ind w:left="0" w:firstLine="567"/>
        <w:jc w:val="both"/>
        <w:rPr>
          <w:lang w:val="uk-UA"/>
        </w:rPr>
      </w:pPr>
      <w:r w:rsidRPr="001416ED">
        <w:rPr>
          <w:lang w:val="uk-UA"/>
        </w:rPr>
        <w:t>При фізикальному обстежені хворих на ГХ</w:t>
      </w:r>
      <w:r w:rsidR="0027493C" w:rsidRPr="001416ED">
        <w:rPr>
          <w:lang w:val="uk-UA"/>
        </w:rPr>
        <w:t xml:space="preserve"> ІІІ ст.</w:t>
      </w:r>
      <w:r w:rsidRPr="001416ED">
        <w:rPr>
          <w:lang w:val="uk-UA"/>
        </w:rPr>
        <w:t xml:space="preserve">, встановлено, що розлитий верхівковий поштовх був зміщений вниз і вліво у </w:t>
      </w:r>
      <w:r w:rsidR="00201D99" w:rsidRPr="001416ED">
        <w:rPr>
          <w:lang w:val="uk-UA"/>
        </w:rPr>
        <w:t>50</w:t>
      </w:r>
      <w:r w:rsidRPr="001416ED">
        <w:rPr>
          <w:lang w:val="uk-UA"/>
        </w:rPr>
        <w:t xml:space="preserve"> (100</w:t>
      </w:r>
      <w:r w:rsidR="003F2AFD" w:rsidRPr="001416ED">
        <w:rPr>
          <w:lang w:val="uk-UA"/>
        </w:rPr>
        <w:t xml:space="preserve"> </w:t>
      </w:r>
      <w:r w:rsidR="00D4219F" w:rsidRPr="001416ED">
        <w:rPr>
          <w:lang w:val="uk-UA"/>
        </w:rPr>
        <w:t>%</w:t>
      </w:r>
      <w:r w:rsidRPr="001416ED">
        <w:rPr>
          <w:lang w:val="uk-UA"/>
        </w:rPr>
        <w:t xml:space="preserve">) хворих, зміщення лівої межі серця </w:t>
      </w:r>
      <w:r w:rsidR="00D33E82">
        <w:rPr>
          <w:lang w:val="uk-UA"/>
        </w:rPr>
        <w:t xml:space="preserve">назовні від лівої середньо ключичної лінії </w:t>
      </w:r>
      <w:r w:rsidRPr="001416ED">
        <w:rPr>
          <w:lang w:val="uk-UA"/>
        </w:rPr>
        <w:t xml:space="preserve">– у </w:t>
      </w:r>
      <w:r w:rsidR="00201D99" w:rsidRPr="001416ED">
        <w:rPr>
          <w:lang w:val="uk-UA"/>
        </w:rPr>
        <w:t>50</w:t>
      </w:r>
      <w:r w:rsidRPr="001416ED">
        <w:rPr>
          <w:lang w:val="uk-UA"/>
        </w:rPr>
        <w:t xml:space="preserve"> (100</w:t>
      </w:r>
      <w:r w:rsidR="003F2AFD" w:rsidRPr="001416ED">
        <w:rPr>
          <w:lang w:val="uk-UA"/>
        </w:rPr>
        <w:t xml:space="preserve"> </w:t>
      </w:r>
      <w:r w:rsidR="00D4219F" w:rsidRPr="001416ED">
        <w:rPr>
          <w:lang w:val="uk-UA"/>
        </w:rPr>
        <w:t>%</w:t>
      </w:r>
      <w:r w:rsidRPr="001416ED">
        <w:rPr>
          <w:lang w:val="uk-UA"/>
        </w:rPr>
        <w:t xml:space="preserve">) осіб. Ослаблення І тону на верхівці при аускультації серця відзначали у </w:t>
      </w:r>
      <w:r w:rsidR="00201D99" w:rsidRPr="001416ED">
        <w:rPr>
          <w:lang w:val="uk-UA"/>
        </w:rPr>
        <w:t>50 (100</w:t>
      </w:r>
      <w:r w:rsidR="003F2AFD" w:rsidRPr="001416ED">
        <w:rPr>
          <w:lang w:val="uk-UA"/>
        </w:rPr>
        <w:t xml:space="preserve"> </w:t>
      </w:r>
      <w:r w:rsidR="00D4219F" w:rsidRPr="001416ED">
        <w:rPr>
          <w:lang w:val="uk-UA"/>
        </w:rPr>
        <w:t>%</w:t>
      </w:r>
      <w:r w:rsidRPr="001416ED">
        <w:rPr>
          <w:lang w:val="uk-UA"/>
        </w:rPr>
        <w:t xml:space="preserve">), та акцент ІІ тону над аортою – у </w:t>
      </w:r>
      <w:r w:rsidR="00201D99" w:rsidRPr="001416ED">
        <w:rPr>
          <w:lang w:val="uk-UA"/>
        </w:rPr>
        <w:t>47</w:t>
      </w:r>
      <w:r w:rsidRPr="001416ED">
        <w:rPr>
          <w:lang w:val="uk-UA"/>
        </w:rPr>
        <w:t xml:space="preserve"> (</w:t>
      </w:r>
      <w:r w:rsidR="00201D99" w:rsidRPr="001416ED">
        <w:rPr>
          <w:lang w:val="uk-UA"/>
        </w:rPr>
        <w:t>94</w:t>
      </w:r>
      <w:r w:rsidR="003F2AFD" w:rsidRPr="001416ED">
        <w:rPr>
          <w:lang w:val="uk-UA"/>
        </w:rPr>
        <w:t xml:space="preserve"> </w:t>
      </w:r>
      <w:r w:rsidR="00D4219F" w:rsidRPr="001416ED">
        <w:rPr>
          <w:lang w:val="uk-UA"/>
        </w:rPr>
        <w:t>%</w:t>
      </w:r>
      <w:r w:rsidRPr="001416ED">
        <w:rPr>
          <w:lang w:val="uk-UA"/>
        </w:rPr>
        <w:t xml:space="preserve">) пацієнтів. </w:t>
      </w:r>
      <w:r w:rsidR="00201D99" w:rsidRPr="001416ED">
        <w:rPr>
          <w:lang w:val="uk-UA"/>
        </w:rPr>
        <w:t xml:space="preserve">У всіх </w:t>
      </w:r>
      <w:r w:rsidR="007A61A2" w:rsidRPr="001416ED">
        <w:rPr>
          <w:lang w:val="uk-UA"/>
        </w:rPr>
        <w:t xml:space="preserve">50 </w:t>
      </w:r>
      <w:r w:rsidR="00201D99" w:rsidRPr="001416ED">
        <w:rPr>
          <w:lang w:val="uk-UA"/>
        </w:rPr>
        <w:t>хворих</w:t>
      </w:r>
      <w:r w:rsidR="007A61A2" w:rsidRPr="001416ED">
        <w:rPr>
          <w:lang w:val="uk-UA"/>
        </w:rPr>
        <w:t xml:space="preserve">  (100 %)</w:t>
      </w:r>
      <w:r w:rsidR="00201D99" w:rsidRPr="001416ED">
        <w:rPr>
          <w:lang w:val="uk-UA"/>
        </w:rPr>
        <w:t xml:space="preserve"> в вечірні години визначали симетричні, холодні на дотик, щільні набряки, які </w:t>
      </w:r>
      <w:r w:rsidR="00201D99" w:rsidRPr="001416ED">
        <w:rPr>
          <w:lang w:val="uk-UA"/>
        </w:rPr>
        <w:lastRenderedPageBreak/>
        <w:t xml:space="preserve">розповсюджувались не вище верхньої третини гомілок; в ранковий час у </w:t>
      </w:r>
      <w:r w:rsidR="0027493C" w:rsidRPr="001416ED">
        <w:rPr>
          <w:lang w:val="uk-UA"/>
        </w:rPr>
        <w:t>50</w:t>
      </w:r>
      <w:r w:rsidR="00201D99" w:rsidRPr="001416ED">
        <w:rPr>
          <w:lang w:val="uk-UA"/>
        </w:rPr>
        <w:t xml:space="preserve"> (</w:t>
      </w:r>
      <w:r w:rsidR="0027493C" w:rsidRPr="001416ED">
        <w:rPr>
          <w:lang w:val="uk-UA"/>
        </w:rPr>
        <w:t>100</w:t>
      </w:r>
      <w:r w:rsidR="003F2AFD" w:rsidRPr="001416ED">
        <w:rPr>
          <w:lang w:val="uk-UA"/>
        </w:rPr>
        <w:t xml:space="preserve"> </w:t>
      </w:r>
      <w:r w:rsidR="00D4219F" w:rsidRPr="001416ED">
        <w:rPr>
          <w:lang w:val="uk-UA"/>
        </w:rPr>
        <w:t>%</w:t>
      </w:r>
      <w:r w:rsidR="00201D99" w:rsidRPr="001416ED">
        <w:rPr>
          <w:lang w:val="uk-UA"/>
        </w:rPr>
        <w:t>) пацієнт</w:t>
      </w:r>
      <w:r w:rsidR="00BF3F69" w:rsidRPr="001416ED">
        <w:rPr>
          <w:lang w:val="uk-UA"/>
        </w:rPr>
        <w:t>ів</w:t>
      </w:r>
      <w:r w:rsidR="00201D99" w:rsidRPr="001416ED">
        <w:rPr>
          <w:lang w:val="uk-UA"/>
        </w:rPr>
        <w:t xml:space="preserve"> зберігались вищеописані набряки, але їх розповсюдженість не відмічалась вище рівня нижньої третини гомілок</w:t>
      </w:r>
      <w:r w:rsidR="007A61A2" w:rsidRPr="001416ED">
        <w:rPr>
          <w:lang w:val="uk-UA"/>
        </w:rPr>
        <w:t xml:space="preserve">. </w:t>
      </w:r>
      <w:r w:rsidR="00201D99" w:rsidRPr="001416ED">
        <w:t xml:space="preserve">При обстеженні органів дихання у </w:t>
      </w:r>
      <w:r w:rsidR="009C78BB" w:rsidRPr="001416ED">
        <w:rPr>
          <w:lang w:val="uk-UA"/>
        </w:rPr>
        <w:t>чоловіків</w:t>
      </w:r>
      <w:r w:rsidR="00201D99" w:rsidRPr="001416ED">
        <w:t xml:space="preserve"> із даної групи патологічних змін виявлено не було. При обстеженні органів черевної порожнини у </w:t>
      </w:r>
      <w:r w:rsidR="009C78BB" w:rsidRPr="001416ED">
        <w:rPr>
          <w:lang w:val="uk-UA"/>
        </w:rPr>
        <w:t xml:space="preserve">42 </w:t>
      </w:r>
      <w:r w:rsidR="00201D99" w:rsidRPr="001416ED">
        <w:t>(</w:t>
      </w:r>
      <w:r w:rsidR="009C78BB" w:rsidRPr="001416ED">
        <w:rPr>
          <w:lang w:val="uk-UA"/>
        </w:rPr>
        <w:t>84</w:t>
      </w:r>
      <w:r w:rsidR="003F2AFD" w:rsidRPr="001416ED">
        <w:rPr>
          <w:lang w:val="uk-UA"/>
        </w:rPr>
        <w:t xml:space="preserve"> </w:t>
      </w:r>
      <w:r w:rsidR="00D4219F" w:rsidRPr="001416ED">
        <w:t>%</w:t>
      </w:r>
      <w:r w:rsidR="00201D99" w:rsidRPr="001416ED">
        <w:t>) хворих печінка виступала з</w:t>
      </w:r>
      <w:r w:rsidR="00BC0119" w:rsidRPr="001416ED">
        <w:t>–</w:t>
      </w:r>
      <w:r w:rsidR="00201D99" w:rsidRPr="001416ED">
        <w:t>під краю реберної дуги на 2</w:t>
      </w:r>
      <w:r w:rsidR="00BC0119" w:rsidRPr="001416ED">
        <w:t>–</w:t>
      </w:r>
      <w:r w:rsidR="00201D99" w:rsidRPr="001416ED">
        <w:rPr>
          <w:lang w:val="uk-UA"/>
        </w:rPr>
        <w:t>5</w:t>
      </w:r>
      <w:r w:rsidR="005D0771" w:rsidRPr="001416ED">
        <w:t xml:space="preserve"> см по правій середньо</w:t>
      </w:r>
      <w:r w:rsidR="00BC0119" w:rsidRPr="001416ED">
        <w:t>–</w:t>
      </w:r>
      <w:r w:rsidR="00201D99" w:rsidRPr="001416ED">
        <w:t xml:space="preserve">ключичній лінії. </w:t>
      </w:r>
    </w:p>
    <w:p w:rsidR="005D0771" w:rsidRPr="001416ED" w:rsidRDefault="005D0771" w:rsidP="00201D99">
      <w:pPr>
        <w:pStyle w:val="a3"/>
        <w:spacing w:after="0" w:line="360" w:lineRule="auto"/>
        <w:ind w:left="0" w:firstLine="567"/>
        <w:jc w:val="both"/>
        <w:rPr>
          <w:lang w:val="uk-UA"/>
        </w:rPr>
      </w:pPr>
      <w:r w:rsidRPr="001416ED">
        <w:rPr>
          <w:rStyle w:val="apple-converted-space"/>
          <w:sz w:val="27"/>
          <w:szCs w:val="27"/>
          <w:shd w:val="clear" w:color="auto" w:fill="FFFFFF"/>
        </w:rPr>
        <w:t> </w:t>
      </w:r>
      <w:r w:rsidRPr="001416ED">
        <w:rPr>
          <w:rStyle w:val="apple-converted-space"/>
          <w:shd w:val="clear" w:color="auto" w:fill="FFFFFF"/>
          <w:lang w:val="uk-UA"/>
        </w:rPr>
        <w:t>Згідно рекомендацій Української Асоціації Кардіологів (2012) з діагностики та лікування ХСН,</w:t>
      </w:r>
      <w:r w:rsidR="001032D4" w:rsidRPr="001416ED">
        <w:rPr>
          <w:rStyle w:val="apple-converted-space"/>
          <w:shd w:val="clear" w:color="auto" w:fill="FFFFFF"/>
          <w:lang w:val="uk-UA"/>
        </w:rPr>
        <w:t xml:space="preserve"> стадію</w:t>
      </w:r>
      <w:r w:rsidRPr="001416ED">
        <w:rPr>
          <w:rStyle w:val="apple-converted-space"/>
          <w:shd w:val="clear" w:color="auto" w:fill="FFFFFF"/>
          <w:lang w:val="uk-UA"/>
        </w:rPr>
        <w:t xml:space="preserve"> </w:t>
      </w:r>
      <w:r w:rsidR="001032D4" w:rsidRPr="001416ED">
        <w:rPr>
          <w:rStyle w:val="apple-converted-space"/>
          <w:shd w:val="clear" w:color="auto" w:fill="FFFFFF"/>
          <w:lang w:val="uk-UA"/>
        </w:rPr>
        <w:t>Х</w:t>
      </w:r>
      <w:r w:rsidRPr="001416ED">
        <w:rPr>
          <w:rStyle w:val="ab"/>
          <w:b w:val="0"/>
          <w:shd w:val="clear" w:color="auto" w:fill="FFFFFF"/>
          <w:lang w:val="uk-UA"/>
        </w:rPr>
        <w:t>СН</w:t>
      </w:r>
      <w:r w:rsidRPr="001416ED">
        <w:rPr>
          <w:rStyle w:val="apple-converted-space"/>
          <w:b/>
          <w:bCs/>
          <w:shd w:val="clear" w:color="auto" w:fill="FFFFFF"/>
        </w:rPr>
        <w:t> </w:t>
      </w:r>
      <w:r w:rsidRPr="001416ED">
        <w:rPr>
          <w:rStyle w:val="ab"/>
          <w:b w:val="0"/>
          <w:shd w:val="clear" w:color="auto" w:fill="FFFFFF"/>
          <w:lang w:val="uk-UA"/>
        </w:rPr>
        <w:t>ІІ А</w:t>
      </w:r>
      <w:r w:rsidR="001032D4" w:rsidRPr="001416ED">
        <w:rPr>
          <w:rStyle w:val="ab"/>
          <w:b w:val="0"/>
          <w:shd w:val="clear" w:color="auto" w:fill="FFFFFF"/>
          <w:lang w:val="uk-UA"/>
        </w:rPr>
        <w:t xml:space="preserve"> встановлювали</w:t>
      </w:r>
      <w:r w:rsidRPr="001416ED">
        <w:rPr>
          <w:rStyle w:val="apple-converted-space"/>
          <w:shd w:val="clear" w:color="auto" w:fill="FFFFFF"/>
        </w:rPr>
        <w:t> </w:t>
      </w:r>
      <w:r w:rsidRPr="001416ED">
        <w:rPr>
          <w:shd w:val="clear" w:color="auto" w:fill="FFFFFF"/>
          <w:lang w:val="uk-UA"/>
        </w:rPr>
        <w:t xml:space="preserve"> відповід</w:t>
      </w:r>
      <w:r w:rsidR="001032D4" w:rsidRPr="001416ED">
        <w:rPr>
          <w:shd w:val="clear" w:color="auto" w:fill="FFFFFF"/>
          <w:lang w:val="uk-UA"/>
        </w:rPr>
        <w:t>но</w:t>
      </w:r>
      <w:r w:rsidRPr="001416ED">
        <w:rPr>
          <w:shd w:val="clear" w:color="auto" w:fill="FFFFFF"/>
          <w:lang w:val="uk-UA"/>
        </w:rPr>
        <w:t xml:space="preserve"> критеріям хронічної недостатності кровообігу за класифікацією М.Д. Стражеска і В.Х. Василенка (1935)</w:t>
      </w:r>
      <w:r w:rsidR="00661E1B" w:rsidRPr="001416ED">
        <w:rPr>
          <w:shd w:val="clear" w:color="auto" w:fill="FFFFFF"/>
          <w:lang w:val="uk-UA"/>
        </w:rPr>
        <w:t xml:space="preserve"> та згідно рекомендацій Європейської асоціації каріологів з діагностики та лікування гострої та хронічної серцевої недостатності (2012)</w:t>
      </w:r>
      <w:r w:rsidR="00D85FA3" w:rsidRPr="001416ED">
        <w:rPr>
          <w:shd w:val="clear" w:color="auto" w:fill="FFFFFF"/>
          <w:lang w:val="uk-UA"/>
        </w:rPr>
        <w:t xml:space="preserve"> [</w:t>
      </w:r>
      <w:r w:rsidR="008A5FBF" w:rsidRPr="001416ED">
        <w:rPr>
          <w:shd w:val="clear" w:color="auto" w:fill="FFFFFF"/>
          <w:lang w:val="uk-UA"/>
        </w:rPr>
        <w:t>1</w:t>
      </w:r>
      <w:r w:rsidR="0060120A" w:rsidRPr="001416ED">
        <w:rPr>
          <w:shd w:val="clear" w:color="auto" w:fill="FFFFFF"/>
          <w:lang w:val="uk-UA"/>
        </w:rPr>
        <w:t>6</w:t>
      </w:r>
      <w:r w:rsidR="008A5FBF" w:rsidRPr="001416ED">
        <w:rPr>
          <w:shd w:val="clear" w:color="auto" w:fill="FFFFFF"/>
          <w:lang w:val="uk-UA"/>
        </w:rPr>
        <w:t>,</w:t>
      </w:r>
      <w:r w:rsidR="008A5FBF" w:rsidRPr="001416ED">
        <w:rPr>
          <w:shd w:val="clear" w:color="auto" w:fill="FFFFFF"/>
          <w:lang w:val="en-US"/>
        </w:rPr>
        <w:t xml:space="preserve"> 131</w:t>
      </w:r>
      <w:r w:rsidR="00D85FA3" w:rsidRPr="001416ED">
        <w:rPr>
          <w:shd w:val="clear" w:color="auto" w:fill="FFFFFF"/>
          <w:lang w:val="uk-UA"/>
        </w:rPr>
        <w:t>]</w:t>
      </w:r>
      <w:r w:rsidR="001032D4" w:rsidRPr="001416ED">
        <w:rPr>
          <w:shd w:val="clear" w:color="auto" w:fill="FFFFFF"/>
          <w:lang w:val="uk-UA"/>
        </w:rPr>
        <w:t xml:space="preserve">. Функціональний клас ХСН встановлювали згідно класифікації </w:t>
      </w:r>
      <w:r w:rsidR="001032D4" w:rsidRPr="001416ED">
        <w:rPr>
          <w:shd w:val="clear" w:color="auto" w:fill="FFFFFF"/>
          <w:lang w:val="en-US"/>
        </w:rPr>
        <w:t>NYHA</w:t>
      </w:r>
      <w:r w:rsidR="001032D4" w:rsidRPr="001416ED">
        <w:rPr>
          <w:shd w:val="clear" w:color="auto" w:fill="FFFFFF"/>
          <w:lang w:val="uk-UA"/>
        </w:rPr>
        <w:t xml:space="preserve"> (1964).</w:t>
      </w:r>
      <w:r w:rsidR="00661E1B" w:rsidRPr="001416ED">
        <w:rPr>
          <w:rFonts w:eastAsia="PragmaticaC"/>
          <w:lang w:val="uk-UA" w:eastAsia="en-US"/>
        </w:rPr>
        <w:t xml:space="preserve"> </w:t>
      </w:r>
    </w:p>
    <w:p w:rsidR="00A0215A" w:rsidRPr="001416ED" w:rsidRDefault="00E871DC" w:rsidP="00A0215A">
      <w:pPr>
        <w:spacing w:line="360" w:lineRule="auto"/>
        <w:ind w:firstLine="708"/>
        <w:jc w:val="both"/>
        <w:rPr>
          <w:lang w:val="uk-UA"/>
        </w:rPr>
      </w:pPr>
      <w:r w:rsidRPr="001416ED">
        <w:rPr>
          <w:lang w:val="uk-UA"/>
        </w:rPr>
        <w:t>Серед хворих на ГХ ІІІ ст.</w:t>
      </w:r>
      <w:r w:rsidR="00A0215A" w:rsidRPr="001416ED">
        <w:rPr>
          <w:lang w:val="uk-UA"/>
        </w:rPr>
        <w:t xml:space="preserve">, були виявлені наступні зміни ЕКГ: синусова брадикардія </w:t>
      </w:r>
      <w:r w:rsidR="00BC0119" w:rsidRPr="001416ED">
        <w:rPr>
          <w:lang w:val="uk-UA"/>
        </w:rPr>
        <w:t>–</w:t>
      </w:r>
      <w:r w:rsidR="00A0215A" w:rsidRPr="001416ED">
        <w:rPr>
          <w:lang w:val="uk-UA"/>
        </w:rPr>
        <w:t xml:space="preserve"> у </w:t>
      </w:r>
      <w:r w:rsidR="00874462" w:rsidRPr="001416ED">
        <w:rPr>
          <w:lang w:val="uk-UA"/>
        </w:rPr>
        <w:t>6</w:t>
      </w:r>
      <w:r w:rsidR="00A0215A" w:rsidRPr="001416ED">
        <w:rPr>
          <w:lang w:val="uk-UA"/>
        </w:rPr>
        <w:t xml:space="preserve"> (</w:t>
      </w:r>
      <w:r w:rsidR="00874462" w:rsidRPr="001416ED">
        <w:rPr>
          <w:lang w:val="uk-UA"/>
        </w:rPr>
        <w:t>1</w:t>
      </w:r>
      <w:r w:rsidR="00A0215A" w:rsidRPr="001416ED">
        <w:rPr>
          <w:lang w:val="uk-UA"/>
        </w:rPr>
        <w:t>2</w:t>
      </w:r>
      <w:r w:rsidR="0060120A" w:rsidRPr="001416ED">
        <w:rPr>
          <w:lang w:val="uk-UA"/>
        </w:rPr>
        <w:t xml:space="preserve"> </w:t>
      </w:r>
      <w:r w:rsidR="00D4219F" w:rsidRPr="001416ED">
        <w:rPr>
          <w:lang w:val="uk-UA"/>
        </w:rPr>
        <w:t>%</w:t>
      </w:r>
      <w:r w:rsidR="00A0215A" w:rsidRPr="001416ED">
        <w:rPr>
          <w:lang w:val="uk-UA"/>
        </w:rPr>
        <w:t>) хворих, синусова тахікардія – у 1</w:t>
      </w:r>
      <w:r w:rsidR="00874462" w:rsidRPr="001416ED">
        <w:rPr>
          <w:lang w:val="uk-UA"/>
        </w:rPr>
        <w:t>8</w:t>
      </w:r>
      <w:r w:rsidR="00A0215A" w:rsidRPr="001416ED">
        <w:rPr>
          <w:lang w:val="uk-UA"/>
        </w:rPr>
        <w:t xml:space="preserve"> (</w:t>
      </w:r>
      <w:r w:rsidR="00874462" w:rsidRPr="001416ED">
        <w:rPr>
          <w:lang w:val="uk-UA"/>
        </w:rPr>
        <w:t>36</w:t>
      </w:r>
      <w:r w:rsidR="003F2AFD" w:rsidRPr="001416ED">
        <w:rPr>
          <w:lang w:val="uk-UA"/>
        </w:rPr>
        <w:t xml:space="preserve"> </w:t>
      </w:r>
      <w:r w:rsidR="00D4219F" w:rsidRPr="001416ED">
        <w:rPr>
          <w:lang w:val="uk-UA"/>
        </w:rPr>
        <w:t>%</w:t>
      </w:r>
      <w:r w:rsidR="00A0215A" w:rsidRPr="001416ED">
        <w:rPr>
          <w:lang w:val="uk-UA"/>
        </w:rPr>
        <w:t xml:space="preserve">), </w:t>
      </w:r>
      <w:r w:rsidR="00874462" w:rsidRPr="001416ED">
        <w:rPr>
          <w:lang w:val="uk-UA"/>
        </w:rPr>
        <w:t xml:space="preserve">надшлуночкова </w:t>
      </w:r>
      <w:r w:rsidR="00A0215A" w:rsidRPr="001416ED">
        <w:rPr>
          <w:lang w:val="uk-UA"/>
        </w:rPr>
        <w:t>екстрасистолія – у 1</w:t>
      </w:r>
      <w:r w:rsidR="00874462" w:rsidRPr="001416ED">
        <w:rPr>
          <w:lang w:val="uk-UA"/>
        </w:rPr>
        <w:t>6</w:t>
      </w:r>
      <w:r w:rsidR="00A0215A" w:rsidRPr="001416ED">
        <w:rPr>
          <w:lang w:val="uk-UA"/>
        </w:rPr>
        <w:t xml:space="preserve"> (</w:t>
      </w:r>
      <w:r w:rsidR="00874462" w:rsidRPr="001416ED">
        <w:rPr>
          <w:lang w:val="uk-UA"/>
        </w:rPr>
        <w:t>32</w:t>
      </w:r>
      <w:r w:rsidR="003F2AFD" w:rsidRPr="001416ED">
        <w:rPr>
          <w:lang w:val="uk-UA"/>
        </w:rPr>
        <w:t xml:space="preserve"> </w:t>
      </w:r>
      <w:r w:rsidR="00D4219F" w:rsidRPr="001416ED">
        <w:rPr>
          <w:lang w:val="uk-UA"/>
        </w:rPr>
        <w:t>%</w:t>
      </w:r>
      <w:r w:rsidR="00A0215A" w:rsidRPr="001416ED">
        <w:rPr>
          <w:lang w:val="uk-UA"/>
        </w:rPr>
        <w:t>),</w:t>
      </w:r>
      <w:r w:rsidR="001E643E" w:rsidRPr="001416ED">
        <w:rPr>
          <w:lang w:val="uk-UA"/>
        </w:rPr>
        <w:t xml:space="preserve"> шлуночкова екс</w:t>
      </w:r>
      <w:r w:rsidR="00874462" w:rsidRPr="001416ED">
        <w:rPr>
          <w:lang w:val="uk-UA"/>
        </w:rPr>
        <w:t>трасистолія</w:t>
      </w:r>
      <w:r w:rsidRPr="001416ED">
        <w:rPr>
          <w:lang w:val="uk-UA"/>
        </w:rPr>
        <w:t xml:space="preserve"> І градації по Лауну</w:t>
      </w:r>
      <w:r w:rsidR="00A0215A" w:rsidRPr="001416ED">
        <w:rPr>
          <w:lang w:val="uk-UA"/>
        </w:rPr>
        <w:t xml:space="preserve"> </w:t>
      </w:r>
      <w:r w:rsidR="00874462" w:rsidRPr="001416ED">
        <w:rPr>
          <w:lang w:val="uk-UA"/>
        </w:rPr>
        <w:t>– 2 (4</w:t>
      </w:r>
      <w:r w:rsidR="00C82E27" w:rsidRPr="001416ED">
        <w:rPr>
          <w:lang w:val="uk-UA"/>
        </w:rPr>
        <w:t xml:space="preserve"> </w:t>
      </w:r>
      <w:r w:rsidR="00D4219F" w:rsidRPr="001416ED">
        <w:rPr>
          <w:lang w:val="uk-UA"/>
        </w:rPr>
        <w:t>%</w:t>
      </w:r>
      <w:r w:rsidR="00874462" w:rsidRPr="001416ED">
        <w:rPr>
          <w:lang w:val="uk-UA"/>
        </w:rPr>
        <w:t xml:space="preserve">), </w:t>
      </w:r>
      <w:r w:rsidR="00A0215A" w:rsidRPr="001416ED">
        <w:rPr>
          <w:lang w:val="uk-UA"/>
        </w:rPr>
        <w:t xml:space="preserve">блокада лівої ніжки пучка Гіса – </w:t>
      </w:r>
      <w:r w:rsidR="00874462" w:rsidRPr="001416ED">
        <w:rPr>
          <w:lang w:val="uk-UA"/>
        </w:rPr>
        <w:t>8</w:t>
      </w:r>
      <w:r w:rsidR="00A0215A" w:rsidRPr="001416ED">
        <w:rPr>
          <w:lang w:val="uk-UA"/>
        </w:rPr>
        <w:t xml:space="preserve"> (</w:t>
      </w:r>
      <w:r w:rsidR="00874462" w:rsidRPr="001416ED">
        <w:rPr>
          <w:lang w:val="uk-UA"/>
        </w:rPr>
        <w:t>16</w:t>
      </w:r>
      <w:r w:rsidR="00D4219F" w:rsidRPr="001416ED">
        <w:rPr>
          <w:lang w:val="uk-UA"/>
        </w:rPr>
        <w:t>%</w:t>
      </w:r>
      <w:r w:rsidR="00A0215A" w:rsidRPr="001416ED">
        <w:rPr>
          <w:lang w:val="uk-UA"/>
        </w:rPr>
        <w:t xml:space="preserve">) хворих. Електрокардіографічні ознаки </w:t>
      </w:r>
      <w:r w:rsidR="00874462" w:rsidRPr="001416ED">
        <w:rPr>
          <w:lang w:val="uk-UA"/>
        </w:rPr>
        <w:t>ГЛШ</w:t>
      </w:r>
      <w:r w:rsidR="00A0215A" w:rsidRPr="001416ED">
        <w:rPr>
          <w:lang w:val="uk-UA"/>
        </w:rPr>
        <w:t xml:space="preserve"> виявляли у </w:t>
      </w:r>
      <w:r w:rsidRPr="001416ED">
        <w:rPr>
          <w:lang w:val="uk-UA"/>
        </w:rPr>
        <w:t>50</w:t>
      </w:r>
      <w:r w:rsidR="00A0215A" w:rsidRPr="001416ED">
        <w:rPr>
          <w:lang w:val="uk-UA"/>
        </w:rPr>
        <w:t xml:space="preserve"> (</w:t>
      </w:r>
      <w:r w:rsidRPr="001416ED">
        <w:rPr>
          <w:lang w:val="uk-UA"/>
        </w:rPr>
        <w:t>100</w:t>
      </w:r>
      <w:r w:rsidR="003F2AFD" w:rsidRPr="001416ED">
        <w:rPr>
          <w:lang w:val="uk-UA"/>
        </w:rPr>
        <w:t xml:space="preserve"> </w:t>
      </w:r>
      <w:r w:rsidR="00D4219F" w:rsidRPr="001416ED">
        <w:rPr>
          <w:lang w:val="uk-UA"/>
        </w:rPr>
        <w:t>%</w:t>
      </w:r>
      <w:r w:rsidR="00874462" w:rsidRPr="001416ED">
        <w:rPr>
          <w:lang w:val="uk-UA"/>
        </w:rPr>
        <w:t xml:space="preserve">) хворих. </w:t>
      </w:r>
      <w:r w:rsidR="00A0215A" w:rsidRPr="001416ED">
        <w:rPr>
          <w:lang w:val="uk-UA"/>
        </w:rPr>
        <w:t xml:space="preserve">Згідно даних ехокардіографії </w:t>
      </w:r>
      <w:r w:rsidR="00874462" w:rsidRPr="001416ED">
        <w:rPr>
          <w:lang w:val="uk-UA"/>
        </w:rPr>
        <w:t>ГЛШ</w:t>
      </w:r>
      <w:r w:rsidR="00A0215A" w:rsidRPr="001416ED">
        <w:rPr>
          <w:lang w:val="uk-UA"/>
        </w:rPr>
        <w:t xml:space="preserve"> </w:t>
      </w:r>
      <w:r w:rsidR="001E643E" w:rsidRPr="001416ED">
        <w:rPr>
          <w:lang w:val="uk-UA"/>
        </w:rPr>
        <w:t>діагностовано</w:t>
      </w:r>
      <w:r w:rsidR="00A0215A" w:rsidRPr="001416ED">
        <w:rPr>
          <w:lang w:val="uk-UA"/>
        </w:rPr>
        <w:t xml:space="preserve"> у </w:t>
      </w:r>
      <w:r w:rsidR="00874462" w:rsidRPr="001416ED">
        <w:rPr>
          <w:lang w:val="uk-UA"/>
        </w:rPr>
        <w:t>50</w:t>
      </w:r>
      <w:r w:rsidR="00A0215A" w:rsidRPr="001416ED">
        <w:rPr>
          <w:lang w:val="uk-UA"/>
        </w:rPr>
        <w:t xml:space="preserve"> (100</w:t>
      </w:r>
      <w:r w:rsidR="003F2AFD" w:rsidRPr="001416ED">
        <w:rPr>
          <w:lang w:val="uk-UA"/>
        </w:rPr>
        <w:t xml:space="preserve"> </w:t>
      </w:r>
      <w:r w:rsidR="00D4219F" w:rsidRPr="001416ED">
        <w:rPr>
          <w:lang w:val="uk-UA"/>
        </w:rPr>
        <w:t>%</w:t>
      </w:r>
      <w:r w:rsidR="00A0215A" w:rsidRPr="001416ED">
        <w:rPr>
          <w:lang w:val="uk-UA"/>
        </w:rPr>
        <w:t xml:space="preserve">) хворих. </w:t>
      </w:r>
      <w:r w:rsidR="0026087D" w:rsidRPr="001416ED">
        <w:rPr>
          <w:lang w:val="uk-UA"/>
        </w:rPr>
        <w:t>2</w:t>
      </w:r>
      <w:r w:rsidR="00F306FC" w:rsidRPr="001416ED">
        <w:rPr>
          <w:lang w:val="uk-UA"/>
        </w:rPr>
        <w:t>0 чоловіків (</w:t>
      </w:r>
      <w:r w:rsidR="0026087D" w:rsidRPr="001416ED">
        <w:rPr>
          <w:lang w:val="uk-UA"/>
        </w:rPr>
        <w:t>4</w:t>
      </w:r>
      <w:r w:rsidR="00F306FC" w:rsidRPr="001416ED">
        <w:rPr>
          <w:lang w:val="uk-UA"/>
        </w:rPr>
        <w:t>0</w:t>
      </w:r>
      <w:r w:rsidR="00D4219F" w:rsidRPr="001416ED">
        <w:rPr>
          <w:lang w:val="uk-UA"/>
        </w:rPr>
        <w:t>%</w:t>
      </w:r>
      <w:r w:rsidR="00F306FC" w:rsidRPr="001416ED">
        <w:rPr>
          <w:lang w:val="uk-UA"/>
        </w:rPr>
        <w:t xml:space="preserve">) </w:t>
      </w:r>
      <w:r w:rsidR="00A0215A" w:rsidRPr="001416ED">
        <w:rPr>
          <w:lang w:val="uk-UA"/>
        </w:rPr>
        <w:t>мал</w:t>
      </w:r>
      <w:r w:rsidR="00F306FC" w:rsidRPr="001416ED">
        <w:rPr>
          <w:lang w:val="uk-UA"/>
        </w:rPr>
        <w:t xml:space="preserve">и </w:t>
      </w:r>
      <w:r w:rsidR="00A0215A" w:rsidRPr="001416ED">
        <w:rPr>
          <w:lang w:val="uk-UA"/>
        </w:rPr>
        <w:t>ФВ</w:t>
      </w:r>
      <w:r w:rsidR="003F2AFD" w:rsidRPr="001416ED">
        <w:rPr>
          <w:lang w:val="uk-UA"/>
        </w:rPr>
        <w:t xml:space="preserve"> </w:t>
      </w:r>
      <w:r w:rsidR="00A0215A" w:rsidRPr="001416ED">
        <w:rPr>
          <w:lang w:val="uk-UA"/>
        </w:rPr>
        <w:t>&gt;</w:t>
      </w:r>
      <w:r w:rsidR="003F2AFD" w:rsidRPr="001416ED">
        <w:rPr>
          <w:lang w:val="uk-UA"/>
        </w:rPr>
        <w:t xml:space="preserve"> </w:t>
      </w:r>
      <w:r w:rsidR="00A0215A" w:rsidRPr="001416ED">
        <w:rPr>
          <w:lang w:val="uk-UA"/>
        </w:rPr>
        <w:t>45</w:t>
      </w:r>
      <w:r w:rsidR="003F2AFD" w:rsidRPr="001416ED">
        <w:rPr>
          <w:lang w:val="uk-UA"/>
        </w:rPr>
        <w:t xml:space="preserve"> </w:t>
      </w:r>
      <w:r w:rsidR="00D4219F" w:rsidRPr="001416ED">
        <w:rPr>
          <w:lang w:val="uk-UA"/>
        </w:rPr>
        <w:t>%</w:t>
      </w:r>
      <w:r w:rsidR="00F306FC" w:rsidRPr="001416ED">
        <w:rPr>
          <w:lang w:val="uk-UA"/>
        </w:rPr>
        <w:t xml:space="preserve">, </w:t>
      </w:r>
      <w:r w:rsidR="0026087D" w:rsidRPr="001416ED">
        <w:rPr>
          <w:lang w:val="uk-UA"/>
        </w:rPr>
        <w:t>3</w:t>
      </w:r>
      <w:r w:rsidR="00F306FC" w:rsidRPr="001416ED">
        <w:rPr>
          <w:lang w:val="uk-UA"/>
        </w:rPr>
        <w:t>0 осіб (</w:t>
      </w:r>
      <w:r w:rsidR="0026087D" w:rsidRPr="001416ED">
        <w:rPr>
          <w:lang w:val="uk-UA"/>
        </w:rPr>
        <w:t>6</w:t>
      </w:r>
      <w:r w:rsidR="00F306FC" w:rsidRPr="001416ED">
        <w:rPr>
          <w:lang w:val="uk-UA"/>
        </w:rPr>
        <w:t>0</w:t>
      </w:r>
      <w:r w:rsidRPr="001416ED">
        <w:rPr>
          <w:lang w:val="uk-UA"/>
        </w:rPr>
        <w:t xml:space="preserve"> </w:t>
      </w:r>
      <w:r w:rsidR="00D4219F" w:rsidRPr="001416ED">
        <w:rPr>
          <w:lang w:val="uk-UA"/>
        </w:rPr>
        <w:t>%</w:t>
      </w:r>
      <w:r w:rsidR="00F306FC" w:rsidRPr="001416ED">
        <w:rPr>
          <w:lang w:val="uk-UA"/>
        </w:rPr>
        <w:t>)  –</w:t>
      </w:r>
      <w:r w:rsidR="00FA684C" w:rsidRPr="001416ED">
        <w:rPr>
          <w:lang w:val="uk-UA"/>
        </w:rPr>
        <w:t xml:space="preserve"> </w:t>
      </w:r>
      <w:r w:rsidR="00F306FC" w:rsidRPr="001416ED">
        <w:rPr>
          <w:lang w:val="uk-UA"/>
        </w:rPr>
        <w:t>ФВ</w:t>
      </w:r>
      <w:r w:rsidR="00D73AF9" w:rsidRPr="001416ED">
        <w:rPr>
          <w:lang w:val="uk-UA"/>
        </w:rPr>
        <w:t xml:space="preserve"> &lt; 45 %</w:t>
      </w:r>
      <w:r w:rsidR="00A0215A" w:rsidRPr="001416ED">
        <w:rPr>
          <w:lang w:val="uk-UA"/>
        </w:rPr>
        <w:t xml:space="preserve">. Ангіопатія сітківки гіпертензивного </w:t>
      </w:r>
      <w:r w:rsidR="001E643E" w:rsidRPr="001416ED">
        <w:rPr>
          <w:lang w:val="uk-UA"/>
        </w:rPr>
        <w:t>ґенезу</w:t>
      </w:r>
      <w:r w:rsidR="00A0215A" w:rsidRPr="001416ED">
        <w:rPr>
          <w:lang w:val="uk-UA"/>
        </w:rPr>
        <w:t xml:space="preserve"> була виявлена у </w:t>
      </w:r>
      <w:r w:rsidR="00874462" w:rsidRPr="001416ED">
        <w:rPr>
          <w:lang w:val="uk-UA"/>
        </w:rPr>
        <w:t>4</w:t>
      </w:r>
      <w:r w:rsidR="00A0215A" w:rsidRPr="001416ED">
        <w:rPr>
          <w:lang w:val="uk-UA"/>
        </w:rPr>
        <w:t>3 (</w:t>
      </w:r>
      <w:r w:rsidR="00874462" w:rsidRPr="001416ED">
        <w:rPr>
          <w:lang w:val="uk-UA"/>
        </w:rPr>
        <w:t>86</w:t>
      </w:r>
      <w:r w:rsidR="003F2AFD" w:rsidRPr="001416ED">
        <w:rPr>
          <w:lang w:val="uk-UA"/>
        </w:rPr>
        <w:t xml:space="preserve"> </w:t>
      </w:r>
      <w:r w:rsidR="00D4219F" w:rsidRPr="001416ED">
        <w:rPr>
          <w:lang w:val="uk-UA"/>
        </w:rPr>
        <w:t>%</w:t>
      </w:r>
      <w:r w:rsidR="00A0215A" w:rsidRPr="001416ED">
        <w:rPr>
          <w:lang w:val="uk-UA"/>
        </w:rPr>
        <w:t>) обстежених.</w:t>
      </w:r>
      <w:r w:rsidR="006953B0" w:rsidRPr="001416ED">
        <w:rPr>
          <w:lang w:val="uk-UA"/>
        </w:rPr>
        <w:t xml:space="preserve"> У 5 чоловіків (10</w:t>
      </w:r>
      <w:r w:rsidR="003F2AFD" w:rsidRPr="001416ED">
        <w:rPr>
          <w:lang w:val="uk-UA"/>
        </w:rPr>
        <w:t xml:space="preserve"> </w:t>
      </w:r>
      <w:r w:rsidR="00D4219F" w:rsidRPr="001416ED">
        <w:rPr>
          <w:lang w:val="uk-UA"/>
        </w:rPr>
        <w:t>%</w:t>
      </w:r>
      <w:r w:rsidR="00B13A95" w:rsidRPr="001416ED">
        <w:rPr>
          <w:lang w:val="uk-UA"/>
        </w:rPr>
        <w:t>) виявлено ІХС – дифузний кардіосклероз, що не передував розвитку ГХ.</w:t>
      </w:r>
    </w:p>
    <w:p w:rsidR="00B13A95" w:rsidRPr="001416ED" w:rsidRDefault="00B13A95" w:rsidP="00D73AF9">
      <w:pPr>
        <w:spacing w:line="360" w:lineRule="auto"/>
        <w:ind w:firstLine="708"/>
        <w:jc w:val="both"/>
        <w:rPr>
          <w:lang w:val="uk-UA"/>
        </w:rPr>
      </w:pPr>
      <w:r w:rsidRPr="001416ED">
        <w:rPr>
          <w:lang w:val="uk-UA"/>
        </w:rPr>
        <w:t>Пацієнти з будь</w:t>
      </w:r>
      <w:r w:rsidR="00BC0119" w:rsidRPr="001416ED">
        <w:rPr>
          <w:lang w:val="uk-UA"/>
        </w:rPr>
        <w:t>–</w:t>
      </w:r>
      <w:r w:rsidRPr="001416ED">
        <w:rPr>
          <w:lang w:val="uk-UA"/>
        </w:rPr>
        <w:t xml:space="preserve">якою формою </w:t>
      </w:r>
      <w:r w:rsidR="00D73AF9" w:rsidRPr="001416ED">
        <w:rPr>
          <w:lang w:val="uk-UA"/>
        </w:rPr>
        <w:t>ІХС</w:t>
      </w:r>
      <w:r w:rsidR="00FA684C" w:rsidRPr="001416ED">
        <w:rPr>
          <w:lang w:val="uk-UA"/>
        </w:rPr>
        <w:t>, що передувала розвитку ГХ</w:t>
      </w:r>
      <w:r w:rsidRPr="001416ED">
        <w:rPr>
          <w:lang w:val="uk-UA"/>
        </w:rPr>
        <w:t xml:space="preserve"> не були включені у дослідження.</w:t>
      </w:r>
      <w:r w:rsidR="00D73AF9" w:rsidRPr="001416ED">
        <w:rPr>
          <w:lang w:val="uk-UA"/>
        </w:rPr>
        <w:t xml:space="preserve"> </w:t>
      </w:r>
      <w:r w:rsidR="00FA684C" w:rsidRPr="001416ED">
        <w:rPr>
          <w:lang w:val="uk-UA"/>
        </w:rPr>
        <w:t xml:space="preserve">Пацієнтів з ГХ та постінфарктним кардіосклерозом, будь–якою формою стенокардії не вкючали у дослідження. </w:t>
      </w:r>
      <w:r w:rsidR="00D73AF9" w:rsidRPr="001416ED">
        <w:rPr>
          <w:lang w:val="uk-UA"/>
        </w:rPr>
        <w:t>Усі форми ІХС виключали шляхом оцінки претестової ймовірністі захворювання, а саме детального збору скарг, анамнезу, ан</w:t>
      </w:r>
      <w:r w:rsidR="00FA684C" w:rsidRPr="001416ED">
        <w:rPr>
          <w:lang w:val="uk-UA"/>
        </w:rPr>
        <w:t>а</w:t>
      </w:r>
      <w:r w:rsidR="00D73AF9" w:rsidRPr="001416ED">
        <w:rPr>
          <w:lang w:val="uk-UA"/>
        </w:rPr>
        <w:t>лізу даних</w:t>
      </w:r>
      <w:r w:rsidR="00FA684C" w:rsidRPr="001416ED">
        <w:rPr>
          <w:lang w:val="uk-UA"/>
        </w:rPr>
        <w:t xml:space="preserve"> лабораторних методів обстеження, </w:t>
      </w:r>
      <w:r w:rsidR="00D73AF9" w:rsidRPr="001416ED">
        <w:rPr>
          <w:lang w:val="uk-UA"/>
        </w:rPr>
        <w:t>амбулаторної карти пацієнта</w:t>
      </w:r>
      <w:r w:rsidR="00224829" w:rsidRPr="001416ED">
        <w:rPr>
          <w:lang w:val="uk-UA"/>
        </w:rPr>
        <w:t>,</w:t>
      </w:r>
      <w:r w:rsidR="00D73AF9" w:rsidRPr="001416ED">
        <w:rPr>
          <w:lang w:val="uk-UA"/>
        </w:rPr>
        <w:t xml:space="preserve"> заключень </w:t>
      </w:r>
      <w:r w:rsidRPr="001416ED">
        <w:rPr>
          <w:lang w:val="uk-UA"/>
        </w:rPr>
        <w:t>ЕКГ</w:t>
      </w:r>
      <w:r w:rsidR="00D73AF9" w:rsidRPr="001416ED">
        <w:rPr>
          <w:lang w:val="uk-UA"/>
        </w:rPr>
        <w:t xml:space="preserve"> в спокої та </w:t>
      </w:r>
      <w:r w:rsidR="00E1781F" w:rsidRPr="001416ED">
        <w:rPr>
          <w:lang w:val="uk-UA"/>
        </w:rPr>
        <w:t>ультразвуков</w:t>
      </w:r>
      <w:r w:rsidR="00224829" w:rsidRPr="001416ED">
        <w:rPr>
          <w:lang w:val="uk-UA"/>
        </w:rPr>
        <w:t>ого</w:t>
      </w:r>
      <w:r w:rsidR="00E1781F" w:rsidRPr="001416ED">
        <w:rPr>
          <w:lang w:val="uk-UA"/>
        </w:rPr>
        <w:t xml:space="preserve"> дослідження (</w:t>
      </w:r>
      <w:r w:rsidR="00656DBA" w:rsidRPr="001416ED">
        <w:rPr>
          <w:lang w:val="uk-UA"/>
        </w:rPr>
        <w:t>УЗД</w:t>
      </w:r>
      <w:r w:rsidR="00E1781F" w:rsidRPr="001416ED">
        <w:rPr>
          <w:lang w:val="uk-UA"/>
        </w:rPr>
        <w:t>)</w:t>
      </w:r>
      <w:r w:rsidR="00656DBA" w:rsidRPr="001416ED">
        <w:rPr>
          <w:lang w:val="uk-UA"/>
        </w:rPr>
        <w:t xml:space="preserve"> серця</w:t>
      </w:r>
      <w:r w:rsidR="00D73AF9" w:rsidRPr="001416ED">
        <w:rPr>
          <w:lang w:val="uk-UA"/>
        </w:rPr>
        <w:t xml:space="preserve"> в спокої</w:t>
      </w:r>
      <w:r w:rsidR="00FA684C" w:rsidRPr="001416ED">
        <w:rPr>
          <w:lang w:val="uk-UA"/>
        </w:rPr>
        <w:t xml:space="preserve"> (рекомендації Європейської асоціації кардіологів 2013)</w:t>
      </w:r>
      <w:r w:rsidR="008A5FBF" w:rsidRPr="001416ED">
        <w:rPr>
          <w:lang w:val="en-US"/>
        </w:rPr>
        <w:t xml:space="preserve"> [95]</w:t>
      </w:r>
      <w:r w:rsidR="00D73AF9" w:rsidRPr="001416ED">
        <w:rPr>
          <w:lang w:val="uk-UA"/>
        </w:rPr>
        <w:t>.</w:t>
      </w:r>
      <w:r w:rsidRPr="001416ED">
        <w:rPr>
          <w:lang w:val="uk-UA"/>
        </w:rPr>
        <w:t xml:space="preserve"> </w:t>
      </w:r>
      <w:r w:rsidR="00D73AF9" w:rsidRPr="001416ED">
        <w:rPr>
          <w:lang w:val="uk-UA"/>
        </w:rPr>
        <w:t>В</w:t>
      </w:r>
      <w:r w:rsidRPr="001416ED">
        <w:rPr>
          <w:lang w:val="uk-UA"/>
        </w:rPr>
        <w:t>елоергометрі</w:t>
      </w:r>
      <w:r w:rsidR="00254265" w:rsidRPr="001416ED">
        <w:rPr>
          <w:lang w:val="uk-UA"/>
        </w:rPr>
        <w:t>ю</w:t>
      </w:r>
      <w:r w:rsidRPr="001416ED">
        <w:rPr>
          <w:lang w:val="uk-UA"/>
        </w:rPr>
        <w:t xml:space="preserve"> </w:t>
      </w:r>
      <w:r w:rsidR="00254265" w:rsidRPr="001416ED">
        <w:rPr>
          <w:lang w:val="uk-UA"/>
        </w:rPr>
        <w:t xml:space="preserve">проводили пацієнтам, що </w:t>
      </w:r>
      <w:r w:rsidR="00254265" w:rsidRPr="001416ED">
        <w:rPr>
          <w:lang w:val="uk-UA"/>
        </w:rPr>
        <w:lastRenderedPageBreak/>
        <w:t>висловлювали скарги на болі в серці (5 чоловіків з ГХ ІІІ ст</w:t>
      </w:r>
      <w:r w:rsidR="00FA684C" w:rsidRPr="001416ED">
        <w:rPr>
          <w:lang w:val="uk-UA"/>
        </w:rPr>
        <w:t>.</w:t>
      </w:r>
      <w:r w:rsidR="00254265" w:rsidRPr="001416ED">
        <w:rPr>
          <w:lang w:val="uk-UA"/>
        </w:rPr>
        <w:t>)</w:t>
      </w:r>
      <w:r w:rsidR="00D73AF9" w:rsidRPr="001416ED">
        <w:rPr>
          <w:lang w:val="uk-UA"/>
        </w:rPr>
        <w:t>, що були не типовими для стенокардії</w:t>
      </w:r>
      <w:r w:rsidR="00FA684C" w:rsidRPr="001416ED">
        <w:rPr>
          <w:lang w:val="uk-UA"/>
        </w:rPr>
        <w:t xml:space="preserve"> та виникли після розвитку ГХ</w:t>
      </w:r>
      <w:r w:rsidRPr="001416ED">
        <w:rPr>
          <w:lang w:val="uk-UA"/>
        </w:rPr>
        <w:t xml:space="preserve">. </w:t>
      </w:r>
    </w:p>
    <w:p w:rsidR="00CC2E6E" w:rsidRPr="001416ED" w:rsidRDefault="00CC2E6E" w:rsidP="00CC2E6E">
      <w:pPr>
        <w:spacing w:line="360" w:lineRule="auto"/>
        <w:ind w:firstLine="708"/>
        <w:jc w:val="both"/>
        <w:rPr>
          <w:lang w:val="uk-UA"/>
        </w:rPr>
      </w:pPr>
      <w:r w:rsidRPr="001416ED">
        <w:rPr>
          <w:lang w:val="uk-UA"/>
        </w:rPr>
        <w:t xml:space="preserve">Серед пацієнтів з ГХ ІІІ ст. дерматогліфічне обстеження пальців </w:t>
      </w:r>
      <w:r w:rsidR="00D33E82">
        <w:rPr>
          <w:lang w:val="uk-UA"/>
        </w:rPr>
        <w:t>ПК і</w:t>
      </w:r>
      <w:r w:rsidRPr="001416ED">
        <w:rPr>
          <w:lang w:val="uk-UA"/>
        </w:rPr>
        <w:t xml:space="preserve"> </w:t>
      </w:r>
      <w:r w:rsidR="002C5F19" w:rsidRPr="001416ED">
        <w:rPr>
          <w:lang w:val="uk-UA"/>
        </w:rPr>
        <w:t>ЛК</w:t>
      </w:r>
      <w:r w:rsidRPr="001416ED">
        <w:rPr>
          <w:lang w:val="uk-UA"/>
        </w:rPr>
        <w:t xml:space="preserve"> було проведене 43 (86 %) чоловікам, інші </w:t>
      </w:r>
      <w:r w:rsidR="00A2328C" w:rsidRPr="001416ED">
        <w:rPr>
          <w:lang w:val="uk-UA"/>
        </w:rPr>
        <w:t>4 (8 %)</w:t>
      </w:r>
      <w:r w:rsidRPr="001416ED">
        <w:rPr>
          <w:lang w:val="uk-UA"/>
        </w:rPr>
        <w:t xml:space="preserve"> ос</w:t>
      </w:r>
      <w:r w:rsidR="00A2328C" w:rsidRPr="001416ED">
        <w:rPr>
          <w:lang w:val="uk-UA"/>
        </w:rPr>
        <w:t>о</w:t>
      </w:r>
      <w:r w:rsidRPr="001416ED">
        <w:rPr>
          <w:lang w:val="uk-UA"/>
        </w:rPr>
        <w:t>б</w:t>
      </w:r>
      <w:r w:rsidR="00A2328C" w:rsidRPr="001416ED">
        <w:rPr>
          <w:lang w:val="uk-UA"/>
        </w:rPr>
        <w:t>и</w:t>
      </w:r>
      <w:r w:rsidRPr="001416ED">
        <w:rPr>
          <w:lang w:val="uk-UA"/>
        </w:rPr>
        <w:t xml:space="preserve"> відмовились від даного обстеження</w:t>
      </w:r>
      <w:r w:rsidR="00A2328C" w:rsidRPr="001416ED">
        <w:rPr>
          <w:lang w:val="uk-UA"/>
        </w:rPr>
        <w:t xml:space="preserve">, а у 3 (6 %) пацієнтів були отримані неякісні дерматогліфічні малюнки через особливість шкірного рельєфу, що не підлягали </w:t>
      </w:r>
      <w:r w:rsidR="00224829" w:rsidRPr="001416ED">
        <w:rPr>
          <w:lang w:val="uk-UA"/>
        </w:rPr>
        <w:t xml:space="preserve">подальшому </w:t>
      </w:r>
      <w:r w:rsidR="00A2328C" w:rsidRPr="001416ED">
        <w:rPr>
          <w:lang w:val="uk-UA"/>
        </w:rPr>
        <w:t>аналізу</w:t>
      </w:r>
      <w:r w:rsidRPr="001416ED">
        <w:rPr>
          <w:lang w:val="uk-UA"/>
        </w:rPr>
        <w:t>. Дерматогліфи отримували за методикою Т. Д. Гладкової за допомогою електронного прокатного сканера Futronic FS50с з наступним аналізом отриманих даних.</w:t>
      </w:r>
    </w:p>
    <w:p w:rsidR="00F306FC" w:rsidRPr="001416ED" w:rsidRDefault="00F306FC" w:rsidP="00B13A95">
      <w:pPr>
        <w:spacing w:line="360" w:lineRule="auto"/>
        <w:ind w:firstLine="708"/>
        <w:jc w:val="both"/>
        <w:rPr>
          <w:lang w:val="uk-UA"/>
        </w:rPr>
      </w:pPr>
      <w:r w:rsidRPr="001416ED">
        <w:rPr>
          <w:lang w:val="uk-UA"/>
        </w:rPr>
        <w:t xml:space="preserve">Особи контрольної групи, пацієнти з ГХ ІІ та </w:t>
      </w:r>
      <w:r w:rsidR="00145533" w:rsidRPr="001416ED">
        <w:rPr>
          <w:lang w:val="uk-UA"/>
        </w:rPr>
        <w:t>ІІІ</w:t>
      </w:r>
      <w:r w:rsidRPr="001416ED">
        <w:rPr>
          <w:lang w:val="uk-UA"/>
        </w:rPr>
        <w:t xml:space="preserve"> ст. були набрані та обстежені (загальний аналіз крові, </w:t>
      </w:r>
      <w:r w:rsidR="00DA73A4" w:rsidRPr="001416ED">
        <w:rPr>
          <w:lang w:val="uk-UA"/>
        </w:rPr>
        <w:t>загальний</w:t>
      </w:r>
      <w:r w:rsidRPr="001416ED">
        <w:rPr>
          <w:lang w:val="uk-UA"/>
        </w:rPr>
        <w:t xml:space="preserve"> аналіз сечі, біохімічний аналіз крові, ЕКГ, дерматогліфічне обстеження пальців кистей, УЗД серця</w:t>
      </w:r>
      <w:r w:rsidR="00D8094B" w:rsidRPr="001416ED">
        <w:rPr>
          <w:lang w:val="uk-UA"/>
        </w:rPr>
        <w:t>, велоергоме</w:t>
      </w:r>
      <w:r w:rsidR="00D464E4" w:rsidRPr="001416ED">
        <w:rPr>
          <w:lang w:val="uk-UA"/>
        </w:rPr>
        <w:t>трія</w:t>
      </w:r>
      <w:r w:rsidRPr="001416ED">
        <w:rPr>
          <w:lang w:val="uk-UA"/>
        </w:rPr>
        <w:t>) спільно з аспірантом кафедри внутрішньої медицини медичного факультету №</w:t>
      </w:r>
      <w:r w:rsidR="00C82E27" w:rsidRPr="001416ED">
        <w:rPr>
          <w:lang w:val="uk-UA"/>
        </w:rPr>
        <w:t xml:space="preserve"> </w:t>
      </w:r>
      <w:r w:rsidRPr="001416ED">
        <w:rPr>
          <w:lang w:val="uk-UA"/>
        </w:rPr>
        <w:t>2 Пашковою Юлією Павлівною</w:t>
      </w:r>
      <w:r w:rsidR="00D8094B" w:rsidRPr="001416ED">
        <w:rPr>
          <w:lang w:val="uk-UA"/>
        </w:rPr>
        <w:t>.</w:t>
      </w:r>
    </w:p>
    <w:p w:rsidR="00A0215A" w:rsidRPr="001416ED" w:rsidRDefault="00A0215A" w:rsidP="00404762">
      <w:pPr>
        <w:spacing w:before="240" w:after="240" w:line="360" w:lineRule="auto"/>
        <w:ind w:firstLine="709"/>
        <w:jc w:val="both"/>
        <w:outlineLvl w:val="0"/>
        <w:rPr>
          <w:b/>
          <w:bCs/>
          <w:lang w:val="uk-UA"/>
        </w:rPr>
      </w:pPr>
      <w:r w:rsidRPr="001416ED">
        <w:rPr>
          <w:b/>
          <w:bCs/>
          <w:lang w:val="uk-UA"/>
        </w:rPr>
        <w:t>2.2</w:t>
      </w:r>
      <w:r w:rsidR="00FB74CC">
        <w:rPr>
          <w:b/>
          <w:bCs/>
          <w:lang w:val="uk-UA"/>
        </w:rPr>
        <w:t>.</w:t>
      </w:r>
      <w:r w:rsidRPr="001416ED">
        <w:rPr>
          <w:b/>
          <w:bCs/>
          <w:lang w:val="uk-UA"/>
        </w:rPr>
        <w:t xml:space="preserve"> Методи дослідження, які використовувались у роботі</w:t>
      </w:r>
    </w:p>
    <w:p w:rsidR="003547DD" w:rsidRPr="001416ED" w:rsidRDefault="003547DD" w:rsidP="003547DD">
      <w:pPr>
        <w:spacing w:before="240" w:after="240" w:line="360" w:lineRule="auto"/>
        <w:jc w:val="both"/>
        <w:rPr>
          <w:b/>
          <w:lang w:val="uk-UA"/>
        </w:rPr>
      </w:pPr>
      <w:r w:rsidRPr="001416ED">
        <w:rPr>
          <w:lang w:val="uk-UA"/>
        </w:rPr>
        <w:tab/>
      </w:r>
      <w:r w:rsidRPr="001416ED">
        <w:rPr>
          <w:b/>
          <w:lang w:val="uk-UA"/>
        </w:rPr>
        <w:t>2.2.1</w:t>
      </w:r>
      <w:r w:rsidR="00232242">
        <w:rPr>
          <w:b/>
          <w:lang w:val="uk-UA"/>
        </w:rPr>
        <w:t>.</w:t>
      </w:r>
      <w:r w:rsidRPr="001416ED">
        <w:rPr>
          <w:b/>
          <w:lang w:val="uk-UA"/>
        </w:rPr>
        <w:t xml:space="preserve"> Методика визначення </w:t>
      </w:r>
      <w:r w:rsidR="00E6164F">
        <w:rPr>
          <w:b/>
          <w:lang w:val="uk-UA"/>
        </w:rPr>
        <w:t>поліморфного варіанту гена</w:t>
      </w:r>
      <w:r w:rsidRPr="001416ED">
        <w:rPr>
          <w:b/>
          <w:lang w:val="uk-UA"/>
        </w:rPr>
        <w:t xml:space="preserve"> ендотеліну </w:t>
      </w:r>
      <w:r w:rsidR="00BC0119" w:rsidRPr="001416ED">
        <w:rPr>
          <w:b/>
          <w:lang w:val="uk-UA"/>
        </w:rPr>
        <w:t>–</w:t>
      </w:r>
      <w:r w:rsidRPr="001416ED">
        <w:rPr>
          <w:b/>
          <w:lang w:val="uk-UA"/>
        </w:rPr>
        <w:t xml:space="preserve"> 1</w:t>
      </w:r>
    </w:p>
    <w:p w:rsidR="003547DD" w:rsidRPr="001416ED" w:rsidRDefault="003547DD" w:rsidP="003547DD">
      <w:pPr>
        <w:spacing w:before="240" w:line="360" w:lineRule="auto"/>
        <w:ind w:firstLine="709"/>
        <w:jc w:val="both"/>
        <w:rPr>
          <w:lang w:val="uk-UA"/>
        </w:rPr>
      </w:pPr>
      <w:r w:rsidRPr="001416ED">
        <w:rPr>
          <w:lang w:val="uk-UA"/>
        </w:rPr>
        <w:t xml:space="preserve">Для визначення алелей поліморфної ділянки </w:t>
      </w:r>
      <w:r w:rsidRPr="001416ED">
        <w:rPr>
          <w:lang w:val="en-US"/>
        </w:rPr>
        <w:t>Lys</w:t>
      </w:r>
      <w:r w:rsidRPr="001416ED">
        <w:rPr>
          <w:lang w:val="uk-UA"/>
        </w:rPr>
        <w:t>198</w:t>
      </w:r>
      <w:r w:rsidRPr="001416ED">
        <w:rPr>
          <w:lang w:val="en-US"/>
        </w:rPr>
        <w:t>Asn</w:t>
      </w:r>
      <w:r w:rsidRPr="001416ED">
        <w:rPr>
          <w:rStyle w:val="apple-converted-space"/>
          <w:lang w:val="uk-UA"/>
        </w:rPr>
        <w:t xml:space="preserve"> гена ЕТ</w:t>
      </w:r>
      <w:r w:rsidR="00BC0119" w:rsidRPr="001416ED">
        <w:rPr>
          <w:rStyle w:val="apple-converted-space"/>
          <w:lang w:val="uk-UA"/>
        </w:rPr>
        <w:t>–</w:t>
      </w:r>
      <w:r w:rsidRPr="001416ED">
        <w:rPr>
          <w:rStyle w:val="apple-converted-space"/>
          <w:lang w:val="uk-UA"/>
        </w:rPr>
        <w:t xml:space="preserve">1 </w:t>
      </w:r>
      <w:r w:rsidRPr="001416ED">
        <w:rPr>
          <w:lang w:val="uk-UA"/>
        </w:rPr>
        <w:t>геномну ДНК виділяли з лейкоцитів периферичної крові використовуючи набір реагенту «Комплект для виділення ДНК/РНК з сироватки або плазми крові» (НПФ «ЛитТех», Росія).</w:t>
      </w:r>
    </w:p>
    <w:p w:rsidR="003547DD" w:rsidRPr="001416ED" w:rsidRDefault="003547DD" w:rsidP="003547DD">
      <w:pPr>
        <w:spacing w:line="360" w:lineRule="auto"/>
        <w:ind w:firstLine="708"/>
        <w:jc w:val="both"/>
        <w:rPr>
          <w:lang w:val="uk-UA"/>
        </w:rPr>
      </w:pPr>
      <w:r w:rsidRPr="001416ED">
        <w:rPr>
          <w:lang w:val="uk-UA"/>
        </w:rPr>
        <w:t>Відбір крові для дослідження проводи</w:t>
      </w:r>
      <w:r w:rsidR="003F2AFD" w:rsidRPr="001416ED">
        <w:rPr>
          <w:lang w:val="uk-UA"/>
        </w:rPr>
        <w:t>ли</w:t>
      </w:r>
      <w:r w:rsidRPr="001416ED">
        <w:rPr>
          <w:lang w:val="uk-UA"/>
        </w:rPr>
        <w:t xml:space="preserve"> натщесерце із кубітальної вени у кількості 4 мл цільної крові у охолоджені поліпропіленові пробірки, які містили ЕДТА (1</w:t>
      </w:r>
      <w:r w:rsidR="003F2AFD" w:rsidRPr="001416ED">
        <w:rPr>
          <w:lang w:val="uk-UA"/>
        </w:rPr>
        <w:t xml:space="preserve"> </w:t>
      </w:r>
      <w:r w:rsidRPr="001416ED">
        <w:rPr>
          <w:lang w:val="uk-UA"/>
        </w:rPr>
        <w:t>мг/1</w:t>
      </w:r>
      <w:r w:rsidR="003F2AFD" w:rsidRPr="001416ED">
        <w:rPr>
          <w:lang w:val="uk-UA"/>
        </w:rPr>
        <w:t xml:space="preserve"> </w:t>
      </w:r>
      <w:r w:rsidRPr="001416ED">
        <w:rPr>
          <w:lang w:val="uk-UA"/>
        </w:rPr>
        <w:t>мл крові). Зібраний матеріал зберіга</w:t>
      </w:r>
      <w:r w:rsidR="003F2AFD" w:rsidRPr="001416ED">
        <w:rPr>
          <w:lang w:val="uk-UA"/>
        </w:rPr>
        <w:t>ли</w:t>
      </w:r>
      <w:r w:rsidRPr="001416ED">
        <w:rPr>
          <w:lang w:val="uk-UA"/>
        </w:rPr>
        <w:t xml:space="preserve"> при температурі </w:t>
      </w:r>
      <w:r w:rsidR="00BC0119" w:rsidRPr="001416ED">
        <w:rPr>
          <w:lang w:val="uk-UA"/>
        </w:rPr>
        <w:t>–</w:t>
      </w:r>
      <w:r w:rsidRPr="001416ED">
        <w:rPr>
          <w:lang w:val="uk-UA"/>
        </w:rPr>
        <w:t>20</w:t>
      </w:r>
      <w:r w:rsidR="003F2AFD" w:rsidRPr="001416ED">
        <w:rPr>
          <w:lang w:val="uk-UA"/>
        </w:rPr>
        <w:t xml:space="preserve"> </w:t>
      </w:r>
      <w:r w:rsidRPr="001416ED">
        <w:rPr>
          <w:lang w:val="uk-UA"/>
        </w:rPr>
        <w:t xml:space="preserve">°С не більше </w:t>
      </w:r>
      <w:r w:rsidR="00DB52CB" w:rsidRPr="001416ED">
        <w:rPr>
          <w:lang w:val="uk-UA"/>
        </w:rPr>
        <w:t>6</w:t>
      </w:r>
      <w:r w:rsidRPr="001416ED">
        <w:rPr>
          <w:lang w:val="uk-UA"/>
        </w:rPr>
        <w:t xml:space="preserve"> місяц</w:t>
      </w:r>
      <w:r w:rsidR="00DB52CB" w:rsidRPr="001416ED">
        <w:rPr>
          <w:lang w:val="uk-UA"/>
        </w:rPr>
        <w:t>ів</w:t>
      </w:r>
      <w:r w:rsidRPr="001416ED">
        <w:rPr>
          <w:lang w:val="uk-UA"/>
        </w:rPr>
        <w:t xml:space="preserve"> до початку аналізу.</w:t>
      </w:r>
    </w:p>
    <w:p w:rsidR="003547DD" w:rsidRPr="001416ED" w:rsidRDefault="003547DD" w:rsidP="003547DD">
      <w:pPr>
        <w:spacing w:line="360" w:lineRule="auto"/>
        <w:ind w:firstLine="709"/>
        <w:jc w:val="both"/>
        <w:rPr>
          <w:lang w:val="uk-UA"/>
        </w:rPr>
      </w:pPr>
      <w:r w:rsidRPr="001416ED">
        <w:rPr>
          <w:lang w:val="uk-UA"/>
        </w:rPr>
        <w:t xml:space="preserve">Генотипування поліморфної ділянки </w:t>
      </w:r>
      <w:r w:rsidRPr="001416ED">
        <w:rPr>
          <w:lang w:val="en-US"/>
        </w:rPr>
        <w:t>Lys</w:t>
      </w:r>
      <w:r w:rsidRPr="001416ED">
        <w:rPr>
          <w:lang w:val="uk-UA"/>
        </w:rPr>
        <w:t>198</w:t>
      </w:r>
      <w:r w:rsidRPr="001416ED">
        <w:rPr>
          <w:lang w:val="en-US"/>
        </w:rPr>
        <w:t>Asn</w:t>
      </w:r>
      <w:r w:rsidRPr="001416ED">
        <w:rPr>
          <w:rStyle w:val="apple-converted-space"/>
          <w:lang w:val="uk-UA"/>
        </w:rPr>
        <w:t xml:space="preserve"> гена ЕТ</w:t>
      </w:r>
      <w:r w:rsidR="00BC0119" w:rsidRPr="001416ED">
        <w:rPr>
          <w:rStyle w:val="apple-converted-space"/>
          <w:lang w:val="uk-UA"/>
        </w:rPr>
        <w:t>–</w:t>
      </w:r>
      <w:r w:rsidRPr="001416ED">
        <w:rPr>
          <w:rStyle w:val="apple-converted-space"/>
          <w:lang w:val="uk-UA"/>
        </w:rPr>
        <w:t xml:space="preserve">1 </w:t>
      </w:r>
      <w:r w:rsidRPr="001416ED">
        <w:rPr>
          <w:lang w:val="uk-UA"/>
        </w:rPr>
        <w:t xml:space="preserve">виконували шляхом проведення ампліфікації методом </w:t>
      </w:r>
      <w:r w:rsidR="00D33E82">
        <w:rPr>
          <w:lang w:val="uk-UA"/>
        </w:rPr>
        <w:t>полімеразної ланцюгової реакції</w:t>
      </w:r>
      <w:r w:rsidRPr="001416ED">
        <w:rPr>
          <w:lang w:val="uk-UA"/>
        </w:rPr>
        <w:t xml:space="preserve"> на ампліфікаторі «Терцик» (ООО «ДНК</w:t>
      </w:r>
      <w:r w:rsidR="00BC0119" w:rsidRPr="001416ED">
        <w:rPr>
          <w:lang w:val="uk-UA"/>
        </w:rPr>
        <w:t>–</w:t>
      </w:r>
      <w:r w:rsidRPr="001416ED">
        <w:rPr>
          <w:lang w:val="uk-UA"/>
        </w:rPr>
        <w:t xml:space="preserve">Технология», Росія). Проводили паралельно </w:t>
      </w:r>
      <w:r w:rsidRPr="001416ED">
        <w:rPr>
          <w:lang w:val="uk-UA"/>
        </w:rPr>
        <w:lastRenderedPageBreak/>
        <w:t>дві реакції ампліфікації з двома парами алель</w:t>
      </w:r>
      <w:r w:rsidR="00BC0119" w:rsidRPr="001416ED">
        <w:rPr>
          <w:lang w:val="uk-UA"/>
        </w:rPr>
        <w:t>–</w:t>
      </w:r>
      <w:r w:rsidRPr="001416ED">
        <w:rPr>
          <w:lang w:val="uk-UA"/>
        </w:rPr>
        <w:t xml:space="preserve">специфічних олігонуклеотидних праймерів (НПФ «ЛитТех», Росія). </w:t>
      </w:r>
    </w:p>
    <w:p w:rsidR="003547DD" w:rsidRPr="001416ED" w:rsidRDefault="003547DD" w:rsidP="003547DD">
      <w:pPr>
        <w:spacing w:line="360" w:lineRule="auto"/>
        <w:ind w:firstLine="709"/>
        <w:jc w:val="both"/>
      </w:pPr>
      <w:r w:rsidRPr="001416ED">
        <w:rPr>
          <w:lang w:val="uk-UA"/>
        </w:rPr>
        <w:t xml:space="preserve">Програма ампліфікації для гену </w:t>
      </w:r>
      <w:r w:rsidRPr="001416ED">
        <w:rPr>
          <w:rStyle w:val="apple-converted-space"/>
          <w:lang w:val="uk-UA"/>
        </w:rPr>
        <w:t>ЕТ</w:t>
      </w:r>
      <w:r w:rsidR="00BC0119" w:rsidRPr="001416ED">
        <w:rPr>
          <w:rStyle w:val="apple-converted-space"/>
          <w:lang w:val="uk-UA"/>
        </w:rPr>
        <w:t>–</w:t>
      </w:r>
      <w:r w:rsidRPr="001416ED">
        <w:rPr>
          <w:rStyle w:val="apple-converted-space"/>
          <w:lang w:val="uk-UA"/>
        </w:rPr>
        <w:t xml:space="preserve">1 </w:t>
      </w:r>
      <w:r w:rsidRPr="001416ED">
        <w:rPr>
          <w:lang w:val="uk-UA"/>
        </w:rPr>
        <w:t>включала початкову денатурацію при 93</w:t>
      </w:r>
      <w:r w:rsidR="003F2AFD" w:rsidRPr="001416ED">
        <w:rPr>
          <w:lang w:val="uk-UA"/>
        </w:rPr>
        <w:t xml:space="preserve"> </w:t>
      </w:r>
      <w:r w:rsidRPr="001416ED">
        <w:rPr>
          <w:vertAlign w:val="superscript"/>
          <w:lang w:val="uk-UA"/>
        </w:rPr>
        <w:t>◦</w:t>
      </w:r>
      <w:r w:rsidRPr="001416ED">
        <w:rPr>
          <w:lang w:val="uk-UA"/>
        </w:rPr>
        <w:t>С впродовж 60 секунд, 35 циклів:  93</w:t>
      </w:r>
      <w:r w:rsidR="003F2AFD" w:rsidRPr="001416ED">
        <w:rPr>
          <w:lang w:val="uk-UA"/>
        </w:rPr>
        <w:t xml:space="preserve"> </w:t>
      </w:r>
      <w:r w:rsidRPr="001416ED">
        <w:rPr>
          <w:vertAlign w:val="superscript"/>
          <w:lang w:val="uk-UA"/>
        </w:rPr>
        <w:t>0</w:t>
      </w:r>
      <w:r w:rsidR="003F2AFD" w:rsidRPr="001416ED">
        <w:rPr>
          <w:lang w:val="uk-UA"/>
        </w:rPr>
        <w:t>С</w:t>
      </w:r>
      <w:r w:rsidRPr="001416ED">
        <w:rPr>
          <w:lang w:val="uk-UA"/>
        </w:rPr>
        <w:t xml:space="preserve"> </w:t>
      </w:r>
      <w:r w:rsidR="00BC0119" w:rsidRPr="001416ED">
        <w:rPr>
          <w:lang w:val="uk-UA"/>
        </w:rPr>
        <w:t>–</w:t>
      </w:r>
      <w:r w:rsidRPr="001416ED">
        <w:rPr>
          <w:lang w:val="uk-UA"/>
        </w:rPr>
        <w:t xml:space="preserve"> 10 секунд, відпал при специфічній для кожної пари праймерів температурі 64</w:t>
      </w:r>
      <w:r w:rsidR="003F2AFD" w:rsidRPr="001416ED">
        <w:rPr>
          <w:lang w:val="uk-UA"/>
        </w:rPr>
        <w:t xml:space="preserve"> </w:t>
      </w:r>
      <w:r w:rsidRPr="001416ED">
        <w:rPr>
          <w:vertAlign w:val="superscript"/>
          <w:lang w:val="uk-UA"/>
        </w:rPr>
        <w:t>◦</w:t>
      </w:r>
      <w:r w:rsidRPr="001416ED">
        <w:rPr>
          <w:lang w:val="uk-UA"/>
        </w:rPr>
        <w:t xml:space="preserve">С </w:t>
      </w:r>
      <w:r w:rsidR="00BC0119" w:rsidRPr="001416ED">
        <w:rPr>
          <w:lang w:val="uk-UA"/>
        </w:rPr>
        <w:t>–</w:t>
      </w:r>
      <w:r w:rsidRPr="001416ED">
        <w:rPr>
          <w:lang w:val="uk-UA"/>
        </w:rPr>
        <w:t xml:space="preserve"> 10 секунд, елонгацію ланцюга при 72</w:t>
      </w:r>
      <w:r w:rsidR="003F2AFD" w:rsidRPr="001416ED">
        <w:rPr>
          <w:lang w:val="uk-UA"/>
        </w:rPr>
        <w:t xml:space="preserve"> </w:t>
      </w:r>
      <w:r w:rsidRPr="001416ED">
        <w:rPr>
          <w:vertAlign w:val="superscript"/>
          <w:lang w:val="uk-UA"/>
        </w:rPr>
        <w:t>◦</w:t>
      </w:r>
      <w:r w:rsidRPr="001416ED">
        <w:rPr>
          <w:lang w:val="uk-UA"/>
        </w:rPr>
        <w:t xml:space="preserve">С </w:t>
      </w:r>
      <w:r w:rsidR="00BC0119" w:rsidRPr="001416ED">
        <w:rPr>
          <w:lang w:val="uk-UA"/>
        </w:rPr>
        <w:t>–</w:t>
      </w:r>
      <w:r w:rsidRPr="001416ED">
        <w:rPr>
          <w:lang w:val="uk-UA"/>
        </w:rPr>
        <w:t xml:space="preserve"> 20 секунд, завершувала програму фінальна елонгація при 72</w:t>
      </w:r>
      <w:r w:rsidR="003F2AFD" w:rsidRPr="001416ED">
        <w:rPr>
          <w:lang w:val="uk-UA"/>
        </w:rPr>
        <w:t xml:space="preserve"> </w:t>
      </w:r>
      <w:r w:rsidRPr="001416ED">
        <w:rPr>
          <w:vertAlign w:val="superscript"/>
          <w:lang w:val="uk-UA"/>
        </w:rPr>
        <w:t>◦</w:t>
      </w:r>
      <w:r w:rsidRPr="001416ED">
        <w:rPr>
          <w:lang w:val="uk-UA"/>
        </w:rPr>
        <w:t xml:space="preserve">С </w:t>
      </w:r>
      <w:r w:rsidR="00BC0119" w:rsidRPr="001416ED">
        <w:rPr>
          <w:lang w:val="uk-UA"/>
        </w:rPr>
        <w:t>–</w:t>
      </w:r>
      <w:r w:rsidRPr="001416ED">
        <w:rPr>
          <w:lang w:val="uk-UA"/>
        </w:rPr>
        <w:t xml:space="preserve"> 60 секунд. </w:t>
      </w:r>
      <w:r w:rsidRPr="001416ED">
        <w:t>Отримували три типи продуктів а</w:t>
      </w:r>
      <w:r w:rsidR="00DA73A4" w:rsidRPr="001416ED">
        <w:t>мпліфікації: гомозигота за алел</w:t>
      </w:r>
      <w:r w:rsidR="00837BDB" w:rsidRPr="001416ED">
        <w:rPr>
          <w:lang w:val="uk-UA"/>
        </w:rPr>
        <w:t>л</w:t>
      </w:r>
      <w:r w:rsidRPr="001416ED">
        <w:t>ю 1, г</w:t>
      </w:r>
      <w:r w:rsidR="00837BDB" w:rsidRPr="001416ED">
        <w:t>етерозигота, гомозигота за алел</w:t>
      </w:r>
      <w:r w:rsidR="00837BDB" w:rsidRPr="001416ED">
        <w:rPr>
          <w:lang w:val="uk-UA"/>
        </w:rPr>
        <w:t>л</w:t>
      </w:r>
      <w:r w:rsidRPr="001416ED">
        <w:t>ю 2: алель 1 – алель, що вказана до позиції заміни, алель</w:t>
      </w:r>
      <w:r w:rsidR="00BC0119" w:rsidRPr="001416ED">
        <w:t>–</w:t>
      </w:r>
      <w:r w:rsidRPr="001416ED">
        <w:t>2 – алель, що вказана після позиції заміни.</w:t>
      </w:r>
    </w:p>
    <w:p w:rsidR="003547DD" w:rsidRPr="001416ED" w:rsidRDefault="003547DD" w:rsidP="003547DD">
      <w:pPr>
        <w:spacing w:line="360" w:lineRule="auto"/>
        <w:ind w:firstLine="708"/>
        <w:jc w:val="both"/>
      </w:pPr>
      <w:r w:rsidRPr="001416ED">
        <w:t>Електрофоретичне розділення ампліконів проводили методом горизонтального електрофорезу в направленні від катода (</w:t>
      </w:r>
      <w:r w:rsidR="00BC0119" w:rsidRPr="001416ED">
        <w:t>–</w:t>
      </w:r>
      <w:r w:rsidRPr="001416ED">
        <w:t>) до анода (+) в 3</w:t>
      </w:r>
      <w:r w:rsidR="003F2AFD" w:rsidRPr="001416ED">
        <w:rPr>
          <w:lang w:val="uk-UA"/>
        </w:rPr>
        <w:t xml:space="preserve"> </w:t>
      </w:r>
      <w:r w:rsidR="00D4219F" w:rsidRPr="001416ED">
        <w:t>%</w:t>
      </w:r>
      <w:r w:rsidRPr="001416ED">
        <w:t xml:space="preserve"> агарозному гелі при напрузі 10</w:t>
      </w:r>
      <w:r w:rsidR="00BC0119" w:rsidRPr="001416ED">
        <w:t>–</w:t>
      </w:r>
      <w:r w:rsidRPr="001416ED">
        <w:t xml:space="preserve">15 </w:t>
      </w:r>
      <w:r w:rsidRPr="001416ED">
        <w:rPr>
          <w:lang w:val="en-US"/>
        </w:rPr>
        <w:t>V</w:t>
      </w:r>
      <w:r w:rsidRPr="001416ED">
        <w:t xml:space="preserve"> на 1 см гелю. Для електрофорезу використовували 1х трис</w:t>
      </w:r>
      <w:r w:rsidR="00BC0119" w:rsidRPr="001416ED">
        <w:t>–</w:t>
      </w:r>
      <w:r w:rsidRPr="001416ED">
        <w:t>ацетатний (ТАЕ) буфер, що готували з 50х ТАЕ буфера (0,04</w:t>
      </w:r>
      <w:r w:rsidR="003F2AFD" w:rsidRPr="001416ED">
        <w:rPr>
          <w:lang w:val="uk-UA"/>
        </w:rPr>
        <w:t xml:space="preserve"> </w:t>
      </w:r>
      <w:r w:rsidRPr="001416ED">
        <w:t>М трис</w:t>
      </w:r>
      <w:r w:rsidR="00BC0119" w:rsidRPr="001416ED">
        <w:t>–</w:t>
      </w:r>
      <w:r w:rsidRPr="001416ED">
        <w:t>ацетат, 0,002</w:t>
      </w:r>
      <w:r w:rsidR="003F2AFD" w:rsidRPr="001416ED">
        <w:rPr>
          <w:lang w:val="uk-UA"/>
        </w:rPr>
        <w:t xml:space="preserve"> </w:t>
      </w:r>
      <w:r w:rsidRPr="001416ED">
        <w:t>М ЕДТА, рН=8,3). Гелі фарбували 1</w:t>
      </w:r>
      <w:r w:rsidR="00D4219F" w:rsidRPr="001416ED">
        <w:t>%</w:t>
      </w:r>
      <w:r w:rsidRPr="001416ED">
        <w:t xml:space="preserve"> розчином етидіуму броміду. Фрагменти ДНК, що аналізувалися, проявлялися у вигляді червоних смуг при опроміненні УФ</w:t>
      </w:r>
      <w:r w:rsidR="00BC0119" w:rsidRPr="001416ED">
        <w:t>–</w:t>
      </w:r>
      <w:r w:rsidRPr="001416ED">
        <w:t>світлом із довжиною хвилі 310 нм.</w:t>
      </w:r>
    </w:p>
    <w:p w:rsidR="00005E0D" w:rsidRPr="001416ED" w:rsidRDefault="00A0215A" w:rsidP="004259F7">
      <w:pPr>
        <w:spacing w:before="240" w:after="240" w:line="360" w:lineRule="auto"/>
        <w:ind w:firstLine="709"/>
        <w:jc w:val="both"/>
        <w:rPr>
          <w:b/>
          <w:lang w:val="uk-UA"/>
        </w:rPr>
      </w:pPr>
      <w:r w:rsidRPr="001416ED">
        <w:rPr>
          <w:b/>
          <w:lang w:val="uk-UA"/>
        </w:rPr>
        <w:t>2.2.</w:t>
      </w:r>
      <w:r w:rsidR="003547DD" w:rsidRPr="001416ED">
        <w:rPr>
          <w:b/>
          <w:lang w:val="uk-UA"/>
        </w:rPr>
        <w:t>2</w:t>
      </w:r>
      <w:r w:rsidR="00232242">
        <w:rPr>
          <w:b/>
          <w:lang w:val="uk-UA"/>
        </w:rPr>
        <w:t>.</w:t>
      </w:r>
      <w:r w:rsidRPr="001416ED">
        <w:rPr>
          <w:b/>
          <w:lang w:val="uk-UA"/>
        </w:rPr>
        <w:t xml:space="preserve"> </w:t>
      </w:r>
      <w:r w:rsidR="00005E0D" w:rsidRPr="001416ED">
        <w:rPr>
          <w:b/>
          <w:lang w:val="uk-UA"/>
        </w:rPr>
        <w:t xml:space="preserve"> Методика визначення </w:t>
      </w:r>
      <w:r w:rsidR="00E6164F">
        <w:rPr>
          <w:b/>
          <w:lang w:val="uk-UA"/>
        </w:rPr>
        <w:t>поліморфного варіанту гена</w:t>
      </w:r>
      <w:r w:rsidR="00005E0D" w:rsidRPr="001416ED">
        <w:rPr>
          <w:b/>
          <w:lang w:val="uk-UA"/>
        </w:rPr>
        <w:t xml:space="preserve"> рецептора ангіотензину ІІ першого типу</w:t>
      </w:r>
    </w:p>
    <w:p w:rsidR="001C423F" w:rsidRPr="001416ED" w:rsidRDefault="001C423F" w:rsidP="001C423F">
      <w:pPr>
        <w:spacing w:line="360" w:lineRule="auto"/>
        <w:ind w:firstLine="709"/>
        <w:jc w:val="both"/>
        <w:rPr>
          <w:lang w:val="uk-UA"/>
        </w:rPr>
      </w:pPr>
      <w:r w:rsidRPr="001416ED">
        <w:rPr>
          <w:lang w:val="uk-UA"/>
        </w:rPr>
        <w:t xml:space="preserve">Для визначення алелей поліморфної ділянки </w:t>
      </w:r>
      <w:r w:rsidRPr="001416ED">
        <w:rPr>
          <w:lang w:val="en-US"/>
        </w:rPr>
        <w:t>A</w:t>
      </w:r>
      <w:r w:rsidRPr="001416ED">
        <w:rPr>
          <w:lang w:val="uk-UA"/>
        </w:rPr>
        <w:t>1166</w:t>
      </w:r>
      <w:r w:rsidRPr="001416ED">
        <w:rPr>
          <w:lang w:val="en-US"/>
        </w:rPr>
        <w:t>C</w:t>
      </w:r>
      <w:r w:rsidRPr="001416ED">
        <w:rPr>
          <w:lang w:val="uk-UA"/>
        </w:rPr>
        <w:t xml:space="preserve"> </w:t>
      </w:r>
      <w:r w:rsidRPr="001416ED">
        <w:rPr>
          <w:rStyle w:val="apple-converted-space"/>
          <w:lang w:val="uk-UA"/>
        </w:rPr>
        <w:t xml:space="preserve">гена </w:t>
      </w:r>
      <w:r w:rsidRPr="001416ED">
        <w:rPr>
          <w:rStyle w:val="apple-converted-space"/>
          <w:lang w:val="en-US"/>
        </w:rPr>
        <w:t>A</w:t>
      </w:r>
      <w:r w:rsidRPr="001416ED">
        <w:rPr>
          <w:rStyle w:val="apple-converted-space"/>
          <w:lang w:val="uk-UA"/>
        </w:rPr>
        <w:t>Т1</w:t>
      </w:r>
      <w:r w:rsidR="00BC0119" w:rsidRPr="001416ED">
        <w:rPr>
          <w:rStyle w:val="apple-converted-space"/>
          <w:lang w:val="uk-UA"/>
        </w:rPr>
        <w:t>–</w:t>
      </w:r>
      <w:r w:rsidR="000C4F49" w:rsidRPr="001416ED">
        <w:rPr>
          <w:rStyle w:val="apple-converted-space"/>
          <w:lang w:val="uk-UA"/>
        </w:rPr>
        <w:t>Р</w:t>
      </w:r>
      <w:r w:rsidRPr="001416ED">
        <w:rPr>
          <w:rStyle w:val="apple-converted-space"/>
          <w:lang w:val="uk-UA"/>
        </w:rPr>
        <w:t xml:space="preserve"> </w:t>
      </w:r>
      <w:r w:rsidRPr="001416ED">
        <w:rPr>
          <w:lang w:val="uk-UA"/>
        </w:rPr>
        <w:t>геномну ДНК виділяли з лейкоцитів периферичної крові використовуючи набір «Комплект для виділення ДНК/РНК з сироватки або плазми крові» (НПФ «ЛитТех», Росія).</w:t>
      </w:r>
    </w:p>
    <w:p w:rsidR="001C423F" w:rsidRPr="001416ED" w:rsidRDefault="001C423F" w:rsidP="001C423F">
      <w:pPr>
        <w:spacing w:line="360" w:lineRule="auto"/>
        <w:ind w:firstLine="708"/>
        <w:jc w:val="both"/>
        <w:rPr>
          <w:lang w:val="uk-UA"/>
        </w:rPr>
      </w:pPr>
      <w:r w:rsidRPr="001416ED">
        <w:rPr>
          <w:lang w:val="uk-UA"/>
        </w:rPr>
        <w:t>Відбір крові для дослідження проводи</w:t>
      </w:r>
      <w:r w:rsidR="003F2AFD" w:rsidRPr="001416ED">
        <w:rPr>
          <w:lang w:val="uk-UA"/>
        </w:rPr>
        <w:t>ли</w:t>
      </w:r>
      <w:r w:rsidRPr="001416ED">
        <w:rPr>
          <w:lang w:val="uk-UA"/>
        </w:rPr>
        <w:t xml:space="preserve"> натщесерце із кубітальної вени у кількості 4 мл цільної крові у охолоджені поліпропіленові пробірки, які містили ЕДТА (1</w:t>
      </w:r>
      <w:r w:rsidR="003F2AFD" w:rsidRPr="001416ED">
        <w:rPr>
          <w:lang w:val="uk-UA"/>
        </w:rPr>
        <w:t xml:space="preserve"> </w:t>
      </w:r>
      <w:r w:rsidRPr="001416ED">
        <w:rPr>
          <w:lang w:val="uk-UA"/>
        </w:rPr>
        <w:t>мг/1</w:t>
      </w:r>
      <w:r w:rsidR="003F2AFD" w:rsidRPr="001416ED">
        <w:rPr>
          <w:lang w:val="uk-UA"/>
        </w:rPr>
        <w:t xml:space="preserve"> </w:t>
      </w:r>
      <w:r w:rsidRPr="001416ED">
        <w:rPr>
          <w:lang w:val="uk-UA"/>
        </w:rPr>
        <w:t xml:space="preserve">мл крові). Зібраний матеріал зберігався при температурі </w:t>
      </w:r>
      <w:r w:rsidR="00BC0119" w:rsidRPr="001416ED">
        <w:rPr>
          <w:lang w:val="uk-UA"/>
        </w:rPr>
        <w:t>–</w:t>
      </w:r>
      <w:r w:rsidRPr="001416ED">
        <w:rPr>
          <w:lang w:val="uk-UA"/>
        </w:rPr>
        <w:t>20</w:t>
      </w:r>
      <w:r w:rsidR="003F2AFD" w:rsidRPr="001416ED">
        <w:rPr>
          <w:lang w:val="uk-UA"/>
        </w:rPr>
        <w:t xml:space="preserve"> </w:t>
      </w:r>
      <w:r w:rsidRPr="001416ED">
        <w:rPr>
          <w:lang w:val="uk-UA"/>
        </w:rPr>
        <w:t xml:space="preserve">°С не більше </w:t>
      </w:r>
      <w:r w:rsidR="00DB52CB" w:rsidRPr="001416ED">
        <w:rPr>
          <w:lang w:val="uk-UA"/>
        </w:rPr>
        <w:t>6</w:t>
      </w:r>
      <w:r w:rsidRPr="001416ED">
        <w:rPr>
          <w:lang w:val="uk-UA"/>
        </w:rPr>
        <w:t xml:space="preserve"> місяц</w:t>
      </w:r>
      <w:r w:rsidR="00DB52CB" w:rsidRPr="001416ED">
        <w:rPr>
          <w:lang w:val="uk-UA"/>
        </w:rPr>
        <w:t>ів</w:t>
      </w:r>
      <w:r w:rsidRPr="001416ED">
        <w:rPr>
          <w:lang w:val="uk-UA"/>
        </w:rPr>
        <w:t xml:space="preserve"> до початку аналізу.</w:t>
      </w:r>
    </w:p>
    <w:p w:rsidR="001C423F" w:rsidRPr="001416ED" w:rsidRDefault="001C423F" w:rsidP="001C423F">
      <w:pPr>
        <w:spacing w:line="360" w:lineRule="auto"/>
        <w:ind w:firstLine="709"/>
        <w:jc w:val="both"/>
        <w:rPr>
          <w:lang w:val="uk-UA"/>
        </w:rPr>
      </w:pPr>
      <w:r w:rsidRPr="001416ED">
        <w:rPr>
          <w:lang w:val="uk-UA"/>
        </w:rPr>
        <w:t xml:space="preserve">Генотипування поліморфної ділянки </w:t>
      </w:r>
      <w:r w:rsidRPr="001416ED">
        <w:rPr>
          <w:lang w:val="en-US"/>
        </w:rPr>
        <w:t>A</w:t>
      </w:r>
      <w:r w:rsidRPr="001416ED">
        <w:rPr>
          <w:lang w:val="uk-UA"/>
        </w:rPr>
        <w:t>1166</w:t>
      </w:r>
      <w:r w:rsidRPr="001416ED">
        <w:rPr>
          <w:lang w:val="en-US"/>
        </w:rPr>
        <w:t>C</w:t>
      </w:r>
      <w:r w:rsidRPr="001416ED">
        <w:rPr>
          <w:rStyle w:val="apple-converted-space"/>
          <w:lang w:val="uk-UA"/>
        </w:rPr>
        <w:t xml:space="preserve"> гена </w:t>
      </w:r>
      <w:r w:rsidR="009C1AC8" w:rsidRPr="001416ED">
        <w:rPr>
          <w:rStyle w:val="apple-converted-space"/>
          <w:lang w:val="en-US"/>
        </w:rPr>
        <w:t>A</w:t>
      </w:r>
      <w:r w:rsidRPr="001416ED">
        <w:rPr>
          <w:rStyle w:val="apple-converted-space"/>
          <w:lang w:val="en-US"/>
        </w:rPr>
        <w:t>T</w:t>
      </w:r>
      <w:r w:rsidR="009C1AC8" w:rsidRPr="001416ED">
        <w:rPr>
          <w:rStyle w:val="apple-converted-space"/>
          <w:lang w:val="uk-UA"/>
        </w:rPr>
        <w:t>1</w:t>
      </w:r>
      <w:r w:rsidR="00BC0119" w:rsidRPr="001416ED">
        <w:rPr>
          <w:rStyle w:val="apple-converted-space"/>
          <w:lang w:val="uk-UA"/>
        </w:rPr>
        <w:t>–</w:t>
      </w:r>
      <w:r w:rsidR="009C1AC8" w:rsidRPr="001416ED">
        <w:rPr>
          <w:rStyle w:val="apple-converted-space"/>
          <w:lang w:val="uk-UA"/>
        </w:rPr>
        <w:t>Р</w:t>
      </w:r>
      <w:r w:rsidRPr="001416ED">
        <w:rPr>
          <w:rStyle w:val="apple-converted-space"/>
          <w:lang w:val="uk-UA"/>
        </w:rPr>
        <w:t xml:space="preserve"> </w:t>
      </w:r>
      <w:r w:rsidRPr="001416ED">
        <w:rPr>
          <w:lang w:val="uk-UA"/>
        </w:rPr>
        <w:t xml:space="preserve">виконували шляхом проведення ампліфікації методом </w:t>
      </w:r>
      <w:r w:rsidR="00D33E82" w:rsidRPr="00D33E82">
        <w:rPr>
          <w:lang w:val="uk-UA"/>
        </w:rPr>
        <w:t>полімеразної ланцюгової реакції</w:t>
      </w:r>
      <w:r w:rsidRPr="001416ED">
        <w:rPr>
          <w:lang w:val="uk-UA"/>
        </w:rPr>
        <w:t xml:space="preserve"> на ампліфікаторі «Терцик» (ООО «ДНК</w:t>
      </w:r>
      <w:r w:rsidR="00BC0119" w:rsidRPr="001416ED">
        <w:rPr>
          <w:lang w:val="uk-UA"/>
        </w:rPr>
        <w:t>–</w:t>
      </w:r>
      <w:r w:rsidRPr="001416ED">
        <w:rPr>
          <w:lang w:val="uk-UA"/>
        </w:rPr>
        <w:t>Технология», Росія). Проводили паралельно дві реакції ампліфікації з двома парами алель</w:t>
      </w:r>
      <w:r w:rsidR="00BC0119" w:rsidRPr="001416ED">
        <w:rPr>
          <w:lang w:val="uk-UA"/>
        </w:rPr>
        <w:t>–</w:t>
      </w:r>
      <w:r w:rsidRPr="001416ED">
        <w:rPr>
          <w:lang w:val="uk-UA"/>
        </w:rPr>
        <w:t xml:space="preserve">специфічних олігонуклеотидних </w:t>
      </w:r>
      <w:r w:rsidRPr="001416ED">
        <w:rPr>
          <w:lang w:val="uk-UA"/>
        </w:rPr>
        <w:lastRenderedPageBreak/>
        <w:t xml:space="preserve">праймерів </w:t>
      </w:r>
      <w:r w:rsidR="009C1AC8" w:rsidRPr="001416ED">
        <w:rPr>
          <w:lang w:val="uk-UA"/>
        </w:rPr>
        <w:t>АТ1</w:t>
      </w:r>
      <w:r w:rsidR="009C1AC8" w:rsidRPr="001416ED">
        <w:rPr>
          <w:lang w:val="en-US"/>
        </w:rPr>
        <w:t>R</w:t>
      </w:r>
      <w:r w:rsidR="00BC0119" w:rsidRPr="001416ED">
        <w:rPr>
          <w:lang w:val="uk-UA"/>
        </w:rPr>
        <w:t>–</w:t>
      </w:r>
      <w:r w:rsidR="009C1AC8" w:rsidRPr="001416ED">
        <w:rPr>
          <w:lang w:val="en-US"/>
        </w:rPr>
        <w:t>L</w:t>
      </w:r>
      <w:r w:rsidR="009C1AC8" w:rsidRPr="001416ED">
        <w:rPr>
          <w:lang w:val="uk-UA"/>
        </w:rPr>
        <w:t xml:space="preserve"> (5'</w:t>
      </w:r>
      <w:r w:rsidR="00BC0119" w:rsidRPr="001416ED">
        <w:rPr>
          <w:lang w:val="uk-UA"/>
        </w:rPr>
        <w:t>–</w:t>
      </w:r>
      <w:r w:rsidR="009C1AC8" w:rsidRPr="001416ED">
        <w:rPr>
          <w:lang w:val="uk-UA"/>
        </w:rPr>
        <w:t xml:space="preserve"> </w:t>
      </w:r>
      <w:r w:rsidR="009C1AC8" w:rsidRPr="001416ED">
        <w:rPr>
          <w:lang w:val="en-US"/>
        </w:rPr>
        <w:t>CCTGCACCAT</w:t>
      </w:r>
      <w:r w:rsidR="00BC0119" w:rsidRPr="001416ED">
        <w:rPr>
          <w:lang w:val="uk-UA"/>
        </w:rPr>
        <w:t>–</w:t>
      </w:r>
      <w:r w:rsidR="009C1AC8" w:rsidRPr="001416ED">
        <w:rPr>
          <w:lang w:val="en-US"/>
        </w:rPr>
        <w:t>GTTTTGAGGTTGAGTGAC</w:t>
      </w:r>
      <w:r w:rsidR="00BC0119" w:rsidRPr="001416ED">
        <w:rPr>
          <w:lang w:val="uk-UA"/>
        </w:rPr>
        <w:t>–</w:t>
      </w:r>
      <w:r w:rsidR="009C1AC8" w:rsidRPr="001416ED">
        <w:rPr>
          <w:lang w:val="uk-UA"/>
        </w:rPr>
        <w:t>3') і АТ1</w:t>
      </w:r>
      <w:r w:rsidR="009C1AC8" w:rsidRPr="001416ED">
        <w:rPr>
          <w:lang w:val="en-US"/>
        </w:rPr>
        <w:t>R</w:t>
      </w:r>
      <w:r w:rsidR="00BC0119" w:rsidRPr="001416ED">
        <w:rPr>
          <w:lang w:val="uk-UA"/>
        </w:rPr>
        <w:t>–</w:t>
      </w:r>
      <w:r w:rsidR="009C1AC8" w:rsidRPr="001416ED">
        <w:rPr>
          <w:lang w:val="en-US"/>
        </w:rPr>
        <w:t>R</w:t>
      </w:r>
      <w:r w:rsidR="009C1AC8" w:rsidRPr="001416ED">
        <w:rPr>
          <w:lang w:val="uk-UA"/>
        </w:rPr>
        <w:t xml:space="preserve"> (5'</w:t>
      </w:r>
      <w:r w:rsidR="00BC0119" w:rsidRPr="001416ED">
        <w:rPr>
          <w:lang w:val="uk-UA"/>
        </w:rPr>
        <w:t>–</w:t>
      </w:r>
      <w:r w:rsidR="009C1AC8" w:rsidRPr="001416ED">
        <w:rPr>
          <w:lang w:val="uk-UA"/>
        </w:rPr>
        <w:t xml:space="preserve"> </w:t>
      </w:r>
      <w:r w:rsidR="009C1AC8" w:rsidRPr="001416ED">
        <w:rPr>
          <w:lang w:val="en-US"/>
        </w:rPr>
        <w:t>AAAATAACAGGACA</w:t>
      </w:r>
      <w:r w:rsidR="00BC0119" w:rsidRPr="001416ED">
        <w:rPr>
          <w:lang w:val="uk-UA"/>
        </w:rPr>
        <w:t>–</w:t>
      </w:r>
      <w:r w:rsidR="009C1AC8" w:rsidRPr="001416ED">
        <w:rPr>
          <w:lang w:val="en-US"/>
        </w:rPr>
        <w:t>AAAGGAGGCTAGGGAG</w:t>
      </w:r>
      <w:r w:rsidR="00BC0119" w:rsidRPr="001416ED">
        <w:rPr>
          <w:lang w:val="uk-UA"/>
        </w:rPr>
        <w:t>–</w:t>
      </w:r>
      <w:r w:rsidR="009C1AC8" w:rsidRPr="001416ED">
        <w:rPr>
          <w:lang w:val="uk-UA"/>
        </w:rPr>
        <w:t xml:space="preserve">3') </w:t>
      </w:r>
      <w:r w:rsidRPr="001416ED">
        <w:rPr>
          <w:lang w:val="uk-UA"/>
        </w:rPr>
        <w:t xml:space="preserve">(НПФ «ЛитТех», Росія). </w:t>
      </w:r>
    </w:p>
    <w:p w:rsidR="001C423F" w:rsidRPr="001416ED" w:rsidRDefault="001C423F" w:rsidP="001C423F">
      <w:pPr>
        <w:spacing w:line="360" w:lineRule="auto"/>
        <w:ind w:firstLine="709"/>
        <w:jc w:val="both"/>
      </w:pPr>
      <w:r w:rsidRPr="001416ED">
        <w:rPr>
          <w:lang w:val="uk-UA"/>
        </w:rPr>
        <w:t xml:space="preserve">Програма ампліфікації для гену </w:t>
      </w:r>
      <w:r w:rsidR="009C1AC8" w:rsidRPr="001416ED">
        <w:rPr>
          <w:rStyle w:val="apple-converted-space"/>
          <w:lang w:val="en-US"/>
        </w:rPr>
        <w:t>A</w:t>
      </w:r>
      <w:r w:rsidRPr="001416ED">
        <w:rPr>
          <w:rStyle w:val="apple-converted-space"/>
          <w:lang w:val="en-US"/>
        </w:rPr>
        <w:t>T</w:t>
      </w:r>
      <w:r w:rsidR="009C1AC8" w:rsidRPr="001416ED">
        <w:rPr>
          <w:rStyle w:val="apple-converted-space"/>
          <w:lang w:val="uk-UA"/>
        </w:rPr>
        <w:t>1</w:t>
      </w:r>
      <w:r w:rsidR="00BC0119" w:rsidRPr="001416ED">
        <w:rPr>
          <w:rStyle w:val="apple-converted-space"/>
          <w:lang w:val="uk-UA"/>
        </w:rPr>
        <w:t>–</w:t>
      </w:r>
      <w:r w:rsidR="009C1AC8" w:rsidRPr="001416ED">
        <w:rPr>
          <w:rStyle w:val="apple-converted-space"/>
          <w:lang w:val="uk-UA"/>
        </w:rPr>
        <w:t>Р</w:t>
      </w:r>
      <w:r w:rsidRPr="001416ED">
        <w:rPr>
          <w:rStyle w:val="apple-converted-space"/>
          <w:lang w:val="uk-UA"/>
        </w:rPr>
        <w:t xml:space="preserve"> </w:t>
      </w:r>
      <w:r w:rsidRPr="001416ED">
        <w:rPr>
          <w:lang w:val="uk-UA"/>
        </w:rPr>
        <w:t>включала початкову денатурацію при 93</w:t>
      </w:r>
      <w:r w:rsidR="003F2AFD" w:rsidRPr="001416ED">
        <w:rPr>
          <w:lang w:val="uk-UA"/>
        </w:rPr>
        <w:t xml:space="preserve"> </w:t>
      </w:r>
      <w:r w:rsidRPr="001416ED">
        <w:rPr>
          <w:vertAlign w:val="superscript"/>
          <w:lang w:val="uk-UA"/>
        </w:rPr>
        <w:t>◦</w:t>
      </w:r>
      <w:r w:rsidRPr="001416ED">
        <w:rPr>
          <w:lang w:val="uk-UA"/>
        </w:rPr>
        <w:t>С впродовж 60 секунд, 35 циклів:  93</w:t>
      </w:r>
      <w:r w:rsidR="003F2AFD" w:rsidRPr="001416ED">
        <w:rPr>
          <w:lang w:val="uk-UA"/>
        </w:rPr>
        <w:t xml:space="preserve"> </w:t>
      </w:r>
      <w:r w:rsidRPr="001416ED">
        <w:rPr>
          <w:vertAlign w:val="superscript"/>
          <w:lang w:val="uk-UA"/>
        </w:rPr>
        <w:t>0</w:t>
      </w:r>
      <w:r w:rsidR="003F2AFD" w:rsidRPr="001416ED">
        <w:rPr>
          <w:lang w:val="uk-UA"/>
        </w:rPr>
        <w:t>С</w:t>
      </w:r>
      <w:r w:rsidRPr="001416ED">
        <w:rPr>
          <w:lang w:val="uk-UA"/>
        </w:rPr>
        <w:t xml:space="preserve"> </w:t>
      </w:r>
      <w:r w:rsidR="00BC0119" w:rsidRPr="001416ED">
        <w:rPr>
          <w:lang w:val="uk-UA"/>
        </w:rPr>
        <w:t>–</w:t>
      </w:r>
      <w:r w:rsidR="00A847A1" w:rsidRPr="001416ED">
        <w:rPr>
          <w:lang w:val="uk-UA"/>
        </w:rPr>
        <w:t xml:space="preserve"> </w:t>
      </w:r>
      <w:r w:rsidRPr="001416ED">
        <w:rPr>
          <w:lang w:val="uk-UA"/>
        </w:rPr>
        <w:t>10 секунд, відпал при специфічній для кожної пари праймерів температурі 64</w:t>
      </w:r>
      <w:r w:rsidR="003F2AFD" w:rsidRPr="001416ED">
        <w:rPr>
          <w:lang w:val="uk-UA"/>
        </w:rPr>
        <w:t xml:space="preserve"> </w:t>
      </w:r>
      <w:r w:rsidRPr="001416ED">
        <w:rPr>
          <w:vertAlign w:val="superscript"/>
          <w:lang w:val="uk-UA"/>
        </w:rPr>
        <w:t>◦</w:t>
      </w:r>
      <w:r w:rsidR="00A847A1" w:rsidRPr="001416ED">
        <w:rPr>
          <w:lang w:val="uk-UA"/>
        </w:rPr>
        <w:t xml:space="preserve">С </w:t>
      </w:r>
      <w:r w:rsidR="00BC0119" w:rsidRPr="001416ED">
        <w:rPr>
          <w:lang w:val="uk-UA"/>
        </w:rPr>
        <w:t>–</w:t>
      </w:r>
      <w:r w:rsidRPr="001416ED">
        <w:rPr>
          <w:lang w:val="uk-UA"/>
        </w:rPr>
        <w:t xml:space="preserve"> 10 секунд, елонгацію ланцюга при 72</w:t>
      </w:r>
      <w:r w:rsidR="003F2AFD" w:rsidRPr="001416ED">
        <w:rPr>
          <w:lang w:val="uk-UA"/>
        </w:rPr>
        <w:t xml:space="preserve"> </w:t>
      </w:r>
      <w:r w:rsidRPr="001416ED">
        <w:rPr>
          <w:vertAlign w:val="superscript"/>
          <w:lang w:val="uk-UA"/>
        </w:rPr>
        <w:t>◦</w:t>
      </w:r>
      <w:r w:rsidR="00A847A1" w:rsidRPr="001416ED">
        <w:rPr>
          <w:lang w:val="uk-UA"/>
        </w:rPr>
        <w:t xml:space="preserve">С </w:t>
      </w:r>
      <w:r w:rsidR="00BC0119" w:rsidRPr="001416ED">
        <w:rPr>
          <w:lang w:val="uk-UA"/>
        </w:rPr>
        <w:t>–</w:t>
      </w:r>
      <w:r w:rsidRPr="001416ED">
        <w:rPr>
          <w:lang w:val="uk-UA"/>
        </w:rPr>
        <w:t xml:space="preserve"> 20 секунд, завершувала програму фінальна елонгація при 72</w:t>
      </w:r>
      <w:r w:rsidR="003F2AFD" w:rsidRPr="001416ED">
        <w:rPr>
          <w:lang w:val="uk-UA"/>
        </w:rPr>
        <w:t xml:space="preserve"> </w:t>
      </w:r>
      <w:r w:rsidRPr="001416ED">
        <w:rPr>
          <w:vertAlign w:val="superscript"/>
          <w:lang w:val="uk-UA"/>
        </w:rPr>
        <w:t>◦</w:t>
      </w:r>
      <w:r w:rsidR="00A847A1" w:rsidRPr="001416ED">
        <w:rPr>
          <w:lang w:val="uk-UA"/>
        </w:rPr>
        <w:t xml:space="preserve">С </w:t>
      </w:r>
      <w:r w:rsidR="00BC0119" w:rsidRPr="001416ED">
        <w:rPr>
          <w:lang w:val="uk-UA"/>
        </w:rPr>
        <w:t>–</w:t>
      </w:r>
      <w:r w:rsidRPr="001416ED">
        <w:rPr>
          <w:lang w:val="uk-UA"/>
        </w:rPr>
        <w:t xml:space="preserve"> 60 секунд. </w:t>
      </w:r>
      <w:r w:rsidRPr="001416ED">
        <w:t>Отримували три типи продуктів ампліфікації: гомозигота за алеллю 1, гетерозигота, гомозигота за алеллю 2: алель 1 – алель, що вказана до позиції заміни, алель</w:t>
      </w:r>
      <w:r w:rsidR="00BC0119" w:rsidRPr="001416ED">
        <w:t>–</w:t>
      </w:r>
      <w:r w:rsidRPr="001416ED">
        <w:t>2 – алель, що вказана після позиції заміни.</w:t>
      </w:r>
    </w:p>
    <w:p w:rsidR="001C423F" w:rsidRPr="001416ED" w:rsidRDefault="001C423F" w:rsidP="001C423F">
      <w:pPr>
        <w:spacing w:line="360" w:lineRule="auto"/>
        <w:ind w:firstLine="708"/>
        <w:jc w:val="both"/>
        <w:rPr>
          <w:lang w:val="uk-UA"/>
        </w:rPr>
      </w:pPr>
      <w:r w:rsidRPr="001416ED">
        <w:t>Електрофоретичне розділення ампліконів проводили методом горизонтального електрофорезу в направленні від катода (</w:t>
      </w:r>
      <w:r w:rsidR="00BC0119" w:rsidRPr="001416ED">
        <w:t>–</w:t>
      </w:r>
      <w:r w:rsidRPr="001416ED">
        <w:t>) до анода (+) в 3</w:t>
      </w:r>
      <w:r w:rsidR="00D4219F" w:rsidRPr="001416ED">
        <w:t>%</w:t>
      </w:r>
      <w:r w:rsidRPr="001416ED">
        <w:t xml:space="preserve"> агарозному гелі при напрузі 10</w:t>
      </w:r>
      <w:r w:rsidR="00BC0119" w:rsidRPr="001416ED">
        <w:t>–</w:t>
      </w:r>
      <w:r w:rsidRPr="001416ED">
        <w:t xml:space="preserve">15 </w:t>
      </w:r>
      <w:r w:rsidRPr="001416ED">
        <w:rPr>
          <w:lang w:val="en-US"/>
        </w:rPr>
        <w:t>V</w:t>
      </w:r>
      <w:r w:rsidRPr="001416ED">
        <w:t xml:space="preserve"> на 1 см гелю. Для електрофорезу використовували 1х трис</w:t>
      </w:r>
      <w:r w:rsidR="00BC0119" w:rsidRPr="001416ED">
        <w:t>–</w:t>
      </w:r>
      <w:r w:rsidRPr="001416ED">
        <w:t>ацетатний (ТАЕ) буфер, що готували з 50х ТАЕ буфера (0,04</w:t>
      </w:r>
      <w:r w:rsidR="003F2AFD" w:rsidRPr="001416ED">
        <w:rPr>
          <w:lang w:val="uk-UA"/>
        </w:rPr>
        <w:t xml:space="preserve"> </w:t>
      </w:r>
      <w:r w:rsidRPr="001416ED">
        <w:t>М трис</w:t>
      </w:r>
      <w:r w:rsidR="00BC0119" w:rsidRPr="001416ED">
        <w:t>–</w:t>
      </w:r>
      <w:r w:rsidRPr="001416ED">
        <w:t>ацетат, 0,002</w:t>
      </w:r>
      <w:r w:rsidR="003F2AFD" w:rsidRPr="001416ED">
        <w:rPr>
          <w:lang w:val="uk-UA"/>
        </w:rPr>
        <w:t xml:space="preserve"> </w:t>
      </w:r>
      <w:r w:rsidRPr="001416ED">
        <w:t>М ЕДТА, рН=8,3). Гелі фарбували 1</w:t>
      </w:r>
      <w:r w:rsidR="00D4219F" w:rsidRPr="001416ED">
        <w:t>%</w:t>
      </w:r>
      <w:r w:rsidRPr="001416ED">
        <w:t xml:space="preserve"> розчином етидіуму броміду. Фрагменти ДНК, що аналізувалися, проявлялися у вигляді червоних смуг при опроміненні УФ</w:t>
      </w:r>
      <w:r w:rsidR="00BC0119" w:rsidRPr="001416ED">
        <w:t>–</w:t>
      </w:r>
      <w:r w:rsidRPr="001416ED">
        <w:t>світлом із довжиною хвилі 310 нм.</w:t>
      </w:r>
    </w:p>
    <w:p w:rsidR="00E42FA1" w:rsidRPr="001416ED" w:rsidRDefault="00A0215A" w:rsidP="009B5B52">
      <w:pPr>
        <w:shd w:val="clear" w:color="auto" w:fill="FFFFFF"/>
        <w:autoSpaceDE w:val="0"/>
        <w:spacing w:before="240" w:after="120" w:line="360" w:lineRule="auto"/>
        <w:ind w:firstLine="709"/>
        <w:jc w:val="both"/>
        <w:rPr>
          <w:b/>
          <w:szCs w:val="24"/>
          <w:lang w:val="uk-UA"/>
        </w:rPr>
      </w:pPr>
      <w:r w:rsidRPr="001416ED">
        <w:rPr>
          <w:b/>
          <w:lang w:val="uk-UA"/>
        </w:rPr>
        <w:t>2.2.3</w:t>
      </w:r>
      <w:r w:rsidR="00F5358D" w:rsidRPr="001416ED">
        <w:rPr>
          <w:b/>
          <w:lang w:val="uk-UA"/>
        </w:rPr>
        <w:t>.</w:t>
      </w:r>
      <w:r w:rsidRPr="001416ED">
        <w:rPr>
          <w:b/>
          <w:lang w:val="uk-UA"/>
        </w:rPr>
        <w:t xml:space="preserve"> </w:t>
      </w:r>
      <w:r w:rsidR="00E42FA1" w:rsidRPr="001416ED">
        <w:rPr>
          <w:b/>
          <w:szCs w:val="24"/>
          <w:lang w:val="uk-UA"/>
        </w:rPr>
        <w:t>Метод</w:t>
      </w:r>
      <w:r w:rsidR="003547DD" w:rsidRPr="001416ED">
        <w:rPr>
          <w:b/>
          <w:szCs w:val="24"/>
          <w:lang w:val="uk-UA"/>
        </w:rPr>
        <w:t>ика</w:t>
      </w:r>
      <w:r w:rsidR="00E42FA1" w:rsidRPr="001416ED">
        <w:rPr>
          <w:b/>
          <w:szCs w:val="24"/>
          <w:lang w:val="uk-UA"/>
        </w:rPr>
        <w:t xml:space="preserve"> визначення концентрації ендотеліну </w:t>
      </w:r>
      <w:r w:rsidR="00BC0119" w:rsidRPr="001416ED">
        <w:rPr>
          <w:b/>
          <w:szCs w:val="24"/>
          <w:lang w:val="uk-UA"/>
        </w:rPr>
        <w:t>–</w:t>
      </w:r>
      <w:r w:rsidR="00742E21" w:rsidRPr="001416ED">
        <w:rPr>
          <w:b/>
          <w:szCs w:val="24"/>
          <w:lang w:val="uk-UA"/>
        </w:rPr>
        <w:t xml:space="preserve"> </w:t>
      </w:r>
      <w:r w:rsidR="00E42FA1" w:rsidRPr="001416ED">
        <w:rPr>
          <w:b/>
          <w:szCs w:val="24"/>
          <w:lang w:val="uk-UA"/>
        </w:rPr>
        <w:t>1</w:t>
      </w:r>
      <w:r w:rsidR="00E83156" w:rsidRPr="001416ED">
        <w:rPr>
          <w:b/>
          <w:szCs w:val="24"/>
          <w:lang w:val="uk-UA"/>
        </w:rPr>
        <w:t xml:space="preserve"> в плазмі крові</w:t>
      </w:r>
    </w:p>
    <w:p w:rsidR="00E42FA1" w:rsidRPr="001416ED" w:rsidRDefault="00E42FA1" w:rsidP="00E42FA1">
      <w:pPr>
        <w:shd w:val="clear" w:color="auto" w:fill="FFFFFF"/>
        <w:autoSpaceDE w:val="0"/>
        <w:spacing w:line="360" w:lineRule="auto"/>
        <w:ind w:firstLine="708"/>
        <w:jc w:val="both"/>
        <w:rPr>
          <w:b/>
          <w:szCs w:val="24"/>
          <w:lang w:val="uk-UA"/>
        </w:rPr>
      </w:pPr>
      <w:r w:rsidRPr="001416ED">
        <w:rPr>
          <w:szCs w:val="24"/>
          <w:lang w:val="uk-UA"/>
        </w:rPr>
        <w:t>Концентраці</w:t>
      </w:r>
      <w:r w:rsidR="00EC12E7">
        <w:rPr>
          <w:szCs w:val="24"/>
          <w:lang w:val="uk-UA"/>
        </w:rPr>
        <w:t>ю ЕТ-1</w:t>
      </w:r>
      <w:r w:rsidRPr="001416ED">
        <w:rPr>
          <w:szCs w:val="24"/>
          <w:lang w:val="uk-UA"/>
        </w:rPr>
        <w:t xml:space="preserve"> у плазмі крові обстежуваних визначали </w:t>
      </w:r>
      <w:r w:rsidR="00461571" w:rsidRPr="001416ED">
        <w:rPr>
          <w:szCs w:val="24"/>
          <w:lang w:val="uk-UA"/>
        </w:rPr>
        <w:t xml:space="preserve">методом </w:t>
      </w:r>
      <w:r w:rsidR="00EC12E7">
        <w:rPr>
          <w:szCs w:val="24"/>
          <w:lang w:val="uk-UA"/>
        </w:rPr>
        <w:t>імуноферментного аналізу (</w:t>
      </w:r>
      <w:r w:rsidR="00461571" w:rsidRPr="001416ED">
        <w:rPr>
          <w:szCs w:val="24"/>
          <w:lang w:val="uk-UA"/>
        </w:rPr>
        <w:t>ІФА</w:t>
      </w:r>
      <w:r w:rsidR="00EC12E7">
        <w:rPr>
          <w:szCs w:val="24"/>
          <w:lang w:val="uk-UA"/>
        </w:rPr>
        <w:t>)</w:t>
      </w:r>
      <w:r w:rsidRPr="001416ED">
        <w:rPr>
          <w:szCs w:val="24"/>
          <w:lang w:val="uk-UA"/>
        </w:rPr>
        <w:t xml:space="preserve"> за допомогою набору реактивів фірми «</w:t>
      </w:r>
      <w:r w:rsidRPr="001416ED">
        <w:rPr>
          <w:szCs w:val="24"/>
          <w:lang w:val="en-US"/>
        </w:rPr>
        <w:t>DRG</w:t>
      </w:r>
      <w:r w:rsidRPr="001416ED">
        <w:rPr>
          <w:szCs w:val="24"/>
          <w:lang w:val="uk-UA"/>
        </w:rPr>
        <w:t>» (США) та апарату для проведення ІФА «</w:t>
      </w:r>
      <w:r w:rsidRPr="001416ED">
        <w:rPr>
          <w:szCs w:val="24"/>
          <w:lang w:val="en-US"/>
        </w:rPr>
        <w:t>Humareader</w:t>
      </w:r>
      <w:r w:rsidRPr="001416ED">
        <w:rPr>
          <w:szCs w:val="24"/>
          <w:lang w:val="uk-UA"/>
        </w:rPr>
        <w:t xml:space="preserve"> </w:t>
      </w:r>
      <w:r w:rsidRPr="001416ED">
        <w:rPr>
          <w:szCs w:val="24"/>
          <w:lang w:val="en-US"/>
        </w:rPr>
        <w:t>single</w:t>
      </w:r>
      <w:r w:rsidRPr="001416ED">
        <w:rPr>
          <w:szCs w:val="24"/>
          <w:lang w:val="uk-UA"/>
        </w:rPr>
        <w:t>»</w:t>
      </w:r>
      <w:r w:rsidR="009A46EA" w:rsidRPr="001416ED">
        <w:rPr>
          <w:lang w:val="uk-UA"/>
        </w:rPr>
        <w:t xml:space="preserve"> (Німеччина)</w:t>
      </w:r>
      <w:r w:rsidRPr="001416ED">
        <w:rPr>
          <w:szCs w:val="24"/>
          <w:lang w:val="uk-UA"/>
        </w:rPr>
        <w:t>.</w:t>
      </w:r>
    </w:p>
    <w:p w:rsidR="005B4A89" w:rsidRPr="001416ED" w:rsidRDefault="00E42FA1" w:rsidP="00E42FA1">
      <w:pPr>
        <w:shd w:val="clear" w:color="auto" w:fill="FFFFFF"/>
        <w:autoSpaceDE w:val="0"/>
        <w:spacing w:line="360" w:lineRule="auto"/>
        <w:ind w:firstLine="708"/>
        <w:jc w:val="both"/>
        <w:rPr>
          <w:szCs w:val="24"/>
          <w:lang w:val="uk-UA"/>
        </w:rPr>
      </w:pPr>
      <w:r w:rsidRPr="001416ED">
        <w:rPr>
          <w:szCs w:val="24"/>
          <w:lang w:val="uk-UA"/>
        </w:rPr>
        <w:t xml:space="preserve"> Забір крові для дослідження проводили натщесерце</w:t>
      </w:r>
      <w:r w:rsidR="001F0D0E" w:rsidRPr="001416ED">
        <w:rPr>
          <w:szCs w:val="24"/>
          <w:lang w:val="uk-UA"/>
        </w:rPr>
        <w:t>, за 12 годин до останнього прийому їжі,</w:t>
      </w:r>
      <w:r w:rsidRPr="001416ED">
        <w:rPr>
          <w:szCs w:val="24"/>
          <w:lang w:val="uk-UA"/>
        </w:rPr>
        <w:t xml:space="preserve"> о 8</w:t>
      </w:r>
      <w:r w:rsidR="00BC0119" w:rsidRPr="001416ED">
        <w:rPr>
          <w:szCs w:val="24"/>
          <w:lang w:val="uk-UA"/>
        </w:rPr>
        <w:t>–</w:t>
      </w:r>
      <w:r w:rsidRPr="001416ED">
        <w:rPr>
          <w:szCs w:val="24"/>
          <w:lang w:val="uk-UA"/>
        </w:rPr>
        <w:t xml:space="preserve">й годині ранку із кубітальної вени у кількості </w:t>
      </w:r>
      <w:r w:rsidR="0070499F" w:rsidRPr="001416ED">
        <w:rPr>
          <w:szCs w:val="24"/>
          <w:lang w:val="uk-UA"/>
        </w:rPr>
        <w:t>3</w:t>
      </w:r>
      <w:r w:rsidRPr="001416ED">
        <w:rPr>
          <w:szCs w:val="24"/>
          <w:lang w:val="uk-UA"/>
        </w:rPr>
        <w:t xml:space="preserve"> мл цільної крові</w:t>
      </w:r>
      <w:r w:rsidR="0070499F" w:rsidRPr="001416ED">
        <w:rPr>
          <w:szCs w:val="24"/>
          <w:lang w:val="uk-UA"/>
        </w:rPr>
        <w:t xml:space="preserve"> в </w:t>
      </w:r>
      <w:r w:rsidR="00CF60EC" w:rsidRPr="001416ED">
        <w:rPr>
          <w:szCs w:val="24"/>
          <w:lang w:val="uk-UA"/>
        </w:rPr>
        <w:t>в</w:t>
      </w:r>
      <w:r w:rsidR="00CF60EC" w:rsidRPr="001416ED">
        <w:rPr>
          <w:szCs w:val="24"/>
        </w:rPr>
        <w:t>акуумн</w:t>
      </w:r>
      <w:r w:rsidR="00CF60EC" w:rsidRPr="001416ED">
        <w:rPr>
          <w:szCs w:val="24"/>
          <w:lang w:val="uk-UA"/>
        </w:rPr>
        <w:t>і</w:t>
      </w:r>
      <w:r w:rsidR="00CF60EC" w:rsidRPr="001416ED">
        <w:rPr>
          <w:szCs w:val="24"/>
        </w:rPr>
        <w:t xml:space="preserve"> проб</w:t>
      </w:r>
      <w:r w:rsidR="00CF60EC" w:rsidRPr="001416ED">
        <w:rPr>
          <w:szCs w:val="24"/>
          <w:lang w:val="uk-UA"/>
        </w:rPr>
        <w:t>і</w:t>
      </w:r>
      <w:r w:rsidR="00CF60EC" w:rsidRPr="001416ED">
        <w:rPr>
          <w:szCs w:val="24"/>
        </w:rPr>
        <w:t xml:space="preserve">рки </w:t>
      </w:r>
      <w:r w:rsidR="00CF60EC" w:rsidRPr="001416ED">
        <w:rPr>
          <w:szCs w:val="24"/>
          <w:lang w:val="uk-UA"/>
        </w:rPr>
        <w:t>з</w:t>
      </w:r>
      <w:r w:rsidR="00CF60EC" w:rsidRPr="001416ED">
        <w:rPr>
          <w:szCs w:val="24"/>
        </w:rPr>
        <w:t xml:space="preserve"> EDTA</w:t>
      </w:r>
      <w:r w:rsidR="00CF60EC" w:rsidRPr="001416ED">
        <w:rPr>
          <w:szCs w:val="24"/>
          <w:lang w:val="uk-UA"/>
        </w:rPr>
        <w:t xml:space="preserve"> </w:t>
      </w:r>
      <w:r w:rsidR="00CF60EC" w:rsidRPr="001416ED">
        <w:rPr>
          <w:szCs w:val="24"/>
        </w:rPr>
        <w:t>- К3</w:t>
      </w:r>
      <w:r w:rsidR="001F0D0E" w:rsidRPr="001416ED">
        <w:rPr>
          <w:szCs w:val="24"/>
          <w:lang w:val="uk-UA"/>
        </w:rPr>
        <w:t xml:space="preserve">. </w:t>
      </w:r>
      <w:r w:rsidR="00917931" w:rsidRPr="001416ED">
        <w:rPr>
          <w:szCs w:val="24"/>
          <w:lang w:val="uk-UA"/>
        </w:rPr>
        <w:t>Ч</w:t>
      </w:r>
      <w:r w:rsidRPr="001416ED">
        <w:rPr>
          <w:szCs w:val="24"/>
          <w:lang w:val="uk-UA"/>
        </w:rPr>
        <w:t xml:space="preserve">ас від забору цільної крові </w:t>
      </w:r>
      <w:r w:rsidR="00151E97" w:rsidRPr="001416ED">
        <w:rPr>
          <w:szCs w:val="24"/>
          <w:lang w:val="uk-UA"/>
        </w:rPr>
        <w:t>до</w:t>
      </w:r>
      <w:r w:rsidRPr="001416ED">
        <w:rPr>
          <w:szCs w:val="24"/>
          <w:lang w:val="uk-UA"/>
        </w:rPr>
        <w:t xml:space="preserve"> виділення сироватки не перевищував 30 хвилин</w:t>
      </w:r>
      <w:r w:rsidR="005B4A89" w:rsidRPr="001416ED">
        <w:rPr>
          <w:szCs w:val="24"/>
          <w:lang w:val="uk-UA"/>
        </w:rPr>
        <w:t>,</w:t>
      </w:r>
      <w:r w:rsidR="00CF60EC" w:rsidRPr="001416ED">
        <w:rPr>
          <w:szCs w:val="24"/>
          <w:lang w:val="uk-UA"/>
        </w:rPr>
        <w:t xml:space="preserve"> потім</w:t>
      </w:r>
      <w:r w:rsidR="005B4A89" w:rsidRPr="001416ED">
        <w:rPr>
          <w:szCs w:val="24"/>
          <w:lang w:val="uk-UA"/>
        </w:rPr>
        <w:t xml:space="preserve"> </w:t>
      </w:r>
      <w:r w:rsidR="0070499F" w:rsidRPr="001416ED">
        <w:rPr>
          <w:szCs w:val="24"/>
          <w:lang w:val="uk-UA"/>
        </w:rPr>
        <w:t>пробірка</w:t>
      </w:r>
      <w:r w:rsidR="001F0D0E" w:rsidRPr="001416ED">
        <w:rPr>
          <w:szCs w:val="24"/>
          <w:lang w:val="uk-UA"/>
        </w:rPr>
        <w:t xml:space="preserve"> розміщува</w:t>
      </w:r>
      <w:r w:rsidR="00CF60EC" w:rsidRPr="001416ED">
        <w:rPr>
          <w:szCs w:val="24"/>
          <w:lang w:val="uk-UA"/>
        </w:rPr>
        <w:t>лась</w:t>
      </w:r>
      <w:r w:rsidR="001F0D0E" w:rsidRPr="001416ED">
        <w:rPr>
          <w:szCs w:val="24"/>
          <w:lang w:val="uk-UA"/>
        </w:rPr>
        <w:t xml:space="preserve"> у холодильнику, температура зберігання зразків складала –25º С не більше 12 місяців.</w:t>
      </w:r>
      <w:r w:rsidRPr="001416ED">
        <w:rPr>
          <w:szCs w:val="24"/>
          <w:lang w:val="uk-UA"/>
        </w:rPr>
        <w:t xml:space="preserve"> </w:t>
      </w:r>
    </w:p>
    <w:p w:rsidR="00E42FA1" w:rsidRPr="001416ED" w:rsidRDefault="005B4A89" w:rsidP="00E42FA1">
      <w:pPr>
        <w:shd w:val="clear" w:color="auto" w:fill="FFFFFF"/>
        <w:autoSpaceDE w:val="0"/>
        <w:spacing w:line="360" w:lineRule="auto"/>
        <w:ind w:firstLine="708"/>
        <w:jc w:val="both"/>
        <w:rPr>
          <w:szCs w:val="24"/>
          <w:lang w:val="uk-UA"/>
        </w:rPr>
      </w:pPr>
      <w:r w:rsidRPr="001416ED">
        <w:rPr>
          <w:szCs w:val="24"/>
          <w:lang w:val="uk-UA"/>
        </w:rPr>
        <w:t>Безпосередньо перед дослідженням сироватку розморож</w:t>
      </w:r>
      <w:r w:rsidR="00CF60EC" w:rsidRPr="001416ED">
        <w:rPr>
          <w:szCs w:val="24"/>
          <w:lang w:val="uk-UA"/>
        </w:rPr>
        <w:t>ували при кімнатній температурі.</w:t>
      </w:r>
      <w:r w:rsidRPr="001416ED">
        <w:rPr>
          <w:szCs w:val="24"/>
          <w:lang w:val="uk-UA"/>
        </w:rPr>
        <w:t xml:space="preserve"> </w:t>
      </w:r>
      <w:r w:rsidR="00CF60EC" w:rsidRPr="001416ED">
        <w:rPr>
          <w:szCs w:val="24"/>
          <w:lang w:val="uk-UA"/>
        </w:rPr>
        <w:t>П</w:t>
      </w:r>
      <w:r w:rsidR="0070499F" w:rsidRPr="001416ED">
        <w:rPr>
          <w:szCs w:val="24"/>
          <w:lang w:val="uk-UA"/>
        </w:rPr>
        <w:t xml:space="preserve">отім у стріп розміщували 50 мкл сироватки </w:t>
      </w:r>
      <w:r w:rsidR="00E42FA1" w:rsidRPr="001416ED">
        <w:rPr>
          <w:szCs w:val="24"/>
          <w:lang w:val="uk-UA"/>
        </w:rPr>
        <w:t>до яко</w:t>
      </w:r>
      <w:r w:rsidRPr="001416ED">
        <w:rPr>
          <w:szCs w:val="24"/>
          <w:lang w:val="uk-UA"/>
        </w:rPr>
        <w:t>ї</w:t>
      </w:r>
      <w:r w:rsidR="00E42FA1" w:rsidRPr="001416ED">
        <w:rPr>
          <w:szCs w:val="24"/>
          <w:lang w:val="uk-UA"/>
        </w:rPr>
        <w:t xml:space="preserve"> </w:t>
      </w:r>
      <w:r w:rsidR="00E42FA1" w:rsidRPr="001416ED">
        <w:rPr>
          <w:szCs w:val="24"/>
          <w:lang w:val="uk-UA"/>
        </w:rPr>
        <w:lastRenderedPageBreak/>
        <w:t xml:space="preserve">додавали 50 мл стандартів (6 штук від 0 до 10 фмоль/мл) та 200 мкл моноклональних антитіл. Суміш закривали клейкою плівкою та обережно розмішували шляхом встряхування, після чого проводили витримку реагентів при кімнатній температурі протягом 24 годин. </w:t>
      </w:r>
    </w:p>
    <w:p w:rsidR="00E42FA1" w:rsidRPr="001416ED" w:rsidRDefault="00E42FA1" w:rsidP="00E42FA1">
      <w:pPr>
        <w:shd w:val="clear" w:color="auto" w:fill="FFFFFF"/>
        <w:autoSpaceDE w:val="0"/>
        <w:spacing w:line="360" w:lineRule="auto"/>
        <w:ind w:firstLine="708"/>
        <w:jc w:val="both"/>
        <w:rPr>
          <w:szCs w:val="24"/>
          <w:lang w:val="uk-UA"/>
        </w:rPr>
      </w:pPr>
      <w:r w:rsidRPr="001416ED">
        <w:rPr>
          <w:szCs w:val="24"/>
          <w:lang w:val="uk-UA"/>
        </w:rPr>
        <w:t>Далі стріпи п’ятикратно промивали за допомогою 300 мкл спеціального промивного розчину, після чого додавали 200 мкл кон’югату. Суміш повторно закривали клейкою плівкою і витримували при кімнатній температурі на протязі 1 години. Згодом проводили п’ятикратне промивання стріпів за допомогою 300 мкл спеціального промивного розчину, після чого надлишки промивного розчину видаляли шляхом інтенсивного струшування стрипів. Додавали 200 мкл субстрату (пероксидаза хрону), проводили інкубування при кімнатній температурі на протязі 30 хвилин за умови відсутності світла. Після цього додавали 50 мкл стоп – реагенту (</w:t>
      </w:r>
      <w:r w:rsidRPr="001416ED">
        <w:rPr>
          <w:szCs w:val="24"/>
          <w:lang w:val="en-US"/>
        </w:rPr>
        <w:t>NaOH</w:t>
      </w:r>
      <w:r w:rsidRPr="001416ED">
        <w:rPr>
          <w:szCs w:val="24"/>
          <w:lang w:val="uk-UA"/>
        </w:rPr>
        <w:t xml:space="preserve">) та після безпосередньої зупинки реакції вимірювали абсорбцію за допомогою фільтра 450 нм, диференціальний фільтр 630 нм. </w:t>
      </w:r>
    </w:p>
    <w:p w:rsidR="00E42FA1" w:rsidRPr="001416ED" w:rsidRDefault="00E42FA1" w:rsidP="00E42FA1">
      <w:pPr>
        <w:shd w:val="clear" w:color="auto" w:fill="FFFFFF"/>
        <w:autoSpaceDE w:val="0"/>
        <w:spacing w:line="360" w:lineRule="auto"/>
        <w:ind w:firstLine="708"/>
        <w:jc w:val="both"/>
        <w:rPr>
          <w:szCs w:val="24"/>
          <w:lang w:val="uk-UA"/>
        </w:rPr>
      </w:pPr>
      <w:r w:rsidRPr="001416ED">
        <w:rPr>
          <w:szCs w:val="24"/>
          <w:lang w:val="uk-UA"/>
        </w:rPr>
        <w:t>В подальшому на імуноферментному аналізаторі будували калібрувальний графік та отримували результати.</w:t>
      </w:r>
    </w:p>
    <w:p w:rsidR="00007329" w:rsidRPr="001416ED" w:rsidRDefault="00A0215A" w:rsidP="00007329">
      <w:pPr>
        <w:spacing w:before="240" w:after="240" w:line="360" w:lineRule="auto"/>
        <w:ind w:firstLine="708"/>
        <w:jc w:val="both"/>
        <w:rPr>
          <w:b/>
          <w:lang w:val="uk-UA"/>
        </w:rPr>
      </w:pPr>
      <w:r w:rsidRPr="001416ED">
        <w:rPr>
          <w:b/>
          <w:lang w:val="uk-UA"/>
        </w:rPr>
        <w:t>2.2.4</w:t>
      </w:r>
      <w:r w:rsidR="00F5358D" w:rsidRPr="001416ED">
        <w:rPr>
          <w:b/>
          <w:lang w:val="uk-UA"/>
        </w:rPr>
        <w:t>.</w:t>
      </w:r>
      <w:r w:rsidRPr="001416ED">
        <w:rPr>
          <w:b/>
          <w:lang w:val="uk-UA"/>
        </w:rPr>
        <w:t xml:space="preserve"> </w:t>
      </w:r>
      <w:r w:rsidR="00007329" w:rsidRPr="001416ED">
        <w:rPr>
          <w:b/>
          <w:lang w:val="uk-UA"/>
        </w:rPr>
        <w:t xml:space="preserve">Методика визначення плазмової концентрації С–натрійуретичного пептиду  </w:t>
      </w:r>
    </w:p>
    <w:p w:rsidR="00CF60EC" w:rsidRPr="001416ED" w:rsidRDefault="00CF60EC" w:rsidP="006479ED">
      <w:pPr>
        <w:spacing w:before="240" w:line="360" w:lineRule="auto"/>
        <w:ind w:firstLine="708"/>
        <w:jc w:val="both"/>
        <w:rPr>
          <w:lang w:val="uk-UA"/>
        </w:rPr>
      </w:pPr>
      <w:r w:rsidRPr="001416ED">
        <w:rPr>
          <w:lang w:val="uk-UA"/>
        </w:rPr>
        <w:t>Забір крові для дослідження проводили натщесерце, за 12 годин до останнього прийому їжі, о 8–й годині ранку із кубітальної вени у кількості 3 мл цільної крові в в</w:t>
      </w:r>
      <w:r w:rsidRPr="001416ED">
        <w:t>акуумн</w:t>
      </w:r>
      <w:r w:rsidRPr="001416ED">
        <w:rPr>
          <w:lang w:val="uk-UA"/>
        </w:rPr>
        <w:t>і</w:t>
      </w:r>
      <w:r w:rsidRPr="001416ED">
        <w:t xml:space="preserve"> проб</w:t>
      </w:r>
      <w:r w:rsidRPr="001416ED">
        <w:rPr>
          <w:lang w:val="uk-UA"/>
        </w:rPr>
        <w:t>і</w:t>
      </w:r>
      <w:r w:rsidRPr="001416ED">
        <w:t xml:space="preserve">рки </w:t>
      </w:r>
      <w:r w:rsidRPr="001416ED">
        <w:rPr>
          <w:lang w:val="uk-UA"/>
        </w:rPr>
        <w:t>з</w:t>
      </w:r>
      <w:r w:rsidRPr="001416ED">
        <w:t xml:space="preserve"> EDTA</w:t>
      </w:r>
      <w:r w:rsidRPr="001416ED">
        <w:rPr>
          <w:lang w:val="uk-UA"/>
        </w:rPr>
        <w:t xml:space="preserve"> </w:t>
      </w:r>
      <w:r w:rsidRPr="001416ED">
        <w:t>- К3</w:t>
      </w:r>
      <w:r w:rsidRPr="001416ED">
        <w:rPr>
          <w:lang w:val="uk-UA"/>
        </w:rPr>
        <w:t xml:space="preserve">. Час від забору цільної крові </w:t>
      </w:r>
      <w:r w:rsidR="00151E97" w:rsidRPr="001416ED">
        <w:rPr>
          <w:lang w:val="uk-UA"/>
        </w:rPr>
        <w:t>до</w:t>
      </w:r>
      <w:r w:rsidRPr="001416ED">
        <w:rPr>
          <w:lang w:val="uk-UA"/>
        </w:rPr>
        <w:t xml:space="preserve"> виділення сироватки не перевищував 30 хвилин, потім пробірка розміщувалась у холодильнику, температура зберігання зразків складала –25º С не більше 12 місяців. </w:t>
      </w:r>
    </w:p>
    <w:p w:rsidR="00E42FA1" w:rsidRPr="001416ED" w:rsidRDefault="00CF60EC" w:rsidP="006479ED">
      <w:pPr>
        <w:spacing w:after="240" w:line="360" w:lineRule="auto"/>
        <w:ind w:firstLine="708"/>
        <w:jc w:val="both"/>
        <w:rPr>
          <w:lang w:val="uk-UA"/>
        </w:rPr>
      </w:pPr>
      <w:r w:rsidRPr="001416ED">
        <w:rPr>
          <w:lang w:val="uk-UA"/>
        </w:rPr>
        <w:t xml:space="preserve">Безпосередньо перед дослідженням сироватку розморожували при кімнатній температурі. </w:t>
      </w:r>
      <w:r w:rsidR="00E42FA1" w:rsidRPr="001416ED">
        <w:rPr>
          <w:lang w:val="uk-UA"/>
        </w:rPr>
        <w:t>Для визначення плазмової концентрації С</w:t>
      </w:r>
      <w:r w:rsidR="00BC0119" w:rsidRPr="001416ED">
        <w:rPr>
          <w:lang w:val="uk-UA"/>
        </w:rPr>
        <w:t>–</w:t>
      </w:r>
      <w:r w:rsidR="00E42FA1" w:rsidRPr="001416ED">
        <w:rPr>
          <w:lang w:val="uk-UA"/>
        </w:rPr>
        <w:t xml:space="preserve">натрійуретичного пептиду шляхом </w:t>
      </w:r>
      <w:r w:rsidR="00D9037A" w:rsidRPr="001416ED">
        <w:rPr>
          <w:lang w:val="uk-UA"/>
        </w:rPr>
        <w:t>ІФА</w:t>
      </w:r>
      <w:r w:rsidR="00E42FA1" w:rsidRPr="001416ED">
        <w:rPr>
          <w:lang w:val="uk-UA"/>
        </w:rPr>
        <w:t xml:space="preserve"> були використані реактиви фірми «</w:t>
      </w:r>
      <w:r w:rsidR="00E42FA1" w:rsidRPr="001416ED">
        <w:t>BIOMEDICA</w:t>
      </w:r>
      <w:r w:rsidR="00E42FA1" w:rsidRPr="001416ED">
        <w:rPr>
          <w:lang w:val="uk-UA"/>
        </w:rPr>
        <w:t>» (Німеччина) наступним чином: у лунки планшету вміщу</w:t>
      </w:r>
      <w:r w:rsidR="00D9037A" w:rsidRPr="001416ED">
        <w:rPr>
          <w:lang w:val="uk-UA"/>
        </w:rPr>
        <w:t>ють 50 мкл сироватки (стандарту),</w:t>
      </w:r>
      <w:r w:rsidR="00E42FA1" w:rsidRPr="001416ED">
        <w:rPr>
          <w:lang w:val="uk-UA"/>
        </w:rPr>
        <w:t xml:space="preserve"> потім додається 200 мкл кон’югату. Надалі протягом </w:t>
      </w:r>
      <w:r w:rsidR="00E42FA1" w:rsidRPr="001416ED">
        <w:rPr>
          <w:lang w:val="uk-UA"/>
        </w:rPr>
        <w:lastRenderedPageBreak/>
        <w:t>40 годин проводили інкубацію, обов’язковими умовами для якої являються кімнатна температура в приміщенні та відсутність світла. Після інкубації проводили п’ятикратне промивання плашки, додавали 200 мкл субстрату, після чого проводили повторну інкубацію протягом 30 хвилин. Після інкубації до лунок вносили по 50 мкл стоп</w:t>
      </w:r>
      <w:r w:rsidR="00BC0119" w:rsidRPr="001416ED">
        <w:rPr>
          <w:lang w:val="uk-UA"/>
        </w:rPr>
        <w:t>–</w:t>
      </w:r>
      <w:r w:rsidR="00E42FA1" w:rsidRPr="001416ED">
        <w:rPr>
          <w:lang w:val="uk-UA"/>
        </w:rPr>
        <w:t>реагенту та проводили безпосереднє визначення рівня С</w:t>
      </w:r>
      <w:r w:rsidR="00BC0119" w:rsidRPr="001416ED">
        <w:rPr>
          <w:lang w:val="uk-UA"/>
        </w:rPr>
        <w:t>–</w:t>
      </w:r>
      <w:r w:rsidR="00E42FA1" w:rsidRPr="001416ED">
        <w:rPr>
          <w:lang w:val="uk-UA"/>
        </w:rPr>
        <w:t xml:space="preserve">натрійуретичного пептиду. </w:t>
      </w:r>
      <w:r w:rsidR="00D9037A" w:rsidRPr="001416ED">
        <w:rPr>
          <w:lang w:val="uk-UA"/>
        </w:rPr>
        <w:t>ІФА</w:t>
      </w:r>
      <w:r w:rsidR="00E42FA1" w:rsidRPr="001416ED">
        <w:rPr>
          <w:lang w:val="uk-UA"/>
        </w:rPr>
        <w:t xml:space="preserve"> виконували на  стриповому імуноферментному аналізаторі «Н</w:t>
      </w:r>
      <w:r w:rsidR="00E42FA1" w:rsidRPr="001416ED">
        <w:t>umareader</w:t>
      </w:r>
      <w:r w:rsidR="00E42FA1" w:rsidRPr="001416ED">
        <w:rPr>
          <w:lang w:val="uk-UA"/>
        </w:rPr>
        <w:t xml:space="preserve"> </w:t>
      </w:r>
      <w:r w:rsidR="00E42FA1" w:rsidRPr="001416ED">
        <w:t>single</w:t>
      </w:r>
      <w:r w:rsidR="00E42FA1" w:rsidRPr="001416ED">
        <w:rPr>
          <w:lang w:val="uk-UA"/>
        </w:rPr>
        <w:t>» (Німеччина) при довжині хвилі 450 нм та диференційним фільтром 630 нм. Вимірювання проводили за допомогою стандартів, які входять до складу набору</w:t>
      </w:r>
      <w:r w:rsidR="00671124" w:rsidRPr="001416ED">
        <w:rPr>
          <w:szCs w:val="24"/>
          <w:lang w:val="uk-UA"/>
        </w:rPr>
        <w:t>.</w:t>
      </w:r>
    </w:p>
    <w:p w:rsidR="00D02878" w:rsidRPr="001416ED" w:rsidRDefault="00A0215A" w:rsidP="00D02878">
      <w:pPr>
        <w:spacing w:before="240" w:after="240" w:line="360" w:lineRule="auto"/>
        <w:ind w:firstLine="709"/>
        <w:jc w:val="both"/>
        <w:rPr>
          <w:b/>
          <w:lang w:val="uk-UA"/>
        </w:rPr>
      </w:pPr>
      <w:r w:rsidRPr="001416ED">
        <w:rPr>
          <w:b/>
          <w:szCs w:val="24"/>
          <w:lang w:val="uk-UA"/>
        </w:rPr>
        <w:t xml:space="preserve">   2.2.5</w:t>
      </w:r>
      <w:r w:rsidR="00F5358D" w:rsidRPr="001416ED">
        <w:rPr>
          <w:b/>
          <w:szCs w:val="24"/>
          <w:lang w:val="uk-UA"/>
        </w:rPr>
        <w:t>.</w:t>
      </w:r>
      <w:r w:rsidRPr="001416ED">
        <w:rPr>
          <w:b/>
          <w:szCs w:val="24"/>
          <w:lang w:val="uk-UA"/>
        </w:rPr>
        <w:t xml:space="preserve"> </w:t>
      </w:r>
      <w:r w:rsidR="00D02878" w:rsidRPr="001416ED">
        <w:rPr>
          <w:b/>
          <w:lang w:val="uk-UA"/>
        </w:rPr>
        <w:t xml:space="preserve">Методика визначення показників спектру ліпідів </w:t>
      </w:r>
    </w:p>
    <w:p w:rsidR="00A0215A" w:rsidRPr="001416ED" w:rsidRDefault="00A0215A" w:rsidP="005B4A89">
      <w:pPr>
        <w:spacing w:line="360" w:lineRule="auto"/>
        <w:ind w:firstLine="709"/>
        <w:jc w:val="both"/>
        <w:rPr>
          <w:lang w:val="uk-UA"/>
        </w:rPr>
      </w:pPr>
      <w:r w:rsidRPr="001416ED">
        <w:rPr>
          <w:lang w:val="uk-UA"/>
        </w:rPr>
        <w:t>Визначення показників ліпідного спектру ферментативним калориметричним методом проводили на біохімічному аналізаторі «</w:t>
      </w:r>
      <w:r w:rsidRPr="001416ED">
        <w:rPr>
          <w:lang w:val="en-US"/>
        </w:rPr>
        <w:t>Specific</w:t>
      </w:r>
      <w:r w:rsidRPr="001416ED">
        <w:rPr>
          <w:lang w:val="uk-UA"/>
        </w:rPr>
        <w:t xml:space="preserve"> </w:t>
      </w:r>
      <w:r w:rsidRPr="001416ED">
        <w:rPr>
          <w:lang w:val="en-US"/>
        </w:rPr>
        <w:t>Basic</w:t>
      </w:r>
      <w:r w:rsidRPr="001416ED">
        <w:rPr>
          <w:lang w:val="uk-UA"/>
        </w:rPr>
        <w:t xml:space="preserve"> </w:t>
      </w:r>
      <w:r w:rsidRPr="001416ED">
        <w:rPr>
          <w:lang w:val="en-US"/>
        </w:rPr>
        <w:t>Kone</w:t>
      </w:r>
      <w:r w:rsidRPr="001416ED">
        <w:rPr>
          <w:lang w:val="uk-UA"/>
        </w:rPr>
        <w:t>» (Фінляндія) з використанням набору «</w:t>
      </w:r>
      <w:r w:rsidRPr="001416ED">
        <w:rPr>
          <w:lang w:val="en-US"/>
        </w:rPr>
        <w:t>Human</w:t>
      </w:r>
      <w:r w:rsidRPr="001416ED">
        <w:rPr>
          <w:lang w:val="uk-UA"/>
        </w:rPr>
        <w:t xml:space="preserve">» (Німеччина). Визначали рівень загального ХС, ТГ. Концентрацію холестерину ЛПВЩ визначали за методом, який </w:t>
      </w:r>
      <w:r w:rsidR="008E675F" w:rsidRPr="001416ED">
        <w:rPr>
          <w:lang w:val="uk-UA"/>
        </w:rPr>
        <w:t>ґрунтується</w:t>
      </w:r>
      <w:r w:rsidRPr="001416ED">
        <w:rPr>
          <w:lang w:val="uk-UA"/>
        </w:rPr>
        <w:t xml:space="preserve"> на властивості ЛПНЩ та </w:t>
      </w:r>
      <w:r w:rsidR="006D7960" w:rsidRPr="001416ED">
        <w:rPr>
          <w:lang w:val="uk-UA"/>
        </w:rPr>
        <w:t>ліпопротеїд</w:t>
      </w:r>
      <w:r w:rsidR="00BB16F7">
        <w:rPr>
          <w:lang w:val="uk-UA"/>
        </w:rPr>
        <w:t>ів</w:t>
      </w:r>
      <w:r w:rsidR="006D7960" w:rsidRPr="001416ED">
        <w:rPr>
          <w:lang w:val="uk-UA"/>
        </w:rPr>
        <w:t xml:space="preserve"> дуже низької щільності (</w:t>
      </w:r>
      <w:r w:rsidRPr="001416ED">
        <w:rPr>
          <w:lang w:val="uk-UA"/>
        </w:rPr>
        <w:t>ЛПДНЩ</w:t>
      </w:r>
      <w:r w:rsidR="006D7960" w:rsidRPr="001416ED">
        <w:rPr>
          <w:lang w:val="uk-UA"/>
        </w:rPr>
        <w:t>)</w:t>
      </w:r>
      <w:r w:rsidRPr="001416ED">
        <w:rPr>
          <w:lang w:val="uk-UA"/>
        </w:rPr>
        <w:t>, на відміну від ЛПВЩ, утворювати нерозчинні комплекси з гепарином у присутності іонів марганцю</w:t>
      </w:r>
      <w:r w:rsidR="00C43469" w:rsidRPr="001416ED">
        <w:rPr>
          <w:lang w:val="uk-UA"/>
        </w:rPr>
        <w:t xml:space="preserve"> [3</w:t>
      </w:r>
      <w:r w:rsidR="0060120A" w:rsidRPr="001416ED">
        <w:rPr>
          <w:lang w:val="uk-UA"/>
        </w:rPr>
        <w:t>7</w:t>
      </w:r>
      <w:r w:rsidR="00C43469" w:rsidRPr="001416ED">
        <w:rPr>
          <w:lang w:val="uk-UA"/>
        </w:rPr>
        <w:t>]</w:t>
      </w:r>
      <w:r w:rsidRPr="001416ED">
        <w:rPr>
          <w:lang w:val="uk-UA"/>
        </w:rPr>
        <w:t>. Рівень  ХС ЛПНЩ обчислювали за формулою: ХС ЛПНЩ = Загальний ХС – (ХС ЛПДНЩ + ХС ЛПВЩ); ХС ЛПДНЩ – за формулою: ХС ЛПДНЩ = ТГ/5*2,29.</w:t>
      </w:r>
    </w:p>
    <w:p w:rsidR="00A0215A" w:rsidRPr="001416ED" w:rsidRDefault="00A0215A" w:rsidP="00A0215A">
      <w:pPr>
        <w:autoSpaceDE w:val="0"/>
        <w:autoSpaceDN w:val="0"/>
        <w:adjustRightInd w:val="0"/>
        <w:spacing w:line="360" w:lineRule="auto"/>
        <w:ind w:firstLine="709"/>
        <w:jc w:val="both"/>
        <w:rPr>
          <w:lang w:val="uk-UA"/>
        </w:rPr>
      </w:pPr>
      <w:r w:rsidRPr="001416ED">
        <w:rPr>
          <w:lang w:val="uk-UA"/>
        </w:rPr>
        <w:t>За нормальні значення (</w:t>
      </w:r>
      <w:r w:rsidR="00FD4522" w:rsidRPr="001416ED">
        <w:rPr>
          <w:lang w:val="uk-UA"/>
        </w:rPr>
        <w:t xml:space="preserve">відповідно з </w:t>
      </w:r>
      <w:r w:rsidR="00FD4522" w:rsidRPr="001416ED">
        <w:rPr>
          <w:rStyle w:val="ab"/>
          <w:b w:val="0"/>
          <w:shd w:val="clear" w:color="auto" w:fill="FFFFFF"/>
          <w:lang w:val="uk-UA"/>
        </w:rPr>
        <w:t>Уніфікованим клінічним протоколом медичної допомоги при артеріальній гіпертензії,</w:t>
      </w:r>
      <w:r w:rsidR="00FD4522" w:rsidRPr="001416ED">
        <w:rPr>
          <w:lang w:val="uk-UA"/>
        </w:rPr>
        <w:t xml:space="preserve"> затвердженим Наказом МОЗ України від 24.05.2012 року №384</w:t>
      </w:r>
      <w:r w:rsidRPr="001416ED">
        <w:rPr>
          <w:bCs/>
          <w:lang w:val="uk-UA"/>
        </w:rPr>
        <w:t>)</w:t>
      </w:r>
      <w:r w:rsidRPr="001416ED">
        <w:rPr>
          <w:b/>
          <w:bCs/>
          <w:lang w:val="uk-UA"/>
        </w:rPr>
        <w:t xml:space="preserve"> </w:t>
      </w:r>
      <w:r w:rsidR="00FD4522" w:rsidRPr="001416ED">
        <w:rPr>
          <w:lang w:val="uk-UA"/>
        </w:rPr>
        <w:t>приймали наступні показники</w:t>
      </w:r>
      <w:r w:rsidRPr="001416ED">
        <w:rPr>
          <w:lang w:val="uk-UA"/>
        </w:rPr>
        <w:t>: загальний ХС – менше 5</w:t>
      </w:r>
      <w:r w:rsidR="00E74AAC" w:rsidRPr="001416ED">
        <w:rPr>
          <w:lang w:val="uk-UA"/>
        </w:rPr>
        <w:t>,2</w:t>
      </w:r>
      <w:r w:rsidR="00FD4522" w:rsidRPr="001416ED">
        <w:rPr>
          <w:lang w:val="uk-UA"/>
        </w:rPr>
        <w:t xml:space="preserve"> </w:t>
      </w:r>
      <w:r w:rsidRPr="001416ED">
        <w:rPr>
          <w:lang w:val="uk-UA"/>
        </w:rPr>
        <w:t>ммоль/л, ХС ЛПНЩ – менше 3,0 ммоль/л, ХС ЛПВЩ – більше 1,</w:t>
      </w:r>
      <w:r w:rsidR="00BE0904" w:rsidRPr="001416ED">
        <w:rPr>
          <w:lang w:val="uk-UA"/>
        </w:rPr>
        <w:t>0</w:t>
      </w:r>
      <w:r w:rsidRPr="001416ED">
        <w:rPr>
          <w:lang w:val="uk-UA"/>
        </w:rPr>
        <w:t xml:space="preserve"> ммоль/л, ТГ – менше 1,7 ммоль/л. При відхиленні хоча б одного з показників від нормальних значень діагностували дисліпідемію</w:t>
      </w:r>
      <w:r w:rsidR="007430DE" w:rsidRPr="001416ED">
        <w:rPr>
          <w:lang w:val="uk-UA"/>
        </w:rPr>
        <w:t xml:space="preserve"> [</w:t>
      </w:r>
      <w:r w:rsidR="0060120A" w:rsidRPr="001416ED">
        <w:rPr>
          <w:lang w:val="uk-UA"/>
        </w:rPr>
        <w:t>58</w:t>
      </w:r>
      <w:r w:rsidR="007430DE" w:rsidRPr="001416ED">
        <w:rPr>
          <w:lang w:val="uk-UA"/>
        </w:rPr>
        <w:t>].</w:t>
      </w:r>
    </w:p>
    <w:p w:rsidR="00145533" w:rsidRPr="001416ED" w:rsidRDefault="00145533" w:rsidP="00C05EE2">
      <w:pPr>
        <w:autoSpaceDE w:val="0"/>
        <w:autoSpaceDN w:val="0"/>
        <w:adjustRightInd w:val="0"/>
        <w:spacing w:before="240" w:after="240" w:line="360" w:lineRule="auto"/>
        <w:ind w:firstLine="709"/>
        <w:jc w:val="both"/>
        <w:rPr>
          <w:b/>
          <w:lang w:val="uk-UA"/>
        </w:rPr>
      </w:pPr>
      <w:r w:rsidRPr="001416ED">
        <w:rPr>
          <w:b/>
          <w:lang w:val="uk-UA"/>
        </w:rPr>
        <w:t>2.2.6. Методика вимірювання АТ</w:t>
      </w:r>
    </w:p>
    <w:p w:rsidR="005B4A89" w:rsidRPr="001416ED" w:rsidRDefault="005B4A89" w:rsidP="005B4A89">
      <w:pPr>
        <w:autoSpaceDE w:val="0"/>
        <w:autoSpaceDN w:val="0"/>
        <w:adjustRightInd w:val="0"/>
        <w:spacing w:line="360" w:lineRule="auto"/>
        <w:ind w:firstLine="709"/>
        <w:jc w:val="both"/>
        <w:rPr>
          <w:lang w:val="uk-UA"/>
        </w:rPr>
      </w:pPr>
      <w:r w:rsidRPr="001416ED">
        <w:rPr>
          <w:lang w:val="uk-UA"/>
        </w:rPr>
        <w:lastRenderedPageBreak/>
        <w:t xml:space="preserve">Вимірювання </w:t>
      </w:r>
      <w:r w:rsidR="00FA196A" w:rsidRPr="001416ED">
        <w:rPr>
          <w:lang w:val="uk-UA"/>
        </w:rPr>
        <w:t xml:space="preserve">офісного </w:t>
      </w:r>
      <w:r w:rsidRPr="001416ED">
        <w:rPr>
          <w:lang w:val="uk-UA"/>
        </w:rPr>
        <w:t xml:space="preserve">АТ здійснювали згідно з </w:t>
      </w:r>
      <w:r w:rsidRPr="001416ED">
        <w:rPr>
          <w:bCs/>
          <w:lang w:val="uk-UA"/>
        </w:rPr>
        <w:t>Уніфікованим клінічним протоколом медичної допомоги при артеріальній гіпертензії,</w:t>
      </w:r>
      <w:r w:rsidRPr="001416ED">
        <w:rPr>
          <w:lang w:val="uk-UA"/>
        </w:rPr>
        <w:t xml:space="preserve"> затвердженим Наказом МОЗ України від 24.05.2012 року №384 [</w:t>
      </w:r>
      <w:r w:rsidR="0060120A" w:rsidRPr="001416ED">
        <w:rPr>
          <w:lang w:val="uk-UA"/>
        </w:rPr>
        <w:t>58</w:t>
      </w:r>
      <w:r w:rsidRPr="001416ED">
        <w:rPr>
          <w:lang w:val="uk-UA"/>
        </w:rPr>
        <w:t>].</w:t>
      </w:r>
    </w:p>
    <w:p w:rsidR="00145533" w:rsidRDefault="00145533" w:rsidP="00FA2C36">
      <w:pPr>
        <w:tabs>
          <w:tab w:val="num" w:pos="1429"/>
        </w:tabs>
        <w:autoSpaceDE w:val="0"/>
        <w:autoSpaceDN w:val="0"/>
        <w:adjustRightInd w:val="0"/>
        <w:spacing w:line="360" w:lineRule="auto"/>
        <w:jc w:val="both"/>
        <w:rPr>
          <w:lang w:val="uk-UA"/>
        </w:rPr>
      </w:pPr>
      <w:r w:rsidRPr="001416ED">
        <w:rPr>
          <w:lang w:val="uk-UA"/>
        </w:rPr>
        <w:t>Вимірювання АТ проводилось у спокійному оточенні після 5-хвилинного відпочинку.</w:t>
      </w:r>
      <w:r w:rsidR="00FA2C36">
        <w:rPr>
          <w:lang w:val="uk-UA"/>
        </w:rPr>
        <w:t xml:space="preserve"> </w:t>
      </w:r>
      <w:r w:rsidRPr="001416ED">
        <w:rPr>
          <w:lang w:val="uk-UA"/>
        </w:rPr>
        <w:t>Протягом 30 хв. до вимірювання пацієнт не палив та не пив каву.</w:t>
      </w:r>
      <w:r w:rsidR="00FA2C36">
        <w:rPr>
          <w:lang w:val="uk-UA"/>
        </w:rPr>
        <w:t xml:space="preserve"> </w:t>
      </w:r>
      <w:r w:rsidR="00C05EE2" w:rsidRPr="001416ED">
        <w:rPr>
          <w:lang w:val="uk-UA"/>
        </w:rPr>
        <w:t>Використовувалась с</w:t>
      </w:r>
      <w:r w:rsidRPr="001416ED">
        <w:rPr>
          <w:lang w:val="uk-UA"/>
        </w:rPr>
        <w:t xml:space="preserve">тандартна манжета (12-13 см у ширину та 35 см у довжину) </w:t>
      </w:r>
      <w:r w:rsidR="00C05EE2" w:rsidRPr="001416ED">
        <w:rPr>
          <w:lang w:val="uk-UA"/>
        </w:rPr>
        <w:t>для</w:t>
      </w:r>
      <w:r w:rsidRPr="001416ED">
        <w:rPr>
          <w:lang w:val="uk-UA"/>
        </w:rPr>
        <w:t xml:space="preserve"> осіб з нормальними та худими руками. У осіб з мускулистими або товстими руками застосов</w:t>
      </w:r>
      <w:r w:rsidR="00C05EE2" w:rsidRPr="001416ED">
        <w:rPr>
          <w:lang w:val="uk-UA"/>
        </w:rPr>
        <w:t>увалась манжета 42 см у довжину</w:t>
      </w:r>
      <w:r w:rsidRPr="001416ED">
        <w:rPr>
          <w:lang w:val="uk-UA"/>
        </w:rPr>
        <w:t>.</w:t>
      </w:r>
      <w:r w:rsidR="00FA2C36">
        <w:rPr>
          <w:lang w:val="uk-UA"/>
        </w:rPr>
        <w:t xml:space="preserve"> </w:t>
      </w:r>
      <w:r w:rsidRPr="001416ED">
        <w:rPr>
          <w:lang w:val="uk-UA"/>
        </w:rPr>
        <w:t>Розміщу</w:t>
      </w:r>
      <w:r w:rsidR="00C05EE2" w:rsidRPr="001416ED">
        <w:rPr>
          <w:lang w:val="uk-UA"/>
        </w:rPr>
        <w:t xml:space="preserve">вали </w:t>
      </w:r>
      <w:r w:rsidRPr="001416ED">
        <w:rPr>
          <w:lang w:val="uk-UA"/>
        </w:rPr>
        <w:t>манжету посередині плеча на рівні серця, щоб її нижній край знаходився на 2-2,5 см вище ліктьової ямки, а між манжетою і поверхнею плеча проходив палець. Спочатку визнача</w:t>
      </w:r>
      <w:r w:rsidR="00C05EE2" w:rsidRPr="001416ED">
        <w:rPr>
          <w:lang w:val="uk-UA"/>
        </w:rPr>
        <w:t>ли</w:t>
      </w:r>
      <w:r w:rsidRPr="001416ED">
        <w:rPr>
          <w:lang w:val="uk-UA"/>
        </w:rPr>
        <w:t xml:space="preserve"> рівень САТ пальпаторним методом. Для цього визнач</w:t>
      </w:r>
      <w:r w:rsidR="00C05EE2" w:rsidRPr="001416ED">
        <w:rPr>
          <w:lang w:val="uk-UA"/>
        </w:rPr>
        <w:t>али</w:t>
      </w:r>
      <w:r w:rsidRPr="001416ED">
        <w:rPr>
          <w:lang w:val="uk-UA"/>
        </w:rPr>
        <w:t xml:space="preserve"> пульс на a. radialis і потім швидко накач</w:t>
      </w:r>
      <w:r w:rsidR="00C05EE2" w:rsidRPr="001416ED">
        <w:rPr>
          <w:lang w:val="uk-UA"/>
        </w:rPr>
        <w:t>ували</w:t>
      </w:r>
      <w:r w:rsidRPr="001416ED">
        <w:rPr>
          <w:lang w:val="uk-UA"/>
        </w:rPr>
        <w:t xml:space="preserve"> повітря в манжету до 70 мм рт. ст. Далі накачува</w:t>
      </w:r>
      <w:r w:rsidR="00C05EE2" w:rsidRPr="001416ED">
        <w:rPr>
          <w:lang w:val="uk-UA"/>
        </w:rPr>
        <w:t>ли</w:t>
      </w:r>
      <w:r w:rsidRPr="001416ED">
        <w:rPr>
          <w:lang w:val="uk-UA"/>
        </w:rPr>
        <w:t xml:space="preserve"> по 10 мм рт. ст. до значення, при якому зникає пульсація. Випуска</w:t>
      </w:r>
      <w:r w:rsidR="00C05EE2" w:rsidRPr="001416ED">
        <w:rPr>
          <w:lang w:val="uk-UA"/>
        </w:rPr>
        <w:t>ли</w:t>
      </w:r>
      <w:r w:rsidRPr="001416ED">
        <w:rPr>
          <w:lang w:val="uk-UA"/>
        </w:rPr>
        <w:t xml:space="preserve"> повітря повільно – 2 мм за секунду і визнача</w:t>
      </w:r>
      <w:r w:rsidR="00C05EE2" w:rsidRPr="001416ED">
        <w:rPr>
          <w:lang w:val="uk-UA"/>
        </w:rPr>
        <w:t>ли</w:t>
      </w:r>
      <w:r w:rsidRPr="001416ED">
        <w:rPr>
          <w:lang w:val="uk-UA"/>
        </w:rPr>
        <w:t xml:space="preserve"> І фазу тонів Короткова (появу) і V фазу (зникнення), які відповідають САТ і ДАТ. Вимірювання проводи</w:t>
      </w:r>
      <w:r w:rsidR="00C05EE2" w:rsidRPr="001416ED">
        <w:rPr>
          <w:lang w:val="uk-UA"/>
        </w:rPr>
        <w:t>ли</w:t>
      </w:r>
      <w:r w:rsidRPr="001416ED">
        <w:rPr>
          <w:lang w:val="uk-UA"/>
        </w:rPr>
        <w:t xml:space="preserve"> не менше двох разів з інтервалом 2-3 хв. При розходженні результатів більше, ніж на 5 мм рт.ст., </w:t>
      </w:r>
      <w:r w:rsidR="00C05EE2" w:rsidRPr="001416ED">
        <w:rPr>
          <w:lang w:val="uk-UA"/>
        </w:rPr>
        <w:t xml:space="preserve">робили </w:t>
      </w:r>
      <w:r w:rsidRPr="001416ED">
        <w:rPr>
          <w:lang w:val="uk-UA"/>
        </w:rPr>
        <w:t>повторні виміри через декілька хвилин.АТ визнача</w:t>
      </w:r>
      <w:r w:rsidR="00C05EE2" w:rsidRPr="001416ED">
        <w:rPr>
          <w:lang w:val="uk-UA"/>
        </w:rPr>
        <w:t xml:space="preserve">ли </w:t>
      </w:r>
      <w:r w:rsidRPr="001416ED">
        <w:rPr>
          <w:lang w:val="uk-UA"/>
        </w:rPr>
        <w:t>на обох руках, а також в положенні сидячи, стоячи і лежачи. До уваги б</w:t>
      </w:r>
      <w:r w:rsidR="00C05EE2" w:rsidRPr="001416ED">
        <w:rPr>
          <w:lang w:val="uk-UA"/>
        </w:rPr>
        <w:t>рались</w:t>
      </w:r>
      <w:r w:rsidRPr="001416ED">
        <w:rPr>
          <w:lang w:val="uk-UA"/>
        </w:rPr>
        <w:t xml:space="preserve"> більш високі значення.</w:t>
      </w:r>
    </w:p>
    <w:p w:rsidR="00A0215A" w:rsidRPr="001416ED" w:rsidRDefault="00A0215A" w:rsidP="00AF71B5">
      <w:pPr>
        <w:spacing w:before="240" w:after="240" w:line="360" w:lineRule="auto"/>
        <w:ind w:firstLine="709"/>
        <w:jc w:val="both"/>
        <w:outlineLvl w:val="0"/>
        <w:rPr>
          <w:b/>
          <w:lang w:val="uk-UA"/>
        </w:rPr>
      </w:pPr>
      <w:r w:rsidRPr="001416ED">
        <w:rPr>
          <w:b/>
          <w:lang w:val="uk-UA"/>
        </w:rPr>
        <w:t>2.2.</w:t>
      </w:r>
      <w:r w:rsidR="00145533" w:rsidRPr="001416ED">
        <w:rPr>
          <w:b/>
          <w:lang w:val="uk-UA"/>
        </w:rPr>
        <w:t>7</w:t>
      </w:r>
      <w:r w:rsidR="00F5358D" w:rsidRPr="001416ED">
        <w:rPr>
          <w:b/>
          <w:lang w:val="uk-UA"/>
        </w:rPr>
        <w:t>.</w:t>
      </w:r>
      <w:r w:rsidRPr="001416ED">
        <w:rPr>
          <w:b/>
          <w:lang w:val="uk-UA"/>
        </w:rPr>
        <w:t xml:space="preserve"> Методи</w:t>
      </w:r>
      <w:r w:rsidR="00A67DEF" w:rsidRPr="001416ED">
        <w:rPr>
          <w:b/>
          <w:lang w:val="uk-UA"/>
        </w:rPr>
        <w:t>ка</w:t>
      </w:r>
      <w:r w:rsidRPr="001416ED">
        <w:rPr>
          <w:b/>
          <w:lang w:val="uk-UA"/>
        </w:rPr>
        <w:t xml:space="preserve"> дослідження стану внутрішньосерцевої гемодинаміки</w:t>
      </w:r>
    </w:p>
    <w:p w:rsidR="00CC0BDE" w:rsidRPr="001416ED" w:rsidRDefault="00CC0BDE" w:rsidP="00955D32">
      <w:pPr>
        <w:spacing w:line="360" w:lineRule="auto"/>
        <w:ind w:firstLine="708"/>
        <w:jc w:val="both"/>
        <w:rPr>
          <w:lang w:val="uk-UA"/>
        </w:rPr>
      </w:pPr>
      <w:r w:rsidRPr="001416ED">
        <w:rPr>
          <w:lang w:val="uk-UA"/>
        </w:rPr>
        <w:t xml:space="preserve">Для оцінки параметрів внутрішньосерцевої гемодинаміки застосовували ехокардіографічне обстеження, яке виконувалось на ехокардіографі </w:t>
      </w:r>
      <w:r w:rsidR="00955D32" w:rsidRPr="001416ED">
        <w:rPr>
          <w:rFonts w:eastAsia="Calibri"/>
          <w:i/>
          <w:lang w:val="uk-UA"/>
        </w:rPr>
        <w:t>«</w:t>
      </w:r>
      <w:r w:rsidR="00955D32" w:rsidRPr="001416ED">
        <w:rPr>
          <w:rFonts w:eastAsia="Calibri"/>
          <w:i/>
          <w:spacing w:val="-4"/>
          <w:lang w:val="uk-UA"/>
        </w:rPr>
        <w:t xml:space="preserve">РАДМІР </w:t>
      </w:r>
      <w:r w:rsidR="00955D32" w:rsidRPr="001416ED">
        <w:rPr>
          <w:rFonts w:eastAsia="Calibri"/>
          <w:i/>
          <w:spacing w:val="-4"/>
          <w:lang w:val="en-US"/>
        </w:rPr>
        <w:t>ULTIMARA</w:t>
      </w:r>
      <w:r w:rsidR="00955D32" w:rsidRPr="001416ED">
        <w:rPr>
          <w:rFonts w:eastAsia="Calibri"/>
          <w:i/>
          <w:lang w:val="uk-UA"/>
        </w:rPr>
        <w:t>»</w:t>
      </w:r>
      <w:r w:rsidR="00955D32" w:rsidRPr="001416ED">
        <w:rPr>
          <w:rFonts w:eastAsia="Calibri"/>
          <w:lang w:val="uk-UA"/>
        </w:rPr>
        <w:t xml:space="preserve"> </w:t>
      </w:r>
      <w:r w:rsidR="00955D32" w:rsidRPr="001416ED">
        <w:rPr>
          <w:rFonts w:eastAsia="PMingLiU"/>
          <w:lang w:val="uk-UA" w:eastAsia="zh-TW"/>
        </w:rPr>
        <w:t>(м. Харків, Україна).</w:t>
      </w:r>
      <w:r w:rsidRPr="001416ED">
        <w:rPr>
          <w:lang w:val="uk-UA"/>
        </w:rPr>
        <w:t xml:space="preserve"> При проведенні УЗД в основному використовувались  парастернальний та апікальний доступи, за необхідності </w:t>
      </w:r>
      <w:r w:rsidR="00BC0119" w:rsidRPr="001416ED">
        <w:rPr>
          <w:lang w:val="uk-UA"/>
        </w:rPr>
        <w:t>–</w:t>
      </w:r>
      <w:r w:rsidRPr="001416ED">
        <w:rPr>
          <w:lang w:val="uk-UA"/>
        </w:rPr>
        <w:t xml:space="preserve"> субкостальний та супрастернальний доступи. Спочатку виконувал</w:t>
      </w:r>
      <w:r w:rsidR="00971AD2" w:rsidRPr="001416ED">
        <w:rPr>
          <w:lang w:val="uk-UA"/>
        </w:rPr>
        <w:t>и</w:t>
      </w:r>
      <w:r w:rsidRPr="001416ED">
        <w:rPr>
          <w:lang w:val="uk-UA"/>
        </w:rPr>
        <w:t xml:space="preserve"> В</w:t>
      </w:r>
      <w:r w:rsidR="00BC0119" w:rsidRPr="001416ED">
        <w:rPr>
          <w:lang w:val="uk-UA"/>
        </w:rPr>
        <w:t>–</w:t>
      </w:r>
      <w:r w:rsidRPr="001416ED">
        <w:rPr>
          <w:lang w:val="uk-UA"/>
        </w:rPr>
        <w:t>модальне дослідження, потім – М</w:t>
      </w:r>
      <w:r w:rsidR="00BC0119" w:rsidRPr="001416ED">
        <w:rPr>
          <w:lang w:val="uk-UA"/>
        </w:rPr>
        <w:t>–</w:t>
      </w:r>
      <w:r w:rsidRPr="001416ED">
        <w:rPr>
          <w:lang w:val="uk-UA"/>
        </w:rPr>
        <w:t>модальне, яке завжди проводил</w:t>
      </w:r>
      <w:r w:rsidR="00971AD2" w:rsidRPr="001416ED">
        <w:rPr>
          <w:lang w:val="uk-UA"/>
        </w:rPr>
        <w:t>и</w:t>
      </w:r>
      <w:r w:rsidRPr="001416ED">
        <w:rPr>
          <w:lang w:val="uk-UA"/>
        </w:rPr>
        <w:t xml:space="preserve"> виключно із парастернального доступу з позиції довгої осі лівого шлуночку (ЛШ). Аналізували наступні показники структурно</w:t>
      </w:r>
      <w:r w:rsidR="00BC0119" w:rsidRPr="001416ED">
        <w:rPr>
          <w:lang w:val="uk-UA"/>
        </w:rPr>
        <w:t>–</w:t>
      </w:r>
      <w:r w:rsidRPr="001416ED">
        <w:rPr>
          <w:lang w:val="uk-UA"/>
        </w:rPr>
        <w:t xml:space="preserve">функціонального стану ЛШ: </w:t>
      </w:r>
      <w:r w:rsidR="00BB16F7">
        <w:rPr>
          <w:lang w:val="uk-UA"/>
        </w:rPr>
        <w:t xml:space="preserve">КСР, </w:t>
      </w:r>
      <w:r w:rsidR="00BB16F7">
        <w:rPr>
          <w:lang w:val="uk-UA"/>
        </w:rPr>
        <w:lastRenderedPageBreak/>
        <w:t>см</w:t>
      </w:r>
      <w:r w:rsidRPr="001416ED">
        <w:rPr>
          <w:lang w:val="uk-UA"/>
        </w:rPr>
        <w:t xml:space="preserve">; </w:t>
      </w:r>
      <w:r w:rsidR="00BB16F7">
        <w:rPr>
          <w:lang w:val="uk-UA"/>
        </w:rPr>
        <w:t>КДР, см</w:t>
      </w:r>
      <w:r w:rsidRPr="001416ED">
        <w:rPr>
          <w:lang w:val="uk-UA"/>
        </w:rPr>
        <w:t>; товщина міжшлуночкової перетинки (ТМШП, см) у кінці діастоли; товщина задньої стінки ЛШ (ТЗ</w:t>
      </w:r>
      <w:r w:rsidR="00AC7B98" w:rsidRPr="001416ED">
        <w:rPr>
          <w:lang w:val="uk-UA"/>
        </w:rPr>
        <w:t>С</w:t>
      </w:r>
      <w:r w:rsidRPr="001416ED">
        <w:rPr>
          <w:lang w:val="uk-UA"/>
        </w:rPr>
        <w:t>ЛШ, см) у кінці діастоли</w:t>
      </w:r>
      <w:r w:rsidR="009B0FC9" w:rsidRPr="001416ED">
        <w:rPr>
          <w:lang w:val="uk-UA"/>
        </w:rPr>
        <w:t>.</w:t>
      </w:r>
    </w:p>
    <w:p w:rsidR="0040468A" w:rsidRPr="001416ED" w:rsidRDefault="00CC0BDE" w:rsidP="0040468A">
      <w:pPr>
        <w:spacing w:line="360" w:lineRule="auto"/>
        <w:ind w:firstLine="708"/>
        <w:jc w:val="both"/>
        <w:rPr>
          <w:lang w:val="uk-UA"/>
        </w:rPr>
      </w:pPr>
      <w:r w:rsidRPr="001416ED">
        <w:rPr>
          <w:lang w:val="uk-UA"/>
        </w:rPr>
        <w:t xml:space="preserve">Помірну </w:t>
      </w:r>
      <w:r w:rsidR="00B02DDF">
        <w:rPr>
          <w:lang w:val="uk-UA"/>
        </w:rPr>
        <w:t>ГЛШ</w:t>
      </w:r>
      <w:r w:rsidRPr="001416ED">
        <w:rPr>
          <w:lang w:val="uk-UA"/>
        </w:rPr>
        <w:t xml:space="preserve"> встановлю</w:t>
      </w:r>
      <w:r w:rsidR="000A76B0" w:rsidRPr="001416ED">
        <w:rPr>
          <w:lang w:val="uk-UA"/>
        </w:rPr>
        <w:t xml:space="preserve">вали при значенні </w:t>
      </w:r>
      <w:r w:rsidRPr="001416ED">
        <w:rPr>
          <w:lang w:val="uk-UA"/>
        </w:rPr>
        <w:t>іММЛШ до 170 г/м</w:t>
      </w:r>
      <w:r w:rsidRPr="001416ED">
        <w:rPr>
          <w:vertAlign w:val="superscript"/>
          <w:lang w:val="uk-UA"/>
        </w:rPr>
        <w:t>2</w:t>
      </w:r>
      <w:r w:rsidRPr="001416ED">
        <w:rPr>
          <w:lang w:val="uk-UA"/>
        </w:rPr>
        <w:t>, виражену – вище 170 г/м</w:t>
      </w:r>
      <w:r w:rsidRPr="001416ED">
        <w:rPr>
          <w:vertAlign w:val="superscript"/>
          <w:lang w:val="uk-UA"/>
        </w:rPr>
        <w:t>2</w:t>
      </w:r>
      <w:r w:rsidRPr="001416ED">
        <w:rPr>
          <w:lang w:val="uk-UA"/>
        </w:rPr>
        <w:t>.</w:t>
      </w:r>
      <w:r w:rsidR="0040468A" w:rsidRPr="001416ED">
        <w:rPr>
          <w:rFonts w:eastAsiaTheme="minorHAnsi"/>
          <w:kern w:val="11"/>
          <w:sz w:val="32"/>
          <w:szCs w:val="32"/>
          <w:lang w:val="uk-UA" w:eastAsia="en-US"/>
        </w:rPr>
        <w:t xml:space="preserve"> </w:t>
      </w:r>
      <w:r w:rsidR="0040468A" w:rsidRPr="001416ED">
        <w:rPr>
          <w:lang w:val="uk-UA"/>
        </w:rPr>
        <w:t>За допомогою показників в</w:t>
      </w:r>
      <w:r w:rsidR="004D0B76" w:rsidRPr="001416ED">
        <w:rPr>
          <w:lang w:val="uk-UA"/>
        </w:rPr>
        <w:t>і</w:t>
      </w:r>
      <w:r w:rsidR="0040468A" w:rsidRPr="001416ED">
        <w:rPr>
          <w:lang w:val="uk-UA"/>
        </w:rPr>
        <w:t>дносно</w:t>
      </w:r>
      <w:r w:rsidR="004D0B76" w:rsidRPr="001416ED">
        <w:rPr>
          <w:lang w:val="uk-UA"/>
        </w:rPr>
        <w:t>ї</w:t>
      </w:r>
      <w:r w:rsidR="0040468A" w:rsidRPr="001416ED">
        <w:rPr>
          <w:lang w:val="uk-UA"/>
        </w:rPr>
        <w:t xml:space="preserve"> товщини </w:t>
      </w:r>
      <w:r w:rsidR="00D75A9C">
        <w:rPr>
          <w:lang w:val="uk-UA"/>
        </w:rPr>
        <w:t xml:space="preserve">стінки </w:t>
      </w:r>
      <w:r w:rsidR="0040468A" w:rsidRPr="001416ED">
        <w:rPr>
          <w:lang w:val="uk-UA"/>
        </w:rPr>
        <w:t>ЛШ (ВТС) та іММЛШ оці</w:t>
      </w:r>
      <w:r w:rsidR="004D0B76" w:rsidRPr="001416ED">
        <w:rPr>
          <w:lang w:val="uk-UA"/>
        </w:rPr>
        <w:t>нювали геометричну модель ЛШ</w:t>
      </w:r>
      <w:r w:rsidR="0040468A" w:rsidRPr="001416ED">
        <w:rPr>
          <w:lang w:val="uk-UA"/>
        </w:rPr>
        <w:t xml:space="preserve">: при іММЛШ </w:t>
      </w:r>
      <w:r w:rsidR="0040468A" w:rsidRPr="001416ED">
        <w:rPr>
          <w:lang w:val="uk-UA"/>
        </w:rPr>
        <w:sym w:font="Symbol" w:char="F0A3"/>
      </w:r>
      <w:r w:rsidR="00A64D10" w:rsidRPr="001416ED">
        <w:rPr>
          <w:lang w:val="uk-UA"/>
        </w:rPr>
        <w:t xml:space="preserve"> </w:t>
      </w:r>
      <w:r w:rsidR="0040468A" w:rsidRPr="001416ED">
        <w:rPr>
          <w:lang w:val="uk-UA"/>
        </w:rPr>
        <w:t>115 г/м</w:t>
      </w:r>
      <w:r w:rsidR="0040468A" w:rsidRPr="001416ED">
        <w:rPr>
          <w:vertAlign w:val="superscript"/>
          <w:lang w:val="uk-UA"/>
        </w:rPr>
        <w:t>2</w:t>
      </w:r>
      <w:r w:rsidR="0040468A" w:rsidRPr="001416ED">
        <w:rPr>
          <w:lang w:val="uk-UA"/>
        </w:rPr>
        <w:t xml:space="preserve"> і ВТС ЛШ </w:t>
      </w:r>
      <w:r w:rsidR="0040468A" w:rsidRPr="001416ED">
        <w:rPr>
          <w:lang w:val="uk-UA"/>
        </w:rPr>
        <w:sym w:font="Symbol" w:char="F0A3"/>
      </w:r>
      <w:r w:rsidR="0040468A" w:rsidRPr="001416ED">
        <w:rPr>
          <w:lang w:val="uk-UA"/>
        </w:rPr>
        <w:t xml:space="preserve"> 0,42 – нормальна геометрія ЛШ; при іММЛШ </w:t>
      </w:r>
      <w:r w:rsidR="0040468A" w:rsidRPr="001416ED">
        <w:rPr>
          <w:lang w:val="uk-UA"/>
        </w:rPr>
        <w:sym w:font="Symbol" w:char="F0A3"/>
      </w:r>
      <w:r w:rsidR="00A64D10" w:rsidRPr="001416ED">
        <w:rPr>
          <w:lang w:val="uk-UA"/>
        </w:rPr>
        <w:t xml:space="preserve"> </w:t>
      </w:r>
      <w:r w:rsidR="0040468A" w:rsidRPr="001416ED">
        <w:rPr>
          <w:lang w:val="uk-UA"/>
        </w:rPr>
        <w:t>115 г/м</w:t>
      </w:r>
      <w:r w:rsidR="0040468A" w:rsidRPr="001416ED">
        <w:rPr>
          <w:vertAlign w:val="superscript"/>
          <w:lang w:val="uk-UA"/>
        </w:rPr>
        <w:t>2</w:t>
      </w:r>
      <w:r w:rsidR="0040468A" w:rsidRPr="001416ED">
        <w:rPr>
          <w:lang w:val="uk-UA"/>
        </w:rPr>
        <w:t xml:space="preserve"> і ВТС ЛШ &gt;</w:t>
      </w:r>
      <w:r w:rsidR="00A64D10" w:rsidRPr="001416ED">
        <w:rPr>
          <w:lang w:val="uk-UA"/>
        </w:rPr>
        <w:t xml:space="preserve"> </w:t>
      </w:r>
      <w:r w:rsidR="0040468A" w:rsidRPr="001416ED">
        <w:rPr>
          <w:lang w:val="uk-UA"/>
        </w:rPr>
        <w:t>0,42 – концентричне ремоделювання ЛШ; при іММЛШ &gt;</w:t>
      </w:r>
      <w:r w:rsidR="00A64D10" w:rsidRPr="001416ED">
        <w:rPr>
          <w:lang w:val="uk-UA"/>
        </w:rPr>
        <w:t xml:space="preserve"> </w:t>
      </w:r>
      <w:r w:rsidR="0040468A" w:rsidRPr="001416ED">
        <w:rPr>
          <w:lang w:val="uk-UA"/>
        </w:rPr>
        <w:t>115 г/м</w:t>
      </w:r>
      <w:r w:rsidR="0040468A" w:rsidRPr="001416ED">
        <w:rPr>
          <w:vertAlign w:val="superscript"/>
          <w:lang w:val="uk-UA"/>
        </w:rPr>
        <w:t>2</w:t>
      </w:r>
      <w:r w:rsidR="0040468A" w:rsidRPr="001416ED">
        <w:rPr>
          <w:lang w:val="uk-UA"/>
        </w:rPr>
        <w:t xml:space="preserve"> і ВТС ЛШ &gt;</w:t>
      </w:r>
      <w:r w:rsidR="00A64D10" w:rsidRPr="001416ED">
        <w:rPr>
          <w:lang w:val="uk-UA"/>
        </w:rPr>
        <w:t xml:space="preserve"> </w:t>
      </w:r>
      <w:r w:rsidR="0040468A" w:rsidRPr="001416ED">
        <w:rPr>
          <w:lang w:val="uk-UA"/>
        </w:rPr>
        <w:t>0,42 – концентрична ГЛШ; при іММЛШ &gt;</w:t>
      </w:r>
      <w:r w:rsidR="00A64D10" w:rsidRPr="001416ED">
        <w:rPr>
          <w:lang w:val="uk-UA"/>
        </w:rPr>
        <w:t xml:space="preserve"> </w:t>
      </w:r>
      <w:r w:rsidR="0040468A" w:rsidRPr="001416ED">
        <w:rPr>
          <w:lang w:val="uk-UA"/>
        </w:rPr>
        <w:t>115 г/м</w:t>
      </w:r>
      <w:r w:rsidR="0040468A" w:rsidRPr="001416ED">
        <w:rPr>
          <w:vertAlign w:val="superscript"/>
          <w:lang w:val="uk-UA"/>
        </w:rPr>
        <w:t>2</w:t>
      </w:r>
      <w:r w:rsidR="0040468A" w:rsidRPr="001416ED">
        <w:rPr>
          <w:lang w:val="uk-UA"/>
        </w:rPr>
        <w:t xml:space="preserve"> у чоловіків і ВТС ЛШ </w:t>
      </w:r>
      <w:r w:rsidR="0040468A" w:rsidRPr="001416ED">
        <w:rPr>
          <w:lang w:val="uk-UA"/>
        </w:rPr>
        <w:sym w:font="Symbol" w:char="F0A3"/>
      </w:r>
      <w:r w:rsidR="00A64D10" w:rsidRPr="001416ED">
        <w:rPr>
          <w:lang w:val="uk-UA"/>
        </w:rPr>
        <w:t xml:space="preserve"> </w:t>
      </w:r>
      <w:r w:rsidR="009B0FC9" w:rsidRPr="001416ED">
        <w:rPr>
          <w:lang w:val="uk-UA"/>
        </w:rPr>
        <w:t>0,42 – ексцентрична ГЛШ [</w:t>
      </w:r>
      <w:r w:rsidR="00126D8B" w:rsidRPr="001416ED">
        <w:rPr>
          <w:lang w:val="uk-UA"/>
        </w:rPr>
        <w:t>44,</w:t>
      </w:r>
      <w:r w:rsidR="009B0FC9" w:rsidRPr="001416ED">
        <w:rPr>
          <w:lang w:val="uk-UA"/>
        </w:rPr>
        <w:t>45].</w:t>
      </w:r>
    </w:p>
    <w:p w:rsidR="00CC0BDE" w:rsidRPr="001416ED" w:rsidRDefault="00CC0BDE" w:rsidP="00CC0BDE">
      <w:pPr>
        <w:spacing w:line="360" w:lineRule="auto"/>
        <w:ind w:firstLine="708"/>
        <w:jc w:val="both"/>
        <w:rPr>
          <w:lang w:val="uk-UA"/>
        </w:rPr>
      </w:pPr>
      <w:r w:rsidRPr="001416ED">
        <w:rPr>
          <w:lang w:val="uk-UA"/>
        </w:rPr>
        <w:t>Діастолічну функцію серця оцінювали за допомогою імпульсної допплер</w:t>
      </w:r>
      <w:r w:rsidR="00BC0119" w:rsidRPr="001416ED">
        <w:rPr>
          <w:lang w:val="uk-UA"/>
        </w:rPr>
        <w:t>–</w:t>
      </w:r>
      <w:r w:rsidRPr="001416ED">
        <w:rPr>
          <w:lang w:val="uk-UA"/>
        </w:rPr>
        <w:t>ехокардіографії з апікального доступу у чотирикамерній позиції із розміщенням контрольного об'єму на рівні кінців стулок мітрального клапану. Визначали такі параметри: швидкість раннього діастолічного наповнення ЛШ (Е, м/с); швидкість пізнього діастолічного наповнення ЛШ (А, м/с); співвідношення швидкостей раннього та пізнього діастолічного наповнення ЛШ (Е/А,); час раннього діастолічного наповнення ЛШ (Те, мс); час пізнього діастолічного наповнення ЛШ (Та, мс); час уповільнення раннього діастолічного наповнення ЛШ (Т</w:t>
      </w:r>
      <w:r w:rsidRPr="001416ED">
        <w:rPr>
          <w:lang w:val="en-US"/>
        </w:rPr>
        <w:t>D</w:t>
      </w:r>
      <w:r w:rsidRPr="001416ED">
        <w:rPr>
          <w:lang w:val="uk-UA"/>
        </w:rPr>
        <w:t>,мс); час ізоволюметричного розслаблення ЛШ (</w:t>
      </w:r>
      <w:r w:rsidRPr="001416ED">
        <w:rPr>
          <w:lang w:val="en-US"/>
        </w:rPr>
        <w:t>IVRT</w:t>
      </w:r>
      <w:r w:rsidRPr="001416ED">
        <w:rPr>
          <w:lang w:val="uk-UA"/>
        </w:rPr>
        <w:t>, мс)</w:t>
      </w:r>
      <w:r w:rsidR="003E1C6B" w:rsidRPr="001416ED">
        <w:rPr>
          <w:lang w:val="uk-UA"/>
        </w:rPr>
        <w:t>.</w:t>
      </w:r>
    </w:p>
    <w:p w:rsidR="00DC3F79" w:rsidRPr="001416ED" w:rsidRDefault="00DC3F79" w:rsidP="00DC3F79">
      <w:pPr>
        <w:spacing w:before="240" w:after="240" w:line="360" w:lineRule="auto"/>
        <w:ind w:firstLine="708"/>
        <w:jc w:val="both"/>
        <w:rPr>
          <w:b/>
          <w:lang w:val="uk-UA"/>
        </w:rPr>
      </w:pPr>
      <w:r w:rsidRPr="001416ED">
        <w:rPr>
          <w:b/>
          <w:lang w:val="uk-UA"/>
        </w:rPr>
        <w:t>2.2.</w:t>
      </w:r>
      <w:r w:rsidR="00145533" w:rsidRPr="001416ED">
        <w:rPr>
          <w:b/>
          <w:lang w:val="uk-UA"/>
        </w:rPr>
        <w:t>8</w:t>
      </w:r>
      <w:r w:rsidRPr="001416ED">
        <w:rPr>
          <w:b/>
          <w:lang w:val="uk-UA"/>
        </w:rPr>
        <w:t>. Методика проведення</w:t>
      </w:r>
      <w:r w:rsidR="008B1F78" w:rsidRPr="001416ED">
        <w:rPr>
          <w:b/>
          <w:lang w:val="uk-UA"/>
        </w:rPr>
        <w:t xml:space="preserve"> велоер</w:t>
      </w:r>
      <w:r w:rsidRPr="001416ED">
        <w:rPr>
          <w:b/>
          <w:lang w:val="uk-UA"/>
        </w:rPr>
        <w:t>гометрії</w:t>
      </w:r>
    </w:p>
    <w:p w:rsidR="00012C09" w:rsidRPr="001416ED" w:rsidRDefault="008B1F78" w:rsidP="00DC3F79">
      <w:pPr>
        <w:spacing w:line="360" w:lineRule="auto"/>
        <w:ind w:firstLine="708"/>
        <w:jc w:val="both"/>
        <w:rPr>
          <w:lang w:val="uk-UA"/>
        </w:rPr>
      </w:pPr>
      <w:r w:rsidRPr="001416ED">
        <w:rPr>
          <w:lang w:val="uk-UA"/>
        </w:rPr>
        <w:t>Д</w:t>
      </w:r>
      <w:r w:rsidR="00DC3F79" w:rsidRPr="001416ED">
        <w:rPr>
          <w:lang w:val="uk-UA"/>
        </w:rPr>
        <w:t xml:space="preserve">ля виключення </w:t>
      </w:r>
      <w:r w:rsidR="00012C09" w:rsidRPr="001416ED">
        <w:rPr>
          <w:lang w:val="uk-UA"/>
        </w:rPr>
        <w:t>ІХС</w:t>
      </w:r>
      <w:r w:rsidR="00DC3F79" w:rsidRPr="001416ED">
        <w:rPr>
          <w:lang w:val="uk-UA"/>
        </w:rPr>
        <w:t xml:space="preserve"> пацієнтам проводили навантажувальний тест</w:t>
      </w:r>
      <w:r w:rsidR="00B2771D" w:rsidRPr="001416ED">
        <w:rPr>
          <w:lang w:val="uk-UA"/>
        </w:rPr>
        <w:t xml:space="preserve"> «ВОЗ» </w:t>
      </w:r>
      <w:r w:rsidR="00DC3F79" w:rsidRPr="001416ED">
        <w:rPr>
          <w:lang w:val="uk-UA"/>
        </w:rPr>
        <w:t xml:space="preserve">на велоергометрі «VKK - 12», вироблений в Україні. </w:t>
      </w:r>
      <w:r w:rsidR="00B2771D" w:rsidRPr="001416ED">
        <w:rPr>
          <w:lang w:val="uk-UA"/>
        </w:rPr>
        <w:t>Методика передбачає створення східчасто-зростаюч</w:t>
      </w:r>
      <w:r w:rsidR="00012C09" w:rsidRPr="001416ED">
        <w:rPr>
          <w:lang w:val="uk-UA"/>
        </w:rPr>
        <w:t>ого</w:t>
      </w:r>
      <w:r w:rsidR="00B2771D" w:rsidRPr="001416ED">
        <w:rPr>
          <w:lang w:val="uk-UA"/>
        </w:rPr>
        <w:t xml:space="preserve"> навантаження з однаковим кроком</w:t>
      </w:r>
      <w:r w:rsidR="00385FD4" w:rsidRPr="001416ED">
        <w:rPr>
          <w:lang w:val="uk-UA"/>
        </w:rPr>
        <w:t>:</w:t>
      </w:r>
      <w:r w:rsidR="00B2771D" w:rsidRPr="001416ED">
        <w:rPr>
          <w:lang w:val="uk-UA"/>
        </w:rPr>
        <w:t xml:space="preserve"> </w:t>
      </w:r>
    </w:p>
    <w:p w:rsidR="00012C09" w:rsidRPr="001416ED" w:rsidRDefault="00385FD4" w:rsidP="00DC3F79">
      <w:pPr>
        <w:spacing w:line="360" w:lineRule="auto"/>
        <w:ind w:firstLine="708"/>
        <w:jc w:val="both"/>
        <w:rPr>
          <w:lang w:val="uk-UA"/>
        </w:rPr>
      </w:pPr>
      <w:r w:rsidRPr="001416ED">
        <w:rPr>
          <w:lang w:val="en-US"/>
        </w:rPr>
        <w:t xml:space="preserve">P/n/ = P/1/ + </w:t>
      </w:r>
      <w:r w:rsidRPr="001416ED">
        <w:rPr>
          <w:lang w:val="uk-UA"/>
        </w:rPr>
        <w:t>ПН*(</w:t>
      </w:r>
      <w:r w:rsidRPr="001416ED">
        <w:rPr>
          <w:lang w:val="en-US"/>
        </w:rPr>
        <w:t>n-1</w:t>
      </w:r>
      <w:r w:rsidRPr="001416ED">
        <w:rPr>
          <w:lang w:val="uk-UA"/>
        </w:rPr>
        <w:t xml:space="preserve">), </w:t>
      </w:r>
    </w:p>
    <w:p w:rsidR="00385FD4" w:rsidRPr="001416ED" w:rsidRDefault="00012C09" w:rsidP="00DC3F79">
      <w:pPr>
        <w:spacing w:line="360" w:lineRule="auto"/>
        <w:ind w:firstLine="708"/>
        <w:jc w:val="both"/>
        <w:rPr>
          <w:lang w:val="uk-UA"/>
        </w:rPr>
      </w:pPr>
      <w:r w:rsidRPr="001416ED">
        <w:rPr>
          <w:lang w:val="uk-UA"/>
        </w:rPr>
        <w:t xml:space="preserve">де </w:t>
      </w:r>
      <w:r w:rsidR="00385FD4" w:rsidRPr="001416ED">
        <w:rPr>
          <w:lang w:val="en-US"/>
        </w:rPr>
        <w:t>P/</w:t>
      </w:r>
      <w:r w:rsidR="00385FD4" w:rsidRPr="001416ED">
        <w:rPr>
          <w:lang w:val="uk-UA"/>
        </w:rPr>
        <w:t>1</w:t>
      </w:r>
      <w:r w:rsidR="00385FD4" w:rsidRPr="001416ED">
        <w:rPr>
          <w:lang w:val="en-US"/>
        </w:rPr>
        <w:t>/</w:t>
      </w:r>
      <w:r w:rsidR="00385FD4" w:rsidRPr="001416ED">
        <w:rPr>
          <w:lang w:val="uk-UA"/>
        </w:rPr>
        <w:t xml:space="preserve">  - навантаження на 1 сходинці;</w:t>
      </w:r>
    </w:p>
    <w:p w:rsidR="00385FD4" w:rsidRPr="001416ED" w:rsidRDefault="00385FD4" w:rsidP="00DC3F79">
      <w:pPr>
        <w:spacing w:line="360" w:lineRule="auto"/>
        <w:ind w:firstLine="708"/>
        <w:jc w:val="both"/>
        <w:rPr>
          <w:lang w:val="uk-UA"/>
        </w:rPr>
      </w:pPr>
      <w:r w:rsidRPr="001416ED">
        <w:rPr>
          <w:lang w:val="en-US"/>
        </w:rPr>
        <w:t>P/n/</w:t>
      </w:r>
      <w:r w:rsidRPr="001416ED">
        <w:rPr>
          <w:lang w:val="uk-UA"/>
        </w:rPr>
        <w:t xml:space="preserve"> - навантаження на </w:t>
      </w:r>
      <w:r w:rsidRPr="001416ED">
        <w:rPr>
          <w:lang w:val="en-US"/>
        </w:rPr>
        <w:t>n</w:t>
      </w:r>
      <w:r w:rsidRPr="001416ED">
        <w:rPr>
          <w:lang w:val="uk-UA"/>
        </w:rPr>
        <w:t>-ій сходинці;</w:t>
      </w:r>
    </w:p>
    <w:p w:rsidR="00385FD4" w:rsidRPr="001416ED" w:rsidRDefault="00385FD4" w:rsidP="00DC3F79">
      <w:pPr>
        <w:spacing w:line="360" w:lineRule="auto"/>
        <w:ind w:firstLine="708"/>
        <w:jc w:val="both"/>
        <w:rPr>
          <w:lang w:val="uk-UA"/>
        </w:rPr>
      </w:pPr>
      <w:r w:rsidRPr="001416ED">
        <w:rPr>
          <w:lang w:val="uk-UA"/>
        </w:rPr>
        <w:t>ПН – приріст навантаження;</w:t>
      </w:r>
    </w:p>
    <w:p w:rsidR="00385FD4" w:rsidRPr="001416ED" w:rsidRDefault="00012C09" w:rsidP="00DC3F79">
      <w:pPr>
        <w:spacing w:line="360" w:lineRule="auto"/>
        <w:ind w:firstLine="708"/>
        <w:jc w:val="both"/>
        <w:rPr>
          <w:lang w:val="uk-UA"/>
        </w:rPr>
      </w:pPr>
      <w:r w:rsidRPr="001416ED">
        <w:rPr>
          <w:lang w:val="en-US"/>
        </w:rPr>
        <w:t>n</w:t>
      </w:r>
      <w:r w:rsidR="00385FD4" w:rsidRPr="001416ED">
        <w:rPr>
          <w:lang w:val="uk-UA"/>
        </w:rPr>
        <w:t xml:space="preserve"> – номер сходинки.</w:t>
      </w:r>
    </w:p>
    <w:p w:rsidR="00B2771D" w:rsidRPr="001416ED" w:rsidRDefault="00385FD4" w:rsidP="00DC3F79">
      <w:pPr>
        <w:spacing w:line="360" w:lineRule="auto"/>
        <w:ind w:firstLine="708"/>
        <w:jc w:val="both"/>
        <w:rPr>
          <w:lang w:val="uk-UA"/>
        </w:rPr>
      </w:pPr>
      <w:r w:rsidRPr="001416ED">
        <w:rPr>
          <w:lang w:val="uk-UA"/>
        </w:rPr>
        <w:lastRenderedPageBreak/>
        <w:t>Початкова установка методики: ч</w:t>
      </w:r>
      <w:r w:rsidR="00B2771D" w:rsidRPr="001416ED">
        <w:rPr>
          <w:lang w:val="uk-UA"/>
        </w:rPr>
        <w:t>исло сходинок 7</w:t>
      </w:r>
      <w:r w:rsidRPr="001416ED">
        <w:rPr>
          <w:lang w:val="uk-UA"/>
        </w:rPr>
        <w:t xml:space="preserve"> (1-7)</w:t>
      </w:r>
      <w:r w:rsidR="00B2771D" w:rsidRPr="001416ED">
        <w:rPr>
          <w:lang w:val="uk-UA"/>
        </w:rPr>
        <w:t xml:space="preserve">, тривалість сходинки 3 хв., тривалість паузи 0 хв. Навантаження 1 сходинки 50 </w:t>
      </w:r>
      <w:r w:rsidRPr="001416ED">
        <w:rPr>
          <w:lang w:val="uk-UA"/>
        </w:rPr>
        <w:t>Вт.</w:t>
      </w:r>
    </w:p>
    <w:p w:rsidR="000C22C3" w:rsidRPr="001416ED" w:rsidRDefault="00012C09" w:rsidP="00DC3F79">
      <w:pPr>
        <w:spacing w:line="360" w:lineRule="auto"/>
        <w:ind w:firstLine="708"/>
        <w:jc w:val="both"/>
        <w:rPr>
          <w:lang w:val="uk-UA"/>
        </w:rPr>
      </w:pPr>
      <w:r w:rsidRPr="001416ED">
        <w:rPr>
          <w:lang w:val="uk-UA"/>
        </w:rPr>
        <w:t>Велоергометр «VKK - 12» забезпечував автоматизований контроль безпеки пацієнта по ЧСС, АТ, ЕКГ. При досягненні межових значень параметрів ЧСС, АТ, ЕКГ, виявленні неадекватних реакцій ССС, включався сигнал «Тривога».</w:t>
      </w:r>
      <w:r w:rsidR="000C22C3" w:rsidRPr="001416ED">
        <w:rPr>
          <w:lang w:val="uk-UA"/>
        </w:rPr>
        <w:t xml:space="preserve"> Контроль безпеки по ЧСС здійснювався за допомогою контрольних, субмаксимальних та межових значень ЧСС. Межові значення ЧСС визначались за формулою:</w:t>
      </w:r>
      <w:r w:rsidR="00FA2C36">
        <w:rPr>
          <w:lang w:val="uk-UA"/>
        </w:rPr>
        <w:t xml:space="preserve">  </w:t>
      </w:r>
      <w:r w:rsidR="000C22C3" w:rsidRPr="001416ED">
        <w:rPr>
          <w:lang w:val="uk-UA"/>
        </w:rPr>
        <w:t>Межова ЧСС = 220-вік.</w:t>
      </w:r>
    </w:p>
    <w:p w:rsidR="000C22C3" w:rsidRPr="001416ED" w:rsidRDefault="000C22C3" w:rsidP="00DC3F79">
      <w:pPr>
        <w:spacing w:line="360" w:lineRule="auto"/>
        <w:ind w:firstLine="708"/>
        <w:jc w:val="both"/>
        <w:rPr>
          <w:lang w:val="uk-UA"/>
        </w:rPr>
      </w:pPr>
      <w:r w:rsidRPr="001416ED">
        <w:rPr>
          <w:lang w:val="uk-UA"/>
        </w:rPr>
        <w:t xml:space="preserve">Контроль безпеки по ЕКГ включав зміщення або нахил сегменту </w:t>
      </w:r>
      <w:r w:rsidRPr="001416ED">
        <w:rPr>
          <w:lang w:val="en-US"/>
        </w:rPr>
        <w:t>ST</w:t>
      </w:r>
      <w:r w:rsidR="005B1DF3" w:rsidRPr="001416ED">
        <w:rPr>
          <w:lang w:val="uk-UA"/>
        </w:rPr>
        <w:t xml:space="preserve"> (</w:t>
      </w:r>
      <w:r w:rsidR="0015336B" w:rsidRPr="001416ED">
        <w:rPr>
          <w:lang w:val="uk-UA"/>
        </w:rPr>
        <w:t>позитивний, негативний або горизонтальний більш ніж на 0,2 мВ в будь-якому відведенні)</w:t>
      </w:r>
      <w:r w:rsidRPr="001416ED">
        <w:rPr>
          <w:lang w:val="en-US"/>
        </w:rPr>
        <w:t xml:space="preserve">, </w:t>
      </w:r>
      <w:r w:rsidRPr="001416ED">
        <w:rPr>
          <w:lang w:val="uk-UA"/>
        </w:rPr>
        <w:t>амплітуди зубц</w:t>
      </w:r>
      <w:r w:rsidR="005B1DF3" w:rsidRPr="001416ED">
        <w:rPr>
          <w:lang w:val="uk-UA"/>
        </w:rPr>
        <w:t>і</w:t>
      </w:r>
      <w:r w:rsidRPr="001416ED">
        <w:rPr>
          <w:lang w:val="uk-UA"/>
        </w:rPr>
        <w:t xml:space="preserve">в </w:t>
      </w:r>
      <w:r w:rsidRPr="001416ED">
        <w:rPr>
          <w:lang w:val="en-US"/>
        </w:rPr>
        <w:t>R</w:t>
      </w:r>
      <w:r w:rsidR="00C94FCB" w:rsidRPr="001416ED">
        <w:rPr>
          <w:lang w:val="uk-UA"/>
        </w:rPr>
        <w:t xml:space="preserve"> (зменшення амплітуди на 50% від вихідного рівня)</w:t>
      </w:r>
      <w:r w:rsidRPr="001416ED">
        <w:rPr>
          <w:lang w:val="uk-UA"/>
        </w:rPr>
        <w:t xml:space="preserve"> та</w:t>
      </w:r>
      <w:r w:rsidRPr="001416ED">
        <w:rPr>
          <w:lang w:val="en-US"/>
        </w:rPr>
        <w:t xml:space="preserve"> T</w:t>
      </w:r>
      <w:r w:rsidR="00C94FCB" w:rsidRPr="001416ED">
        <w:rPr>
          <w:lang w:val="uk-UA"/>
        </w:rPr>
        <w:t xml:space="preserve"> (зміна зубця Т на інверсний по відношенню до вихідного рівня в будь-якому відведенні та його амплітуда більше 0,15 мВ по абсолютній величині)</w:t>
      </w:r>
      <w:r w:rsidRPr="001416ED">
        <w:rPr>
          <w:lang w:val="uk-UA"/>
        </w:rPr>
        <w:t>, наявність екстрасистол</w:t>
      </w:r>
      <w:r w:rsidR="00C94FCB" w:rsidRPr="001416ED">
        <w:rPr>
          <w:lang w:val="uk-UA"/>
        </w:rPr>
        <w:t xml:space="preserve"> (частота перевищує 10 %)</w:t>
      </w:r>
      <w:r w:rsidRPr="001416ED">
        <w:rPr>
          <w:lang w:val="uk-UA"/>
        </w:rPr>
        <w:t>.</w:t>
      </w:r>
      <w:r w:rsidR="005B1DF3" w:rsidRPr="001416ED">
        <w:rPr>
          <w:lang w:val="uk-UA"/>
        </w:rPr>
        <w:t xml:space="preserve"> При появі даних ознак включався сигнал «Тривога».</w:t>
      </w:r>
      <w:r w:rsidR="00FA2C36">
        <w:rPr>
          <w:lang w:val="uk-UA"/>
        </w:rPr>
        <w:t xml:space="preserve"> </w:t>
      </w:r>
      <w:r w:rsidRPr="001416ED">
        <w:rPr>
          <w:lang w:val="uk-UA"/>
        </w:rPr>
        <w:t>Контроль безпеки по АТ проводився шляхом монітровування АТ. При досягненні значення 220/120</w:t>
      </w:r>
      <w:r w:rsidR="00C94FCB" w:rsidRPr="001416ED">
        <w:rPr>
          <w:lang w:val="uk-UA"/>
        </w:rPr>
        <w:t xml:space="preserve"> мм рт. ст.</w:t>
      </w:r>
      <w:r w:rsidRPr="001416ED">
        <w:rPr>
          <w:lang w:val="uk-UA"/>
        </w:rPr>
        <w:t>, або падінні САТ на 20 мм рт.ст. від вихідного при навантаженні, включався сигнал «Тривога».</w:t>
      </w:r>
    </w:p>
    <w:p w:rsidR="0012230C" w:rsidRPr="001416ED" w:rsidRDefault="0012230C" w:rsidP="00DC3F79">
      <w:pPr>
        <w:spacing w:line="360" w:lineRule="auto"/>
        <w:ind w:firstLine="708"/>
        <w:jc w:val="both"/>
        <w:rPr>
          <w:lang w:val="uk-UA"/>
        </w:rPr>
      </w:pPr>
      <w:r w:rsidRPr="001416ED">
        <w:rPr>
          <w:lang w:val="uk-UA"/>
        </w:rPr>
        <w:t>При появі болю за грудиною чи в області серця, втоми, задишки, комбінації симптоматики і включенні сигналу «Тривога»</w:t>
      </w:r>
      <w:r w:rsidR="005B1DF3" w:rsidRPr="001416ED">
        <w:rPr>
          <w:lang w:val="uk-UA"/>
        </w:rPr>
        <w:t xml:space="preserve"> або лише при включенні сигналу «Тривога» тест з</w:t>
      </w:r>
      <w:r w:rsidRPr="001416ED">
        <w:rPr>
          <w:lang w:val="uk-UA"/>
        </w:rPr>
        <w:t xml:space="preserve"> навантаже</w:t>
      </w:r>
      <w:r w:rsidR="00DF0D0C" w:rsidRPr="001416ED">
        <w:rPr>
          <w:lang w:val="uk-UA"/>
        </w:rPr>
        <w:t>нням розцінювався як позитивний і такі хворі не включались у дослідження.</w:t>
      </w:r>
    </w:p>
    <w:p w:rsidR="00AF71B5" w:rsidRPr="001416ED" w:rsidRDefault="00AF71B5" w:rsidP="004F7346">
      <w:pPr>
        <w:spacing w:before="240" w:after="240" w:line="360" w:lineRule="auto"/>
        <w:ind w:firstLine="708"/>
        <w:rPr>
          <w:b/>
          <w:bCs/>
        </w:rPr>
      </w:pPr>
      <w:r w:rsidRPr="001416ED">
        <w:rPr>
          <w:b/>
          <w:lang w:val="uk-UA"/>
        </w:rPr>
        <w:t>2.2.</w:t>
      </w:r>
      <w:r w:rsidR="00D167DB" w:rsidRPr="001416ED">
        <w:rPr>
          <w:b/>
          <w:lang w:val="uk-UA"/>
        </w:rPr>
        <w:t>9</w:t>
      </w:r>
      <w:r w:rsidRPr="001416ED">
        <w:rPr>
          <w:b/>
          <w:lang w:val="uk-UA"/>
        </w:rPr>
        <w:t xml:space="preserve">. </w:t>
      </w:r>
      <w:r w:rsidRPr="001416ED">
        <w:rPr>
          <w:b/>
        </w:rPr>
        <w:t>Методика дерматогліфічного обстеження пальців обох кистей</w:t>
      </w:r>
    </w:p>
    <w:p w:rsidR="004F7346" w:rsidRPr="001416ED" w:rsidRDefault="004F7346" w:rsidP="004F7346">
      <w:pPr>
        <w:spacing w:before="240" w:line="360" w:lineRule="auto"/>
        <w:ind w:firstLine="709"/>
        <w:jc w:val="both"/>
        <w:rPr>
          <w:lang w:val="uk-UA"/>
        </w:rPr>
      </w:pPr>
      <w:r w:rsidRPr="001416ED">
        <w:rPr>
          <w:lang w:val="uk-UA"/>
        </w:rPr>
        <w:t>Усім пацієнтам, які увійшли до контрольної групи дослідження та пацієнтам з ГХ проводили дерматогліфічне обстеження пальців обох кистей за допомогою сучасного</w:t>
      </w:r>
      <w:r w:rsidR="00FC41E6" w:rsidRPr="001416ED">
        <w:t xml:space="preserve"> портативн</w:t>
      </w:r>
      <w:r w:rsidR="00FC41E6" w:rsidRPr="001416ED">
        <w:rPr>
          <w:lang w:val="uk-UA"/>
        </w:rPr>
        <w:t>ого</w:t>
      </w:r>
      <w:r w:rsidRPr="001416ED">
        <w:rPr>
          <w:lang w:val="uk-UA"/>
        </w:rPr>
        <w:t xml:space="preserve"> прокатного сканера Futronic FS50. За допомогою скануючої області пристрою – 40,64 x 38,10 мм</w:t>
      </w:r>
      <w:r w:rsidR="00FC41E6" w:rsidRPr="001416ED">
        <w:rPr>
          <w:lang w:val="uk-UA"/>
        </w:rPr>
        <w:t>,</w:t>
      </w:r>
      <w:r w:rsidRPr="001416ED">
        <w:rPr>
          <w:lang w:val="uk-UA"/>
        </w:rPr>
        <w:t xml:space="preserve"> дерматогліфічні малюнки </w:t>
      </w:r>
      <w:r w:rsidR="00FC41E6" w:rsidRPr="001416ED">
        <w:rPr>
          <w:lang w:val="uk-UA"/>
        </w:rPr>
        <w:t>зчитували в режимі прокату, що дало</w:t>
      </w:r>
      <w:r w:rsidRPr="001416ED">
        <w:rPr>
          <w:lang w:val="uk-UA"/>
        </w:rPr>
        <w:t xml:space="preserve"> змогу </w:t>
      </w:r>
      <w:r w:rsidR="00FC41E6" w:rsidRPr="001416ED">
        <w:rPr>
          <w:lang w:val="uk-UA"/>
        </w:rPr>
        <w:t>отримати точне графічне зображення відбитка кожного пальця з усіма його топографічн</w:t>
      </w:r>
      <w:r w:rsidR="008935B6" w:rsidRPr="001416ED">
        <w:rPr>
          <w:lang w:val="uk-UA"/>
        </w:rPr>
        <w:t>и</w:t>
      </w:r>
      <w:r w:rsidR="00FC41E6" w:rsidRPr="001416ED">
        <w:rPr>
          <w:lang w:val="uk-UA"/>
        </w:rPr>
        <w:t xml:space="preserve">ми зонами. </w:t>
      </w:r>
      <w:r w:rsidR="00FC41E6" w:rsidRPr="001416ED">
        <w:rPr>
          <w:rStyle w:val="hps"/>
          <w:lang w:val="uk-UA"/>
        </w:rPr>
        <w:t>Його</w:t>
      </w:r>
      <w:r w:rsidR="00FC41E6" w:rsidRPr="001416ED">
        <w:rPr>
          <w:lang w:val="uk-UA"/>
        </w:rPr>
        <w:t xml:space="preserve"> </w:t>
      </w:r>
      <w:r w:rsidR="00FC41E6" w:rsidRPr="001416ED">
        <w:rPr>
          <w:rStyle w:val="hps"/>
          <w:lang w:val="uk-UA"/>
        </w:rPr>
        <w:lastRenderedPageBreak/>
        <w:t>вдосконалена</w:t>
      </w:r>
      <w:r w:rsidR="00FC41E6" w:rsidRPr="001416ED">
        <w:rPr>
          <w:lang w:val="uk-UA"/>
        </w:rPr>
        <w:t xml:space="preserve"> </w:t>
      </w:r>
      <w:r w:rsidR="00FC41E6" w:rsidRPr="001416ED">
        <w:rPr>
          <w:rStyle w:val="hps"/>
          <w:lang w:val="uk-UA"/>
        </w:rPr>
        <w:t>оптична</w:t>
      </w:r>
      <w:r w:rsidR="00FC41E6" w:rsidRPr="001416ED">
        <w:rPr>
          <w:lang w:val="uk-UA"/>
        </w:rPr>
        <w:t xml:space="preserve"> </w:t>
      </w:r>
      <w:r w:rsidR="00FC41E6" w:rsidRPr="001416ED">
        <w:rPr>
          <w:rStyle w:val="hps"/>
          <w:lang w:val="uk-UA"/>
        </w:rPr>
        <w:t>система може</w:t>
      </w:r>
      <w:r w:rsidR="00FC41E6" w:rsidRPr="001416ED">
        <w:rPr>
          <w:lang w:val="uk-UA"/>
        </w:rPr>
        <w:t xml:space="preserve"> </w:t>
      </w:r>
      <w:r w:rsidR="00FC41E6" w:rsidRPr="001416ED">
        <w:rPr>
          <w:rStyle w:val="hps"/>
          <w:lang w:val="uk-UA"/>
        </w:rPr>
        <w:t>захопити</w:t>
      </w:r>
      <w:r w:rsidR="00FC41E6" w:rsidRPr="001416ED">
        <w:rPr>
          <w:lang w:val="uk-UA"/>
        </w:rPr>
        <w:t xml:space="preserve"> </w:t>
      </w:r>
      <w:r w:rsidR="00FC41E6" w:rsidRPr="001416ED">
        <w:rPr>
          <w:rStyle w:val="hps"/>
          <w:lang w:val="uk-UA"/>
        </w:rPr>
        <w:t>800 х</w:t>
      </w:r>
      <w:r w:rsidR="00FC41E6" w:rsidRPr="001416ED">
        <w:rPr>
          <w:lang w:val="uk-UA"/>
        </w:rPr>
        <w:t xml:space="preserve"> </w:t>
      </w:r>
      <w:r w:rsidR="00FC41E6" w:rsidRPr="001416ED">
        <w:rPr>
          <w:rStyle w:val="hps"/>
          <w:lang w:val="uk-UA"/>
        </w:rPr>
        <w:t>750 пікселів</w:t>
      </w:r>
      <w:r w:rsidR="00FC41E6" w:rsidRPr="001416ED">
        <w:rPr>
          <w:lang w:val="uk-UA"/>
        </w:rPr>
        <w:t xml:space="preserve"> </w:t>
      </w:r>
      <w:r w:rsidR="00FC41E6" w:rsidRPr="001416ED">
        <w:rPr>
          <w:rStyle w:val="hps"/>
          <w:lang w:val="uk-UA"/>
        </w:rPr>
        <w:t>і 500</w:t>
      </w:r>
      <w:r w:rsidR="00FC41E6" w:rsidRPr="001416ED">
        <w:rPr>
          <w:lang w:val="uk-UA"/>
        </w:rPr>
        <w:t xml:space="preserve"> </w:t>
      </w:r>
      <w:r w:rsidR="00FC41E6" w:rsidRPr="001416ED">
        <w:rPr>
          <w:rStyle w:val="hps"/>
          <w:lang w:val="uk-UA"/>
        </w:rPr>
        <w:t>точок на</w:t>
      </w:r>
      <w:r w:rsidR="00FC41E6" w:rsidRPr="001416ED">
        <w:rPr>
          <w:lang w:val="uk-UA"/>
        </w:rPr>
        <w:t xml:space="preserve"> </w:t>
      </w:r>
      <w:r w:rsidR="00FC41E6" w:rsidRPr="001416ED">
        <w:rPr>
          <w:rStyle w:val="hps"/>
          <w:lang w:val="uk-UA"/>
        </w:rPr>
        <w:t>дюйм</w:t>
      </w:r>
      <w:r w:rsidR="00FC41E6" w:rsidRPr="001416ED">
        <w:rPr>
          <w:lang w:val="uk-UA"/>
        </w:rPr>
        <w:t xml:space="preserve"> </w:t>
      </w:r>
      <w:r w:rsidR="00FC41E6" w:rsidRPr="001416ED">
        <w:rPr>
          <w:rStyle w:val="hps"/>
          <w:lang w:val="uk-UA"/>
        </w:rPr>
        <w:t>зображення</w:t>
      </w:r>
      <w:r w:rsidR="00FC41E6" w:rsidRPr="001416ED">
        <w:rPr>
          <w:lang w:val="uk-UA"/>
        </w:rPr>
        <w:t xml:space="preserve"> </w:t>
      </w:r>
      <w:r w:rsidR="00FC41E6" w:rsidRPr="001416ED">
        <w:rPr>
          <w:rStyle w:val="hps"/>
          <w:lang w:val="uk-UA"/>
        </w:rPr>
        <w:t>за 0,1</w:t>
      </w:r>
      <w:r w:rsidR="00FC41E6" w:rsidRPr="001416ED">
        <w:rPr>
          <w:lang w:val="uk-UA"/>
        </w:rPr>
        <w:t xml:space="preserve"> </w:t>
      </w:r>
      <w:r w:rsidR="00FC41E6" w:rsidRPr="001416ED">
        <w:rPr>
          <w:rStyle w:val="hps"/>
          <w:lang w:val="uk-UA"/>
        </w:rPr>
        <w:t>секунду</w:t>
      </w:r>
      <w:r w:rsidR="00FC41E6" w:rsidRPr="001416ED">
        <w:rPr>
          <w:lang w:val="uk-UA"/>
        </w:rPr>
        <w:t>.</w:t>
      </w:r>
    </w:p>
    <w:p w:rsidR="00FC41E6" w:rsidRPr="001416ED" w:rsidRDefault="00FC41E6" w:rsidP="00FC41E6">
      <w:pPr>
        <w:pStyle w:val="210"/>
        <w:spacing w:line="360" w:lineRule="auto"/>
        <w:ind w:right="-187" w:firstLine="709"/>
        <w:rPr>
          <w:sz w:val="28"/>
          <w:szCs w:val="28"/>
          <w:lang w:val="uk-UA"/>
        </w:rPr>
      </w:pPr>
      <w:r w:rsidRPr="001416ED">
        <w:rPr>
          <w:sz w:val="28"/>
          <w:szCs w:val="28"/>
        </w:rPr>
        <w:t>Трактування і розшифровка дерматогліфічних візерунків проводил</w:t>
      </w:r>
      <w:r w:rsidR="00971AD2" w:rsidRPr="001416ED">
        <w:rPr>
          <w:sz w:val="28"/>
          <w:szCs w:val="28"/>
          <w:lang w:val="uk-UA"/>
        </w:rPr>
        <w:t>и</w:t>
      </w:r>
      <w:r w:rsidRPr="001416ED">
        <w:rPr>
          <w:sz w:val="28"/>
          <w:szCs w:val="28"/>
        </w:rPr>
        <w:t xml:space="preserve"> за методом Т.Д.</w:t>
      </w:r>
      <w:r w:rsidRPr="001416ED">
        <w:rPr>
          <w:sz w:val="28"/>
          <w:szCs w:val="28"/>
          <w:lang w:val="uk-UA"/>
        </w:rPr>
        <w:t xml:space="preserve"> </w:t>
      </w:r>
      <w:r w:rsidRPr="001416ED">
        <w:rPr>
          <w:sz w:val="28"/>
          <w:szCs w:val="28"/>
        </w:rPr>
        <w:t>Гладкової</w:t>
      </w:r>
      <w:r w:rsidRPr="001416ED">
        <w:rPr>
          <w:sz w:val="28"/>
          <w:szCs w:val="28"/>
          <w:lang w:val="uk-UA"/>
        </w:rPr>
        <w:t xml:space="preserve"> (1964).</w:t>
      </w:r>
      <w:r w:rsidRPr="001416ED">
        <w:t xml:space="preserve"> </w:t>
      </w:r>
      <w:r w:rsidRPr="001416ED">
        <w:rPr>
          <w:sz w:val="28"/>
          <w:szCs w:val="28"/>
        </w:rPr>
        <w:t>До кількісних дерма</w:t>
      </w:r>
      <w:r w:rsidR="005E7992" w:rsidRPr="001416ED">
        <w:rPr>
          <w:sz w:val="28"/>
          <w:szCs w:val="28"/>
        </w:rPr>
        <w:t xml:space="preserve">тогліфічних ознак відносили </w:t>
      </w:r>
      <w:r w:rsidR="005E7992" w:rsidRPr="001416ED">
        <w:rPr>
          <w:sz w:val="28"/>
          <w:szCs w:val="28"/>
          <w:lang w:val="uk-UA"/>
        </w:rPr>
        <w:t>ГР</w:t>
      </w:r>
      <w:r w:rsidRPr="001416ED">
        <w:rPr>
          <w:lang w:val="uk-UA"/>
        </w:rPr>
        <w:t xml:space="preserve"> </w:t>
      </w:r>
      <w:r w:rsidRPr="001416ED">
        <w:rPr>
          <w:sz w:val="28"/>
          <w:szCs w:val="28"/>
        </w:rPr>
        <w:t>– число шкіряних греб</w:t>
      </w:r>
      <w:r w:rsidR="007123D6" w:rsidRPr="001416ED">
        <w:rPr>
          <w:sz w:val="28"/>
          <w:szCs w:val="28"/>
          <w:lang w:val="uk-UA"/>
        </w:rPr>
        <w:t>інців</w:t>
      </w:r>
      <w:r w:rsidRPr="001416ED">
        <w:rPr>
          <w:sz w:val="28"/>
          <w:szCs w:val="28"/>
        </w:rPr>
        <w:t xml:space="preserve"> пальця від дельти до центра узора.</w:t>
      </w:r>
      <w:r w:rsidRPr="001416ED">
        <w:t xml:space="preserve"> </w:t>
      </w:r>
      <w:r w:rsidRPr="001416ED">
        <w:rPr>
          <w:sz w:val="28"/>
          <w:szCs w:val="28"/>
        </w:rPr>
        <w:t>За допомогою ліні</w:t>
      </w:r>
      <w:r w:rsidRPr="001416ED">
        <w:rPr>
          <w:sz w:val="28"/>
          <w:szCs w:val="28"/>
          <w:lang w:val="uk-UA"/>
        </w:rPr>
        <w:t>ї</w:t>
      </w:r>
      <w:r w:rsidRPr="001416ED">
        <w:rPr>
          <w:sz w:val="28"/>
          <w:szCs w:val="28"/>
        </w:rPr>
        <w:t xml:space="preserve"> з’єднується центр пальцьового узора з одним із трирадіусів, і підраховується кількість греб</w:t>
      </w:r>
      <w:r w:rsidR="007123D6" w:rsidRPr="001416ED">
        <w:rPr>
          <w:sz w:val="28"/>
          <w:szCs w:val="28"/>
          <w:lang w:val="uk-UA"/>
        </w:rPr>
        <w:t>інців</w:t>
      </w:r>
      <w:r w:rsidRPr="001416ED">
        <w:rPr>
          <w:sz w:val="28"/>
          <w:szCs w:val="28"/>
        </w:rPr>
        <w:t>, відрізків, точок, які торкаються цієї лінії. В підрахунок не входять ні центр узора, ні сама дельта. Так як дуги не мають трирадіусів, то при їх підрахунку кількість греб</w:t>
      </w:r>
      <w:r w:rsidR="007123D6" w:rsidRPr="001416ED">
        <w:rPr>
          <w:sz w:val="28"/>
          <w:szCs w:val="28"/>
          <w:lang w:val="uk-UA"/>
        </w:rPr>
        <w:t>інців</w:t>
      </w:r>
      <w:r w:rsidRPr="001416ED">
        <w:rPr>
          <w:sz w:val="28"/>
          <w:szCs w:val="28"/>
        </w:rPr>
        <w:t xml:space="preserve"> позначається як 0. В завитку греб</w:t>
      </w:r>
      <w:r w:rsidR="007123D6" w:rsidRPr="001416ED">
        <w:rPr>
          <w:sz w:val="28"/>
          <w:szCs w:val="28"/>
          <w:lang w:val="uk-UA"/>
        </w:rPr>
        <w:t>інці</w:t>
      </w:r>
      <w:r w:rsidRPr="001416ED">
        <w:rPr>
          <w:sz w:val="28"/>
          <w:szCs w:val="28"/>
        </w:rPr>
        <w:t xml:space="preserve"> підраховували з того боку, де їх більше, оскільки центр завитка може бути зміщеним. </w:t>
      </w:r>
      <w:r w:rsidR="006A2A37" w:rsidRPr="001416ED">
        <w:rPr>
          <w:sz w:val="28"/>
          <w:szCs w:val="28"/>
          <w:lang w:val="be-BY"/>
        </w:rPr>
        <w:t xml:space="preserve">Вивчався </w:t>
      </w:r>
      <w:r w:rsidR="005E7992" w:rsidRPr="001416ED">
        <w:rPr>
          <w:sz w:val="28"/>
          <w:szCs w:val="28"/>
          <w:lang w:val="be-BY"/>
        </w:rPr>
        <w:t xml:space="preserve">ЗГР – ГР </w:t>
      </w:r>
      <w:r w:rsidR="007123D6" w:rsidRPr="001416ED">
        <w:rPr>
          <w:sz w:val="28"/>
          <w:szCs w:val="28"/>
          <w:lang w:val="be-BY"/>
        </w:rPr>
        <w:t xml:space="preserve">для 5 пальців однієї </w:t>
      </w:r>
      <w:r w:rsidR="00E83156" w:rsidRPr="001416ED">
        <w:rPr>
          <w:sz w:val="28"/>
          <w:szCs w:val="28"/>
          <w:lang w:val="be-BY"/>
        </w:rPr>
        <w:t>кисті</w:t>
      </w:r>
      <w:r w:rsidR="007123D6" w:rsidRPr="001416ED">
        <w:rPr>
          <w:sz w:val="28"/>
          <w:szCs w:val="28"/>
          <w:lang w:val="be-BY"/>
        </w:rPr>
        <w:t xml:space="preserve"> та</w:t>
      </w:r>
      <w:r w:rsidR="006A2A37" w:rsidRPr="001416ED">
        <w:rPr>
          <w:sz w:val="28"/>
          <w:szCs w:val="28"/>
          <w:lang w:val="be-BY"/>
        </w:rPr>
        <w:t xml:space="preserve"> </w:t>
      </w:r>
      <w:r w:rsidR="005E7992" w:rsidRPr="001416ED">
        <w:rPr>
          <w:sz w:val="28"/>
          <w:szCs w:val="28"/>
          <w:lang w:val="be-BY"/>
        </w:rPr>
        <w:t>СГР</w:t>
      </w:r>
      <w:r w:rsidR="007123D6" w:rsidRPr="001416ED">
        <w:rPr>
          <w:sz w:val="28"/>
          <w:szCs w:val="28"/>
        </w:rPr>
        <w:t xml:space="preserve"> </w:t>
      </w:r>
      <w:r w:rsidR="006A2A37" w:rsidRPr="001416ED">
        <w:rPr>
          <w:sz w:val="28"/>
          <w:szCs w:val="28"/>
          <w:lang w:val="be-BY"/>
        </w:rPr>
        <w:t xml:space="preserve">обох </w:t>
      </w:r>
      <w:r w:rsidR="00E83156" w:rsidRPr="001416ED">
        <w:rPr>
          <w:sz w:val="28"/>
          <w:szCs w:val="28"/>
          <w:lang w:val="be-BY"/>
        </w:rPr>
        <w:t>кистей</w:t>
      </w:r>
      <w:r w:rsidR="006A2A37" w:rsidRPr="001416ED">
        <w:rPr>
          <w:sz w:val="28"/>
          <w:szCs w:val="28"/>
          <w:lang w:val="be-BY"/>
        </w:rPr>
        <w:t xml:space="preserve">, який складається із суми </w:t>
      </w:r>
      <w:r w:rsidR="005E7992" w:rsidRPr="001416ED">
        <w:rPr>
          <w:sz w:val="28"/>
          <w:szCs w:val="28"/>
          <w:lang w:val="be-BY"/>
        </w:rPr>
        <w:t>ГР</w:t>
      </w:r>
      <w:r w:rsidR="007123D6" w:rsidRPr="001416ED">
        <w:rPr>
          <w:sz w:val="28"/>
          <w:szCs w:val="28"/>
          <w:lang w:val="be-BY"/>
        </w:rPr>
        <w:t xml:space="preserve"> </w:t>
      </w:r>
      <w:r w:rsidR="00074114">
        <w:rPr>
          <w:sz w:val="28"/>
          <w:szCs w:val="28"/>
          <w:lang w:val="be-BY"/>
        </w:rPr>
        <w:t>ПК і ЛК</w:t>
      </w:r>
      <w:r w:rsidR="007123D6" w:rsidRPr="001416ED">
        <w:rPr>
          <w:sz w:val="28"/>
          <w:szCs w:val="28"/>
          <w:lang w:val="be-BY"/>
        </w:rPr>
        <w:t xml:space="preserve">. </w:t>
      </w:r>
      <w:r w:rsidR="009C3298" w:rsidRPr="001416ED">
        <w:rPr>
          <w:sz w:val="28"/>
          <w:szCs w:val="28"/>
        </w:rPr>
        <w:t>Місце чи точка, де сходяться три системи ліній, які направлені один до одного під кутом 120</w:t>
      </w:r>
      <w:r w:rsidR="009C3298" w:rsidRPr="001416ED">
        <w:rPr>
          <w:sz w:val="28"/>
          <w:szCs w:val="28"/>
        </w:rPr>
        <w:sym w:font="Symbol" w:char="F0B0"/>
      </w:r>
      <w:r w:rsidR="009C3298" w:rsidRPr="001416ED">
        <w:rPr>
          <w:sz w:val="28"/>
          <w:szCs w:val="28"/>
        </w:rPr>
        <w:t xml:space="preserve">, називається трирадіусом. </w:t>
      </w:r>
      <w:r w:rsidR="009C3298" w:rsidRPr="001416ED">
        <w:rPr>
          <w:sz w:val="28"/>
          <w:szCs w:val="28"/>
          <w:lang w:val="uk-UA"/>
        </w:rPr>
        <w:t>Д</w:t>
      </w:r>
      <w:r w:rsidR="009C3298" w:rsidRPr="001416ED">
        <w:rPr>
          <w:sz w:val="28"/>
          <w:szCs w:val="28"/>
        </w:rPr>
        <w:t xml:space="preserve">уга не має трирадіуса, який характерний для інших узорів. </w:t>
      </w:r>
      <w:proofErr w:type="gramStart"/>
      <w:r w:rsidR="009C3298" w:rsidRPr="001416ED">
        <w:rPr>
          <w:sz w:val="28"/>
          <w:szCs w:val="28"/>
        </w:rPr>
        <w:t>З</w:t>
      </w:r>
      <w:proofErr w:type="gramEnd"/>
      <w:r w:rsidR="009C3298" w:rsidRPr="001416ED">
        <w:rPr>
          <w:sz w:val="28"/>
          <w:szCs w:val="28"/>
        </w:rPr>
        <w:t xml:space="preserve"> якісних ознак </w:t>
      </w:r>
      <w:r w:rsidR="009C3298" w:rsidRPr="001416ED">
        <w:rPr>
          <w:sz w:val="28"/>
          <w:szCs w:val="28"/>
          <w:lang w:val="uk-UA"/>
        </w:rPr>
        <w:t>пальцьової</w:t>
      </w:r>
      <w:r w:rsidR="009C3298" w:rsidRPr="001416ED">
        <w:rPr>
          <w:sz w:val="28"/>
          <w:szCs w:val="28"/>
        </w:rPr>
        <w:t xml:space="preserve"> дерматогліфіки досліджувались слідуючі дактилоскопічні узори: А </w:t>
      </w:r>
      <w:r w:rsidR="00BC0119" w:rsidRPr="001416ED">
        <w:rPr>
          <w:sz w:val="28"/>
          <w:szCs w:val="28"/>
        </w:rPr>
        <w:t>–</w:t>
      </w:r>
      <w:r w:rsidR="009C3298" w:rsidRPr="001416ED">
        <w:rPr>
          <w:sz w:val="28"/>
          <w:szCs w:val="28"/>
        </w:rPr>
        <w:t xml:space="preserve"> дуга, </w:t>
      </w:r>
      <w:r w:rsidR="00074114">
        <w:rPr>
          <w:sz w:val="28"/>
          <w:szCs w:val="28"/>
          <w:lang w:val="en-US"/>
        </w:rPr>
        <w:t>U</w:t>
      </w:r>
      <w:r w:rsidR="009C3298" w:rsidRPr="001416ED">
        <w:rPr>
          <w:sz w:val="28"/>
          <w:szCs w:val="28"/>
        </w:rPr>
        <w:t xml:space="preserve"> </w:t>
      </w:r>
      <w:r w:rsidR="00BC0119" w:rsidRPr="001416ED">
        <w:rPr>
          <w:sz w:val="28"/>
          <w:szCs w:val="28"/>
        </w:rPr>
        <w:t>–</w:t>
      </w:r>
      <w:r w:rsidR="009C3298" w:rsidRPr="001416ED">
        <w:rPr>
          <w:sz w:val="28"/>
          <w:szCs w:val="28"/>
        </w:rPr>
        <w:t xml:space="preserve"> ульнарна петля, </w:t>
      </w:r>
      <w:r w:rsidR="00074114">
        <w:rPr>
          <w:sz w:val="28"/>
          <w:szCs w:val="28"/>
          <w:lang w:val="en-US"/>
        </w:rPr>
        <w:t>R</w:t>
      </w:r>
      <w:r w:rsidR="009C3298" w:rsidRPr="001416ED">
        <w:rPr>
          <w:sz w:val="28"/>
          <w:szCs w:val="28"/>
        </w:rPr>
        <w:t xml:space="preserve"> </w:t>
      </w:r>
      <w:r w:rsidR="00BC0119" w:rsidRPr="001416ED">
        <w:rPr>
          <w:sz w:val="28"/>
          <w:szCs w:val="28"/>
        </w:rPr>
        <w:t>–</w:t>
      </w:r>
      <w:r w:rsidR="009C3298" w:rsidRPr="001416ED">
        <w:rPr>
          <w:sz w:val="28"/>
          <w:szCs w:val="28"/>
        </w:rPr>
        <w:t xml:space="preserve"> радіальная пет</w:t>
      </w:r>
      <w:r w:rsidR="009C3298" w:rsidRPr="001416ED">
        <w:rPr>
          <w:spacing w:val="-10"/>
          <w:sz w:val="28"/>
          <w:szCs w:val="28"/>
        </w:rPr>
        <w:t xml:space="preserve">ля, W </w:t>
      </w:r>
      <w:r w:rsidR="00BC0119" w:rsidRPr="001416ED">
        <w:rPr>
          <w:spacing w:val="-10"/>
          <w:sz w:val="28"/>
          <w:szCs w:val="28"/>
        </w:rPr>
        <w:t>–</w:t>
      </w:r>
      <w:r w:rsidR="009C3298" w:rsidRPr="001416ED">
        <w:rPr>
          <w:spacing w:val="-10"/>
          <w:sz w:val="28"/>
          <w:szCs w:val="28"/>
        </w:rPr>
        <w:t xml:space="preserve"> завиток, які зустрічаються на пальцях з певною частотою і можуть, в певній мі</w:t>
      </w:r>
      <w:proofErr w:type="gramStart"/>
      <w:r w:rsidR="009C3298" w:rsidRPr="001416ED">
        <w:rPr>
          <w:spacing w:val="-10"/>
          <w:sz w:val="28"/>
          <w:szCs w:val="28"/>
        </w:rPr>
        <w:t>р</w:t>
      </w:r>
      <w:proofErr w:type="gramEnd"/>
      <w:r w:rsidR="009C3298" w:rsidRPr="001416ED">
        <w:rPr>
          <w:spacing w:val="-10"/>
          <w:sz w:val="28"/>
          <w:szCs w:val="28"/>
        </w:rPr>
        <w:t>і, характеризувати дерматогліфічну картину популяції</w:t>
      </w:r>
      <w:r w:rsidR="00460A2A" w:rsidRPr="001416ED">
        <w:rPr>
          <w:spacing w:val="-10"/>
          <w:sz w:val="28"/>
          <w:szCs w:val="28"/>
        </w:rPr>
        <w:t xml:space="preserve"> [1</w:t>
      </w:r>
      <w:r w:rsidR="0060120A" w:rsidRPr="001416ED">
        <w:rPr>
          <w:spacing w:val="-10"/>
          <w:sz w:val="28"/>
          <w:szCs w:val="28"/>
          <w:lang w:val="uk-UA"/>
        </w:rPr>
        <w:t>7</w:t>
      </w:r>
      <w:r w:rsidR="00460A2A" w:rsidRPr="001416ED">
        <w:rPr>
          <w:spacing w:val="-10"/>
          <w:sz w:val="28"/>
          <w:szCs w:val="28"/>
        </w:rPr>
        <w:t>]</w:t>
      </w:r>
      <w:r w:rsidR="007123D6" w:rsidRPr="001416ED">
        <w:rPr>
          <w:spacing w:val="-10"/>
          <w:sz w:val="28"/>
          <w:szCs w:val="28"/>
          <w:lang w:val="uk-UA"/>
        </w:rPr>
        <w:t>.</w:t>
      </w:r>
    </w:p>
    <w:p w:rsidR="00052850" w:rsidRPr="001416ED" w:rsidRDefault="00A0215A" w:rsidP="00052850">
      <w:pPr>
        <w:spacing w:before="240" w:after="240" w:line="360" w:lineRule="auto"/>
        <w:ind w:firstLine="709"/>
        <w:jc w:val="both"/>
        <w:rPr>
          <w:b/>
          <w:bCs/>
          <w:lang w:val="uk-UA"/>
        </w:rPr>
      </w:pPr>
      <w:r w:rsidRPr="001416ED">
        <w:rPr>
          <w:b/>
          <w:lang w:val="uk-UA"/>
        </w:rPr>
        <w:t>2.2.</w:t>
      </w:r>
      <w:r w:rsidR="00145533" w:rsidRPr="001416ED">
        <w:rPr>
          <w:b/>
          <w:lang w:val="uk-UA"/>
        </w:rPr>
        <w:t>1</w:t>
      </w:r>
      <w:r w:rsidR="00232242">
        <w:rPr>
          <w:b/>
          <w:lang w:val="uk-UA"/>
        </w:rPr>
        <w:t>0</w:t>
      </w:r>
      <w:r w:rsidR="00145533" w:rsidRPr="001416ED">
        <w:rPr>
          <w:b/>
          <w:lang w:val="uk-UA"/>
        </w:rPr>
        <w:t>.</w:t>
      </w:r>
      <w:r w:rsidRPr="001416ED">
        <w:rPr>
          <w:b/>
          <w:lang w:val="uk-UA"/>
        </w:rPr>
        <w:t xml:space="preserve"> </w:t>
      </w:r>
      <w:r w:rsidRPr="001416ED">
        <w:rPr>
          <w:b/>
          <w:bCs/>
          <w:lang w:val="uk-UA"/>
        </w:rPr>
        <w:t>Методи математичної обробки результатів дослідження</w:t>
      </w:r>
    </w:p>
    <w:p w:rsidR="00052850" w:rsidRPr="001416ED" w:rsidRDefault="00052850" w:rsidP="00052850">
      <w:pPr>
        <w:spacing w:line="360" w:lineRule="auto"/>
        <w:ind w:firstLine="708"/>
        <w:jc w:val="both"/>
        <w:rPr>
          <w:lang w:val="uk-UA"/>
        </w:rPr>
      </w:pPr>
      <w:r w:rsidRPr="001416ED">
        <w:rPr>
          <w:lang w:val="uk-UA"/>
        </w:rPr>
        <w:t>Математична обробка результатів включала наступні методи:</w:t>
      </w:r>
    </w:p>
    <w:p w:rsidR="00052850" w:rsidRPr="001416ED" w:rsidRDefault="00052850" w:rsidP="00052850">
      <w:pPr>
        <w:spacing w:line="360" w:lineRule="auto"/>
        <w:ind w:firstLine="360"/>
        <w:jc w:val="both"/>
        <w:rPr>
          <w:lang w:val="uk-UA"/>
        </w:rPr>
      </w:pPr>
      <w:r w:rsidRPr="001416ED">
        <w:rPr>
          <w:lang w:val="uk-UA"/>
        </w:rPr>
        <w:t>1. Розрахунок первинних статистичних показників включає розрахунок середнього арифметичного (</w:t>
      </w:r>
      <w:r w:rsidRPr="001416ED">
        <w:rPr>
          <w:lang w:val="en-US"/>
        </w:rPr>
        <w:t>M</w:t>
      </w:r>
      <w:r w:rsidRPr="001416ED">
        <w:rPr>
          <w:lang w:val="uk-UA"/>
        </w:rPr>
        <w:t>), похибки середнього арифметичного значення (m), середньоквадратичного відхилення (σ) .</w:t>
      </w:r>
    </w:p>
    <w:p w:rsidR="00052850" w:rsidRPr="001416ED" w:rsidRDefault="00052850" w:rsidP="00052850">
      <w:pPr>
        <w:spacing w:line="360" w:lineRule="auto"/>
        <w:ind w:firstLine="360"/>
        <w:jc w:val="both"/>
        <w:rPr>
          <w:lang w:val="uk-UA"/>
        </w:rPr>
      </w:pPr>
      <w:r w:rsidRPr="001416ED">
        <w:rPr>
          <w:lang w:val="uk-UA"/>
        </w:rPr>
        <w:t xml:space="preserve">2. Порівняння середніх арифметичних двох вибірок, що розподілені за законом нормального розподілу, оцінювали за </w:t>
      </w:r>
      <w:r w:rsidRPr="001416ED">
        <w:rPr>
          <w:lang w:val="en-US"/>
        </w:rPr>
        <w:t>t</w:t>
      </w:r>
      <w:r w:rsidRPr="001416ED">
        <w:rPr>
          <w:lang w:val="uk-UA"/>
        </w:rPr>
        <w:t>–критерієм Стьюдента (</w:t>
      </w:r>
      <w:r w:rsidRPr="001416ED">
        <w:rPr>
          <w:lang w:val="en-US"/>
        </w:rPr>
        <w:t>t</w:t>
      </w:r>
      <w:r w:rsidRPr="001416ED">
        <w:rPr>
          <w:lang w:val="uk-UA"/>
        </w:rPr>
        <w:t xml:space="preserve">). Для вибірок, розподілення яких не відповідало закону нормального розподілу, відмінності оцінювали за критеріями </w:t>
      </w:r>
      <w:r w:rsidRPr="001416ED">
        <w:rPr>
          <w:lang w:val="en-US"/>
        </w:rPr>
        <w:t>U</w:t>
      </w:r>
      <w:r w:rsidRPr="001416ED">
        <w:rPr>
          <w:lang w:val="uk-UA"/>
        </w:rPr>
        <w:t xml:space="preserve"> –Манна</w:t>
      </w:r>
      <w:r w:rsidR="00BC0119" w:rsidRPr="001416ED">
        <w:rPr>
          <w:lang w:val="uk-UA"/>
        </w:rPr>
        <w:t>–</w:t>
      </w:r>
      <w:r w:rsidRPr="001416ED">
        <w:rPr>
          <w:lang w:val="uk-UA"/>
        </w:rPr>
        <w:t xml:space="preserve"> Уітні.</w:t>
      </w:r>
    </w:p>
    <w:p w:rsidR="00052850" w:rsidRPr="001416ED" w:rsidRDefault="00052850" w:rsidP="00052850">
      <w:pPr>
        <w:spacing w:line="360" w:lineRule="auto"/>
        <w:ind w:firstLine="360"/>
        <w:jc w:val="both"/>
        <w:rPr>
          <w:lang w:val="uk-UA"/>
        </w:rPr>
      </w:pPr>
      <w:r w:rsidRPr="001416ED">
        <w:rPr>
          <w:lang w:val="uk-UA"/>
        </w:rPr>
        <w:lastRenderedPageBreak/>
        <w:t>3. Оцінка взаємозв’язку між перемінними за допомогою параметричного (кореляція Пірсона) та непараметричного (кореляція Спірмена) кореляційного аналізу;</w:t>
      </w:r>
    </w:p>
    <w:p w:rsidR="00052850" w:rsidRPr="001416ED" w:rsidRDefault="00052850" w:rsidP="00052850">
      <w:pPr>
        <w:spacing w:line="360" w:lineRule="auto"/>
        <w:ind w:firstLine="360"/>
        <w:jc w:val="both"/>
        <w:rPr>
          <w:lang w:val="uk-UA"/>
        </w:rPr>
      </w:pPr>
      <w:r w:rsidRPr="001416ED">
        <w:rPr>
          <w:lang w:val="uk-UA"/>
        </w:rPr>
        <w:t xml:space="preserve">4. Аналіз таблиць спряженості для номінальних змінних за допомогою критерію </w:t>
      </w:r>
      <w:r w:rsidRPr="001416ED">
        <w:rPr>
          <w:lang w:val="uk-UA"/>
        </w:rPr>
        <w:sym w:font="Symbol" w:char="F063"/>
      </w:r>
      <w:r w:rsidRPr="001416ED">
        <w:rPr>
          <w:lang w:val="uk-UA"/>
        </w:rPr>
        <w:t>²</w:t>
      </w:r>
      <w:r w:rsidR="00BC0119" w:rsidRPr="001416ED">
        <w:rPr>
          <w:lang w:val="uk-UA"/>
        </w:rPr>
        <w:t>–</w:t>
      </w:r>
      <w:r w:rsidRPr="001416ED">
        <w:rPr>
          <w:lang w:val="uk-UA"/>
        </w:rPr>
        <w:t>Пірсона;</w:t>
      </w:r>
    </w:p>
    <w:p w:rsidR="00052850" w:rsidRPr="001416ED" w:rsidRDefault="00052850" w:rsidP="00052850">
      <w:pPr>
        <w:spacing w:line="360" w:lineRule="auto"/>
        <w:ind w:firstLine="360"/>
        <w:jc w:val="both"/>
        <w:rPr>
          <w:lang w:val="uk-UA"/>
        </w:rPr>
      </w:pPr>
      <w:r w:rsidRPr="001416ED">
        <w:rPr>
          <w:lang w:val="uk-UA"/>
        </w:rPr>
        <w:t xml:space="preserve">5. Множинний покроковий регресійний аналіз з використанням прямого покрокового </w:t>
      </w:r>
      <w:r w:rsidRPr="001416ED">
        <w:t>метод</w:t>
      </w:r>
      <w:r w:rsidRPr="001416ED">
        <w:rPr>
          <w:lang w:val="uk-UA"/>
        </w:rPr>
        <w:t>у.</w:t>
      </w:r>
    </w:p>
    <w:p w:rsidR="00052850" w:rsidRPr="001416ED" w:rsidRDefault="00052850" w:rsidP="00052850">
      <w:pPr>
        <w:spacing w:line="360" w:lineRule="auto"/>
        <w:ind w:firstLine="360"/>
        <w:jc w:val="both"/>
        <w:rPr>
          <w:lang w:val="uk-UA"/>
        </w:rPr>
      </w:pPr>
      <w:r w:rsidRPr="001416ED">
        <w:rPr>
          <w:lang w:val="uk-UA"/>
        </w:rPr>
        <w:t>6. Дисперсійний аналіз.</w:t>
      </w:r>
    </w:p>
    <w:p w:rsidR="00052850" w:rsidRPr="001416ED" w:rsidRDefault="00052850" w:rsidP="00052850">
      <w:pPr>
        <w:spacing w:line="360" w:lineRule="auto"/>
        <w:ind w:firstLine="360"/>
        <w:jc w:val="both"/>
        <w:rPr>
          <w:lang w:val="uk-UA"/>
        </w:rPr>
      </w:pPr>
      <w:r w:rsidRPr="001416ED">
        <w:rPr>
          <w:lang w:val="uk-UA"/>
        </w:rPr>
        <w:t>7. Дискримінантний аналіз.</w:t>
      </w:r>
    </w:p>
    <w:p w:rsidR="00052850" w:rsidRPr="001416ED" w:rsidRDefault="00052850" w:rsidP="00052850">
      <w:pPr>
        <w:spacing w:line="360" w:lineRule="auto"/>
        <w:ind w:firstLine="708"/>
        <w:jc w:val="both"/>
        <w:rPr>
          <w:lang w:val="uk-UA"/>
        </w:rPr>
      </w:pPr>
      <w:r w:rsidRPr="001416ED">
        <w:rPr>
          <w:lang w:val="uk-UA"/>
        </w:rPr>
        <w:t>При визначенні межового рівня та у ході проведення дискримінантного аналізу встановлюва</w:t>
      </w:r>
      <w:r w:rsidR="00074114">
        <w:t>ли</w:t>
      </w:r>
      <w:r w:rsidRPr="001416ED">
        <w:rPr>
          <w:lang w:val="uk-UA"/>
        </w:rPr>
        <w:t xml:space="preserve"> точність запропонованих методик. Під точністю методики розуміли сумарну частоту прийняття безпомилкових рішень: частоту віднесення істинно здорового до класу здорових та частоту віднесення істинно хворого до класу хворих.</w:t>
      </w:r>
    </w:p>
    <w:p w:rsidR="00052850" w:rsidRPr="001416ED" w:rsidRDefault="00052850" w:rsidP="00052850">
      <w:pPr>
        <w:tabs>
          <w:tab w:val="left" w:pos="1440"/>
        </w:tabs>
        <w:spacing w:line="360" w:lineRule="auto"/>
        <w:ind w:firstLine="720"/>
        <w:jc w:val="both"/>
      </w:pPr>
      <w:r w:rsidRPr="001416ED">
        <w:rPr>
          <w:lang w:eastAsia="zh-CN"/>
        </w:rPr>
        <w:t xml:space="preserve">Відповідність розподілу частот генотипів </w:t>
      </w:r>
      <w:r w:rsidRPr="001416ED">
        <w:rPr>
          <w:lang w:val="uk-UA" w:eastAsia="zh-CN"/>
        </w:rPr>
        <w:t>у</w:t>
      </w:r>
      <w:r w:rsidRPr="001416ED">
        <w:rPr>
          <w:lang w:eastAsia="zh-CN"/>
        </w:rPr>
        <w:t xml:space="preserve"> досліджуваних популяціях рівновазі Харді</w:t>
      </w:r>
      <w:r w:rsidR="00BC0119" w:rsidRPr="001416ED">
        <w:rPr>
          <w:lang w:eastAsia="zh-CN"/>
        </w:rPr>
        <w:t>–</w:t>
      </w:r>
      <w:r w:rsidRPr="001416ED">
        <w:rPr>
          <w:lang w:eastAsia="zh-CN"/>
        </w:rPr>
        <w:t>Вайнберга перевіряли за допомогою програмного калькулятора "Випадок</w:t>
      </w:r>
      <w:r w:rsidR="00BC0119" w:rsidRPr="001416ED">
        <w:rPr>
          <w:lang w:eastAsia="zh-CN"/>
        </w:rPr>
        <w:t>–</w:t>
      </w:r>
      <w:r w:rsidRPr="001416ED">
        <w:rPr>
          <w:lang w:eastAsia="zh-CN"/>
        </w:rPr>
        <w:t xml:space="preserve">контроль". </w:t>
      </w:r>
      <w:r w:rsidRPr="001416ED">
        <w:t>Відношення шансів (</w:t>
      </w:r>
      <w:r w:rsidRPr="001416ED">
        <w:rPr>
          <w:shd w:val="clear" w:color="auto" w:fill="FFFFFF"/>
        </w:rPr>
        <w:t>OR)</w:t>
      </w:r>
      <w:r w:rsidRPr="001416ED">
        <w:t xml:space="preserve"> розраховували за допомогою </w:t>
      </w:r>
      <w:r w:rsidRPr="001416ED">
        <w:rPr>
          <w:lang w:eastAsia="zh-CN"/>
        </w:rPr>
        <w:t>програмного</w:t>
      </w:r>
      <w:r w:rsidRPr="001416ED">
        <w:t xml:space="preserve"> калькулятора «Випадок</w:t>
      </w:r>
      <w:r w:rsidR="00BC0119" w:rsidRPr="001416ED">
        <w:t>–</w:t>
      </w:r>
      <w:r w:rsidRPr="001416ED">
        <w:t>контроль» (</w:t>
      </w:r>
      <w:hyperlink r:id="rId17" w:history="1">
        <w:r w:rsidRPr="001416ED">
          <w:rPr>
            <w:lang w:val="en-US"/>
          </w:rPr>
          <w:t>http</w:t>
        </w:r>
        <w:r w:rsidRPr="001416ED">
          <w:t>://</w:t>
        </w:r>
        <w:r w:rsidRPr="001416ED">
          <w:rPr>
            <w:lang w:val="en-US"/>
          </w:rPr>
          <w:t>gen</w:t>
        </w:r>
        <w:r w:rsidR="00BC0119" w:rsidRPr="001416ED">
          <w:t>–</w:t>
        </w:r>
        <w:r w:rsidRPr="001416ED">
          <w:rPr>
            <w:lang w:val="en-US"/>
          </w:rPr>
          <w:t>expert</w:t>
        </w:r>
        <w:r w:rsidRPr="001416ED">
          <w:t>.</w:t>
        </w:r>
        <w:r w:rsidRPr="001416ED">
          <w:rPr>
            <w:lang w:val="en-US"/>
          </w:rPr>
          <w:t>ru</w:t>
        </w:r>
        <w:r w:rsidRPr="001416ED">
          <w:t>/</w:t>
        </w:r>
        <w:r w:rsidRPr="001416ED">
          <w:rPr>
            <w:lang w:val="en-US"/>
          </w:rPr>
          <w:t>calculator</w:t>
        </w:r>
        <w:r w:rsidRPr="001416ED">
          <w:t>_</w:t>
        </w:r>
        <w:r w:rsidRPr="001416ED">
          <w:rPr>
            <w:lang w:val="en-US"/>
          </w:rPr>
          <w:t>or</w:t>
        </w:r>
        <w:r w:rsidRPr="001416ED">
          <w:t>.</w:t>
        </w:r>
        <w:r w:rsidRPr="001416ED">
          <w:rPr>
            <w:lang w:val="en-US"/>
          </w:rPr>
          <w:t>php</w:t>
        </w:r>
      </w:hyperlink>
      <w:r w:rsidRPr="001416ED">
        <w:t xml:space="preserve">). </w:t>
      </w:r>
      <w:r w:rsidRPr="001416ED">
        <w:rPr>
          <w:shd w:val="clear" w:color="auto" w:fill="FFFFFF"/>
        </w:rPr>
        <w:t>OR=1 розглядали як відсутність асоціації, OR&gt;1 – як позитивну асоціацію (підвищений ризик патології), OR&lt;1 – як негативну асоціацію (знижений ризик патології).</w:t>
      </w:r>
    </w:p>
    <w:p w:rsidR="00A0215A" w:rsidRPr="001416ED" w:rsidRDefault="00A0215A" w:rsidP="00A0215A">
      <w:pPr>
        <w:spacing w:line="360" w:lineRule="auto"/>
        <w:ind w:firstLine="708"/>
        <w:jc w:val="both"/>
      </w:pPr>
      <w:r w:rsidRPr="001416ED">
        <w:rPr>
          <w:lang w:val="uk-UA"/>
        </w:rPr>
        <w:t xml:space="preserve">При визначенні межових рівнів </w:t>
      </w:r>
      <w:r w:rsidR="0068004F" w:rsidRPr="001416ED">
        <w:rPr>
          <w:lang w:val="uk-UA"/>
        </w:rPr>
        <w:t>ЕТ</w:t>
      </w:r>
      <w:r w:rsidR="00BC0119" w:rsidRPr="001416ED">
        <w:rPr>
          <w:lang w:val="uk-UA"/>
        </w:rPr>
        <w:t>–</w:t>
      </w:r>
      <w:r w:rsidR="0068004F" w:rsidRPr="001416ED">
        <w:rPr>
          <w:lang w:val="uk-UA"/>
        </w:rPr>
        <w:t>1</w:t>
      </w:r>
      <w:r w:rsidRPr="001416ED">
        <w:rPr>
          <w:lang w:val="uk-UA"/>
        </w:rPr>
        <w:t xml:space="preserve"> та С</w:t>
      </w:r>
      <w:r w:rsidR="00BC0119" w:rsidRPr="001416ED">
        <w:rPr>
          <w:lang w:val="uk-UA"/>
        </w:rPr>
        <w:t>–</w:t>
      </w:r>
      <w:r w:rsidRPr="001416ED">
        <w:rPr>
          <w:lang w:val="uk-UA"/>
        </w:rPr>
        <w:t>натрійуретичн</w:t>
      </w:r>
      <w:r w:rsidR="0068004F" w:rsidRPr="001416ED">
        <w:rPr>
          <w:lang w:val="uk-UA"/>
        </w:rPr>
        <w:t>ого</w:t>
      </w:r>
      <w:r w:rsidRPr="001416ED">
        <w:rPr>
          <w:lang w:val="uk-UA"/>
        </w:rPr>
        <w:t xml:space="preserve"> пептидів у плазмі крові застосовували формулу, запропоновану М. Ю. Антомоновим</w:t>
      </w:r>
      <w:r w:rsidR="0068004F" w:rsidRPr="001416ED">
        <w:rPr>
          <w:lang w:val="uk-UA"/>
        </w:rPr>
        <w:t xml:space="preserve"> </w:t>
      </w:r>
      <w:r w:rsidR="0068004F" w:rsidRPr="001416ED">
        <w:rPr>
          <w:szCs w:val="24"/>
          <w:lang w:val="uk-UA"/>
        </w:rPr>
        <w:t>у співавторстві з В.</w:t>
      </w:r>
      <w:r w:rsidR="00074114">
        <w:rPr>
          <w:szCs w:val="24"/>
          <w:lang w:val="uk-UA"/>
        </w:rPr>
        <w:t xml:space="preserve"> </w:t>
      </w:r>
      <w:r w:rsidR="0068004F" w:rsidRPr="001416ED">
        <w:rPr>
          <w:szCs w:val="24"/>
          <w:lang w:val="uk-UA"/>
        </w:rPr>
        <w:t xml:space="preserve">М. </w:t>
      </w:r>
      <w:hyperlink r:id="rId18" w:tooltip="Жебель Вадим Миколайович" w:history="1">
        <w:r w:rsidR="0068004F" w:rsidRPr="001416ED">
          <w:rPr>
            <w:rStyle w:val="ad"/>
            <w:color w:val="auto"/>
            <w:szCs w:val="24"/>
            <w:u w:val="none"/>
            <w:lang w:val="uk-UA"/>
          </w:rPr>
          <w:t xml:space="preserve">Жебелем, </w:t>
        </w:r>
      </w:hyperlink>
      <w:r w:rsidR="0068004F" w:rsidRPr="001416ED">
        <w:rPr>
          <w:szCs w:val="24"/>
          <w:lang w:val="uk-UA"/>
        </w:rPr>
        <w:t>О.</w:t>
      </w:r>
      <w:r w:rsidR="00074114">
        <w:rPr>
          <w:szCs w:val="24"/>
          <w:lang w:val="uk-UA"/>
        </w:rPr>
        <w:t xml:space="preserve"> </w:t>
      </w:r>
      <w:r w:rsidR="0068004F" w:rsidRPr="001416ED">
        <w:rPr>
          <w:szCs w:val="24"/>
          <w:lang w:val="uk-UA"/>
        </w:rPr>
        <w:t xml:space="preserve">О. </w:t>
      </w:r>
      <w:hyperlink r:id="rId19" w:tooltip="Сакович Олена Олександрівна" w:history="1">
        <w:r w:rsidR="0068004F" w:rsidRPr="001416ED">
          <w:rPr>
            <w:rStyle w:val="ad"/>
            <w:color w:val="auto"/>
            <w:szCs w:val="24"/>
            <w:u w:val="none"/>
            <w:lang w:val="uk-UA"/>
          </w:rPr>
          <w:t>Сакович</w:t>
        </w:r>
      </w:hyperlink>
      <w:r w:rsidR="0068004F" w:rsidRPr="001416ED">
        <w:rPr>
          <w:szCs w:val="24"/>
          <w:lang w:val="uk-UA"/>
        </w:rPr>
        <w:t>,</w:t>
      </w:r>
      <w:r w:rsidR="0068004F" w:rsidRPr="001416ED">
        <w:rPr>
          <w:rStyle w:val="apple-converted-space"/>
          <w:szCs w:val="24"/>
        </w:rPr>
        <w:t> Г.</w:t>
      </w:r>
      <w:r w:rsidR="00074114">
        <w:rPr>
          <w:rStyle w:val="apple-converted-space"/>
          <w:szCs w:val="24"/>
          <w:lang w:val="uk-UA"/>
        </w:rPr>
        <w:t xml:space="preserve"> </w:t>
      </w:r>
      <w:r w:rsidR="0068004F" w:rsidRPr="001416ED">
        <w:rPr>
          <w:rStyle w:val="apple-converted-space"/>
          <w:szCs w:val="24"/>
        </w:rPr>
        <w:t xml:space="preserve">В. </w:t>
      </w:r>
      <w:hyperlink r:id="rId20" w:tooltip="Вільчинський Генріх Віталійович" w:history="1">
        <w:r w:rsidR="0068004F" w:rsidRPr="001416ED">
          <w:rPr>
            <w:rStyle w:val="ad"/>
            <w:color w:val="auto"/>
            <w:szCs w:val="24"/>
            <w:u w:val="none"/>
            <w:lang w:val="uk-UA"/>
          </w:rPr>
          <w:t>Вільчинським</w:t>
        </w:r>
      </w:hyperlink>
      <w:r w:rsidR="0068004F" w:rsidRPr="001416ED">
        <w:rPr>
          <w:szCs w:val="24"/>
          <w:lang w:val="uk-UA"/>
        </w:rPr>
        <w:t>, О.</w:t>
      </w:r>
      <w:r w:rsidR="00074114">
        <w:rPr>
          <w:szCs w:val="24"/>
          <w:lang w:val="uk-UA"/>
        </w:rPr>
        <w:t xml:space="preserve"> </w:t>
      </w:r>
      <w:r w:rsidR="0068004F" w:rsidRPr="001416ED">
        <w:rPr>
          <w:szCs w:val="24"/>
          <w:lang w:val="uk-UA"/>
        </w:rPr>
        <w:t xml:space="preserve">О. </w:t>
      </w:r>
      <w:hyperlink r:id="rId21" w:tooltip="Сінгх Оксана Олександрівна" w:history="1">
        <w:r w:rsidR="0068004F" w:rsidRPr="001416ED">
          <w:rPr>
            <w:rStyle w:val="ad"/>
            <w:color w:val="auto"/>
            <w:szCs w:val="24"/>
            <w:u w:val="none"/>
            <w:lang w:val="uk-UA"/>
          </w:rPr>
          <w:t xml:space="preserve">Сінгх </w:t>
        </w:r>
      </w:hyperlink>
      <w:r w:rsidRPr="001416ED">
        <w:rPr>
          <w:u w:val="single"/>
          <w:lang w:val="uk-UA"/>
        </w:rPr>
        <w:t xml:space="preserve"> </w:t>
      </w:r>
      <w:r w:rsidRPr="001416ED">
        <w:t>[</w:t>
      </w:r>
      <w:r w:rsidRPr="001416ED">
        <w:rPr>
          <w:lang w:val="uk-UA"/>
        </w:rPr>
        <w:t>20</w:t>
      </w:r>
      <w:r w:rsidR="00267166">
        <w:rPr>
          <w:lang w:val="uk-UA"/>
        </w:rPr>
        <w:t>12</w:t>
      </w:r>
      <w:r w:rsidRPr="001416ED">
        <w:t>]</w:t>
      </w:r>
      <w:r w:rsidR="00A83BEC" w:rsidRPr="001416ED">
        <w:rPr>
          <w:lang w:val="uk-UA"/>
        </w:rPr>
        <w:t xml:space="preserve"> [</w:t>
      </w:r>
      <w:r w:rsidR="0037619B" w:rsidRPr="001416ED">
        <w:rPr>
          <w:lang w:val="uk-UA"/>
        </w:rPr>
        <w:t>60</w:t>
      </w:r>
      <w:r w:rsidR="00A83BEC" w:rsidRPr="001416ED">
        <w:rPr>
          <w:lang w:val="uk-UA"/>
        </w:rPr>
        <w:t>]</w:t>
      </w:r>
      <w:r w:rsidRPr="001416ED">
        <w:t xml:space="preserve">. </w:t>
      </w:r>
    </w:p>
    <w:p w:rsidR="00A0215A" w:rsidRPr="001416ED" w:rsidRDefault="00A0215A" w:rsidP="00A0215A">
      <w:pPr>
        <w:spacing w:line="360" w:lineRule="auto"/>
        <w:ind w:firstLine="360"/>
        <w:jc w:val="both"/>
        <w:rPr>
          <w:lang w:val="uk-UA"/>
        </w:rPr>
      </w:pPr>
      <w:r w:rsidRPr="001416ED">
        <w:rPr>
          <w:lang w:val="en-US"/>
        </w:rPr>
        <w:t>Χ</w:t>
      </w:r>
      <w:r w:rsidRPr="001416ED">
        <w:t>=</w:t>
      </w:r>
      <w:r w:rsidR="0068004F" w:rsidRPr="001416ED">
        <w:rPr>
          <w:lang w:val="uk-UA"/>
        </w:rPr>
        <w:t xml:space="preserve"> </w:t>
      </w:r>
      <w:r w:rsidRPr="001416ED">
        <w:t>[(</w:t>
      </w:r>
      <w:r w:rsidRPr="001416ED">
        <w:rPr>
          <w:lang w:val="en-US"/>
        </w:rPr>
        <w:t>M</w:t>
      </w:r>
      <w:r w:rsidRPr="001416ED">
        <w:rPr>
          <w:vertAlign w:val="subscript"/>
        </w:rPr>
        <w:t>1</w:t>
      </w:r>
      <w:r w:rsidRPr="001416ED">
        <w:t>+2·</w:t>
      </w:r>
      <w:r w:rsidRPr="001416ED">
        <w:rPr>
          <w:lang w:val="en-US"/>
        </w:rPr>
        <w:t>m</w:t>
      </w:r>
      <w:r w:rsidRPr="001416ED">
        <w:rPr>
          <w:vertAlign w:val="subscript"/>
        </w:rPr>
        <w:t>1</w:t>
      </w:r>
      <w:r w:rsidRPr="001416ED">
        <w:t>)+(</w:t>
      </w:r>
      <w:r w:rsidRPr="001416ED">
        <w:rPr>
          <w:lang w:val="en-US"/>
        </w:rPr>
        <w:t>M</w:t>
      </w:r>
      <w:r w:rsidRPr="001416ED">
        <w:rPr>
          <w:vertAlign w:val="subscript"/>
        </w:rPr>
        <w:t>2</w:t>
      </w:r>
      <w:r w:rsidRPr="001416ED">
        <w:t>–2·</w:t>
      </w:r>
      <w:r w:rsidRPr="001416ED">
        <w:rPr>
          <w:lang w:val="en-US"/>
        </w:rPr>
        <w:t>m</w:t>
      </w:r>
      <w:r w:rsidRPr="001416ED">
        <w:rPr>
          <w:vertAlign w:val="subscript"/>
        </w:rPr>
        <w:t>2</w:t>
      </w:r>
      <w:r w:rsidRPr="001416ED">
        <w:t>)]/2,</w:t>
      </w:r>
      <w:r w:rsidRPr="001416ED">
        <w:rPr>
          <w:lang w:val="uk-UA"/>
        </w:rPr>
        <w:t xml:space="preserve"> </w:t>
      </w:r>
    </w:p>
    <w:p w:rsidR="00A0215A" w:rsidRPr="001416ED" w:rsidRDefault="00A0215A" w:rsidP="00FA2C36">
      <w:pPr>
        <w:spacing w:line="360" w:lineRule="auto"/>
        <w:jc w:val="both"/>
        <w:rPr>
          <w:lang w:val="uk-UA"/>
        </w:rPr>
      </w:pPr>
      <w:r w:rsidRPr="001416ED">
        <w:rPr>
          <w:lang w:val="uk-UA"/>
        </w:rPr>
        <w:t xml:space="preserve">де Х – межовий рівень </w:t>
      </w:r>
      <w:r w:rsidR="00F01073" w:rsidRPr="001416ED">
        <w:rPr>
          <w:lang w:val="uk-UA"/>
        </w:rPr>
        <w:t>пептида</w:t>
      </w:r>
      <w:r w:rsidRPr="001416ED">
        <w:rPr>
          <w:lang w:val="uk-UA"/>
        </w:rPr>
        <w:t>;</w:t>
      </w:r>
    </w:p>
    <w:p w:rsidR="00FA2C36" w:rsidRDefault="00A0215A" w:rsidP="00A0215A">
      <w:pPr>
        <w:spacing w:line="360" w:lineRule="auto"/>
        <w:jc w:val="both"/>
        <w:rPr>
          <w:lang w:val="uk-UA"/>
        </w:rPr>
      </w:pPr>
      <w:r w:rsidRPr="001416ED">
        <w:rPr>
          <w:lang w:val="en-US"/>
        </w:rPr>
        <w:t>M</w:t>
      </w:r>
      <w:r w:rsidRPr="001416ED">
        <w:rPr>
          <w:vertAlign w:val="subscript"/>
        </w:rPr>
        <w:t>1</w:t>
      </w:r>
      <w:r w:rsidR="00F01073" w:rsidRPr="001416ED">
        <w:t xml:space="preserve"> – середнє значення рівня </w:t>
      </w:r>
      <w:r w:rsidR="00F01073" w:rsidRPr="001416ED">
        <w:rPr>
          <w:lang w:val="uk-UA"/>
        </w:rPr>
        <w:t>пептида</w:t>
      </w:r>
      <w:r w:rsidRPr="001416ED">
        <w:t xml:space="preserve"> у групі з відсу</w:t>
      </w:r>
      <w:r w:rsidR="008B6EE5" w:rsidRPr="001416ED">
        <w:t>тністю ознаки (умовно здорових)</w:t>
      </w:r>
      <w:r w:rsidRPr="001416ED">
        <w:t>;</w:t>
      </w:r>
    </w:p>
    <w:p w:rsidR="00FA2C36" w:rsidRDefault="00A0215A" w:rsidP="00A0215A">
      <w:pPr>
        <w:spacing w:line="360" w:lineRule="auto"/>
        <w:jc w:val="both"/>
        <w:rPr>
          <w:lang w:val="uk-UA"/>
        </w:rPr>
      </w:pPr>
      <w:r w:rsidRPr="001416ED">
        <w:rPr>
          <w:lang w:val="en-US"/>
        </w:rPr>
        <w:lastRenderedPageBreak/>
        <w:t>m</w:t>
      </w:r>
      <w:r w:rsidRPr="001416ED">
        <w:rPr>
          <w:vertAlign w:val="subscript"/>
        </w:rPr>
        <w:t>1</w:t>
      </w:r>
      <w:r w:rsidRPr="001416ED">
        <w:t xml:space="preserve"> – похибка </w:t>
      </w:r>
      <w:r w:rsidRPr="001416ED">
        <w:rPr>
          <w:lang w:val="en-US"/>
        </w:rPr>
        <w:t>M</w:t>
      </w:r>
      <w:r w:rsidRPr="001416ED">
        <w:rPr>
          <w:vertAlign w:val="subscript"/>
        </w:rPr>
        <w:t>1</w:t>
      </w:r>
      <w:r w:rsidRPr="001416ED">
        <w:t>;</w:t>
      </w:r>
    </w:p>
    <w:p w:rsidR="00A0215A" w:rsidRPr="00FA2C36" w:rsidRDefault="00A0215A" w:rsidP="00A0215A">
      <w:pPr>
        <w:spacing w:line="360" w:lineRule="auto"/>
        <w:jc w:val="both"/>
        <w:rPr>
          <w:lang w:val="uk-UA"/>
        </w:rPr>
      </w:pPr>
      <w:r w:rsidRPr="001416ED">
        <w:rPr>
          <w:vertAlign w:val="subscript"/>
          <w:lang w:val="uk-UA"/>
        </w:rPr>
        <w:t xml:space="preserve"> </w:t>
      </w:r>
      <w:r w:rsidRPr="001416ED">
        <w:rPr>
          <w:lang w:val="en-US"/>
        </w:rPr>
        <w:t>M</w:t>
      </w:r>
      <w:r w:rsidRPr="001416ED">
        <w:rPr>
          <w:vertAlign w:val="subscript"/>
        </w:rPr>
        <w:t>2</w:t>
      </w:r>
      <w:r w:rsidRPr="001416ED">
        <w:t xml:space="preserve"> </w:t>
      </w:r>
      <w:r w:rsidR="00BC0119" w:rsidRPr="001416ED">
        <w:t>–</w:t>
      </w:r>
      <w:r w:rsidRPr="001416ED">
        <w:t xml:space="preserve"> середнє значення рівня </w:t>
      </w:r>
      <w:r w:rsidR="00F01073" w:rsidRPr="001416ED">
        <w:rPr>
          <w:lang w:val="uk-UA"/>
        </w:rPr>
        <w:t>пептид</w:t>
      </w:r>
      <w:r w:rsidR="00074114">
        <w:rPr>
          <w:lang w:val="uk-UA"/>
        </w:rPr>
        <w:t>у</w:t>
      </w:r>
      <w:r w:rsidRPr="001416ED">
        <w:t xml:space="preserve"> у групі з наявністю ознаки (умовно хворих);</w:t>
      </w:r>
    </w:p>
    <w:p w:rsidR="00A0215A" w:rsidRPr="001416ED" w:rsidRDefault="00A0215A" w:rsidP="00A0215A">
      <w:pPr>
        <w:spacing w:line="360" w:lineRule="auto"/>
        <w:jc w:val="both"/>
        <w:rPr>
          <w:lang w:val="uk-UA"/>
        </w:rPr>
      </w:pPr>
      <w:proofErr w:type="gramStart"/>
      <w:r w:rsidRPr="001416ED">
        <w:rPr>
          <w:lang w:val="en-US"/>
        </w:rPr>
        <w:t>m</w:t>
      </w:r>
      <w:r w:rsidRPr="001416ED">
        <w:rPr>
          <w:vertAlign w:val="subscript"/>
          <w:lang w:val="uk-UA"/>
        </w:rPr>
        <w:t>2</w:t>
      </w:r>
      <w:r w:rsidRPr="001416ED">
        <w:rPr>
          <w:lang w:val="uk-UA"/>
        </w:rPr>
        <w:t xml:space="preserve"> – похибка М</w:t>
      </w:r>
      <w:r w:rsidRPr="001416ED">
        <w:rPr>
          <w:vertAlign w:val="subscript"/>
          <w:lang w:val="uk-UA"/>
        </w:rPr>
        <w:t>2</w:t>
      </w:r>
      <w:r w:rsidRPr="001416ED">
        <w:rPr>
          <w:lang w:val="uk-UA"/>
        </w:rPr>
        <w:t>.</w:t>
      </w:r>
      <w:proofErr w:type="gramEnd"/>
    </w:p>
    <w:p w:rsidR="00A83BEC" w:rsidRPr="001416ED" w:rsidRDefault="00A83BEC" w:rsidP="00A83BEC">
      <w:pPr>
        <w:spacing w:line="360" w:lineRule="auto"/>
        <w:ind w:firstLine="708"/>
        <w:jc w:val="both"/>
        <w:rPr>
          <w:lang w:val="uk-UA"/>
        </w:rPr>
      </w:pPr>
      <w:r w:rsidRPr="001416ED">
        <w:rPr>
          <w:lang w:val="uk-UA"/>
        </w:rPr>
        <w:t>При визначенні межового рівня та у ході проведення дискримінантного аналізу встановлювали чутливість (</w:t>
      </w:r>
      <w:r w:rsidRPr="001416ED">
        <w:rPr>
          <w:bCs/>
          <w:lang w:val="uk-UA"/>
        </w:rPr>
        <w:t>відносна частота віднесення істинно хворого до класу хворих),</w:t>
      </w:r>
      <w:r w:rsidRPr="001416ED">
        <w:rPr>
          <w:lang w:val="uk-UA"/>
        </w:rPr>
        <w:t xml:space="preserve"> специфічність (</w:t>
      </w:r>
      <w:r w:rsidRPr="001416ED">
        <w:rPr>
          <w:bCs/>
          <w:lang w:val="uk-UA"/>
        </w:rPr>
        <w:t>відносна частота віднесення істинно здорового до класу здорових)</w:t>
      </w:r>
      <w:r w:rsidRPr="001416ED">
        <w:rPr>
          <w:lang w:val="uk-UA"/>
        </w:rPr>
        <w:t>, безпомилковість (</w:t>
      </w:r>
      <w:r w:rsidRPr="001416ED">
        <w:rPr>
          <w:bCs/>
          <w:lang w:val="uk-UA"/>
        </w:rPr>
        <w:t xml:space="preserve">відносна частота прийняття безпомилкових рішень, як по відношенню до істинно хворих, так і до істинно здорових), </w:t>
      </w:r>
      <w:r w:rsidRPr="001416ED">
        <w:rPr>
          <w:lang w:val="uk-UA"/>
        </w:rPr>
        <w:t xml:space="preserve"> хибнонегативну (</w:t>
      </w:r>
      <w:r w:rsidRPr="001416ED">
        <w:rPr>
          <w:bCs/>
          <w:lang w:val="uk-UA"/>
        </w:rPr>
        <w:t xml:space="preserve">відносна частота віднесення істинно хворого до класу здорових) </w:t>
      </w:r>
      <w:r w:rsidRPr="001416ED">
        <w:rPr>
          <w:lang w:val="uk-UA"/>
        </w:rPr>
        <w:t xml:space="preserve"> та хибнопозитивну (</w:t>
      </w:r>
      <w:r w:rsidRPr="001416ED">
        <w:rPr>
          <w:bCs/>
          <w:lang w:val="uk-UA"/>
        </w:rPr>
        <w:t xml:space="preserve">відносна частота віднесення істинно здорового до класу хворих) </w:t>
      </w:r>
      <w:r w:rsidRPr="001416ED">
        <w:rPr>
          <w:lang w:val="uk-UA"/>
        </w:rPr>
        <w:t xml:space="preserve">відповіді запропонованих методик </w:t>
      </w:r>
      <w:r w:rsidRPr="001416ED">
        <w:t>[</w:t>
      </w:r>
      <w:r w:rsidR="003E1C6B" w:rsidRPr="001416ED">
        <w:rPr>
          <w:lang w:val="uk-UA"/>
        </w:rPr>
        <w:t>9</w:t>
      </w:r>
      <w:r w:rsidR="0037619B" w:rsidRPr="001416ED">
        <w:rPr>
          <w:lang w:val="uk-UA"/>
        </w:rPr>
        <w:t>2</w:t>
      </w:r>
      <w:r w:rsidRPr="001416ED">
        <w:t>]</w:t>
      </w:r>
      <w:r w:rsidRPr="001416ED">
        <w:rPr>
          <w:lang w:val="uk-UA"/>
        </w:rPr>
        <w:t>:</w:t>
      </w:r>
    </w:p>
    <w:p w:rsidR="00A83BEC" w:rsidRPr="001416ED" w:rsidRDefault="00A83BEC" w:rsidP="00A83BEC">
      <w:pPr>
        <w:spacing w:line="360" w:lineRule="auto"/>
        <w:ind w:firstLine="708"/>
        <w:jc w:val="both"/>
        <w:rPr>
          <w:lang w:val="uk-UA"/>
        </w:rPr>
      </w:pPr>
      <w:r w:rsidRPr="001416ED">
        <w:rPr>
          <w:lang w:val="uk-UA"/>
        </w:rPr>
        <w:t>Чутливість = (100</w:t>
      </w:r>
      <w:r w:rsidRPr="001416ED">
        <w:t>·</w:t>
      </w:r>
      <w:r w:rsidRPr="001416ED">
        <w:rPr>
          <w:lang w:val="uk-UA"/>
        </w:rPr>
        <w:t>а)/(а+</w:t>
      </w:r>
      <w:r w:rsidRPr="001416ED">
        <w:rPr>
          <w:lang w:val="en-US"/>
        </w:rPr>
        <w:t>b</w:t>
      </w:r>
      <w:r w:rsidRPr="001416ED">
        <w:rPr>
          <w:lang w:val="uk-UA"/>
        </w:rPr>
        <w:t>) (</w:t>
      </w:r>
      <w:r w:rsidR="00D4219F" w:rsidRPr="001416ED">
        <w:rPr>
          <w:lang w:val="uk-UA"/>
        </w:rPr>
        <w:t>%</w:t>
      </w:r>
      <w:r w:rsidRPr="001416ED">
        <w:rPr>
          <w:lang w:val="uk-UA"/>
        </w:rPr>
        <w:t xml:space="preserve">), </w:t>
      </w:r>
    </w:p>
    <w:p w:rsidR="00A83BEC" w:rsidRPr="001416ED" w:rsidRDefault="00A83BEC" w:rsidP="00A83BEC">
      <w:pPr>
        <w:spacing w:line="360" w:lineRule="auto"/>
        <w:jc w:val="both"/>
        <w:rPr>
          <w:lang w:val="uk-UA"/>
        </w:rPr>
      </w:pPr>
      <w:r w:rsidRPr="001416ED">
        <w:rPr>
          <w:lang w:val="uk-UA"/>
        </w:rPr>
        <w:t>де а – кількість умовно хворих осіб із наявністю ознаки;</w:t>
      </w:r>
    </w:p>
    <w:p w:rsidR="00A83BEC" w:rsidRPr="001416ED" w:rsidRDefault="00A83BEC" w:rsidP="00A83BEC">
      <w:pPr>
        <w:spacing w:line="360" w:lineRule="auto"/>
        <w:jc w:val="both"/>
        <w:rPr>
          <w:lang w:val="uk-UA"/>
        </w:rPr>
      </w:pPr>
      <w:r w:rsidRPr="001416ED">
        <w:rPr>
          <w:lang w:val="en-US"/>
        </w:rPr>
        <w:t>b</w:t>
      </w:r>
      <w:r w:rsidRPr="001416ED">
        <w:rPr>
          <w:lang w:val="uk-UA"/>
        </w:rPr>
        <w:t xml:space="preserve"> </w:t>
      </w:r>
      <w:r w:rsidR="00BC0119" w:rsidRPr="001416ED">
        <w:rPr>
          <w:lang w:val="uk-UA"/>
        </w:rPr>
        <w:t>–</w:t>
      </w:r>
      <w:r w:rsidRPr="001416ED">
        <w:rPr>
          <w:lang w:val="uk-UA"/>
        </w:rPr>
        <w:t xml:space="preserve"> кількість умовно хворих осіб із відсутністю ознаки.</w:t>
      </w:r>
    </w:p>
    <w:p w:rsidR="00A83BEC" w:rsidRPr="001416ED" w:rsidRDefault="00A83BEC" w:rsidP="00A83BEC">
      <w:pPr>
        <w:spacing w:line="360" w:lineRule="auto"/>
        <w:ind w:firstLine="708"/>
        <w:jc w:val="both"/>
        <w:rPr>
          <w:lang w:val="uk-UA"/>
        </w:rPr>
      </w:pPr>
      <w:r w:rsidRPr="001416ED">
        <w:rPr>
          <w:lang w:val="uk-UA"/>
        </w:rPr>
        <w:t>Специфічність = (100</w:t>
      </w:r>
      <w:r w:rsidRPr="001416ED">
        <w:t>·</w:t>
      </w:r>
      <w:r w:rsidRPr="001416ED">
        <w:rPr>
          <w:lang w:val="en-US"/>
        </w:rPr>
        <w:t>d</w:t>
      </w:r>
      <w:r w:rsidRPr="001416ED">
        <w:t>)</w:t>
      </w:r>
      <w:r w:rsidRPr="001416ED">
        <w:rPr>
          <w:lang w:val="uk-UA"/>
        </w:rPr>
        <w:t>/</w:t>
      </w:r>
      <w:r w:rsidRPr="001416ED">
        <w:t>(</w:t>
      </w:r>
      <w:r w:rsidRPr="001416ED">
        <w:rPr>
          <w:lang w:val="en-US"/>
        </w:rPr>
        <w:t>c</w:t>
      </w:r>
      <w:r w:rsidRPr="001416ED">
        <w:t>+</w:t>
      </w:r>
      <w:r w:rsidRPr="001416ED">
        <w:rPr>
          <w:lang w:val="en-US"/>
        </w:rPr>
        <w:t>d</w:t>
      </w:r>
      <w:r w:rsidRPr="001416ED">
        <w:t>)</w:t>
      </w:r>
      <w:r w:rsidRPr="001416ED">
        <w:rPr>
          <w:lang w:val="uk-UA"/>
        </w:rPr>
        <w:t xml:space="preserve"> (</w:t>
      </w:r>
      <w:r w:rsidR="00D4219F" w:rsidRPr="001416ED">
        <w:rPr>
          <w:lang w:val="uk-UA"/>
        </w:rPr>
        <w:t>%</w:t>
      </w:r>
      <w:r w:rsidRPr="001416ED">
        <w:rPr>
          <w:lang w:val="uk-UA"/>
        </w:rPr>
        <w:t>),</w:t>
      </w:r>
    </w:p>
    <w:p w:rsidR="00A83BEC" w:rsidRPr="001416ED" w:rsidRDefault="00A83BEC" w:rsidP="00A83BEC">
      <w:pPr>
        <w:spacing w:line="360" w:lineRule="auto"/>
        <w:jc w:val="both"/>
        <w:rPr>
          <w:lang w:val="uk-UA"/>
        </w:rPr>
      </w:pPr>
      <w:r w:rsidRPr="001416ED">
        <w:rPr>
          <w:lang w:val="uk-UA"/>
        </w:rPr>
        <w:t xml:space="preserve">де с </w:t>
      </w:r>
      <w:r w:rsidR="00BC0119" w:rsidRPr="001416ED">
        <w:rPr>
          <w:lang w:val="uk-UA"/>
        </w:rPr>
        <w:t>–</w:t>
      </w:r>
      <w:r w:rsidRPr="001416ED">
        <w:rPr>
          <w:lang w:val="uk-UA"/>
        </w:rPr>
        <w:t xml:space="preserve"> кількість умовно здорових осіб із наявністю ознаки;</w:t>
      </w:r>
    </w:p>
    <w:p w:rsidR="00A83BEC" w:rsidRPr="001416ED" w:rsidRDefault="00A83BEC" w:rsidP="00A83BEC">
      <w:pPr>
        <w:spacing w:line="360" w:lineRule="auto"/>
        <w:jc w:val="both"/>
        <w:rPr>
          <w:lang w:val="uk-UA"/>
        </w:rPr>
      </w:pPr>
      <w:r w:rsidRPr="001416ED">
        <w:rPr>
          <w:lang w:val="en-US"/>
        </w:rPr>
        <w:t>d</w:t>
      </w:r>
      <w:r w:rsidRPr="001416ED">
        <w:rPr>
          <w:lang w:val="uk-UA"/>
        </w:rPr>
        <w:t xml:space="preserve"> </w:t>
      </w:r>
      <w:r w:rsidR="00BC0119" w:rsidRPr="001416ED">
        <w:rPr>
          <w:lang w:val="uk-UA"/>
        </w:rPr>
        <w:t>–</w:t>
      </w:r>
      <w:r w:rsidRPr="001416ED">
        <w:rPr>
          <w:lang w:val="uk-UA"/>
        </w:rPr>
        <w:t xml:space="preserve"> кількість умовно здорових осіб із відсутністю ознаки.</w:t>
      </w:r>
    </w:p>
    <w:p w:rsidR="00A83BEC" w:rsidRPr="001416ED" w:rsidRDefault="00A83BEC" w:rsidP="00A83BEC">
      <w:pPr>
        <w:spacing w:line="360" w:lineRule="auto"/>
        <w:jc w:val="both"/>
        <w:rPr>
          <w:lang w:val="uk-UA"/>
        </w:rPr>
      </w:pPr>
      <w:r w:rsidRPr="001416ED">
        <w:rPr>
          <w:lang w:val="uk-UA"/>
        </w:rPr>
        <w:tab/>
        <w:t>Безпомилковість = 100</w:t>
      </w:r>
      <w:r w:rsidRPr="001416ED">
        <w:t>·</w:t>
      </w:r>
      <w:r w:rsidRPr="001416ED">
        <w:rPr>
          <w:lang w:val="uk-UA"/>
        </w:rPr>
        <w:t>(а+</w:t>
      </w:r>
      <w:r w:rsidRPr="001416ED">
        <w:t xml:space="preserve"> </w:t>
      </w:r>
      <w:r w:rsidRPr="001416ED">
        <w:rPr>
          <w:lang w:val="en-US"/>
        </w:rPr>
        <w:t>d</w:t>
      </w:r>
      <w:r w:rsidRPr="001416ED">
        <w:rPr>
          <w:lang w:val="uk-UA"/>
        </w:rPr>
        <w:t>)/(а+</w:t>
      </w:r>
      <w:r w:rsidRPr="001416ED">
        <w:t xml:space="preserve"> </w:t>
      </w:r>
      <w:r w:rsidRPr="001416ED">
        <w:rPr>
          <w:lang w:val="en-US"/>
        </w:rPr>
        <w:t>b</w:t>
      </w:r>
      <w:r w:rsidRPr="001416ED">
        <w:rPr>
          <w:lang w:val="uk-UA"/>
        </w:rPr>
        <w:t>+с+</w:t>
      </w:r>
      <w:r w:rsidRPr="001416ED">
        <w:t xml:space="preserve"> </w:t>
      </w:r>
      <w:r w:rsidRPr="001416ED">
        <w:rPr>
          <w:lang w:val="en-US"/>
        </w:rPr>
        <w:t>d</w:t>
      </w:r>
      <w:r w:rsidRPr="001416ED">
        <w:rPr>
          <w:lang w:val="uk-UA"/>
        </w:rPr>
        <w:t>), (</w:t>
      </w:r>
      <w:r w:rsidR="00D4219F" w:rsidRPr="001416ED">
        <w:rPr>
          <w:lang w:val="uk-UA"/>
        </w:rPr>
        <w:t>%</w:t>
      </w:r>
      <w:r w:rsidRPr="001416ED">
        <w:rPr>
          <w:lang w:val="uk-UA"/>
        </w:rPr>
        <w:t>).</w:t>
      </w:r>
    </w:p>
    <w:p w:rsidR="00A83BEC" w:rsidRPr="001416ED" w:rsidRDefault="00A83BEC" w:rsidP="00A83BEC">
      <w:pPr>
        <w:spacing w:line="360" w:lineRule="auto"/>
        <w:jc w:val="both"/>
        <w:rPr>
          <w:lang w:val="uk-UA"/>
        </w:rPr>
      </w:pPr>
      <w:r w:rsidRPr="001416ED">
        <w:rPr>
          <w:lang w:val="uk-UA"/>
        </w:rPr>
        <w:tab/>
        <w:t>Хибнонегативна відповідь =</w:t>
      </w:r>
      <w:r w:rsidRPr="001416ED">
        <w:t>(</w:t>
      </w:r>
      <w:r w:rsidRPr="001416ED">
        <w:rPr>
          <w:lang w:val="uk-UA"/>
        </w:rPr>
        <w:t>100</w:t>
      </w:r>
      <w:r w:rsidRPr="001416ED">
        <w:t>·</w:t>
      </w:r>
      <w:r w:rsidRPr="001416ED">
        <w:rPr>
          <w:lang w:val="en-US"/>
        </w:rPr>
        <w:t>b</w:t>
      </w:r>
      <w:r w:rsidRPr="001416ED">
        <w:t>)</w:t>
      </w:r>
      <w:r w:rsidRPr="001416ED">
        <w:rPr>
          <w:lang w:val="uk-UA"/>
        </w:rPr>
        <w:t>/(а+</w:t>
      </w:r>
      <w:r w:rsidRPr="001416ED">
        <w:rPr>
          <w:lang w:val="en-US"/>
        </w:rPr>
        <w:t>b</w:t>
      </w:r>
      <w:r w:rsidRPr="001416ED">
        <w:rPr>
          <w:lang w:val="uk-UA"/>
        </w:rPr>
        <w:t>), (</w:t>
      </w:r>
      <w:r w:rsidR="00D4219F" w:rsidRPr="001416ED">
        <w:rPr>
          <w:lang w:val="uk-UA"/>
        </w:rPr>
        <w:t>%</w:t>
      </w:r>
      <w:r w:rsidRPr="001416ED">
        <w:rPr>
          <w:lang w:val="uk-UA"/>
        </w:rPr>
        <w:t>).</w:t>
      </w:r>
    </w:p>
    <w:p w:rsidR="00A83BEC" w:rsidRPr="001416ED" w:rsidRDefault="00A83BEC" w:rsidP="00A83BEC">
      <w:pPr>
        <w:spacing w:line="360" w:lineRule="auto"/>
        <w:jc w:val="both"/>
        <w:rPr>
          <w:lang w:val="uk-UA"/>
        </w:rPr>
      </w:pPr>
      <w:r w:rsidRPr="001416ED">
        <w:rPr>
          <w:lang w:val="uk-UA"/>
        </w:rPr>
        <w:tab/>
        <w:t>Хибнопозитивна відповідь =</w:t>
      </w:r>
      <w:r w:rsidRPr="001416ED">
        <w:t>(</w:t>
      </w:r>
      <w:r w:rsidRPr="001416ED">
        <w:rPr>
          <w:lang w:val="uk-UA"/>
        </w:rPr>
        <w:t>100</w:t>
      </w:r>
      <w:r w:rsidRPr="001416ED">
        <w:t>·</w:t>
      </w:r>
      <w:r w:rsidRPr="001416ED">
        <w:rPr>
          <w:lang w:val="uk-UA"/>
        </w:rPr>
        <w:t>с/</w:t>
      </w:r>
      <w:r w:rsidRPr="001416ED">
        <w:t>(</w:t>
      </w:r>
      <w:r w:rsidRPr="001416ED">
        <w:rPr>
          <w:lang w:val="en-US"/>
        </w:rPr>
        <w:t>c</w:t>
      </w:r>
      <w:r w:rsidRPr="001416ED">
        <w:t>+</w:t>
      </w:r>
      <w:r w:rsidRPr="001416ED">
        <w:rPr>
          <w:lang w:val="en-US"/>
        </w:rPr>
        <w:t>d</w:t>
      </w:r>
      <w:r w:rsidRPr="001416ED">
        <w:t>)</w:t>
      </w:r>
      <w:r w:rsidRPr="001416ED">
        <w:rPr>
          <w:lang w:val="uk-UA"/>
        </w:rPr>
        <w:t>, (</w:t>
      </w:r>
      <w:r w:rsidR="00D4219F" w:rsidRPr="001416ED">
        <w:rPr>
          <w:lang w:val="uk-UA"/>
        </w:rPr>
        <w:t>%</w:t>
      </w:r>
      <w:r w:rsidRPr="001416ED">
        <w:rPr>
          <w:lang w:val="uk-UA"/>
        </w:rPr>
        <w:t>).</w:t>
      </w:r>
    </w:p>
    <w:p w:rsidR="00B504E6" w:rsidRPr="001416ED" w:rsidRDefault="00A0215A" w:rsidP="008E6096">
      <w:pPr>
        <w:spacing w:before="240" w:line="360" w:lineRule="auto"/>
        <w:ind w:firstLine="708"/>
        <w:jc w:val="both"/>
        <w:rPr>
          <w:lang w:val="uk-UA"/>
        </w:rPr>
      </w:pPr>
      <w:r w:rsidRPr="001416ED">
        <w:rPr>
          <w:lang w:val="uk-UA"/>
        </w:rPr>
        <w:t>Математична обробка виконувалась на персональному комп‘ютері з використанням стандартного статистичного пакету STATISTICA 6,0</w:t>
      </w:r>
      <w:r w:rsidR="002C73EC" w:rsidRPr="001416ED">
        <w:rPr>
          <w:lang w:val="uk-UA"/>
        </w:rPr>
        <w:t>.</w:t>
      </w:r>
      <w:r w:rsidRPr="001416ED">
        <w:rPr>
          <w:lang w:val="uk-UA"/>
        </w:rPr>
        <w:t xml:space="preserve"> Д</w:t>
      </w:r>
      <w:r w:rsidRPr="001416ED">
        <w:t>ля первинної підготовки таблиць та проміжних розрахунків викори</w:t>
      </w:r>
      <w:r w:rsidR="00E908B3" w:rsidRPr="001416ED">
        <w:rPr>
          <w:lang w:val="uk-UA"/>
        </w:rPr>
        <w:t>с</w:t>
      </w:r>
      <w:r w:rsidRPr="001416ED">
        <w:t xml:space="preserve">товувався пакет </w:t>
      </w:r>
      <w:r w:rsidRPr="001416ED">
        <w:rPr>
          <w:lang w:val="en-US"/>
        </w:rPr>
        <w:t>Microsoft</w:t>
      </w:r>
      <w:r w:rsidRPr="001416ED">
        <w:t xml:space="preserve"> </w:t>
      </w:r>
      <w:r w:rsidRPr="001416ED">
        <w:rPr>
          <w:lang w:val="en-US"/>
        </w:rPr>
        <w:t>Excel</w:t>
      </w:r>
      <w:r w:rsidR="0028516A" w:rsidRPr="001416ED">
        <w:rPr>
          <w:lang w:val="uk-UA"/>
        </w:rPr>
        <w:t xml:space="preserve"> 20</w:t>
      </w:r>
      <w:r w:rsidR="008935B6" w:rsidRPr="001416ED">
        <w:rPr>
          <w:lang w:val="uk-UA"/>
        </w:rPr>
        <w:t>10</w:t>
      </w:r>
      <w:r w:rsidRPr="001416ED">
        <w:t>.</w:t>
      </w:r>
      <w:r w:rsidR="006F050C" w:rsidRPr="001416ED">
        <w:rPr>
          <w:lang w:val="uk-UA"/>
        </w:rPr>
        <w:t xml:space="preserve"> </w:t>
      </w:r>
      <w:r w:rsidR="0028516A" w:rsidRPr="001416ED">
        <w:t>Оформлення і друкування роботи виконувалось в текстовому редакторі Microsoft Word 20</w:t>
      </w:r>
      <w:r w:rsidR="008935B6" w:rsidRPr="001416ED">
        <w:rPr>
          <w:lang w:val="uk-UA"/>
        </w:rPr>
        <w:t>10</w:t>
      </w:r>
      <w:r w:rsidR="0028516A" w:rsidRPr="001416ED">
        <w:rPr>
          <w:lang w:val="uk-UA"/>
        </w:rPr>
        <w:t>.</w:t>
      </w:r>
    </w:p>
    <w:p w:rsidR="009D366E" w:rsidRDefault="009D366E" w:rsidP="006F050C">
      <w:pPr>
        <w:spacing w:line="360" w:lineRule="auto"/>
        <w:jc w:val="center"/>
        <w:rPr>
          <w:b/>
          <w:bCs/>
          <w:lang w:val="uk-UA"/>
        </w:rPr>
      </w:pPr>
    </w:p>
    <w:p w:rsidR="009D366E" w:rsidRDefault="009D366E" w:rsidP="006F050C">
      <w:pPr>
        <w:spacing w:line="360" w:lineRule="auto"/>
        <w:jc w:val="center"/>
        <w:rPr>
          <w:b/>
          <w:bCs/>
          <w:lang w:val="uk-UA"/>
        </w:rPr>
      </w:pPr>
    </w:p>
    <w:p w:rsidR="009D366E" w:rsidRDefault="009D366E" w:rsidP="006F050C">
      <w:pPr>
        <w:spacing w:line="360" w:lineRule="auto"/>
        <w:jc w:val="center"/>
        <w:rPr>
          <w:b/>
          <w:bCs/>
          <w:lang w:val="uk-UA"/>
        </w:rPr>
      </w:pPr>
    </w:p>
    <w:p w:rsidR="009D366E" w:rsidRDefault="009D366E" w:rsidP="006F050C">
      <w:pPr>
        <w:spacing w:line="360" w:lineRule="auto"/>
        <w:jc w:val="center"/>
        <w:rPr>
          <w:b/>
          <w:bCs/>
          <w:lang w:val="uk-UA"/>
        </w:rPr>
      </w:pPr>
    </w:p>
    <w:p w:rsidR="006F050C" w:rsidRPr="001416ED" w:rsidRDefault="006F050C" w:rsidP="006F050C">
      <w:pPr>
        <w:spacing w:line="360" w:lineRule="auto"/>
        <w:jc w:val="center"/>
        <w:rPr>
          <w:b/>
          <w:lang w:val="uk-UA"/>
        </w:rPr>
      </w:pPr>
      <w:r w:rsidRPr="001416ED">
        <w:rPr>
          <w:b/>
          <w:bCs/>
        </w:rPr>
        <w:lastRenderedPageBreak/>
        <w:t>РОЗДІЛ 3</w:t>
      </w:r>
    </w:p>
    <w:p w:rsidR="006F050C" w:rsidRPr="001416ED" w:rsidRDefault="0068290B" w:rsidP="006F050C">
      <w:pPr>
        <w:spacing w:after="240" w:line="360" w:lineRule="auto"/>
        <w:jc w:val="center"/>
        <w:rPr>
          <w:b/>
          <w:lang w:val="uk-UA"/>
        </w:rPr>
      </w:pPr>
      <w:r>
        <w:rPr>
          <w:b/>
          <w:lang w:val="uk-UA"/>
        </w:rPr>
        <w:t>ПОЛІМОРФНІ ВАРІАНТИ</w:t>
      </w:r>
      <w:r w:rsidR="006F050C" w:rsidRPr="001416ED">
        <w:rPr>
          <w:b/>
          <w:lang w:val="uk-UA"/>
        </w:rPr>
        <w:t xml:space="preserve"> ГЕНА ЕНДОТЕЛІНУ</w:t>
      </w:r>
      <w:r w:rsidR="00BC0119" w:rsidRPr="001416ED">
        <w:rPr>
          <w:b/>
          <w:lang w:val="uk-UA"/>
        </w:rPr>
        <w:t>–</w:t>
      </w:r>
      <w:r w:rsidR="006F050C" w:rsidRPr="001416ED">
        <w:rPr>
          <w:b/>
          <w:lang w:val="uk-UA"/>
        </w:rPr>
        <w:t>1 ТА ПЛАЗМОВІ КОНЦЕНТРАЦІЇ ЕНДОТЕЛІНУ</w:t>
      </w:r>
      <w:r w:rsidR="00BC0119" w:rsidRPr="001416ED">
        <w:rPr>
          <w:b/>
          <w:lang w:val="uk-UA"/>
        </w:rPr>
        <w:t>–</w:t>
      </w:r>
      <w:r w:rsidR="006F050C" w:rsidRPr="001416ED">
        <w:rPr>
          <w:b/>
          <w:lang w:val="uk-UA"/>
        </w:rPr>
        <w:t>1 І СУДИННОГО НАТРІЙУРЕТИЧНОГО ПЕПТИДУ У ЧОЛОВІКІВ</w:t>
      </w:r>
      <w:r w:rsidR="0061223C" w:rsidRPr="001416ED">
        <w:rPr>
          <w:b/>
          <w:lang w:val="uk-UA"/>
        </w:rPr>
        <w:t xml:space="preserve"> ГРУПИ КОНТРОЛЮ </w:t>
      </w:r>
    </w:p>
    <w:p w:rsidR="006F050C" w:rsidRPr="001416ED" w:rsidRDefault="006F050C" w:rsidP="006F050C">
      <w:pPr>
        <w:pStyle w:val="a5"/>
        <w:spacing w:after="240"/>
        <w:ind w:left="0" w:right="0" w:firstLine="709"/>
        <w:jc w:val="both"/>
        <w:rPr>
          <w:b w:val="0"/>
          <w:bCs w:val="0"/>
          <w:szCs w:val="28"/>
        </w:rPr>
      </w:pPr>
      <w:r w:rsidRPr="001416ED">
        <w:rPr>
          <w:b w:val="0"/>
          <w:bCs w:val="0"/>
          <w:szCs w:val="28"/>
        </w:rPr>
        <w:t>Виходячи з розуміння патогенезу ГХ на сьогоднішній день і механізмів, які лежать в основ</w:t>
      </w:r>
      <w:r w:rsidR="001621C0" w:rsidRPr="001416ED">
        <w:rPr>
          <w:b w:val="0"/>
          <w:bCs w:val="0"/>
          <w:szCs w:val="28"/>
        </w:rPr>
        <w:t>і її ініціації, можна виділити</w:t>
      </w:r>
      <w:r w:rsidRPr="001416ED">
        <w:rPr>
          <w:b w:val="0"/>
          <w:bCs w:val="0"/>
          <w:szCs w:val="28"/>
        </w:rPr>
        <w:t xml:space="preserve"> так звани</w:t>
      </w:r>
      <w:r w:rsidR="009D3174" w:rsidRPr="001416ED">
        <w:rPr>
          <w:b w:val="0"/>
          <w:bCs w:val="0"/>
          <w:szCs w:val="28"/>
        </w:rPr>
        <w:t>й ген</w:t>
      </w:r>
      <w:r w:rsidR="00BC0119" w:rsidRPr="001416ED">
        <w:rPr>
          <w:b w:val="0"/>
          <w:bCs w:val="0"/>
          <w:szCs w:val="28"/>
        </w:rPr>
        <w:t>–</w:t>
      </w:r>
      <w:r w:rsidR="009D3174" w:rsidRPr="001416ED">
        <w:rPr>
          <w:b w:val="0"/>
          <w:bCs w:val="0"/>
          <w:szCs w:val="28"/>
        </w:rPr>
        <w:t xml:space="preserve">кандидат, </w:t>
      </w:r>
      <w:r w:rsidR="001621C0" w:rsidRPr="001416ED">
        <w:rPr>
          <w:b w:val="0"/>
          <w:bCs w:val="0"/>
          <w:szCs w:val="28"/>
        </w:rPr>
        <w:t xml:space="preserve">який </w:t>
      </w:r>
      <w:r w:rsidRPr="001416ED">
        <w:rPr>
          <w:b w:val="0"/>
          <w:bCs w:val="0"/>
          <w:szCs w:val="28"/>
        </w:rPr>
        <w:t>мож</w:t>
      </w:r>
      <w:r w:rsidR="001621C0" w:rsidRPr="001416ED">
        <w:rPr>
          <w:b w:val="0"/>
          <w:bCs w:val="0"/>
          <w:szCs w:val="28"/>
        </w:rPr>
        <w:t>е</w:t>
      </w:r>
      <w:r w:rsidRPr="001416ED">
        <w:rPr>
          <w:b w:val="0"/>
          <w:bCs w:val="0"/>
          <w:szCs w:val="28"/>
        </w:rPr>
        <w:t xml:space="preserve"> бути прямо або побічно залучен</w:t>
      </w:r>
      <w:r w:rsidR="001621C0" w:rsidRPr="001416ED">
        <w:rPr>
          <w:b w:val="0"/>
          <w:bCs w:val="0"/>
          <w:szCs w:val="28"/>
        </w:rPr>
        <w:t>ий</w:t>
      </w:r>
      <w:r w:rsidRPr="001416ED">
        <w:rPr>
          <w:b w:val="0"/>
          <w:bCs w:val="0"/>
          <w:szCs w:val="28"/>
        </w:rPr>
        <w:t xml:space="preserve"> в розвиток </w:t>
      </w:r>
      <w:r w:rsidR="00827384" w:rsidRPr="001416ED">
        <w:rPr>
          <w:b w:val="0"/>
          <w:bCs w:val="0"/>
          <w:szCs w:val="28"/>
        </w:rPr>
        <w:t>ЕГ</w:t>
      </w:r>
      <w:r w:rsidR="009D3174" w:rsidRPr="001416ED">
        <w:rPr>
          <w:b w:val="0"/>
          <w:bCs w:val="0"/>
          <w:szCs w:val="28"/>
        </w:rPr>
        <w:t xml:space="preserve"> – ген ЕТ</w:t>
      </w:r>
      <w:r w:rsidR="00BC0119" w:rsidRPr="001416ED">
        <w:rPr>
          <w:b w:val="0"/>
          <w:bCs w:val="0"/>
          <w:szCs w:val="28"/>
        </w:rPr>
        <w:t>–</w:t>
      </w:r>
      <w:r w:rsidR="009D3174" w:rsidRPr="001416ED">
        <w:rPr>
          <w:b w:val="0"/>
          <w:bCs w:val="0"/>
          <w:szCs w:val="28"/>
        </w:rPr>
        <w:t>1</w:t>
      </w:r>
      <w:r w:rsidR="00435648" w:rsidRPr="001416ED">
        <w:rPr>
          <w:b w:val="0"/>
          <w:bCs w:val="0"/>
          <w:szCs w:val="28"/>
        </w:rPr>
        <w:t>, який</w:t>
      </w:r>
      <w:r w:rsidR="00F91C8C" w:rsidRPr="001416ED">
        <w:rPr>
          <w:b w:val="0"/>
          <w:bCs w:val="0"/>
          <w:szCs w:val="28"/>
        </w:rPr>
        <w:t xml:space="preserve"> обумовлює концентрацію в плазмі  </w:t>
      </w:r>
      <w:r w:rsidR="00435648" w:rsidRPr="001416ED">
        <w:rPr>
          <w:b w:val="0"/>
          <w:bCs w:val="0"/>
          <w:szCs w:val="28"/>
        </w:rPr>
        <w:t>потужного вазоконстриктора – ЕТ</w:t>
      </w:r>
      <w:r w:rsidR="00BC0119" w:rsidRPr="001416ED">
        <w:rPr>
          <w:b w:val="0"/>
          <w:bCs w:val="0"/>
          <w:szCs w:val="28"/>
        </w:rPr>
        <w:t>–</w:t>
      </w:r>
      <w:r w:rsidR="00435648" w:rsidRPr="001416ED">
        <w:rPr>
          <w:b w:val="0"/>
          <w:bCs w:val="0"/>
          <w:szCs w:val="28"/>
        </w:rPr>
        <w:t>1</w:t>
      </w:r>
      <w:r w:rsidRPr="001416ED">
        <w:rPr>
          <w:b w:val="0"/>
          <w:bCs w:val="0"/>
          <w:szCs w:val="28"/>
        </w:rPr>
        <w:t>. Аналіз</w:t>
      </w:r>
      <w:r w:rsidR="00FC2F7E" w:rsidRPr="001416ED">
        <w:rPr>
          <w:b w:val="0"/>
          <w:bCs w:val="0"/>
          <w:szCs w:val="28"/>
        </w:rPr>
        <w:t xml:space="preserve"> асоціації гена </w:t>
      </w:r>
      <w:r w:rsidR="008D61A7" w:rsidRPr="001416ED">
        <w:rPr>
          <w:b w:val="0"/>
          <w:bCs w:val="0"/>
          <w:szCs w:val="28"/>
        </w:rPr>
        <w:t>та ГХ</w:t>
      </w:r>
      <w:r w:rsidR="00FC2F7E" w:rsidRPr="001416ED">
        <w:rPr>
          <w:b w:val="0"/>
          <w:bCs w:val="0"/>
          <w:szCs w:val="28"/>
        </w:rPr>
        <w:t>, а також</w:t>
      </w:r>
      <w:r w:rsidRPr="001416ED">
        <w:rPr>
          <w:b w:val="0"/>
          <w:bCs w:val="0"/>
          <w:szCs w:val="28"/>
        </w:rPr>
        <w:t xml:space="preserve"> подальша оцінка індивідуального генетичного ризику мають важливе значення для розробки диференційованого підходу до профілактики та лікування даної патології та її ускладнень. Розробка стратегії ранньої доклінічної діагностики на сьогоднішній момент є одним з найбільш актуальних прогресивних підходів, що визначає перспективи і можливості прогнозування і проведення превентивної терапії </w:t>
      </w:r>
      <w:r w:rsidR="00827384" w:rsidRPr="001416ED">
        <w:rPr>
          <w:b w:val="0"/>
          <w:bCs w:val="0"/>
          <w:szCs w:val="28"/>
        </w:rPr>
        <w:t>ГХ</w:t>
      </w:r>
      <w:r w:rsidRPr="001416ED">
        <w:rPr>
          <w:b w:val="0"/>
          <w:bCs w:val="0"/>
          <w:szCs w:val="28"/>
        </w:rPr>
        <w:t xml:space="preserve"> з використанням генетичних </w:t>
      </w:r>
      <w:r w:rsidR="00827384" w:rsidRPr="001416ED">
        <w:rPr>
          <w:b w:val="0"/>
          <w:bCs w:val="0"/>
          <w:szCs w:val="28"/>
        </w:rPr>
        <w:t>пре</w:t>
      </w:r>
      <w:r w:rsidR="006050AE" w:rsidRPr="001416ED">
        <w:rPr>
          <w:b w:val="0"/>
          <w:bCs w:val="0"/>
          <w:szCs w:val="28"/>
        </w:rPr>
        <w:t>дикторів. Тому</w:t>
      </w:r>
      <w:r w:rsidR="0061223C" w:rsidRPr="001416ED">
        <w:rPr>
          <w:b w:val="0"/>
          <w:bCs w:val="0"/>
          <w:szCs w:val="28"/>
        </w:rPr>
        <w:t>,</w:t>
      </w:r>
      <w:r w:rsidR="006050AE" w:rsidRPr="001416ED">
        <w:rPr>
          <w:b w:val="0"/>
          <w:bCs w:val="0"/>
          <w:szCs w:val="28"/>
        </w:rPr>
        <w:t xml:space="preserve"> було вирішено провести дослідження поліморфізму </w:t>
      </w:r>
      <w:r w:rsidR="006050AE" w:rsidRPr="001416ED">
        <w:rPr>
          <w:b w:val="0"/>
          <w:szCs w:val="28"/>
        </w:rPr>
        <w:t>Lys198Asn гена ЕТ</w:t>
      </w:r>
      <w:r w:rsidR="00BC0119" w:rsidRPr="001416ED">
        <w:rPr>
          <w:b w:val="0"/>
          <w:szCs w:val="28"/>
        </w:rPr>
        <w:t>–</w:t>
      </w:r>
      <w:r w:rsidR="006050AE" w:rsidRPr="001416ED">
        <w:rPr>
          <w:b w:val="0"/>
          <w:szCs w:val="28"/>
        </w:rPr>
        <w:t>1</w:t>
      </w:r>
      <w:r w:rsidR="00EC5B42" w:rsidRPr="001416ED">
        <w:rPr>
          <w:b w:val="0"/>
          <w:szCs w:val="28"/>
        </w:rPr>
        <w:t xml:space="preserve"> та асоційовані з ним концентрації ЕТ</w:t>
      </w:r>
      <w:r w:rsidR="00BC0119" w:rsidRPr="001416ED">
        <w:rPr>
          <w:b w:val="0"/>
          <w:szCs w:val="28"/>
        </w:rPr>
        <w:t>–</w:t>
      </w:r>
      <w:r w:rsidR="00EC5B42" w:rsidRPr="001416ED">
        <w:rPr>
          <w:b w:val="0"/>
          <w:szCs w:val="28"/>
        </w:rPr>
        <w:t>1</w:t>
      </w:r>
      <w:r w:rsidR="00827384" w:rsidRPr="001416ED">
        <w:rPr>
          <w:b w:val="0"/>
          <w:szCs w:val="28"/>
        </w:rPr>
        <w:t xml:space="preserve"> у пацієнтів групи контролю</w:t>
      </w:r>
      <w:r w:rsidR="00791336" w:rsidRPr="001416ED">
        <w:rPr>
          <w:b w:val="0"/>
          <w:szCs w:val="28"/>
        </w:rPr>
        <w:t xml:space="preserve"> (практично здорових осіб у відношенні серцево</w:t>
      </w:r>
      <w:r w:rsidR="00BC0119" w:rsidRPr="001416ED">
        <w:rPr>
          <w:b w:val="0"/>
          <w:szCs w:val="28"/>
        </w:rPr>
        <w:t>–</w:t>
      </w:r>
      <w:r w:rsidR="00791336" w:rsidRPr="001416ED">
        <w:rPr>
          <w:b w:val="0"/>
          <w:szCs w:val="28"/>
        </w:rPr>
        <w:t>судинної патології)</w:t>
      </w:r>
      <w:r w:rsidR="006050AE" w:rsidRPr="001416ED">
        <w:rPr>
          <w:b w:val="0"/>
          <w:szCs w:val="28"/>
        </w:rPr>
        <w:t>.</w:t>
      </w:r>
    </w:p>
    <w:p w:rsidR="002C3B32" w:rsidRPr="001416ED" w:rsidRDefault="002C3B32" w:rsidP="004626FE">
      <w:pPr>
        <w:spacing w:after="240" w:line="360" w:lineRule="auto"/>
        <w:ind w:firstLine="708"/>
        <w:jc w:val="both"/>
        <w:rPr>
          <w:b/>
          <w:lang w:val="uk-UA"/>
        </w:rPr>
      </w:pPr>
      <w:r w:rsidRPr="001416ED">
        <w:rPr>
          <w:b/>
          <w:lang w:val="uk-UA"/>
        </w:rPr>
        <w:t>3.1. Варіанти успадкування гена ЕТ</w:t>
      </w:r>
      <w:r w:rsidR="00BC0119" w:rsidRPr="001416ED">
        <w:rPr>
          <w:b/>
          <w:lang w:val="uk-UA"/>
        </w:rPr>
        <w:t>–</w:t>
      </w:r>
      <w:r w:rsidRPr="001416ED">
        <w:rPr>
          <w:b/>
          <w:lang w:val="uk-UA"/>
        </w:rPr>
        <w:t>1 серед чоловіків</w:t>
      </w:r>
      <w:r w:rsidR="00F5358D" w:rsidRPr="001416ED">
        <w:rPr>
          <w:b/>
          <w:lang w:val="uk-UA"/>
        </w:rPr>
        <w:t xml:space="preserve"> ко</w:t>
      </w:r>
      <w:r w:rsidR="00825093" w:rsidRPr="001416ED">
        <w:rPr>
          <w:b/>
          <w:lang w:val="uk-UA"/>
        </w:rPr>
        <w:t>н</w:t>
      </w:r>
      <w:r w:rsidR="00F5358D" w:rsidRPr="001416ED">
        <w:rPr>
          <w:b/>
          <w:lang w:val="uk-UA"/>
        </w:rPr>
        <w:t>трольної групи</w:t>
      </w:r>
      <w:r w:rsidRPr="001416ED">
        <w:rPr>
          <w:b/>
          <w:lang w:val="uk-UA"/>
        </w:rPr>
        <w:t>, мешканців Подільського регіону</w:t>
      </w:r>
      <w:r w:rsidR="00E77CD7" w:rsidRPr="001416ED">
        <w:rPr>
          <w:b/>
          <w:lang w:val="uk-UA"/>
        </w:rPr>
        <w:t xml:space="preserve"> України</w:t>
      </w:r>
    </w:p>
    <w:p w:rsidR="00154AFA" w:rsidRPr="001416ED" w:rsidRDefault="00154AFA" w:rsidP="009D05AE">
      <w:pPr>
        <w:pStyle w:val="a3"/>
        <w:spacing w:after="0" w:line="360" w:lineRule="auto"/>
        <w:ind w:left="0" w:firstLine="708"/>
        <w:jc w:val="both"/>
        <w:rPr>
          <w:lang w:val="uk-UA"/>
        </w:rPr>
      </w:pPr>
      <w:r w:rsidRPr="001416ED">
        <w:rPr>
          <w:lang w:val="uk-UA"/>
        </w:rPr>
        <w:t xml:space="preserve">Розподіл частот генотипів та алелей гена </w:t>
      </w:r>
      <w:r w:rsidR="007363DC" w:rsidRPr="001416ED">
        <w:rPr>
          <w:bCs/>
          <w:lang w:val="uk-UA"/>
        </w:rPr>
        <w:t>ЕТ</w:t>
      </w:r>
      <w:r w:rsidR="00BC0119" w:rsidRPr="001416ED">
        <w:rPr>
          <w:bCs/>
          <w:lang w:val="uk-UA"/>
        </w:rPr>
        <w:t>–</w:t>
      </w:r>
      <w:r w:rsidR="007363DC" w:rsidRPr="001416ED">
        <w:rPr>
          <w:bCs/>
          <w:lang w:val="uk-UA"/>
        </w:rPr>
        <w:t>1</w:t>
      </w:r>
      <w:r w:rsidRPr="001416ED">
        <w:rPr>
          <w:lang w:val="uk-UA"/>
        </w:rPr>
        <w:t xml:space="preserve"> серед </w:t>
      </w:r>
      <w:r w:rsidR="007363DC" w:rsidRPr="001416ED">
        <w:rPr>
          <w:lang w:val="uk-UA"/>
        </w:rPr>
        <w:t>чоловіків</w:t>
      </w:r>
      <w:r w:rsidR="00F5358D" w:rsidRPr="001416ED">
        <w:rPr>
          <w:lang w:val="uk-UA"/>
        </w:rPr>
        <w:t xml:space="preserve"> контрольної групи</w:t>
      </w:r>
      <w:r w:rsidRPr="001416ED">
        <w:rPr>
          <w:lang w:val="uk-UA"/>
        </w:rPr>
        <w:t xml:space="preserve"> відповідав рівновазі Харді</w:t>
      </w:r>
      <w:r w:rsidR="00BC0119" w:rsidRPr="001416ED">
        <w:rPr>
          <w:lang w:val="uk-UA"/>
        </w:rPr>
        <w:t>–</w:t>
      </w:r>
      <w:r w:rsidRPr="001416ED">
        <w:rPr>
          <w:lang w:val="uk-UA"/>
        </w:rPr>
        <w:t>Вайнберга.</w:t>
      </w:r>
      <w:r w:rsidRPr="001416ED">
        <w:rPr>
          <w:b/>
          <w:lang w:val="uk-UA"/>
        </w:rPr>
        <w:t xml:space="preserve"> </w:t>
      </w:r>
      <w:r w:rsidRPr="001416ED">
        <w:t xml:space="preserve">Відбір осіб до </w:t>
      </w:r>
      <w:r w:rsidR="00F5358D" w:rsidRPr="001416ED">
        <w:rPr>
          <w:lang w:val="uk-UA"/>
        </w:rPr>
        <w:t>даної</w:t>
      </w:r>
      <w:r w:rsidRPr="001416ED">
        <w:t xml:space="preserve"> групи проводився шляхом детального збору анамнезу та обстеження із використанням стандартних клінічних, інструментальних та лабораторних методів</w:t>
      </w:r>
      <w:r w:rsidR="007363DC" w:rsidRPr="001416ED">
        <w:rPr>
          <w:lang w:val="uk-UA"/>
        </w:rPr>
        <w:t xml:space="preserve"> дослідження</w:t>
      </w:r>
      <w:r w:rsidRPr="001416ED">
        <w:t xml:space="preserve">. Всі </w:t>
      </w:r>
      <w:r w:rsidR="007363DC" w:rsidRPr="001416ED">
        <w:rPr>
          <w:lang w:val="uk-UA"/>
        </w:rPr>
        <w:t>чоловіки</w:t>
      </w:r>
      <w:r w:rsidRPr="001416ED">
        <w:t>, які увійшли до контрольної групи, були обстежені на базі Вінницького обласного</w:t>
      </w:r>
      <w:r w:rsidRPr="001416ED">
        <w:rPr>
          <w:lang w:val="uk-UA"/>
        </w:rPr>
        <w:t xml:space="preserve"> спеціалізованого</w:t>
      </w:r>
      <w:r w:rsidRPr="001416ED">
        <w:t xml:space="preserve"> клінічного диспансеру радіаційного захисту населення </w:t>
      </w:r>
      <w:r w:rsidR="007363DC" w:rsidRPr="001416ED">
        <w:t>МОЗ України, Військо</w:t>
      </w:r>
      <w:r w:rsidR="009D05AE" w:rsidRPr="001416ED">
        <w:t>во</w:t>
      </w:r>
      <w:r w:rsidR="00BC0119" w:rsidRPr="001416ED">
        <w:t>–</w:t>
      </w:r>
      <w:r w:rsidR="009D05AE" w:rsidRPr="001416ED">
        <w:t>медичному</w:t>
      </w:r>
      <w:r w:rsidR="00CB766A" w:rsidRPr="001416ED">
        <w:rPr>
          <w:lang w:val="uk-UA"/>
        </w:rPr>
        <w:t xml:space="preserve"> клінічному</w:t>
      </w:r>
      <w:r w:rsidR="009D05AE" w:rsidRPr="001416ED">
        <w:t xml:space="preserve"> центрі Центральног</w:t>
      </w:r>
      <w:r w:rsidR="009D05AE" w:rsidRPr="001416ED">
        <w:rPr>
          <w:lang w:val="uk-UA"/>
        </w:rPr>
        <w:t>о</w:t>
      </w:r>
      <w:r w:rsidR="007363DC" w:rsidRPr="001416ED">
        <w:t xml:space="preserve"> регіону Військово</w:t>
      </w:r>
      <w:r w:rsidR="00BC0119" w:rsidRPr="001416ED">
        <w:t>–</w:t>
      </w:r>
      <w:r w:rsidR="007363DC" w:rsidRPr="001416ED">
        <w:t xml:space="preserve">повітряних сил України (м. Вінниця) </w:t>
      </w:r>
      <w:r w:rsidRPr="001416ED">
        <w:t xml:space="preserve">згідно критеріям, приведеним у розділі 2. </w:t>
      </w:r>
    </w:p>
    <w:p w:rsidR="00154AFA" w:rsidRPr="001416ED" w:rsidRDefault="00154AFA" w:rsidP="00154AFA">
      <w:pPr>
        <w:spacing w:line="360" w:lineRule="auto"/>
        <w:ind w:firstLine="720"/>
        <w:contextualSpacing/>
        <w:jc w:val="both"/>
        <w:rPr>
          <w:lang w:val="uk-UA"/>
        </w:rPr>
      </w:pPr>
      <w:r w:rsidRPr="001416ED">
        <w:lastRenderedPageBreak/>
        <w:t xml:space="preserve">Розподіл частот </w:t>
      </w:r>
      <w:r w:rsidR="00F40216">
        <w:t xml:space="preserve"> варіантів гена</w:t>
      </w:r>
      <w:r w:rsidRPr="001416ED">
        <w:t xml:space="preserve"> </w:t>
      </w:r>
      <w:r w:rsidR="002263DD" w:rsidRPr="001416ED">
        <w:rPr>
          <w:lang w:val="uk-UA"/>
        </w:rPr>
        <w:t>ЕТ</w:t>
      </w:r>
      <w:r w:rsidR="00BC0119" w:rsidRPr="001416ED">
        <w:rPr>
          <w:lang w:val="uk-UA"/>
        </w:rPr>
        <w:t>–</w:t>
      </w:r>
      <w:r w:rsidR="002263DD" w:rsidRPr="001416ED">
        <w:rPr>
          <w:lang w:val="uk-UA"/>
        </w:rPr>
        <w:t>1</w:t>
      </w:r>
      <w:r w:rsidRPr="001416ED">
        <w:t xml:space="preserve"> серед </w:t>
      </w:r>
      <w:r w:rsidR="009054AA" w:rsidRPr="001416ED">
        <w:rPr>
          <w:lang w:val="uk-UA"/>
        </w:rPr>
        <w:t>чоловіків</w:t>
      </w:r>
      <w:r w:rsidR="00F5358D" w:rsidRPr="001416ED">
        <w:rPr>
          <w:lang w:val="uk-UA"/>
        </w:rPr>
        <w:t xml:space="preserve"> групи </w:t>
      </w:r>
      <w:r w:rsidR="00472F94" w:rsidRPr="001416ED">
        <w:rPr>
          <w:lang w:val="uk-UA"/>
        </w:rPr>
        <w:t>контролю</w:t>
      </w:r>
      <w:r w:rsidRPr="001416ED">
        <w:t>, мешкан</w:t>
      </w:r>
      <w:r w:rsidR="002263DD" w:rsidRPr="001416ED">
        <w:rPr>
          <w:lang w:val="uk-UA"/>
        </w:rPr>
        <w:t>ців</w:t>
      </w:r>
      <w:proofErr w:type="gramStart"/>
      <w:r w:rsidRPr="001416ED">
        <w:t xml:space="preserve"> </w:t>
      </w:r>
      <w:r w:rsidR="002263DD" w:rsidRPr="001416ED">
        <w:rPr>
          <w:lang w:val="uk-UA"/>
        </w:rPr>
        <w:t>П</w:t>
      </w:r>
      <w:proofErr w:type="gramEnd"/>
      <w:r w:rsidR="002263DD" w:rsidRPr="001416ED">
        <w:rPr>
          <w:lang w:val="uk-UA"/>
        </w:rPr>
        <w:t>одільського регіону</w:t>
      </w:r>
      <w:r w:rsidRPr="001416ED">
        <w:t xml:space="preserve"> представлений у табл. 3.1</w:t>
      </w:r>
      <w:r w:rsidR="00EC03FB" w:rsidRPr="001416ED">
        <w:rPr>
          <w:lang w:val="uk-UA"/>
        </w:rPr>
        <w:t>.</w:t>
      </w:r>
    </w:p>
    <w:p w:rsidR="009D05AE" w:rsidRPr="001416ED" w:rsidRDefault="009D05AE" w:rsidP="009D05AE">
      <w:pPr>
        <w:spacing w:line="360" w:lineRule="auto"/>
        <w:ind w:firstLine="720"/>
        <w:contextualSpacing/>
        <w:jc w:val="right"/>
        <w:rPr>
          <w:b/>
          <w:lang w:val="uk-UA"/>
        </w:rPr>
      </w:pPr>
      <w:r w:rsidRPr="001416ED">
        <w:rPr>
          <w:b/>
          <w:lang w:val="uk-UA"/>
        </w:rPr>
        <w:t>Таблиця 3.1</w:t>
      </w:r>
    </w:p>
    <w:p w:rsidR="005C44C7" w:rsidRPr="001416ED" w:rsidRDefault="00C837F8" w:rsidP="005C44C7">
      <w:pPr>
        <w:spacing w:line="360" w:lineRule="auto"/>
        <w:ind w:firstLine="720"/>
        <w:contextualSpacing/>
        <w:jc w:val="center"/>
        <w:rPr>
          <w:b/>
          <w:lang w:val="uk-UA"/>
        </w:rPr>
      </w:pPr>
      <w:r w:rsidRPr="001416ED">
        <w:rPr>
          <w:b/>
          <w:lang w:val="uk-UA"/>
        </w:rPr>
        <w:t xml:space="preserve">Частота </w:t>
      </w:r>
      <w:r w:rsidR="00CF0191">
        <w:rPr>
          <w:b/>
          <w:lang w:val="uk-UA"/>
        </w:rPr>
        <w:t>поліморфних</w:t>
      </w:r>
      <w:r w:rsidR="00F40216">
        <w:rPr>
          <w:b/>
          <w:lang w:val="uk-UA"/>
        </w:rPr>
        <w:t xml:space="preserve"> варіантів гена</w:t>
      </w:r>
      <w:r w:rsidR="005C44C7" w:rsidRPr="001416ED">
        <w:rPr>
          <w:b/>
          <w:lang w:val="uk-UA"/>
        </w:rPr>
        <w:t xml:space="preserve"> ЕТ</w:t>
      </w:r>
      <w:r w:rsidR="00BC0119" w:rsidRPr="001416ED">
        <w:rPr>
          <w:b/>
          <w:lang w:val="uk-UA"/>
        </w:rPr>
        <w:t>–</w:t>
      </w:r>
      <w:r w:rsidR="005C44C7" w:rsidRPr="001416ED">
        <w:rPr>
          <w:b/>
          <w:lang w:val="uk-UA"/>
        </w:rPr>
        <w:t>1 серед чоловіків</w:t>
      </w:r>
      <w:r w:rsidR="009441BA" w:rsidRPr="001416ED">
        <w:rPr>
          <w:b/>
          <w:lang w:val="uk-UA"/>
        </w:rPr>
        <w:t xml:space="preserve"> групи ко</w:t>
      </w:r>
      <w:r w:rsidR="009767A8" w:rsidRPr="001416ED">
        <w:rPr>
          <w:b/>
          <w:lang w:val="uk-UA"/>
        </w:rPr>
        <w:t>н</w:t>
      </w:r>
      <w:r w:rsidR="009441BA" w:rsidRPr="001416ED">
        <w:rPr>
          <w:b/>
          <w:lang w:val="uk-UA"/>
        </w:rPr>
        <w:t>тролю</w:t>
      </w:r>
      <w:r w:rsidR="005C44C7" w:rsidRPr="001416ED">
        <w:rPr>
          <w:b/>
          <w:lang w:val="uk-UA"/>
        </w:rPr>
        <w:t>, мешканців Подільського регіону</w:t>
      </w:r>
      <w:r w:rsidR="00A66A09" w:rsidRPr="001416ED">
        <w:rPr>
          <w:b/>
          <w:lang w:val="uk-UA"/>
        </w:rPr>
        <w:t>, (</w:t>
      </w:r>
      <w:r w:rsidR="00D4219F" w:rsidRPr="001416ED">
        <w:rPr>
          <w:b/>
          <w:lang w:val="uk-UA"/>
        </w:rPr>
        <w:t>%</w:t>
      </w:r>
      <w:r w:rsidR="00A66A09" w:rsidRPr="001416ED">
        <w:rPr>
          <w:b/>
          <w:lang w:val="uk-UA"/>
        </w:rPr>
        <w:t xml:space="preserve">) </w:t>
      </w:r>
    </w:p>
    <w:tbl>
      <w:tblPr>
        <w:tblStyle w:val="af5"/>
        <w:tblW w:w="0" w:type="auto"/>
        <w:tblLook w:val="04A0" w:firstRow="1" w:lastRow="0" w:firstColumn="1" w:lastColumn="0" w:noHBand="0" w:noVBand="1"/>
      </w:tblPr>
      <w:tblGrid>
        <w:gridCol w:w="1809"/>
        <w:gridCol w:w="1701"/>
        <w:gridCol w:w="1843"/>
        <w:gridCol w:w="1701"/>
        <w:gridCol w:w="3084"/>
      </w:tblGrid>
      <w:tr w:rsidR="001876C5" w:rsidRPr="001416ED" w:rsidTr="003970FE">
        <w:tc>
          <w:tcPr>
            <w:tcW w:w="1809" w:type="dxa"/>
          </w:tcPr>
          <w:p w:rsidR="001876C5" w:rsidRPr="001416ED" w:rsidRDefault="001876C5" w:rsidP="001E56E0">
            <w:pPr>
              <w:spacing w:line="360" w:lineRule="auto"/>
              <w:jc w:val="center"/>
              <w:rPr>
                <w:b/>
              </w:rPr>
            </w:pPr>
            <w:r w:rsidRPr="001416ED">
              <w:rPr>
                <w:b/>
              </w:rPr>
              <w:t>Група</w:t>
            </w:r>
          </w:p>
        </w:tc>
        <w:tc>
          <w:tcPr>
            <w:tcW w:w="1701" w:type="dxa"/>
          </w:tcPr>
          <w:p w:rsidR="001876C5" w:rsidRPr="001416ED" w:rsidRDefault="001876C5" w:rsidP="001E56E0">
            <w:pPr>
              <w:spacing w:line="360" w:lineRule="auto"/>
              <w:jc w:val="center"/>
              <w:rPr>
                <w:b/>
                <w:lang w:val="en-US"/>
              </w:rPr>
            </w:pPr>
            <w:r w:rsidRPr="001416ED">
              <w:rPr>
                <w:b/>
              </w:rPr>
              <w:t xml:space="preserve">Носії </w:t>
            </w:r>
            <w:r w:rsidR="00207366" w:rsidRPr="001416ED">
              <w:rPr>
                <w:b/>
              </w:rPr>
              <w:t>генотипу</w:t>
            </w:r>
            <w:r w:rsidR="00207366" w:rsidRPr="001416ED">
              <w:rPr>
                <w:b/>
                <w:lang w:val="en-US"/>
              </w:rPr>
              <w:t xml:space="preserve"> </w:t>
            </w:r>
            <w:r w:rsidRPr="001416ED">
              <w:rPr>
                <w:b/>
                <w:lang w:val="en-US"/>
              </w:rPr>
              <w:t>Lys</w:t>
            </w:r>
            <w:r w:rsidRPr="001416ED">
              <w:rPr>
                <w:b/>
              </w:rPr>
              <w:t>/</w:t>
            </w:r>
            <w:r w:rsidRPr="001416ED">
              <w:rPr>
                <w:b/>
                <w:lang w:val="en-US"/>
              </w:rPr>
              <w:t>Lys</w:t>
            </w:r>
          </w:p>
        </w:tc>
        <w:tc>
          <w:tcPr>
            <w:tcW w:w="1843" w:type="dxa"/>
          </w:tcPr>
          <w:p w:rsidR="001876C5" w:rsidRPr="001416ED" w:rsidRDefault="001876C5" w:rsidP="001E56E0">
            <w:pPr>
              <w:spacing w:line="360" w:lineRule="auto"/>
              <w:jc w:val="center"/>
              <w:rPr>
                <w:b/>
                <w:lang w:val="en-US"/>
              </w:rPr>
            </w:pPr>
            <w:r w:rsidRPr="001416ED">
              <w:rPr>
                <w:b/>
              </w:rPr>
              <w:t xml:space="preserve">Носії  генотипу </w:t>
            </w:r>
            <w:r w:rsidRPr="001416ED">
              <w:rPr>
                <w:b/>
                <w:lang w:val="en-US"/>
              </w:rPr>
              <w:t xml:space="preserve"> Lys</w:t>
            </w:r>
            <w:r w:rsidRPr="001416ED">
              <w:rPr>
                <w:b/>
              </w:rPr>
              <w:t>/</w:t>
            </w:r>
            <w:r w:rsidRPr="001416ED">
              <w:rPr>
                <w:b/>
                <w:lang w:val="en-US"/>
              </w:rPr>
              <w:t>Asn</w:t>
            </w:r>
          </w:p>
        </w:tc>
        <w:tc>
          <w:tcPr>
            <w:tcW w:w="1701" w:type="dxa"/>
          </w:tcPr>
          <w:p w:rsidR="001876C5" w:rsidRPr="001416ED" w:rsidRDefault="001876C5" w:rsidP="001E56E0">
            <w:pPr>
              <w:spacing w:line="360" w:lineRule="auto"/>
              <w:jc w:val="center"/>
              <w:rPr>
                <w:b/>
              </w:rPr>
            </w:pPr>
            <w:r w:rsidRPr="001416ED">
              <w:rPr>
                <w:b/>
              </w:rPr>
              <w:t xml:space="preserve">Носії  генотипу </w:t>
            </w:r>
            <w:r w:rsidRPr="001416ED">
              <w:rPr>
                <w:b/>
                <w:lang w:val="en-US"/>
              </w:rPr>
              <w:t xml:space="preserve">  Asn</w:t>
            </w:r>
            <w:r w:rsidRPr="001416ED">
              <w:rPr>
                <w:b/>
              </w:rPr>
              <w:t>/</w:t>
            </w:r>
            <w:r w:rsidRPr="001416ED">
              <w:rPr>
                <w:b/>
                <w:lang w:val="en-US"/>
              </w:rPr>
              <w:t>Asn</w:t>
            </w:r>
          </w:p>
        </w:tc>
        <w:tc>
          <w:tcPr>
            <w:tcW w:w="3084" w:type="dxa"/>
          </w:tcPr>
          <w:p w:rsidR="001876C5" w:rsidRPr="001416ED" w:rsidRDefault="001876C5" w:rsidP="001E56E0">
            <w:pPr>
              <w:spacing w:line="360" w:lineRule="auto"/>
              <w:jc w:val="center"/>
              <w:rPr>
                <w:b/>
              </w:rPr>
            </w:pPr>
            <w:r w:rsidRPr="001416ED">
              <w:rPr>
                <w:b/>
              </w:rPr>
              <w:t>р</w:t>
            </w:r>
          </w:p>
        </w:tc>
      </w:tr>
      <w:tr w:rsidR="001876C5" w:rsidRPr="001416ED" w:rsidTr="003970FE">
        <w:tc>
          <w:tcPr>
            <w:tcW w:w="1809" w:type="dxa"/>
          </w:tcPr>
          <w:p w:rsidR="001876C5" w:rsidRPr="001416ED" w:rsidRDefault="009441BA" w:rsidP="005D74C1">
            <w:pPr>
              <w:spacing w:line="360" w:lineRule="auto"/>
              <w:jc w:val="both"/>
            </w:pPr>
            <w:r w:rsidRPr="001416ED">
              <w:rPr>
                <w:lang w:val="uk-UA"/>
              </w:rPr>
              <w:t xml:space="preserve">Контрольна група </w:t>
            </w:r>
            <w:r w:rsidR="001876C5" w:rsidRPr="001416ED">
              <w:t>(</w:t>
            </w:r>
            <w:r w:rsidR="001876C5" w:rsidRPr="001416ED">
              <w:rPr>
                <w:lang w:val="en-US"/>
              </w:rPr>
              <w:t>n</w:t>
            </w:r>
            <w:r w:rsidR="001876C5" w:rsidRPr="001416ED">
              <w:t>=79</w:t>
            </w:r>
            <w:r w:rsidR="001876C5" w:rsidRPr="001416ED">
              <w:rPr>
                <w:lang w:val="en-US"/>
              </w:rPr>
              <w:t>)</w:t>
            </w:r>
          </w:p>
        </w:tc>
        <w:tc>
          <w:tcPr>
            <w:tcW w:w="1701" w:type="dxa"/>
          </w:tcPr>
          <w:p w:rsidR="005D74C1" w:rsidRPr="001416ED" w:rsidRDefault="001876C5" w:rsidP="001E56E0">
            <w:pPr>
              <w:spacing w:line="360" w:lineRule="auto"/>
              <w:jc w:val="center"/>
              <w:rPr>
                <w:lang w:val="uk-UA"/>
              </w:rPr>
            </w:pPr>
            <w:r w:rsidRPr="001416ED">
              <w:t>65,82</w:t>
            </w:r>
            <w:r w:rsidR="00D4219F" w:rsidRPr="001416ED">
              <w:t xml:space="preserve"> %</w:t>
            </w:r>
            <w:r w:rsidRPr="001416ED">
              <w:rPr>
                <w:lang w:val="en-US"/>
              </w:rPr>
              <w:t xml:space="preserve"> </w:t>
            </w:r>
          </w:p>
          <w:p w:rsidR="001876C5" w:rsidRPr="001416ED" w:rsidRDefault="001876C5" w:rsidP="003970FE">
            <w:pPr>
              <w:spacing w:line="360" w:lineRule="auto"/>
              <w:jc w:val="center"/>
            </w:pPr>
            <w:r w:rsidRPr="001416ED">
              <w:rPr>
                <w:lang w:val="uk-UA"/>
              </w:rPr>
              <w:t>(</w:t>
            </w:r>
            <w:r w:rsidRPr="001416ED">
              <w:rPr>
                <w:lang w:val="en-US"/>
              </w:rPr>
              <w:t>n</w:t>
            </w:r>
            <w:r w:rsidRPr="001416ED">
              <w:t>=</w:t>
            </w:r>
            <w:r w:rsidRPr="001416ED">
              <w:rPr>
                <w:lang w:val="en-US"/>
              </w:rPr>
              <w:t>52)</w:t>
            </w:r>
            <w:r w:rsidR="003970FE" w:rsidRPr="001416ED">
              <w:rPr>
                <w:lang w:val="uk-UA"/>
              </w:rPr>
              <w:t xml:space="preserve"> </w:t>
            </w:r>
            <w:r w:rsidRPr="001416ED">
              <w:t>(1)</w:t>
            </w:r>
          </w:p>
        </w:tc>
        <w:tc>
          <w:tcPr>
            <w:tcW w:w="1843" w:type="dxa"/>
          </w:tcPr>
          <w:p w:rsidR="007219DA" w:rsidRPr="001416ED" w:rsidRDefault="001876C5" w:rsidP="001E56E0">
            <w:pPr>
              <w:spacing w:line="360" w:lineRule="auto"/>
              <w:jc w:val="center"/>
              <w:rPr>
                <w:rFonts w:eastAsiaTheme="minorHAnsi"/>
                <w:szCs w:val="24"/>
                <w:lang w:val="uk-UA" w:eastAsia="en-US"/>
              </w:rPr>
            </w:pPr>
            <w:r w:rsidRPr="001416ED">
              <w:t xml:space="preserve"> </w:t>
            </w:r>
            <w:r w:rsidRPr="001416ED">
              <w:rPr>
                <w:rFonts w:eastAsiaTheme="minorHAnsi"/>
                <w:szCs w:val="24"/>
                <w:lang w:val="uk-UA" w:eastAsia="en-US"/>
              </w:rPr>
              <w:t>27,85</w:t>
            </w:r>
            <w:r w:rsidR="00D4219F" w:rsidRPr="001416ED">
              <w:rPr>
                <w:rFonts w:eastAsiaTheme="minorHAnsi"/>
                <w:szCs w:val="24"/>
                <w:lang w:val="uk-UA" w:eastAsia="en-US"/>
              </w:rPr>
              <w:t xml:space="preserve"> %</w:t>
            </w:r>
            <w:r w:rsidRPr="001416ED">
              <w:rPr>
                <w:rFonts w:eastAsiaTheme="minorHAnsi"/>
                <w:szCs w:val="24"/>
                <w:lang w:val="uk-UA" w:eastAsia="en-US"/>
              </w:rPr>
              <w:t xml:space="preserve"> </w:t>
            </w:r>
          </w:p>
          <w:p w:rsidR="001876C5" w:rsidRPr="001416ED" w:rsidRDefault="001876C5" w:rsidP="003970FE">
            <w:pPr>
              <w:spacing w:line="360" w:lineRule="auto"/>
              <w:jc w:val="center"/>
              <w:rPr>
                <w:lang w:val="uk-UA"/>
              </w:rPr>
            </w:pPr>
            <w:r w:rsidRPr="001416ED">
              <w:rPr>
                <w:rFonts w:eastAsiaTheme="minorHAnsi"/>
                <w:szCs w:val="24"/>
                <w:lang w:val="uk-UA" w:eastAsia="en-US"/>
              </w:rPr>
              <w:t>(</w:t>
            </w:r>
            <w:r w:rsidRPr="001416ED">
              <w:rPr>
                <w:rFonts w:eastAsiaTheme="minorHAnsi"/>
                <w:szCs w:val="24"/>
                <w:lang w:eastAsia="en-US"/>
              </w:rPr>
              <w:t>n</w:t>
            </w:r>
            <w:r w:rsidRPr="001416ED">
              <w:rPr>
                <w:rFonts w:eastAsiaTheme="minorHAnsi"/>
                <w:szCs w:val="24"/>
                <w:lang w:val="uk-UA" w:eastAsia="en-US"/>
              </w:rPr>
              <w:t>=22)</w:t>
            </w:r>
            <w:r w:rsidR="003970FE" w:rsidRPr="001416ED">
              <w:rPr>
                <w:rFonts w:eastAsiaTheme="minorHAnsi"/>
                <w:szCs w:val="24"/>
                <w:lang w:val="uk-UA" w:eastAsia="en-US"/>
              </w:rPr>
              <w:t xml:space="preserve"> </w:t>
            </w:r>
            <w:r w:rsidRPr="001416ED">
              <w:rPr>
                <w:lang w:val="uk-UA"/>
              </w:rPr>
              <w:t>(2)</w:t>
            </w:r>
          </w:p>
        </w:tc>
        <w:tc>
          <w:tcPr>
            <w:tcW w:w="1701" w:type="dxa"/>
          </w:tcPr>
          <w:p w:rsidR="007219DA" w:rsidRPr="001416ED" w:rsidRDefault="001876C5" w:rsidP="001E56E0">
            <w:pPr>
              <w:spacing w:line="360" w:lineRule="auto"/>
              <w:jc w:val="center"/>
              <w:rPr>
                <w:rFonts w:eastAsiaTheme="minorHAnsi"/>
                <w:szCs w:val="24"/>
                <w:lang w:val="uk-UA" w:eastAsia="en-US"/>
              </w:rPr>
            </w:pPr>
            <w:r w:rsidRPr="001416ED">
              <w:rPr>
                <w:rFonts w:eastAsiaTheme="minorHAnsi"/>
                <w:szCs w:val="24"/>
                <w:lang w:val="uk-UA" w:eastAsia="en-US"/>
              </w:rPr>
              <w:t>6,33</w:t>
            </w:r>
            <w:r w:rsidR="00D4219F" w:rsidRPr="001416ED">
              <w:rPr>
                <w:rFonts w:eastAsiaTheme="minorHAnsi"/>
                <w:szCs w:val="24"/>
                <w:lang w:val="uk-UA" w:eastAsia="en-US"/>
              </w:rPr>
              <w:t xml:space="preserve"> %</w:t>
            </w:r>
            <w:r w:rsidRPr="001416ED">
              <w:rPr>
                <w:rFonts w:eastAsiaTheme="minorHAnsi"/>
                <w:szCs w:val="24"/>
                <w:lang w:val="uk-UA" w:eastAsia="en-US"/>
              </w:rPr>
              <w:t xml:space="preserve"> </w:t>
            </w:r>
          </w:p>
          <w:p w:rsidR="001876C5" w:rsidRPr="001416ED" w:rsidRDefault="001876C5" w:rsidP="003970FE">
            <w:pPr>
              <w:spacing w:line="360" w:lineRule="auto"/>
              <w:jc w:val="center"/>
            </w:pPr>
            <w:r w:rsidRPr="001416ED">
              <w:rPr>
                <w:rFonts w:eastAsiaTheme="minorHAnsi"/>
                <w:szCs w:val="24"/>
                <w:lang w:val="uk-UA" w:eastAsia="en-US"/>
              </w:rPr>
              <w:t>(</w:t>
            </w:r>
            <w:r w:rsidRPr="001416ED">
              <w:rPr>
                <w:rFonts w:eastAsiaTheme="minorHAnsi"/>
                <w:szCs w:val="24"/>
                <w:lang w:eastAsia="en-US"/>
              </w:rPr>
              <w:t>n</w:t>
            </w:r>
            <w:r w:rsidRPr="001416ED">
              <w:rPr>
                <w:rFonts w:eastAsiaTheme="minorHAnsi"/>
                <w:szCs w:val="24"/>
                <w:lang w:val="uk-UA" w:eastAsia="en-US"/>
              </w:rPr>
              <w:t>=5) (3)</w:t>
            </w:r>
          </w:p>
        </w:tc>
        <w:tc>
          <w:tcPr>
            <w:tcW w:w="3084" w:type="dxa"/>
          </w:tcPr>
          <w:p w:rsidR="001876C5" w:rsidRPr="001416ED" w:rsidRDefault="001876C5" w:rsidP="001E56E0">
            <w:pPr>
              <w:spacing w:line="360" w:lineRule="auto"/>
              <w:jc w:val="center"/>
              <w:rPr>
                <w:lang w:val="uk-UA"/>
              </w:rPr>
            </w:pPr>
            <w:r w:rsidRPr="001416ED">
              <w:t>р</w:t>
            </w:r>
            <w:r w:rsidRPr="001416ED">
              <w:rPr>
                <w:vertAlign w:val="subscript"/>
                <w:lang w:val="uk-UA"/>
              </w:rPr>
              <w:t>2</w:t>
            </w:r>
            <w:r w:rsidR="00BC0119" w:rsidRPr="001416ED">
              <w:rPr>
                <w:vertAlign w:val="subscript"/>
              </w:rPr>
              <w:t>–</w:t>
            </w:r>
            <w:r w:rsidRPr="001416ED">
              <w:rPr>
                <w:vertAlign w:val="subscript"/>
              </w:rPr>
              <w:t>1</w:t>
            </w:r>
            <w:r w:rsidR="007219DA" w:rsidRPr="001416ED">
              <w:t>&lt;0,000</w:t>
            </w:r>
            <w:r w:rsidRPr="001416ED">
              <w:t>1</w:t>
            </w:r>
            <w:r w:rsidR="003970FE" w:rsidRPr="001416ED">
              <w:rPr>
                <w:lang w:val="uk-UA"/>
              </w:rPr>
              <w:t xml:space="preserve">; </w:t>
            </w:r>
            <w:r w:rsidRPr="001416ED">
              <w:t>р</w:t>
            </w:r>
            <w:r w:rsidRPr="001416ED">
              <w:rPr>
                <w:vertAlign w:val="subscript"/>
                <w:lang w:val="uk-UA"/>
              </w:rPr>
              <w:t>3</w:t>
            </w:r>
            <w:r w:rsidR="00BC0119" w:rsidRPr="001416ED">
              <w:rPr>
                <w:vertAlign w:val="subscript"/>
              </w:rPr>
              <w:t>–</w:t>
            </w:r>
            <w:r w:rsidRPr="001416ED">
              <w:rPr>
                <w:vertAlign w:val="subscript"/>
              </w:rPr>
              <w:t>1</w:t>
            </w:r>
            <w:r w:rsidR="007219DA" w:rsidRPr="001416ED">
              <w:t>&lt;0,000</w:t>
            </w:r>
            <w:r w:rsidRPr="001416ED">
              <w:t>1</w:t>
            </w:r>
          </w:p>
          <w:p w:rsidR="001876C5" w:rsidRPr="001416ED" w:rsidRDefault="001876C5" w:rsidP="007219DA">
            <w:pPr>
              <w:spacing w:line="360" w:lineRule="auto"/>
              <w:jc w:val="center"/>
            </w:pPr>
            <w:r w:rsidRPr="001416ED">
              <w:t>р</w:t>
            </w:r>
            <w:r w:rsidRPr="001416ED">
              <w:rPr>
                <w:vertAlign w:val="subscript"/>
                <w:lang w:val="uk-UA"/>
              </w:rPr>
              <w:t>3</w:t>
            </w:r>
            <w:r w:rsidR="00BC0119" w:rsidRPr="001416ED">
              <w:rPr>
                <w:vertAlign w:val="subscript"/>
              </w:rPr>
              <w:t>–</w:t>
            </w:r>
            <w:r w:rsidRPr="001416ED">
              <w:rPr>
                <w:vertAlign w:val="subscript"/>
                <w:lang w:val="uk-UA"/>
              </w:rPr>
              <w:t>2</w:t>
            </w:r>
            <w:r w:rsidRPr="001416ED">
              <w:t>&lt;0,001</w:t>
            </w:r>
          </w:p>
        </w:tc>
      </w:tr>
    </w:tbl>
    <w:p w:rsidR="00515D41" w:rsidRPr="001416ED" w:rsidRDefault="00515D41" w:rsidP="00515D41">
      <w:pPr>
        <w:spacing w:before="240" w:line="360" w:lineRule="auto"/>
        <w:ind w:firstLine="708"/>
        <w:jc w:val="both"/>
        <w:rPr>
          <w:rFonts w:eastAsiaTheme="minorHAnsi"/>
          <w:szCs w:val="24"/>
          <w:lang w:val="uk-UA" w:eastAsia="en-US"/>
        </w:rPr>
      </w:pPr>
      <w:r w:rsidRPr="001416ED">
        <w:rPr>
          <w:rFonts w:eastAsiaTheme="minorHAnsi"/>
          <w:szCs w:val="24"/>
          <w:lang w:val="uk-UA" w:eastAsia="en-US"/>
        </w:rPr>
        <w:t xml:space="preserve">У зв’язку з низькою частотою носійства генотипу </w:t>
      </w:r>
      <w:r w:rsidRPr="001416ED">
        <w:rPr>
          <w:rFonts w:eastAsiaTheme="minorHAnsi"/>
          <w:szCs w:val="24"/>
          <w:lang w:eastAsia="en-US"/>
        </w:rPr>
        <w:t>Asn</w:t>
      </w:r>
      <w:r w:rsidRPr="001416ED">
        <w:rPr>
          <w:rFonts w:eastAsiaTheme="minorHAnsi"/>
          <w:szCs w:val="24"/>
          <w:lang w:val="uk-UA" w:eastAsia="en-US"/>
        </w:rPr>
        <w:t>/</w:t>
      </w:r>
      <w:r w:rsidRPr="001416ED">
        <w:rPr>
          <w:rFonts w:eastAsiaTheme="minorHAnsi"/>
          <w:szCs w:val="24"/>
          <w:lang w:eastAsia="en-US"/>
        </w:rPr>
        <w:t>Asn</w:t>
      </w:r>
      <w:r w:rsidRPr="001416ED">
        <w:rPr>
          <w:rFonts w:eastAsiaTheme="minorHAnsi"/>
          <w:szCs w:val="24"/>
          <w:lang w:val="uk-UA" w:eastAsia="en-US"/>
        </w:rPr>
        <w:t xml:space="preserve">, чоловіки з групи контролю з генотипами </w:t>
      </w:r>
      <w:r w:rsidRPr="001416ED">
        <w:rPr>
          <w:rFonts w:eastAsiaTheme="minorHAnsi"/>
          <w:szCs w:val="24"/>
          <w:lang w:eastAsia="en-US"/>
        </w:rPr>
        <w:t>Lys</w:t>
      </w:r>
      <w:r w:rsidRPr="001416ED">
        <w:rPr>
          <w:rFonts w:eastAsiaTheme="minorHAnsi"/>
          <w:szCs w:val="24"/>
          <w:lang w:val="uk-UA" w:eastAsia="en-US"/>
        </w:rPr>
        <w:t>/</w:t>
      </w:r>
      <w:r w:rsidRPr="001416ED">
        <w:rPr>
          <w:rFonts w:eastAsiaTheme="minorHAnsi"/>
          <w:szCs w:val="24"/>
          <w:lang w:eastAsia="en-US"/>
        </w:rPr>
        <w:t>Asn</w:t>
      </w:r>
      <w:r w:rsidRPr="001416ED">
        <w:rPr>
          <w:rFonts w:eastAsiaTheme="minorHAnsi"/>
          <w:szCs w:val="24"/>
          <w:lang w:val="uk-UA" w:eastAsia="en-US"/>
        </w:rPr>
        <w:t xml:space="preserve"> та </w:t>
      </w:r>
      <w:r w:rsidRPr="001416ED">
        <w:rPr>
          <w:rFonts w:eastAsiaTheme="minorHAnsi"/>
          <w:szCs w:val="24"/>
          <w:lang w:eastAsia="en-US"/>
        </w:rPr>
        <w:t>Asn</w:t>
      </w:r>
      <w:r w:rsidRPr="001416ED">
        <w:rPr>
          <w:rFonts w:eastAsiaTheme="minorHAnsi"/>
          <w:szCs w:val="24"/>
          <w:lang w:val="uk-UA" w:eastAsia="en-US"/>
        </w:rPr>
        <w:t>/</w:t>
      </w:r>
      <w:r w:rsidRPr="001416ED">
        <w:rPr>
          <w:rFonts w:eastAsiaTheme="minorHAnsi"/>
          <w:szCs w:val="24"/>
          <w:lang w:eastAsia="en-US"/>
        </w:rPr>
        <w:t>Asn</w:t>
      </w:r>
      <w:r w:rsidRPr="001416ED">
        <w:rPr>
          <w:rFonts w:eastAsiaTheme="minorHAnsi"/>
          <w:szCs w:val="24"/>
          <w:lang w:val="uk-UA" w:eastAsia="en-US"/>
        </w:rPr>
        <w:t xml:space="preserve"> були об’єднані як носії алелі </w:t>
      </w:r>
      <w:r w:rsidRPr="001416ED">
        <w:rPr>
          <w:rFonts w:eastAsiaTheme="minorHAnsi"/>
          <w:szCs w:val="24"/>
          <w:lang w:eastAsia="en-US"/>
        </w:rPr>
        <w:t>Asn</w:t>
      </w:r>
      <w:r w:rsidRPr="001416ED">
        <w:rPr>
          <w:rFonts w:eastAsiaTheme="minorHAnsi"/>
          <w:szCs w:val="24"/>
          <w:lang w:val="uk-UA" w:eastAsia="en-US"/>
        </w:rPr>
        <w:t xml:space="preserve">   </w:t>
      </w:r>
      <w:r w:rsidR="009235AF" w:rsidRPr="001416ED">
        <w:rPr>
          <w:rFonts w:eastAsiaTheme="minorHAnsi"/>
          <w:szCs w:val="24"/>
          <w:lang w:val="uk-UA" w:eastAsia="en-US"/>
        </w:rPr>
        <w:t>(</w:t>
      </w:r>
      <w:r w:rsidR="000C1009" w:rsidRPr="001416ED">
        <w:rPr>
          <w:lang w:val="uk-UA"/>
        </w:rPr>
        <w:t>рис. 3.1</w:t>
      </w:r>
      <w:r w:rsidR="009235AF" w:rsidRPr="001416ED">
        <w:rPr>
          <w:lang w:val="uk-UA"/>
        </w:rPr>
        <w:t>).</w:t>
      </w:r>
    </w:p>
    <w:p w:rsidR="004573B3" w:rsidRPr="001416ED" w:rsidRDefault="00A9327B" w:rsidP="004573B3">
      <w:pPr>
        <w:spacing w:before="240" w:line="360" w:lineRule="auto"/>
        <w:ind w:firstLine="708"/>
        <w:jc w:val="center"/>
        <w:rPr>
          <w:lang w:val="uk-UA"/>
        </w:rPr>
      </w:pPr>
      <w:r>
        <w:rPr>
          <w:noProof/>
          <w:lang w:val="uk-UA" w:eastAsia="uk-UA"/>
        </w:rPr>
        <w:pict>
          <v:rect id="_x0000_s1039" style="position:absolute;left:0;text-align:left;margin-left:84.6pt;margin-top:86.9pt;width:29.05pt;height:18.8pt;z-index:251669504" filled="f" stroked="f">
            <v:textbox style="mso-next-textbox:#_x0000_s1039">
              <w:txbxContent>
                <w:p w:rsidR="00A9327B" w:rsidRPr="001B628E" w:rsidRDefault="00A9327B">
                  <w:pPr>
                    <w:rPr>
                      <w:rFonts w:ascii="Arial" w:hAnsi="Arial" w:cs="Arial"/>
                      <w:sz w:val="16"/>
                      <w:szCs w:val="16"/>
                      <w:lang w:val="uk-UA"/>
                    </w:rPr>
                  </w:pPr>
                  <w:r w:rsidRPr="001B628E">
                    <w:rPr>
                      <w:rFonts w:ascii="Arial" w:hAnsi="Arial" w:cs="Arial"/>
                      <w:sz w:val="16"/>
                      <w:szCs w:val="16"/>
                      <w:lang w:val="uk-UA"/>
                    </w:rPr>
                    <w:t>%</w:t>
                  </w:r>
                </w:p>
              </w:txbxContent>
            </v:textbox>
          </v:rect>
        </w:pict>
      </w:r>
      <w:r w:rsidR="004573B3" w:rsidRPr="001416ED">
        <w:rPr>
          <w:noProof/>
          <w:lang w:val="uk-UA" w:eastAsia="uk-UA"/>
        </w:rPr>
        <w:drawing>
          <wp:inline distT="0" distB="0" distL="0" distR="0" wp14:anchorId="391FBFD6" wp14:editId="120F4A04">
            <wp:extent cx="4701654" cy="1228299"/>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1009" w:rsidRPr="001416ED" w:rsidRDefault="000C1009" w:rsidP="00CF0191">
      <w:pPr>
        <w:spacing w:before="240" w:line="360" w:lineRule="auto"/>
        <w:ind w:firstLine="720"/>
        <w:contextualSpacing/>
        <w:rPr>
          <w:b/>
          <w:lang w:val="uk-UA"/>
        </w:rPr>
      </w:pPr>
      <w:r w:rsidRPr="001416ED">
        <w:rPr>
          <w:b/>
          <w:lang w:val="uk-UA"/>
        </w:rPr>
        <w:t xml:space="preserve">Рис. 3.1 Частота </w:t>
      </w:r>
      <w:r w:rsidR="00F40216">
        <w:rPr>
          <w:b/>
          <w:lang w:val="uk-UA"/>
        </w:rPr>
        <w:t xml:space="preserve"> варіантів гена</w:t>
      </w:r>
      <w:r w:rsidRPr="001416ED">
        <w:rPr>
          <w:b/>
          <w:lang w:val="uk-UA"/>
        </w:rPr>
        <w:t xml:space="preserve"> ЕТ</w:t>
      </w:r>
      <w:r w:rsidR="00BC0119" w:rsidRPr="001416ED">
        <w:rPr>
          <w:b/>
          <w:lang w:val="uk-UA"/>
        </w:rPr>
        <w:t>–</w:t>
      </w:r>
      <w:r w:rsidRPr="001416ED">
        <w:rPr>
          <w:b/>
          <w:lang w:val="uk-UA"/>
        </w:rPr>
        <w:t>1 серед чоловіків групи ко</w:t>
      </w:r>
      <w:r w:rsidR="009767A8" w:rsidRPr="001416ED">
        <w:rPr>
          <w:b/>
          <w:lang w:val="uk-UA"/>
        </w:rPr>
        <w:t>н</w:t>
      </w:r>
      <w:r w:rsidRPr="001416ED">
        <w:rPr>
          <w:b/>
          <w:lang w:val="uk-UA"/>
        </w:rPr>
        <w:t>тролю, мешканців Подільського регіону (</w:t>
      </w:r>
      <w:r w:rsidR="00D4219F" w:rsidRPr="001416ED">
        <w:rPr>
          <w:b/>
          <w:lang w:val="uk-UA"/>
        </w:rPr>
        <w:t>%</w:t>
      </w:r>
      <w:r w:rsidRPr="001416ED">
        <w:rPr>
          <w:b/>
          <w:lang w:val="uk-UA"/>
        </w:rPr>
        <w:t>)</w:t>
      </w:r>
    </w:p>
    <w:p w:rsidR="009441BA" w:rsidRDefault="000C1009" w:rsidP="00CB766A">
      <w:pPr>
        <w:spacing w:before="240" w:after="240" w:line="360" w:lineRule="auto"/>
        <w:ind w:firstLine="720"/>
        <w:contextualSpacing/>
        <w:jc w:val="both"/>
        <w:rPr>
          <w:lang w:val="uk-UA"/>
        </w:rPr>
      </w:pPr>
      <w:r w:rsidRPr="001416ED">
        <w:rPr>
          <w:lang w:val="uk-UA"/>
        </w:rPr>
        <w:t>Примітка: різниця показників достовірна при порівнянні з: * носіями генотипу Lys/Lys (р</w:t>
      </w:r>
      <w:r w:rsidR="007219DA" w:rsidRPr="001416ED">
        <w:rPr>
          <w:lang w:val="uk-UA"/>
        </w:rPr>
        <w:t>&lt;0,000</w:t>
      </w:r>
      <w:r w:rsidRPr="001416ED">
        <w:rPr>
          <w:lang w:val="uk-UA"/>
        </w:rPr>
        <w:t>1)</w:t>
      </w:r>
    </w:p>
    <w:p w:rsidR="00CF0191" w:rsidRDefault="00CF0191" w:rsidP="00CB766A">
      <w:pPr>
        <w:spacing w:before="240" w:after="240" w:line="360" w:lineRule="auto"/>
        <w:ind w:firstLine="720"/>
        <w:contextualSpacing/>
        <w:jc w:val="both"/>
        <w:rPr>
          <w:lang w:val="uk-UA"/>
        </w:rPr>
      </w:pPr>
    </w:p>
    <w:p w:rsidR="00EC03FB" w:rsidRPr="001416ED" w:rsidRDefault="00EC03FB" w:rsidP="003F507E">
      <w:pPr>
        <w:spacing w:before="240" w:line="360" w:lineRule="auto"/>
        <w:ind w:firstLine="720"/>
        <w:contextualSpacing/>
        <w:jc w:val="both"/>
        <w:rPr>
          <w:lang w:val="uk-UA"/>
        </w:rPr>
      </w:pPr>
      <w:r w:rsidRPr="001416ED">
        <w:rPr>
          <w:lang w:val="uk-UA"/>
        </w:rPr>
        <w:t>Виявлено, що серед досліджува</w:t>
      </w:r>
      <w:r w:rsidRPr="001416ED">
        <w:t xml:space="preserve">ного контингенту </w:t>
      </w:r>
      <w:r w:rsidRPr="001416ED">
        <w:rPr>
          <w:lang w:val="uk-UA"/>
        </w:rPr>
        <w:t xml:space="preserve">достовірно </w:t>
      </w:r>
      <w:r w:rsidRPr="001416ED">
        <w:t xml:space="preserve">переважає генотип </w:t>
      </w:r>
      <w:r w:rsidRPr="001416ED">
        <w:rPr>
          <w:lang w:val="en-US"/>
        </w:rPr>
        <w:t>Lys</w:t>
      </w:r>
      <w:r w:rsidRPr="001416ED">
        <w:t>/</w:t>
      </w:r>
      <w:r w:rsidRPr="001416ED">
        <w:rPr>
          <w:lang w:val="en-US"/>
        </w:rPr>
        <w:t>Lys</w:t>
      </w:r>
      <w:r w:rsidRPr="001416ED">
        <w:t xml:space="preserve"> </w:t>
      </w:r>
      <w:r w:rsidR="00950C56" w:rsidRPr="001416ED">
        <w:t>(</w:t>
      </w:r>
      <w:r w:rsidR="00950C56" w:rsidRPr="001416ED">
        <w:rPr>
          <w:lang w:val="uk-UA"/>
        </w:rPr>
        <w:t>65,82</w:t>
      </w:r>
      <w:r w:rsidR="00D4219F" w:rsidRPr="001416ED">
        <w:t xml:space="preserve"> %</w:t>
      </w:r>
      <w:r w:rsidR="00950C56" w:rsidRPr="001416ED">
        <w:t>)</w:t>
      </w:r>
      <w:r w:rsidR="005D5000" w:rsidRPr="001416ED">
        <w:rPr>
          <w:lang w:val="uk-UA"/>
        </w:rPr>
        <w:t xml:space="preserve"> </w:t>
      </w:r>
      <w:r w:rsidR="00950C56" w:rsidRPr="001416ED">
        <w:t>гена ЕТ</w:t>
      </w:r>
      <w:r w:rsidR="00BC0119" w:rsidRPr="001416ED">
        <w:rPr>
          <w:lang w:val="uk-UA"/>
        </w:rPr>
        <w:t>–</w:t>
      </w:r>
      <w:r w:rsidR="00950C56" w:rsidRPr="001416ED">
        <w:rPr>
          <w:lang w:val="uk-UA"/>
        </w:rPr>
        <w:t>1</w:t>
      </w:r>
      <w:r w:rsidR="005D5000" w:rsidRPr="001416ED">
        <w:rPr>
          <w:lang w:val="uk-UA"/>
        </w:rPr>
        <w:t xml:space="preserve"> (р</w:t>
      </w:r>
      <w:r w:rsidR="007219DA" w:rsidRPr="001416ED">
        <w:rPr>
          <w:lang w:val="uk-UA"/>
        </w:rPr>
        <w:t>&lt;0,000</w:t>
      </w:r>
      <w:r w:rsidR="005D5000" w:rsidRPr="001416ED">
        <w:rPr>
          <w:lang w:val="uk-UA"/>
        </w:rPr>
        <w:t>1)</w:t>
      </w:r>
      <w:r w:rsidRPr="001416ED">
        <w:t>.</w:t>
      </w:r>
    </w:p>
    <w:p w:rsidR="00EC03FB" w:rsidRPr="001416ED" w:rsidRDefault="000A334A" w:rsidP="000A334A">
      <w:pPr>
        <w:spacing w:line="360" w:lineRule="auto"/>
        <w:ind w:firstLine="708"/>
        <w:jc w:val="both"/>
        <w:rPr>
          <w:rFonts w:eastAsiaTheme="minorHAnsi"/>
          <w:szCs w:val="24"/>
          <w:lang w:val="uk-UA" w:eastAsia="en-US"/>
        </w:rPr>
      </w:pPr>
      <w:r w:rsidRPr="001416ED">
        <w:rPr>
          <w:lang w:val="uk-UA"/>
        </w:rPr>
        <w:t>Наступним кроком стало визначення частоти алелей гена ЕТ</w:t>
      </w:r>
      <w:r w:rsidR="00BC0119" w:rsidRPr="001416ED">
        <w:rPr>
          <w:lang w:val="uk-UA"/>
        </w:rPr>
        <w:t>–</w:t>
      </w:r>
      <w:r w:rsidRPr="001416ED">
        <w:rPr>
          <w:lang w:val="uk-UA"/>
        </w:rPr>
        <w:t>1</w:t>
      </w:r>
      <w:r w:rsidR="00D64A39" w:rsidRPr="001416ED">
        <w:rPr>
          <w:lang w:val="uk-UA"/>
        </w:rPr>
        <w:t xml:space="preserve"> </w:t>
      </w:r>
      <w:r w:rsidR="00EC03FB" w:rsidRPr="001416ED">
        <w:rPr>
          <w:lang w:val="uk-UA"/>
        </w:rPr>
        <w:t>(</w:t>
      </w:r>
      <w:r w:rsidR="000C1009" w:rsidRPr="001416ED">
        <w:rPr>
          <w:lang w:val="uk-UA"/>
        </w:rPr>
        <w:t>рис 3.2</w:t>
      </w:r>
      <w:r w:rsidR="00EC03FB" w:rsidRPr="001416ED">
        <w:rPr>
          <w:rFonts w:eastAsiaTheme="minorHAnsi"/>
          <w:szCs w:val="24"/>
          <w:lang w:val="uk-UA" w:eastAsia="en-US"/>
        </w:rPr>
        <w:t xml:space="preserve">). </w:t>
      </w:r>
    </w:p>
    <w:p w:rsidR="000A72B7" w:rsidRPr="001416ED" w:rsidRDefault="000A72B7" w:rsidP="000A334A">
      <w:pPr>
        <w:spacing w:line="360" w:lineRule="auto"/>
        <w:ind w:firstLine="708"/>
        <w:jc w:val="both"/>
        <w:rPr>
          <w:rFonts w:eastAsiaTheme="minorHAnsi"/>
          <w:szCs w:val="24"/>
          <w:lang w:val="uk-UA" w:eastAsia="en-US"/>
        </w:rPr>
      </w:pPr>
      <w:r w:rsidRPr="001416ED">
        <w:rPr>
          <w:rFonts w:eastAsiaTheme="minorHAnsi"/>
          <w:noProof/>
          <w:lang w:val="uk-UA" w:eastAsia="uk-UA"/>
        </w:rPr>
        <w:lastRenderedPageBreak/>
        <w:drawing>
          <wp:inline distT="0" distB="0" distL="0" distR="0" wp14:anchorId="6F973AB1" wp14:editId="17B37DD5">
            <wp:extent cx="4756150" cy="1422400"/>
            <wp:effectExtent l="0" t="0" r="6350"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03FB" w:rsidRPr="001416ED" w:rsidRDefault="000A72B7" w:rsidP="004E7FC4">
      <w:pPr>
        <w:spacing w:line="360" w:lineRule="auto"/>
        <w:ind w:firstLine="720"/>
        <w:contextualSpacing/>
        <w:rPr>
          <w:b/>
          <w:lang w:val="uk-UA"/>
        </w:rPr>
      </w:pPr>
      <w:r w:rsidRPr="001416ED">
        <w:rPr>
          <w:b/>
          <w:lang w:val="uk-UA"/>
        </w:rPr>
        <w:t xml:space="preserve">Рис. 3.2 </w:t>
      </w:r>
      <w:r w:rsidR="00EC03FB" w:rsidRPr="001416ED">
        <w:rPr>
          <w:b/>
          <w:lang w:val="uk-UA"/>
        </w:rPr>
        <w:t>Частота алелей гена ЕТ</w:t>
      </w:r>
      <w:r w:rsidR="00BC0119" w:rsidRPr="001416ED">
        <w:rPr>
          <w:b/>
          <w:lang w:val="uk-UA"/>
        </w:rPr>
        <w:t>–</w:t>
      </w:r>
      <w:r w:rsidR="00EC03FB" w:rsidRPr="001416ED">
        <w:rPr>
          <w:b/>
          <w:lang w:val="uk-UA"/>
        </w:rPr>
        <w:t xml:space="preserve">1 серед чоловіків групи </w:t>
      </w:r>
      <w:r w:rsidR="00472F94" w:rsidRPr="001416ED">
        <w:rPr>
          <w:b/>
          <w:lang w:val="uk-UA"/>
        </w:rPr>
        <w:t>контролю</w:t>
      </w:r>
      <w:r w:rsidR="00EC03FB" w:rsidRPr="001416ED">
        <w:rPr>
          <w:b/>
          <w:lang w:val="uk-UA"/>
        </w:rPr>
        <w:t>, мешканців Подільського регіону</w:t>
      </w:r>
      <w:r w:rsidR="004626FE" w:rsidRPr="001416ED">
        <w:rPr>
          <w:b/>
          <w:lang w:val="uk-UA"/>
        </w:rPr>
        <w:t xml:space="preserve"> (</w:t>
      </w:r>
      <w:r w:rsidR="00D4219F" w:rsidRPr="001416ED">
        <w:rPr>
          <w:b/>
          <w:lang w:val="uk-UA"/>
        </w:rPr>
        <w:t>%</w:t>
      </w:r>
      <w:r w:rsidR="004626FE" w:rsidRPr="001416ED">
        <w:rPr>
          <w:b/>
          <w:lang w:val="uk-UA"/>
        </w:rPr>
        <w:t>)</w:t>
      </w:r>
    </w:p>
    <w:p w:rsidR="000A72B7" w:rsidRDefault="000A72B7" w:rsidP="00DD7E76">
      <w:pPr>
        <w:spacing w:before="240" w:after="240" w:line="360" w:lineRule="auto"/>
        <w:ind w:firstLine="720"/>
        <w:contextualSpacing/>
        <w:rPr>
          <w:lang w:val="en-US"/>
        </w:rPr>
      </w:pPr>
      <w:r w:rsidRPr="001416ED">
        <w:rPr>
          <w:lang w:val="uk-UA"/>
        </w:rPr>
        <w:t xml:space="preserve">Примітка: різниця показників достовірна при порівнянні з: * носіями </w:t>
      </w:r>
      <w:r w:rsidR="00A76034" w:rsidRPr="001416ED">
        <w:rPr>
          <w:lang w:val="uk-UA"/>
        </w:rPr>
        <w:t>алелі Lys</w:t>
      </w:r>
      <w:r w:rsidR="00866751" w:rsidRPr="001416ED">
        <w:rPr>
          <w:lang w:val="uk-UA"/>
        </w:rPr>
        <w:t xml:space="preserve"> (р&lt;0,000</w:t>
      </w:r>
      <w:r w:rsidRPr="001416ED">
        <w:rPr>
          <w:lang w:val="uk-UA"/>
        </w:rPr>
        <w:t>1)</w:t>
      </w:r>
    </w:p>
    <w:p w:rsidR="00C04BC3" w:rsidRPr="00C04BC3" w:rsidRDefault="00C04BC3" w:rsidP="00DD7E76">
      <w:pPr>
        <w:spacing w:before="240" w:after="240" w:line="360" w:lineRule="auto"/>
        <w:ind w:firstLine="720"/>
        <w:contextualSpacing/>
        <w:rPr>
          <w:lang w:val="en-US"/>
        </w:rPr>
      </w:pPr>
    </w:p>
    <w:p w:rsidR="000A334A" w:rsidRPr="001416ED" w:rsidRDefault="00CB766A" w:rsidP="000A334A">
      <w:pPr>
        <w:spacing w:before="240" w:line="360" w:lineRule="auto"/>
        <w:ind w:firstLine="708"/>
        <w:jc w:val="both"/>
        <w:rPr>
          <w:rFonts w:eastAsiaTheme="minorHAnsi"/>
          <w:szCs w:val="24"/>
          <w:lang w:val="uk-UA" w:eastAsia="en-US"/>
        </w:rPr>
      </w:pPr>
      <w:r w:rsidRPr="001416ED">
        <w:rPr>
          <w:rFonts w:eastAsiaTheme="minorHAnsi"/>
          <w:szCs w:val="24"/>
          <w:lang w:val="uk-UA" w:eastAsia="en-US"/>
        </w:rPr>
        <w:t>В</w:t>
      </w:r>
      <w:r w:rsidR="008F0D49" w:rsidRPr="001416ED">
        <w:rPr>
          <w:rFonts w:eastAsiaTheme="minorHAnsi"/>
          <w:szCs w:val="24"/>
          <w:lang w:val="uk-UA" w:eastAsia="en-US"/>
        </w:rPr>
        <w:t xml:space="preserve"> груп</w:t>
      </w:r>
      <w:r w:rsidR="00D25C78" w:rsidRPr="001416ED">
        <w:rPr>
          <w:rFonts w:eastAsiaTheme="minorHAnsi"/>
          <w:szCs w:val="24"/>
          <w:lang w:val="uk-UA" w:eastAsia="en-US"/>
        </w:rPr>
        <w:t>і</w:t>
      </w:r>
      <w:r w:rsidR="008F0D49" w:rsidRPr="001416ED">
        <w:rPr>
          <w:rFonts w:eastAsiaTheme="minorHAnsi"/>
          <w:szCs w:val="24"/>
          <w:lang w:val="uk-UA" w:eastAsia="en-US"/>
        </w:rPr>
        <w:t xml:space="preserve"> </w:t>
      </w:r>
      <w:r w:rsidR="00472F94" w:rsidRPr="001416ED">
        <w:rPr>
          <w:rFonts w:eastAsiaTheme="minorHAnsi"/>
          <w:szCs w:val="24"/>
          <w:lang w:val="uk-UA" w:eastAsia="en-US"/>
        </w:rPr>
        <w:t>контролю</w:t>
      </w:r>
      <w:r w:rsidR="008F0D49" w:rsidRPr="001416ED">
        <w:rPr>
          <w:rFonts w:eastAsiaTheme="minorHAnsi"/>
          <w:szCs w:val="24"/>
          <w:lang w:val="uk-UA" w:eastAsia="en-US"/>
        </w:rPr>
        <w:t xml:space="preserve"> </w:t>
      </w:r>
      <w:r w:rsidR="009441BA" w:rsidRPr="001416ED">
        <w:rPr>
          <w:rFonts w:eastAsiaTheme="minorHAnsi"/>
          <w:szCs w:val="24"/>
          <w:lang w:val="uk-UA" w:eastAsia="en-US"/>
        </w:rPr>
        <w:t xml:space="preserve">алель </w:t>
      </w:r>
      <w:r w:rsidR="009441BA" w:rsidRPr="001416ED">
        <w:rPr>
          <w:rFonts w:eastAsiaTheme="minorHAnsi"/>
          <w:szCs w:val="24"/>
          <w:lang w:eastAsia="en-US"/>
        </w:rPr>
        <w:t>Lys</w:t>
      </w:r>
      <w:r w:rsidR="004626FE" w:rsidRPr="001416ED">
        <w:rPr>
          <w:rFonts w:eastAsiaTheme="minorHAnsi"/>
          <w:szCs w:val="24"/>
          <w:lang w:val="uk-UA" w:eastAsia="en-US"/>
        </w:rPr>
        <w:t xml:space="preserve"> (</w:t>
      </w:r>
      <w:r w:rsidR="004626FE" w:rsidRPr="001416ED">
        <w:rPr>
          <w:rFonts w:eastAsiaTheme="minorHAnsi"/>
          <w:szCs w:val="24"/>
          <w:lang w:eastAsia="en-US"/>
        </w:rPr>
        <w:t>79,75</w:t>
      </w:r>
      <w:r w:rsidR="00D4219F" w:rsidRPr="001416ED">
        <w:rPr>
          <w:rFonts w:eastAsiaTheme="minorHAnsi"/>
          <w:szCs w:val="24"/>
          <w:lang w:eastAsia="en-US"/>
        </w:rPr>
        <w:t xml:space="preserve"> %</w:t>
      </w:r>
      <w:r w:rsidR="004626FE" w:rsidRPr="001416ED">
        <w:rPr>
          <w:rFonts w:eastAsiaTheme="minorHAnsi"/>
          <w:szCs w:val="24"/>
          <w:lang w:val="uk-UA" w:eastAsia="en-US"/>
        </w:rPr>
        <w:t>)</w:t>
      </w:r>
      <w:r w:rsidR="009441BA" w:rsidRPr="001416ED">
        <w:rPr>
          <w:rFonts w:eastAsiaTheme="minorHAnsi"/>
          <w:szCs w:val="24"/>
          <w:lang w:val="uk-UA" w:eastAsia="en-US"/>
        </w:rPr>
        <w:t xml:space="preserve"> </w:t>
      </w:r>
      <w:r w:rsidR="008F0D49" w:rsidRPr="001416ED">
        <w:rPr>
          <w:rFonts w:eastAsiaTheme="minorHAnsi"/>
          <w:szCs w:val="24"/>
          <w:lang w:val="uk-UA" w:eastAsia="en-US"/>
        </w:rPr>
        <w:t>г</w:t>
      </w:r>
      <w:r w:rsidR="008F0D49" w:rsidRPr="001416ED">
        <w:rPr>
          <w:lang w:val="uk-UA"/>
        </w:rPr>
        <w:t>ена ЕТ</w:t>
      </w:r>
      <w:r w:rsidR="00BC0119" w:rsidRPr="001416ED">
        <w:rPr>
          <w:lang w:val="uk-UA"/>
        </w:rPr>
        <w:t>–</w:t>
      </w:r>
      <w:r w:rsidR="008F0D49" w:rsidRPr="001416ED">
        <w:rPr>
          <w:lang w:val="uk-UA"/>
        </w:rPr>
        <w:t xml:space="preserve">1 </w:t>
      </w:r>
      <w:r w:rsidR="008F0D49" w:rsidRPr="001416ED">
        <w:rPr>
          <w:rFonts w:eastAsiaTheme="minorHAnsi"/>
          <w:szCs w:val="24"/>
          <w:lang w:val="uk-UA" w:eastAsia="en-US"/>
        </w:rPr>
        <w:t>виявлял</w:t>
      </w:r>
      <w:r w:rsidRPr="001416ED">
        <w:rPr>
          <w:rFonts w:eastAsiaTheme="minorHAnsi"/>
          <w:szCs w:val="24"/>
          <w:lang w:val="uk-UA" w:eastAsia="en-US"/>
        </w:rPr>
        <w:t>и</w:t>
      </w:r>
      <w:r w:rsidR="008F0D49" w:rsidRPr="001416ED">
        <w:rPr>
          <w:rFonts w:eastAsiaTheme="minorHAnsi"/>
          <w:szCs w:val="24"/>
          <w:lang w:val="uk-UA" w:eastAsia="en-US"/>
        </w:rPr>
        <w:t xml:space="preserve"> </w:t>
      </w:r>
      <w:r w:rsidR="009441BA" w:rsidRPr="001416ED">
        <w:rPr>
          <w:rFonts w:eastAsiaTheme="minorHAnsi"/>
          <w:szCs w:val="24"/>
          <w:lang w:val="uk-UA" w:eastAsia="en-US"/>
        </w:rPr>
        <w:t xml:space="preserve">достовірно частіше ніж алель </w:t>
      </w:r>
      <w:r w:rsidR="009441BA" w:rsidRPr="001416ED">
        <w:rPr>
          <w:rFonts w:eastAsiaTheme="minorHAnsi"/>
          <w:szCs w:val="24"/>
          <w:lang w:eastAsia="en-US"/>
        </w:rPr>
        <w:t>Asn</w:t>
      </w:r>
      <w:r w:rsidR="004626FE" w:rsidRPr="001416ED">
        <w:rPr>
          <w:rFonts w:eastAsiaTheme="minorHAnsi"/>
          <w:szCs w:val="24"/>
          <w:lang w:val="uk-UA" w:eastAsia="en-US"/>
        </w:rPr>
        <w:t xml:space="preserve"> (</w:t>
      </w:r>
      <w:r w:rsidR="004626FE" w:rsidRPr="001416ED">
        <w:rPr>
          <w:rFonts w:eastAsiaTheme="minorHAnsi"/>
          <w:szCs w:val="24"/>
          <w:lang w:eastAsia="en-US"/>
        </w:rPr>
        <w:t>20,25</w:t>
      </w:r>
      <w:r w:rsidR="00D4219F" w:rsidRPr="001416ED">
        <w:rPr>
          <w:rFonts w:eastAsiaTheme="minorHAnsi"/>
          <w:szCs w:val="24"/>
          <w:lang w:eastAsia="en-US"/>
        </w:rPr>
        <w:t xml:space="preserve"> %</w:t>
      </w:r>
      <w:r w:rsidR="004626FE" w:rsidRPr="001416ED">
        <w:rPr>
          <w:rFonts w:eastAsiaTheme="minorHAnsi"/>
          <w:szCs w:val="24"/>
          <w:lang w:val="uk-UA" w:eastAsia="en-US"/>
        </w:rPr>
        <w:t>)</w:t>
      </w:r>
      <w:r w:rsidR="005D5000" w:rsidRPr="001416ED">
        <w:rPr>
          <w:rFonts w:eastAsiaTheme="minorHAnsi"/>
          <w:szCs w:val="24"/>
          <w:lang w:val="uk-UA" w:eastAsia="en-US"/>
        </w:rPr>
        <w:t xml:space="preserve"> </w:t>
      </w:r>
      <w:r w:rsidR="00866751" w:rsidRPr="001416ED">
        <w:rPr>
          <w:lang w:val="uk-UA"/>
        </w:rPr>
        <w:t>(р&lt;0,000</w:t>
      </w:r>
      <w:r w:rsidR="005D5000" w:rsidRPr="001416ED">
        <w:rPr>
          <w:lang w:val="uk-UA"/>
        </w:rPr>
        <w:t>1)</w:t>
      </w:r>
      <w:r w:rsidR="001E56E0" w:rsidRPr="001416ED">
        <w:rPr>
          <w:rFonts w:eastAsiaTheme="minorHAnsi"/>
          <w:szCs w:val="24"/>
          <w:lang w:val="uk-UA" w:eastAsia="en-US"/>
        </w:rPr>
        <w:t>.</w:t>
      </w:r>
      <w:r w:rsidR="009441BA" w:rsidRPr="001416ED">
        <w:rPr>
          <w:rFonts w:eastAsiaTheme="minorHAnsi"/>
          <w:szCs w:val="24"/>
          <w:lang w:val="uk-UA" w:eastAsia="en-US"/>
        </w:rPr>
        <w:t xml:space="preserve"> </w:t>
      </w:r>
    </w:p>
    <w:p w:rsidR="005064E5" w:rsidRPr="001416ED" w:rsidRDefault="005064E5" w:rsidP="005064E5">
      <w:pPr>
        <w:spacing w:line="360" w:lineRule="auto"/>
        <w:ind w:firstLine="708"/>
        <w:jc w:val="both"/>
        <w:rPr>
          <w:lang w:val="uk-UA"/>
        </w:rPr>
      </w:pPr>
      <w:r w:rsidRPr="001416ED">
        <w:rPr>
          <w:lang w:val="uk-UA"/>
        </w:rPr>
        <w:t>Таким чином, у чоловіків групи контролю переважає</w:t>
      </w:r>
      <w:r w:rsidRPr="001416ED">
        <w:t xml:space="preserve"> генотип </w:t>
      </w:r>
      <w:r w:rsidRPr="001416ED">
        <w:rPr>
          <w:lang w:val="en-US"/>
        </w:rPr>
        <w:t>Lys</w:t>
      </w:r>
      <w:r w:rsidRPr="001416ED">
        <w:t>/</w:t>
      </w:r>
      <w:r w:rsidRPr="001416ED">
        <w:rPr>
          <w:lang w:val="en-US"/>
        </w:rPr>
        <w:t>Lys</w:t>
      </w:r>
      <w:r w:rsidRPr="001416ED">
        <w:rPr>
          <w:lang w:val="uk-UA"/>
        </w:rPr>
        <w:t xml:space="preserve">. Частота його реєстрації була достовірно вищою, ніж </w:t>
      </w:r>
      <w:r w:rsidR="005D5000" w:rsidRPr="001416ED">
        <w:rPr>
          <w:lang w:val="uk-UA"/>
        </w:rPr>
        <w:t>генотипів з алел</w:t>
      </w:r>
      <w:r w:rsidRPr="001416ED">
        <w:rPr>
          <w:lang w:val="uk-UA"/>
        </w:rPr>
        <w:t xml:space="preserve">ю </w:t>
      </w:r>
      <w:r w:rsidRPr="001416ED">
        <w:rPr>
          <w:lang w:val="en-US"/>
        </w:rPr>
        <w:t>Asn</w:t>
      </w:r>
      <w:r w:rsidRPr="001416ED">
        <w:rPr>
          <w:lang w:val="uk-UA"/>
        </w:rPr>
        <w:t xml:space="preserve">. Відповідно, виявлення алелі </w:t>
      </w:r>
      <w:r w:rsidRPr="001416ED">
        <w:rPr>
          <w:lang w:val="en-US"/>
        </w:rPr>
        <w:t>Lys</w:t>
      </w:r>
      <w:r w:rsidRPr="001416ED">
        <w:rPr>
          <w:lang w:val="uk-UA"/>
        </w:rPr>
        <w:t xml:space="preserve"> було достовірно вищим, ніж алелі </w:t>
      </w:r>
      <w:r w:rsidRPr="001416ED">
        <w:rPr>
          <w:lang w:val="en-US"/>
        </w:rPr>
        <w:t>Asn</w:t>
      </w:r>
      <w:r w:rsidRPr="001416ED">
        <w:rPr>
          <w:lang w:val="uk-UA"/>
        </w:rPr>
        <w:t>.</w:t>
      </w:r>
    </w:p>
    <w:p w:rsidR="00CC2EBC" w:rsidRPr="001416ED" w:rsidRDefault="00D25C78" w:rsidP="00CC2EBC">
      <w:pPr>
        <w:spacing w:line="360" w:lineRule="auto"/>
        <w:ind w:firstLine="720"/>
        <w:contextualSpacing/>
        <w:jc w:val="both"/>
        <w:rPr>
          <w:lang w:val="uk-UA"/>
        </w:rPr>
      </w:pPr>
      <w:r w:rsidRPr="001416ED">
        <w:rPr>
          <w:lang w:val="uk-UA"/>
        </w:rPr>
        <w:t>В</w:t>
      </w:r>
      <w:r w:rsidR="00C61048" w:rsidRPr="001416ED">
        <w:rPr>
          <w:lang w:val="uk-UA"/>
        </w:rPr>
        <w:t>раховуючи можлив</w:t>
      </w:r>
      <w:r w:rsidRPr="001416ED">
        <w:rPr>
          <w:lang w:val="uk-UA"/>
        </w:rPr>
        <w:t>у</w:t>
      </w:r>
      <w:r w:rsidR="00C61048" w:rsidRPr="001416ED">
        <w:rPr>
          <w:lang w:val="uk-UA"/>
        </w:rPr>
        <w:t xml:space="preserve"> </w:t>
      </w:r>
      <w:r w:rsidRPr="001416ED">
        <w:rPr>
          <w:lang w:val="uk-UA"/>
        </w:rPr>
        <w:t>асоціацію</w:t>
      </w:r>
      <w:r w:rsidR="00C61048" w:rsidRPr="001416ED">
        <w:rPr>
          <w:lang w:val="uk-UA"/>
        </w:rPr>
        <w:t xml:space="preserve"> поліморфізму гена ЕТ</w:t>
      </w:r>
      <w:r w:rsidR="00BC0119" w:rsidRPr="001416ED">
        <w:rPr>
          <w:lang w:val="uk-UA"/>
        </w:rPr>
        <w:t>–</w:t>
      </w:r>
      <w:r w:rsidR="00C61048" w:rsidRPr="001416ED">
        <w:rPr>
          <w:lang w:val="uk-UA"/>
        </w:rPr>
        <w:t xml:space="preserve">1 </w:t>
      </w:r>
      <w:r w:rsidRPr="001416ED">
        <w:rPr>
          <w:lang w:val="uk-UA"/>
        </w:rPr>
        <w:t>і</w:t>
      </w:r>
      <w:r w:rsidR="00C61048" w:rsidRPr="001416ED">
        <w:rPr>
          <w:lang w:val="uk-UA"/>
        </w:rPr>
        <w:t xml:space="preserve"> активн</w:t>
      </w:r>
      <w:r w:rsidR="00BE586A" w:rsidRPr="001416ED">
        <w:rPr>
          <w:lang w:val="uk-UA"/>
        </w:rPr>
        <w:t>о</w:t>
      </w:r>
      <w:r w:rsidR="00C61048" w:rsidRPr="001416ED">
        <w:rPr>
          <w:lang w:val="uk-UA"/>
        </w:rPr>
        <w:t>ст</w:t>
      </w:r>
      <w:r w:rsidR="00BE586A" w:rsidRPr="001416ED">
        <w:rPr>
          <w:lang w:val="uk-UA"/>
        </w:rPr>
        <w:t xml:space="preserve">і </w:t>
      </w:r>
      <w:r w:rsidR="00C61048" w:rsidRPr="001416ED">
        <w:rPr>
          <w:lang w:val="uk-UA"/>
        </w:rPr>
        <w:t xml:space="preserve">РААС, було проаналізовано співвідношення між частотою розповсюдження </w:t>
      </w:r>
      <w:r w:rsidR="00BE586A" w:rsidRPr="001416ED">
        <w:rPr>
          <w:lang w:val="uk-UA"/>
        </w:rPr>
        <w:t>відповідних</w:t>
      </w:r>
      <w:r w:rsidR="00C61048" w:rsidRPr="001416ED">
        <w:rPr>
          <w:lang w:val="uk-UA"/>
        </w:rPr>
        <w:t xml:space="preserve"> </w:t>
      </w:r>
      <w:r w:rsidR="00BE586A" w:rsidRPr="001416ED">
        <w:rPr>
          <w:lang w:val="uk-UA"/>
        </w:rPr>
        <w:t>генотипів</w:t>
      </w:r>
      <w:r w:rsidR="00DD791F" w:rsidRPr="001416ED">
        <w:rPr>
          <w:lang w:val="uk-UA"/>
        </w:rPr>
        <w:t>.</w:t>
      </w:r>
      <w:r w:rsidR="00BE586A" w:rsidRPr="001416ED">
        <w:rPr>
          <w:lang w:val="uk-UA"/>
        </w:rPr>
        <w:t xml:space="preserve"> </w:t>
      </w:r>
      <w:r w:rsidR="00CC2EBC" w:rsidRPr="001416ED">
        <w:rPr>
          <w:lang w:val="uk-UA"/>
        </w:rPr>
        <w:t xml:space="preserve">Встановлено, що серед 52 осіб, які є носіями генотипу </w:t>
      </w:r>
      <w:r w:rsidR="00CC2EBC" w:rsidRPr="001416ED">
        <w:t>Lys</w:t>
      </w:r>
      <w:r w:rsidR="00CC2EBC" w:rsidRPr="001416ED">
        <w:rPr>
          <w:lang w:val="uk-UA"/>
        </w:rPr>
        <w:t>/</w:t>
      </w:r>
      <w:r w:rsidR="00CC2EBC" w:rsidRPr="001416ED">
        <w:t>Lys</w:t>
      </w:r>
      <w:r w:rsidR="00CC2EBC" w:rsidRPr="001416ED">
        <w:rPr>
          <w:lang w:val="uk-UA"/>
        </w:rPr>
        <w:t xml:space="preserve"> гена ЕТ–1 в 57,69</w:t>
      </w:r>
      <w:r w:rsidR="00D4219F" w:rsidRPr="001416ED">
        <w:rPr>
          <w:lang w:val="uk-UA"/>
        </w:rPr>
        <w:t xml:space="preserve"> %</w:t>
      </w:r>
      <w:r w:rsidR="00CC2EBC" w:rsidRPr="001416ED">
        <w:rPr>
          <w:lang w:val="uk-UA"/>
        </w:rPr>
        <w:t xml:space="preserve"> (</w:t>
      </w:r>
      <w:r w:rsidR="00CC2EBC" w:rsidRPr="001416ED">
        <w:rPr>
          <w:lang w:val="en-US"/>
        </w:rPr>
        <w:t>n</w:t>
      </w:r>
      <w:r w:rsidR="00CC2EBC" w:rsidRPr="001416ED">
        <w:rPr>
          <w:lang w:val="uk-UA"/>
        </w:rPr>
        <w:t>=30) чоловіків визначений генотип АА гена АТ1–Р, у 34,62</w:t>
      </w:r>
      <w:r w:rsidR="00D4219F" w:rsidRPr="001416ED">
        <w:rPr>
          <w:lang w:val="uk-UA"/>
        </w:rPr>
        <w:t xml:space="preserve"> %</w:t>
      </w:r>
      <w:r w:rsidR="00CC2EBC" w:rsidRPr="001416ED">
        <w:rPr>
          <w:lang w:val="uk-UA"/>
        </w:rPr>
        <w:t xml:space="preserve"> (</w:t>
      </w:r>
      <w:r w:rsidR="00CC2EBC" w:rsidRPr="001416ED">
        <w:rPr>
          <w:lang w:val="en-US"/>
        </w:rPr>
        <w:t>n</w:t>
      </w:r>
      <w:r w:rsidR="00CC2EBC" w:rsidRPr="001416ED">
        <w:rPr>
          <w:lang w:val="uk-UA"/>
        </w:rPr>
        <w:t>=18) – АС і у 7,69</w:t>
      </w:r>
      <w:r w:rsidR="00D4219F" w:rsidRPr="001416ED">
        <w:rPr>
          <w:lang w:val="uk-UA"/>
        </w:rPr>
        <w:t xml:space="preserve"> %</w:t>
      </w:r>
      <w:r w:rsidR="00CC2EBC" w:rsidRPr="001416ED">
        <w:rPr>
          <w:lang w:val="uk-UA"/>
        </w:rPr>
        <w:t xml:space="preserve"> (</w:t>
      </w:r>
      <w:r w:rsidR="00CC2EBC" w:rsidRPr="001416ED">
        <w:rPr>
          <w:lang w:val="en-US"/>
        </w:rPr>
        <w:t>n</w:t>
      </w:r>
      <w:r w:rsidR="00CC2EBC" w:rsidRPr="001416ED">
        <w:rPr>
          <w:lang w:val="uk-UA"/>
        </w:rPr>
        <w:t xml:space="preserve">=4) – СС. Серед 27 осіб чоловічої статі – носіїв алелі </w:t>
      </w:r>
      <w:r w:rsidR="00CC2EBC" w:rsidRPr="001416ED">
        <w:rPr>
          <w:lang w:val="en-US"/>
        </w:rPr>
        <w:t>Asn</w:t>
      </w:r>
      <w:r w:rsidR="00CC2EBC" w:rsidRPr="001416ED">
        <w:rPr>
          <w:lang w:val="uk-UA"/>
        </w:rPr>
        <w:t xml:space="preserve"> гена ЕТ–1 70,37</w:t>
      </w:r>
      <w:r w:rsidR="00D4219F" w:rsidRPr="001416ED">
        <w:rPr>
          <w:lang w:val="uk-UA"/>
        </w:rPr>
        <w:t xml:space="preserve"> %</w:t>
      </w:r>
      <w:r w:rsidR="00CC2EBC" w:rsidRPr="001416ED">
        <w:rPr>
          <w:lang w:val="uk-UA"/>
        </w:rPr>
        <w:t xml:space="preserve"> (</w:t>
      </w:r>
      <w:r w:rsidR="00CC2EBC" w:rsidRPr="001416ED">
        <w:rPr>
          <w:lang w:val="en-US"/>
        </w:rPr>
        <w:t>n</w:t>
      </w:r>
      <w:r w:rsidR="00CC2EBC" w:rsidRPr="001416ED">
        <w:rPr>
          <w:lang w:val="uk-UA"/>
        </w:rPr>
        <w:t>=19) є носіями генотипу АА, 22,22</w:t>
      </w:r>
      <w:r w:rsidR="00D4219F" w:rsidRPr="001416ED">
        <w:rPr>
          <w:lang w:val="uk-UA"/>
        </w:rPr>
        <w:t xml:space="preserve"> %</w:t>
      </w:r>
      <w:r w:rsidR="00CC2EBC" w:rsidRPr="001416ED">
        <w:rPr>
          <w:lang w:val="uk-UA"/>
        </w:rPr>
        <w:t xml:space="preserve"> (</w:t>
      </w:r>
      <w:r w:rsidR="00CC2EBC" w:rsidRPr="001416ED">
        <w:rPr>
          <w:lang w:val="en-US"/>
        </w:rPr>
        <w:t>n</w:t>
      </w:r>
      <w:r w:rsidR="00CC2EBC" w:rsidRPr="001416ED">
        <w:rPr>
          <w:lang w:val="uk-UA"/>
        </w:rPr>
        <w:t>=6) – АС, 7,41</w:t>
      </w:r>
      <w:r w:rsidR="00D4219F" w:rsidRPr="001416ED">
        <w:rPr>
          <w:lang w:val="uk-UA"/>
        </w:rPr>
        <w:t xml:space="preserve"> %</w:t>
      </w:r>
      <w:r w:rsidR="00DD791F" w:rsidRPr="001416ED">
        <w:rPr>
          <w:lang w:val="uk-UA"/>
        </w:rPr>
        <w:t xml:space="preserve"> (</w:t>
      </w:r>
      <w:r w:rsidR="00DD791F" w:rsidRPr="001416ED">
        <w:rPr>
          <w:lang w:val="en-US"/>
        </w:rPr>
        <w:t>n</w:t>
      </w:r>
      <w:r w:rsidR="00DD791F" w:rsidRPr="001416ED">
        <w:rPr>
          <w:lang w:val="uk-UA"/>
        </w:rPr>
        <w:t>=2)</w:t>
      </w:r>
      <w:r w:rsidR="00CC2EBC" w:rsidRPr="001416ED">
        <w:rPr>
          <w:lang w:val="uk-UA"/>
        </w:rPr>
        <w:t xml:space="preserve"> – СС. У зв’язку з низькою частотою генотипу СС, чоловіки з генотипами АС та СС були об’єднані як носії алелі С (табл. 3.2). </w:t>
      </w:r>
      <w:r w:rsidR="008E1D07" w:rsidRPr="001416ED">
        <w:rPr>
          <w:lang w:val="uk-UA"/>
        </w:rPr>
        <w:t>У</w:t>
      </w:r>
      <w:r w:rsidR="00CC2EBC" w:rsidRPr="001416ED">
        <w:rPr>
          <w:lang w:val="uk-UA"/>
        </w:rPr>
        <w:t xml:space="preserve"> осіб з генотипом </w:t>
      </w:r>
      <w:r w:rsidR="00CC2EBC" w:rsidRPr="001416ED">
        <w:rPr>
          <w:lang w:val="en-US"/>
        </w:rPr>
        <w:t>Lys</w:t>
      </w:r>
      <w:r w:rsidR="00CC2EBC" w:rsidRPr="001416ED">
        <w:rPr>
          <w:lang w:val="uk-UA"/>
        </w:rPr>
        <w:t>/</w:t>
      </w:r>
      <w:r w:rsidR="00CC2EBC" w:rsidRPr="001416ED">
        <w:rPr>
          <w:lang w:val="en-US"/>
        </w:rPr>
        <w:t>Lys</w:t>
      </w:r>
      <w:r w:rsidR="00CC2EBC" w:rsidRPr="001416ED">
        <w:rPr>
          <w:lang w:val="uk-UA"/>
        </w:rPr>
        <w:t xml:space="preserve"> </w:t>
      </w:r>
      <w:r w:rsidR="00500B6A" w:rsidRPr="001416ED">
        <w:rPr>
          <w:lang w:val="uk-UA"/>
        </w:rPr>
        <w:t xml:space="preserve">різниці у частоті </w:t>
      </w:r>
      <w:r w:rsidR="00797BF7" w:rsidRPr="001416ED">
        <w:rPr>
          <w:lang w:val="uk-UA"/>
        </w:rPr>
        <w:t xml:space="preserve">випадків </w:t>
      </w:r>
      <w:r w:rsidR="00F40216">
        <w:rPr>
          <w:lang w:val="uk-UA"/>
        </w:rPr>
        <w:t>варіантів гена</w:t>
      </w:r>
      <w:r w:rsidR="00500B6A" w:rsidRPr="001416ED">
        <w:rPr>
          <w:lang w:val="uk-UA"/>
        </w:rPr>
        <w:t xml:space="preserve"> АТ1-Р не виявлено, проте</w:t>
      </w:r>
      <w:r w:rsidR="00CC2EBC" w:rsidRPr="001416ED">
        <w:rPr>
          <w:lang w:val="uk-UA"/>
        </w:rPr>
        <w:t xml:space="preserve"> у носіїв алелі </w:t>
      </w:r>
      <w:r w:rsidR="00CC2EBC" w:rsidRPr="001416ED">
        <w:rPr>
          <w:lang w:val="en-US"/>
        </w:rPr>
        <w:t>Asn</w:t>
      </w:r>
      <w:r w:rsidR="00CC2EBC" w:rsidRPr="001416ED">
        <w:rPr>
          <w:lang w:val="uk-UA"/>
        </w:rPr>
        <w:t xml:space="preserve"> гена ЕТ–1 достовірно частіше зустрічається генотип АА гена АТ1–Р. </w:t>
      </w:r>
      <w:r w:rsidR="00500B6A" w:rsidRPr="001416ED">
        <w:rPr>
          <w:lang w:val="uk-UA"/>
        </w:rPr>
        <w:t>Д</w:t>
      </w:r>
      <w:r w:rsidR="00CC2EBC" w:rsidRPr="001416ED">
        <w:rPr>
          <w:lang w:val="uk-UA"/>
        </w:rPr>
        <w:t xml:space="preserve">остовірної різниці у частоті носійства </w:t>
      </w:r>
      <w:r w:rsidR="00F40216">
        <w:rPr>
          <w:lang w:val="uk-UA"/>
        </w:rPr>
        <w:t>варіантів гена</w:t>
      </w:r>
      <w:r w:rsidR="005A64A1" w:rsidRPr="001416ED">
        <w:rPr>
          <w:lang w:val="uk-UA"/>
        </w:rPr>
        <w:t xml:space="preserve"> ЕТ–1 у чоловіків </w:t>
      </w:r>
      <w:r w:rsidR="00F92B23" w:rsidRPr="001416ED">
        <w:rPr>
          <w:lang w:val="uk-UA"/>
        </w:rPr>
        <w:t xml:space="preserve">- </w:t>
      </w:r>
      <w:r w:rsidR="005A64A1" w:rsidRPr="001416ED">
        <w:rPr>
          <w:lang w:val="uk-UA"/>
        </w:rPr>
        <w:t xml:space="preserve">носіїв </w:t>
      </w:r>
      <w:r w:rsidR="00E6164F">
        <w:rPr>
          <w:lang w:val="uk-UA"/>
        </w:rPr>
        <w:t>поліморфних варіантів гена АТ1–Р</w:t>
      </w:r>
      <w:r w:rsidR="00F92B23" w:rsidRPr="001416ED">
        <w:rPr>
          <w:lang w:val="uk-UA"/>
        </w:rPr>
        <w:t xml:space="preserve"> </w:t>
      </w:r>
      <w:r w:rsidR="00CC2EBC" w:rsidRPr="001416ED">
        <w:rPr>
          <w:lang w:val="uk-UA"/>
        </w:rPr>
        <w:t>не в</w:t>
      </w:r>
      <w:r w:rsidR="00797BF7" w:rsidRPr="001416ED">
        <w:rPr>
          <w:lang w:val="uk-UA"/>
        </w:rPr>
        <w:t>становлено</w:t>
      </w:r>
      <w:r w:rsidR="00CC2EBC" w:rsidRPr="001416ED">
        <w:rPr>
          <w:lang w:val="uk-UA"/>
        </w:rPr>
        <w:t>.</w:t>
      </w:r>
    </w:p>
    <w:p w:rsidR="00CC2EBC" w:rsidRPr="001416ED" w:rsidRDefault="00CC2EBC" w:rsidP="0011045A">
      <w:pPr>
        <w:spacing w:line="360" w:lineRule="auto"/>
        <w:ind w:firstLine="708"/>
        <w:jc w:val="right"/>
        <w:rPr>
          <w:b/>
          <w:lang w:val="uk-UA"/>
        </w:rPr>
      </w:pPr>
    </w:p>
    <w:p w:rsidR="00CC2EBC" w:rsidRPr="001416ED" w:rsidRDefault="00CC2EBC" w:rsidP="0011045A">
      <w:pPr>
        <w:spacing w:line="360" w:lineRule="auto"/>
        <w:ind w:firstLine="708"/>
        <w:jc w:val="right"/>
        <w:rPr>
          <w:b/>
          <w:lang w:val="uk-UA"/>
        </w:rPr>
      </w:pPr>
    </w:p>
    <w:p w:rsidR="00797BF7" w:rsidRPr="001416ED" w:rsidRDefault="00797BF7" w:rsidP="0011045A">
      <w:pPr>
        <w:spacing w:line="360" w:lineRule="auto"/>
        <w:ind w:firstLine="708"/>
        <w:jc w:val="right"/>
        <w:rPr>
          <w:b/>
          <w:lang w:val="uk-UA"/>
        </w:rPr>
      </w:pPr>
    </w:p>
    <w:p w:rsidR="0011045A" w:rsidRPr="001416ED" w:rsidRDefault="0011045A" w:rsidP="0011045A">
      <w:pPr>
        <w:spacing w:line="360" w:lineRule="auto"/>
        <w:ind w:firstLine="708"/>
        <w:jc w:val="right"/>
        <w:rPr>
          <w:b/>
          <w:lang w:val="uk-UA"/>
        </w:rPr>
      </w:pPr>
      <w:r w:rsidRPr="001416ED">
        <w:rPr>
          <w:b/>
          <w:lang w:val="uk-UA"/>
        </w:rPr>
        <w:lastRenderedPageBreak/>
        <w:t>Таблиця 3.</w:t>
      </w:r>
      <w:r w:rsidR="004626FE" w:rsidRPr="001416ED">
        <w:rPr>
          <w:b/>
          <w:lang w:val="uk-UA"/>
        </w:rPr>
        <w:t>2</w:t>
      </w:r>
    </w:p>
    <w:p w:rsidR="0011045A" w:rsidRPr="001416ED" w:rsidRDefault="0011045A" w:rsidP="0011045A">
      <w:pPr>
        <w:spacing w:line="360" w:lineRule="auto"/>
        <w:jc w:val="center"/>
        <w:rPr>
          <w:b/>
          <w:lang w:val="uk-UA"/>
        </w:rPr>
      </w:pPr>
      <w:r w:rsidRPr="001416ED">
        <w:rPr>
          <w:b/>
          <w:lang w:val="uk-UA"/>
        </w:rPr>
        <w:t xml:space="preserve">Частота </w:t>
      </w:r>
      <w:r w:rsidR="00F40216">
        <w:rPr>
          <w:b/>
          <w:lang w:val="uk-UA"/>
        </w:rPr>
        <w:t xml:space="preserve"> варіантів гена</w:t>
      </w:r>
      <w:r w:rsidRPr="001416ED">
        <w:rPr>
          <w:b/>
          <w:lang w:val="uk-UA"/>
        </w:rPr>
        <w:t xml:space="preserve"> АТ1</w:t>
      </w:r>
      <w:r w:rsidR="00BC0119" w:rsidRPr="001416ED">
        <w:rPr>
          <w:b/>
          <w:lang w:val="uk-UA"/>
        </w:rPr>
        <w:t>–</w:t>
      </w:r>
      <w:r w:rsidRPr="001416ED">
        <w:rPr>
          <w:b/>
          <w:lang w:val="uk-UA"/>
        </w:rPr>
        <w:t xml:space="preserve">Р у пацієнтів контрольної групи – носіїв </w:t>
      </w:r>
      <w:r w:rsidR="00E6164F">
        <w:rPr>
          <w:b/>
          <w:lang w:val="uk-UA"/>
        </w:rPr>
        <w:t>поліморфних варіантів гена ЕТ–1</w:t>
      </w:r>
      <w:r w:rsidR="00A66A09" w:rsidRPr="001416ED">
        <w:rPr>
          <w:b/>
          <w:lang w:val="uk-UA"/>
        </w:rPr>
        <w:t>, (</w:t>
      </w:r>
      <w:r w:rsidR="00D4219F" w:rsidRPr="001416ED">
        <w:rPr>
          <w:b/>
          <w:lang w:val="uk-UA"/>
        </w:rPr>
        <w:t>%</w:t>
      </w:r>
      <w:r w:rsidR="00A66A09" w:rsidRPr="001416ED">
        <w:rPr>
          <w:b/>
          <w:lang w:val="uk-UA"/>
        </w:rPr>
        <w:t>)</w:t>
      </w:r>
    </w:p>
    <w:tbl>
      <w:tblPr>
        <w:tblStyle w:val="af5"/>
        <w:tblW w:w="0" w:type="auto"/>
        <w:tblLook w:val="04A0" w:firstRow="1" w:lastRow="0" w:firstColumn="1" w:lastColumn="0" w:noHBand="0" w:noVBand="1"/>
      </w:tblPr>
      <w:tblGrid>
        <w:gridCol w:w="3369"/>
        <w:gridCol w:w="2693"/>
        <w:gridCol w:w="2835"/>
        <w:gridCol w:w="1241"/>
      </w:tblGrid>
      <w:tr w:rsidR="00F858FE" w:rsidRPr="001416ED" w:rsidTr="00C962EC">
        <w:tc>
          <w:tcPr>
            <w:tcW w:w="3369" w:type="dxa"/>
            <w:vMerge w:val="restart"/>
          </w:tcPr>
          <w:p w:rsidR="0011045A" w:rsidRPr="001416ED" w:rsidRDefault="000A5FC2" w:rsidP="0011045A">
            <w:pPr>
              <w:spacing w:line="360" w:lineRule="auto"/>
              <w:jc w:val="center"/>
              <w:rPr>
                <w:b/>
              </w:rPr>
            </w:pPr>
            <w:r>
              <w:rPr>
                <w:b/>
              </w:rPr>
              <w:t>Поліморфні варіанти гена ЕТ-1</w:t>
            </w:r>
          </w:p>
        </w:tc>
        <w:tc>
          <w:tcPr>
            <w:tcW w:w="6769" w:type="dxa"/>
            <w:gridSpan w:val="3"/>
          </w:tcPr>
          <w:p w:rsidR="0011045A" w:rsidRPr="001416ED" w:rsidRDefault="0011045A" w:rsidP="0011045A">
            <w:pPr>
              <w:spacing w:line="360" w:lineRule="auto"/>
              <w:jc w:val="center"/>
              <w:rPr>
                <w:b/>
              </w:rPr>
            </w:pPr>
            <w:r w:rsidRPr="001416ED">
              <w:rPr>
                <w:b/>
              </w:rPr>
              <w:t>Генотипи гена АТ1</w:t>
            </w:r>
            <w:r w:rsidR="00BC0119" w:rsidRPr="001416ED">
              <w:rPr>
                <w:b/>
              </w:rPr>
              <w:t>–</w:t>
            </w:r>
            <w:r w:rsidRPr="001416ED">
              <w:rPr>
                <w:b/>
              </w:rPr>
              <w:t>Р</w:t>
            </w:r>
          </w:p>
        </w:tc>
      </w:tr>
      <w:tr w:rsidR="00BC3A9F" w:rsidRPr="001416ED" w:rsidTr="00232242">
        <w:tc>
          <w:tcPr>
            <w:tcW w:w="3369" w:type="dxa"/>
            <w:vMerge/>
          </w:tcPr>
          <w:p w:rsidR="00BC3A9F" w:rsidRPr="001416ED" w:rsidRDefault="00BC3A9F" w:rsidP="0011045A">
            <w:pPr>
              <w:spacing w:line="360" w:lineRule="auto"/>
              <w:rPr>
                <w:b/>
              </w:rPr>
            </w:pPr>
          </w:p>
        </w:tc>
        <w:tc>
          <w:tcPr>
            <w:tcW w:w="2693" w:type="dxa"/>
          </w:tcPr>
          <w:p w:rsidR="00BC3A9F" w:rsidRPr="00232242" w:rsidRDefault="00C962EC" w:rsidP="004A6B8E">
            <w:pPr>
              <w:spacing w:line="360" w:lineRule="auto"/>
              <w:jc w:val="center"/>
              <w:rPr>
                <w:b/>
                <w:lang w:val="en-US"/>
              </w:rPr>
            </w:pPr>
            <w:r w:rsidRPr="00232242">
              <w:rPr>
                <w:b/>
                <w:lang w:val="uk-UA"/>
              </w:rPr>
              <w:t xml:space="preserve">Генотип </w:t>
            </w:r>
            <w:r w:rsidR="00BC3A9F" w:rsidRPr="00232242">
              <w:rPr>
                <w:b/>
              </w:rPr>
              <w:t>АА</w:t>
            </w:r>
            <w:r w:rsidR="004A6B8E" w:rsidRPr="00232242">
              <w:rPr>
                <w:b/>
                <w:lang w:val="uk-UA"/>
              </w:rPr>
              <w:t xml:space="preserve"> (</w:t>
            </w:r>
            <w:r w:rsidR="004A6B8E" w:rsidRPr="00232242">
              <w:rPr>
                <w:b/>
                <w:lang w:val="en-US"/>
              </w:rPr>
              <w:t>n</w:t>
            </w:r>
            <w:r w:rsidR="004A6B8E" w:rsidRPr="00232242">
              <w:rPr>
                <w:b/>
              </w:rPr>
              <w:t>=</w:t>
            </w:r>
            <w:r w:rsidR="004A6B8E" w:rsidRPr="00232242">
              <w:rPr>
                <w:b/>
                <w:lang w:val="uk-UA"/>
              </w:rPr>
              <w:t>49</w:t>
            </w:r>
            <w:r w:rsidR="004A6B8E" w:rsidRPr="00232242">
              <w:rPr>
                <w:b/>
                <w:lang w:val="en-US"/>
              </w:rPr>
              <w:t>)</w:t>
            </w:r>
          </w:p>
        </w:tc>
        <w:tc>
          <w:tcPr>
            <w:tcW w:w="2835" w:type="dxa"/>
          </w:tcPr>
          <w:p w:rsidR="00BC3A9F" w:rsidRPr="00232242" w:rsidRDefault="00BC3A9F" w:rsidP="004A6B8E">
            <w:pPr>
              <w:spacing w:line="360" w:lineRule="auto"/>
              <w:jc w:val="center"/>
              <w:rPr>
                <w:b/>
                <w:lang w:val="uk-UA"/>
              </w:rPr>
            </w:pPr>
            <w:r w:rsidRPr="00232242">
              <w:rPr>
                <w:b/>
                <w:lang w:val="uk-UA"/>
              </w:rPr>
              <w:t>Носії алелі С</w:t>
            </w:r>
            <w:r w:rsidR="004A6B8E" w:rsidRPr="00232242">
              <w:rPr>
                <w:b/>
                <w:lang w:val="uk-UA"/>
              </w:rPr>
              <w:t xml:space="preserve"> (</w:t>
            </w:r>
            <w:r w:rsidR="004A6B8E" w:rsidRPr="00232242">
              <w:rPr>
                <w:b/>
                <w:lang w:val="en-US"/>
              </w:rPr>
              <w:t>n</w:t>
            </w:r>
            <w:r w:rsidR="004A6B8E" w:rsidRPr="00232242">
              <w:rPr>
                <w:b/>
              </w:rPr>
              <w:t>=</w:t>
            </w:r>
            <w:r w:rsidR="004A6B8E" w:rsidRPr="00232242">
              <w:rPr>
                <w:b/>
                <w:lang w:val="uk-UA"/>
              </w:rPr>
              <w:t>30</w:t>
            </w:r>
            <w:r w:rsidR="004A6B8E" w:rsidRPr="00232242">
              <w:rPr>
                <w:b/>
                <w:lang w:val="en-US"/>
              </w:rPr>
              <w:t>)</w:t>
            </w:r>
          </w:p>
        </w:tc>
        <w:tc>
          <w:tcPr>
            <w:tcW w:w="1241" w:type="dxa"/>
          </w:tcPr>
          <w:p w:rsidR="00BC3A9F" w:rsidRPr="001416ED" w:rsidRDefault="00BC3A9F" w:rsidP="0011045A">
            <w:pPr>
              <w:spacing w:line="360" w:lineRule="auto"/>
              <w:jc w:val="center"/>
              <w:rPr>
                <w:b/>
              </w:rPr>
            </w:pPr>
            <w:proofErr w:type="gramStart"/>
            <w:r w:rsidRPr="001416ED">
              <w:rPr>
                <w:b/>
              </w:rPr>
              <w:t>р</w:t>
            </w:r>
            <w:proofErr w:type="gramEnd"/>
          </w:p>
        </w:tc>
      </w:tr>
      <w:tr w:rsidR="00BC3A9F" w:rsidRPr="001416ED" w:rsidTr="00232242">
        <w:tc>
          <w:tcPr>
            <w:tcW w:w="3369" w:type="dxa"/>
          </w:tcPr>
          <w:p w:rsidR="00BC3A9F" w:rsidRPr="001416ED" w:rsidRDefault="00C962EC" w:rsidP="009054AA">
            <w:pPr>
              <w:spacing w:line="360" w:lineRule="auto"/>
              <w:rPr>
                <w:lang w:val="uk-UA"/>
              </w:rPr>
            </w:pPr>
            <w:r w:rsidRPr="001416ED">
              <w:rPr>
                <w:lang w:val="uk-UA"/>
              </w:rPr>
              <w:t>Г</w:t>
            </w:r>
            <w:r w:rsidRPr="001416ED">
              <w:t>енотип</w:t>
            </w:r>
            <w:r w:rsidR="00BC3A9F" w:rsidRPr="001416ED">
              <w:t xml:space="preserve"> </w:t>
            </w:r>
            <w:r w:rsidR="00BC3A9F" w:rsidRPr="001416ED">
              <w:rPr>
                <w:lang w:val="en-US"/>
              </w:rPr>
              <w:t>Lys</w:t>
            </w:r>
            <w:r w:rsidR="00BC3A9F" w:rsidRPr="001416ED">
              <w:t>/</w:t>
            </w:r>
            <w:r w:rsidR="00BC3A9F" w:rsidRPr="001416ED">
              <w:rPr>
                <w:lang w:val="en-US"/>
              </w:rPr>
              <w:t>Lys</w:t>
            </w:r>
            <w:r w:rsidR="00BC3A9F" w:rsidRPr="001416ED">
              <w:t xml:space="preserve"> (</w:t>
            </w:r>
            <w:r w:rsidR="00BC3A9F" w:rsidRPr="001416ED">
              <w:rPr>
                <w:lang w:val="en-US"/>
              </w:rPr>
              <w:t>n</w:t>
            </w:r>
            <w:r w:rsidR="00BC3A9F" w:rsidRPr="001416ED">
              <w:t>=52)</w:t>
            </w:r>
          </w:p>
        </w:tc>
        <w:tc>
          <w:tcPr>
            <w:tcW w:w="2693" w:type="dxa"/>
            <w:vAlign w:val="center"/>
          </w:tcPr>
          <w:p w:rsidR="00BC3A9F" w:rsidRPr="001416ED" w:rsidRDefault="00BC3A9F" w:rsidP="007F3DFB">
            <w:pPr>
              <w:spacing w:line="360" w:lineRule="auto"/>
              <w:jc w:val="center"/>
              <w:rPr>
                <w:lang w:val="uk-UA"/>
              </w:rPr>
            </w:pPr>
            <w:r w:rsidRPr="001416ED">
              <w:t>57,69</w:t>
            </w:r>
            <w:r w:rsidR="00D4219F" w:rsidRPr="001416ED">
              <w:t xml:space="preserve"> %</w:t>
            </w:r>
            <w:r w:rsidRPr="001416ED">
              <w:rPr>
                <w:lang w:val="uk-UA"/>
              </w:rPr>
              <w:t xml:space="preserve"> (</w:t>
            </w:r>
            <w:r w:rsidRPr="001416ED">
              <w:rPr>
                <w:lang w:val="en-US"/>
              </w:rPr>
              <w:t>n</w:t>
            </w:r>
            <w:r w:rsidRPr="001416ED">
              <w:t>=</w:t>
            </w:r>
            <w:r w:rsidRPr="001416ED">
              <w:rPr>
                <w:lang w:val="uk-UA"/>
              </w:rPr>
              <w:t>30</w:t>
            </w:r>
            <w:r w:rsidRPr="001416ED">
              <w:rPr>
                <w:lang w:val="en-US"/>
              </w:rPr>
              <w:t>)</w:t>
            </w:r>
            <w:r w:rsidR="008E1D07" w:rsidRPr="001416ED">
              <w:rPr>
                <w:lang w:val="uk-UA"/>
              </w:rPr>
              <w:t xml:space="preserve"> </w:t>
            </w:r>
          </w:p>
        </w:tc>
        <w:tc>
          <w:tcPr>
            <w:tcW w:w="2835" w:type="dxa"/>
            <w:vAlign w:val="center"/>
          </w:tcPr>
          <w:p w:rsidR="00BC3A9F" w:rsidRPr="001416ED" w:rsidRDefault="00BC3A9F" w:rsidP="007F3DFB">
            <w:pPr>
              <w:spacing w:line="360" w:lineRule="auto"/>
              <w:jc w:val="center"/>
              <w:rPr>
                <w:lang w:val="uk-UA"/>
              </w:rPr>
            </w:pPr>
            <w:r w:rsidRPr="001416ED">
              <w:rPr>
                <w:lang w:val="uk-UA"/>
              </w:rPr>
              <w:t>42,31</w:t>
            </w:r>
            <w:r w:rsidR="00D4219F" w:rsidRPr="001416ED">
              <w:rPr>
                <w:lang w:val="uk-UA"/>
              </w:rPr>
              <w:t xml:space="preserve"> %</w:t>
            </w:r>
            <w:r w:rsidRPr="001416ED">
              <w:rPr>
                <w:lang w:val="uk-UA"/>
              </w:rPr>
              <w:t xml:space="preserve"> (</w:t>
            </w:r>
            <w:r w:rsidRPr="001416ED">
              <w:rPr>
                <w:lang w:val="en-US"/>
              </w:rPr>
              <w:t>n</w:t>
            </w:r>
            <w:r w:rsidRPr="001416ED">
              <w:t>=</w:t>
            </w:r>
            <w:r w:rsidRPr="001416ED">
              <w:rPr>
                <w:lang w:val="uk-UA"/>
              </w:rPr>
              <w:t>22</w:t>
            </w:r>
            <w:r w:rsidRPr="001416ED">
              <w:rPr>
                <w:lang w:val="en-US"/>
              </w:rPr>
              <w:t>)</w:t>
            </w:r>
            <w:r w:rsidR="008E1D07" w:rsidRPr="001416ED">
              <w:rPr>
                <w:lang w:val="uk-UA"/>
              </w:rPr>
              <w:t xml:space="preserve"> </w:t>
            </w:r>
          </w:p>
        </w:tc>
        <w:tc>
          <w:tcPr>
            <w:tcW w:w="1241" w:type="dxa"/>
          </w:tcPr>
          <w:p w:rsidR="00BC3A9F" w:rsidRPr="001416ED" w:rsidRDefault="00BC3A9F" w:rsidP="008E1D07">
            <w:pPr>
              <w:spacing w:line="360" w:lineRule="auto"/>
              <w:rPr>
                <w:lang w:val="uk-UA"/>
              </w:rPr>
            </w:pPr>
            <w:r w:rsidRPr="001416ED">
              <w:t>р</w:t>
            </w:r>
            <w:r w:rsidR="008E1D07" w:rsidRPr="001416ED">
              <w:t>&gt;</w:t>
            </w:r>
            <w:r w:rsidRPr="001416ED">
              <w:t>0,0</w:t>
            </w:r>
            <w:r w:rsidR="008E1D07" w:rsidRPr="001416ED">
              <w:rPr>
                <w:lang w:val="uk-UA"/>
              </w:rPr>
              <w:t>5</w:t>
            </w:r>
          </w:p>
        </w:tc>
      </w:tr>
      <w:tr w:rsidR="00BC3A9F" w:rsidRPr="001416ED" w:rsidTr="00232242">
        <w:tc>
          <w:tcPr>
            <w:tcW w:w="3369" w:type="dxa"/>
          </w:tcPr>
          <w:p w:rsidR="00BC3A9F" w:rsidRPr="001416ED" w:rsidRDefault="00BC3A9F" w:rsidP="009054AA">
            <w:pPr>
              <w:spacing w:line="360" w:lineRule="auto"/>
              <w:rPr>
                <w:lang w:val="uk-UA"/>
              </w:rPr>
            </w:pPr>
            <w:r w:rsidRPr="001416ED">
              <w:t xml:space="preserve">Носії алелі </w:t>
            </w:r>
            <w:r w:rsidRPr="001416ED">
              <w:rPr>
                <w:lang w:val="en-US"/>
              </w:rPr>
              <w:t>Asn</w:t>
            </w:r>
            <w:r w:rsidRPr="001416ED">
              <w:t xml:space="preserve"> (</w:t>
            </w:r>
            <w:r w:rsidRPr="001416ED">
              <w:rPr>
                <w:lang w:val="en-US"/>
              </w:rPr>
              <w:t>n</w:t>
            </w:r>
            <w:r w:rsidRPr="001416ED">
              <w:t>=</w:t>
            </w:r>
            <w:r w:rsidRPr="001416ED">
              <w:rPr>
                <w:lang w:val="en-US"/>
              </w:rPr>
              <w:t>2</w:t>
            </w:r>
            <w:r w:rsidRPr="001416ED">
              <w:t>7</w:t>
            </w:r>
            <w:r w:rsidRPr="001416ED">
              <w:rPr>
                <w:lang w:val="en-US"/>
              </w:rPr>
              <w:t>)</w:t>
            </w:r>
          </w:p>
        </w:tc>
        <w:tc>
          <w:tcPr>
            <w:tcW w:w="2693" w:type="dxa"/>
            <w:vAlign w:val="center"/>
          </w:tcPr>
          <w:p w:rsidR="00BC3A9F" w:rsidRPr="001416ED" w:rsidRDefault="00BC3A9F" w:rsidP="007F3DFB">
            <w:pPr>
              <w:spacing w:line="360" w:lineRule="auto"/>
              <w:jc w:val="center"/>
              <w:rPr>
                <w:lang w:val="uk-UA"/>
              </w:rPr>
            </w:pPr>
            <w:r w:rsidRPr="001416ED">
              <w:t>70,37</w:t>
            </w:r>
            <w:r w:rsidR="00D4219F" w:rsidRPr="001416ED">
              <w:t xml:space="preserve"> %</w:t>
            </w:r>
            <w:r w:rsidRPr="001416ED">
              <w:rPr>
                <w:lang w:val="uk-UA"/>
              </w:rPr>
              <w:t xml:space="preserve"> (</w:t>
            </w:r>
            <w:r w:rsidRPr="001416ED">
              <w:rPr>
                <w:lang w:val="en-US"/>
              </w:rPr>
              <w:t>n</w:t>
            </w:r>
            <w:r w:rsidRPr="001416ED">
              <w:t>=</w:t>
            </w:r>
            <w:r w:rsidRPr="001416ED">
              <w:rPr>
                <w:lang w:val="uk-UA"/>
              </w:rPr>
              <w:t>19</w:t>
            </w:r>
            <w:r w:rsidRPr="001416ED">
              <w:rPr>
                <w:lang w:val="en-US"/>
              </w:rPr>
              <w:t>)</w:t>
            </w:r>
            <w:r w:rsidR="008E1D07" w:rsidRPr="001416ED">
              <w:rPr>
                <w:lang w:val="uk-UA"/>
              </w:rPr>
              <w:t xml:space="preserve"> </w:t>
            </w:r>
          </w:p>
        </w:tc>
        <w:tc>
          <w:tcPr>
            <w:tcW w:w="2835" w:type="dxa"/>
            <w:vAlign w:val="center"/>
          </w:tcPr>
          <w:p w:rsidR="00BC3A9F" w:rsidRPr="001416ED" w:rsidRDefault="00BC3A9F" w:rsidP="007F3DFB">
            <w:pPr>
              <w:spacing w:line="360" w:lineRule="auto"/>
              <w:jc w:val="center"/>
              <w:rPr>
                <w:lang w:val="uk-UA"/>
              </w:rPr>
            </w:pPr>
            <w:r w:rsidRPr="001416ED">
              <w:rPr>
                <w:lang w:val="uk-UA"/>
              </w:rPr>
              <w:t>29,63</w:t>
            </w:r>
            <w:r w:rsidR="00D4219F" w:rsidRPr="001416ED">
              <w:t xml:space="preserve"> %</w:t>
            </w:r>
            <w:r w:rsidRPr="001416ED">
              <w:rPr>
                <w:lang w:val="uk-UA"/>
              </w:rPr>
              <w:t xml:space="preserve"> (</w:t>
            </w:r>
            <w:r w:rsidRPr="001416ED">
              <w:rPr>
                <w:lang w:val="en-US"/>
              </w:rPr>
              <w:t>n</w:t>
            </w:r>
            <w:r w:rsidRPr="001416ED">
              <w:t>=</w:t>
            </w:r>
            <w:r w:rsidRPr="001416ED">
              <w:rPr>
                <w:lang w:val="uk-UA"/>
              </w:rPr>
              <w:t>8</w:t>
            </w:r>
            <w:r w:rsidRPr="001416ED">
              <w:rPr>
                <w:lang w:val="en-US"/>
              </w:rPr>
              <w:t>)</w:t>
            </w:r>
            <w:r w:rsidR="008E1D07" w:rsidRPr="001416ED">
              <w:rPr>
                <w:lang w:val="uk-UA"/>
              </w:rPr>
              <w:t xml:space="preserve"> </w:t>
            </w:r>
          </w:p>
        </w:tc>
        <w:tc>
          <w:tcPr>
            <w:tcW w:w="1241" w:type="dxa"/>
          </w:tcPr>
          <w:p w:rsidR="00BC3A9F" w:rsidRPr="001416ED" w:rsidRDefault="00BC3A9F" w:rsidP="008E1D07">
            <w:pPr>
              <w:spacing w:line="360" w:lineRule="auto"/>
            </w:pPr>
            <w:r w:rsidRPr="001416ED">
              <w:t>р</w:t>
            </w:r>
            <w:r w:rsidR="008E1D07" w:rsidRPr="001416ED">
              <w:t>&lt;0,01</w:t>
            </w:r>
          </w:p>
        </w:tc>
      </w:tr>
      <w:tr w:rsidR="00BC3A9F" w:rsidRPr="001416ED" w:rsidTr="00232242">
        <w:tc>
          <w:tcPr>
            <w:tcW w:w="3369" w:type="dxa"/>
          </w:tcPr>
          <w:p w:rsidR="00BC3A9F" w:rsidRPr="001416ED" w:rsidRDefault="00BC3A9F" w:rsidP="0011045A">
            <w:pPr>
              <w:spacing w:line="360" w:lineRule="auto"/>
            </w:pPr>
            <w:r w:rsidRPr="001416ED">
              <w:t>р</w:t>
            </w:r>
          </w:p>
        </w:tc>
        <w:tc>
          <w:tcPr>
            <w:tcW w:w="2693" w:type="dxa"/>
          </w:tcPr>
          <w:p w:rsidR="00BC3A9F" w:rsidRPr="001416ED" w:rsidRDefault="00BC3A9F" w:rsidP="002C3F65">
            <w:pPr>
              <w:spacing w:line="360" w:lineRule="auto"/>
              <w:jc w:val="center"/>
            </w:pPr>
            <w:r w:rsidRPr="001416ED">
              <w:t>р&gt;0,05</w:t>
            </w:r>
          </w:p>
        </w:tc>
        <w:tc>
          <w:tcPr>
            <w:tcW w:w="2835" w:type="dxa"/>
          </w:tcPr>
          <w:p w:rsidR="00BC3A9F" w:rsidRPr="001416ED" w:rsidRDefault="00BC3A9F" w:rsidP="002C3F65">
            <w:pPr>
              <w:spacing w:line="360" w:lineRule="auto"/>
              <w:jc w:val="center"/>
            </w:pPr>
            <w:r w:rsidRPr="001416ED">
              <w:t>р&gt;0,05</w:t>
            </w:r>
          </w:p>
        </w:tc>
        <w:tc>
          <w:tcPr>
            <w:tcW w:w="1241" w:type="dxa"/>
          </w:tcPr>
          <w:p w:rsidR="00BC3A9F" w:rsidRPr="001416ED" w:rsidRDefault="00BC3A9F" w:rsidP="0011045A">
            <w:pPr>
              <w:spacing w:line="360" w:lineRule="auto"/>
            </w:pPr>
          </w:p>
        </w:tc>
      </w:tr>
    </w:tbl>
    <w:p w:rsidR="00AA7B10" w:rsidRPr="001416ED" w:rsidRDefault="00C409EF" w:rsidP="00E3666E">
      <w:pPr>
        <w:spacing w:before="240" w:line="360" w:lineRule="auto"/>
        <w:ind w:firstLine="708"/>
        <w:jc w:val="both"/>
        <w:rPr>
          <w:lang w:val="uk-UA"/>
        </w:rPr>
      </w:pPr>
      <w:r w:rsidRPr="001416ED">
        <w:rPr>
          <w:lang w:val="uk-UA"/>
        </w:rPr>
        <w:t xml:space="preserve">Відомо, що </w:t>
      </w:r>
      <w:r w:rsidR="00BE586A" w:rsidRPr="001416ED">
        <w:rPr>
          <w:lang w:val="uk-UA"/>
        </w:rPr>
        <w:t xml:space="preserve">ЕГ </w:t>
      </w:r>
      <w:r w:rsidR="00402FC1" w:rsidRPr="001416ED">
        <w:rPr>
          <w:lang w:val="uk-UA"/>
        </w:rPr>
        <w:t xml:space="preserve">є мультифакторіальним захворюванням, і </w:t>
      </w:r>
      <w:r w:rsidRPr="001416ED">
        <w:rPr>
          <w:lang w:val="uk-UA"/>
        </w:rPr>
        <w:t>одн</w:t>
      </w:r>
      <w:r w:rsidR="00402FC1" w:rsidRPr="001416ED">
        <w:rPr>
          <w:lang w:val="uk-UA"/>
        </w:rPr>
        <w:t xml:space="preserve">ією </w:t>
      </w:r>
      <w:r w:rsidRPr="001416ED">
        <w:rPr>
          <w:lang w:val="uk-UA"/>
        </w:rPr>
        <w:t xml:space="preserve">із </w:t>
      </w:r>
      <w:r w:rsidR="00402FC1" w:rsidRPr="001416ED">
        <w:rPr>
          <w:lang w:val="uk-UA"/>
        </w:rPr>
        <w:t xml:space="preserve">основних факторів її </w:t>
      </w:r>
      <w:r w:rsidRPr="001416ED">
        <w:rPr>
          <w:lang w:val="uk-UA"/>
        </w:rPr>
        <w:t xml:space="preserve">виникнення є </w:t>
      </w:r>
      <w:r w:rsidR="00402FC1" w:rsidRPr="001416ED">
        <w:rPr>
          <w:lang w:val="uk-UA"/>
        </w:rPr>
        <w:t>спадкова схильність</w:t>
      </w:r>
      <w:r w:rsidRPr="001416ED">
        <w:rPr>
          <w:lang w:val="uk-UA"/>
        </w:rPr>
        <w:t>, тому бул</w:t>
      </w:r>
      <w:r w:rsidR="00541735" w:rsidRPr="001416ED">
        <w:rPr>
          <w:lang w:val="uk-UA"/>
        </w:rPr>
        <w:t>а</w:t>
      </w:r>
      <w:r w:rsidRPr="001416ED">
        <w:rPr>
          <w:lang w:val="uk-UA"/>
        </w:rPr>
        <w:t xml:space="preserve"> визнач</w:t>
      </w:r>
      <w:r w:rsidR="00541735" w:rsidRPr="001416ED">
        <w:rPr>
          <w:lang w:val="uk-UA"/>
        </w:rPr>
        <w:t xml:space="preserve">ена </w:t>
      </w:r>
      <w:r w:rsidRPr="001416ED">
        <w:rPr>
          <w:lang w:val="uk-UA"/>
        </w:rPr>
        <w:t>частот</w:t>
      </w:r>
      <w:r w:rsidR="00541735" w:rsidRPr="001416ED">
        <w:rPr>
          <w:lang w:val="uk-UA"/>
        </w:rPr>
        <w:t xml:space="preserve">а </w:t>
      </w:r>
      <w:r w:rsidR="00AA7B10" w:rsidRPr="001416ED">
        <w:rPr>
          <w:lang w:val="uk-UA"/>
        </w:rPr>
        <w:t xml:space="preserve">обтяженої </w:t>
      </w:r>
      <w:r w:rsidR="009054AA" w:rsidRPr="001416ED">
        <w:rPr>
          <w:lang w:val="uk-UA"/>
        </w:rPr>
        <w:t>спадковості</w:t>
      </w:r>
      <w:r w:rsidR="00AA7B10" w:rsidRPr="001416ED">
        <w:rPr>
          <w:lang w:val="uk-UA"/>
        </w:rPr>
        <w:t xml:space="preserve"> по ГХ у </w:t>
      </w:r>
      <w:r w:rsidR="00211C65" w:rsidRPr="001416ED">
        <w:rPr>
          <w:lang w:val="uk-UA"/>
        </w:rPr>
        <w:t>чоловіків</w:t>
      </w:r>
      <w:r w:rsidR="00AA7B10" w:rsidRPr="001416ED">
        <w:rPr>
          <w:lang w:val="uk-UA"/>
        </w:rPr>
        <w:t xml:space="preserve"> з </w:t>
      </w:r>
      <w:r w:rsidR="002558DF">
        <w:rPr>
          <w:lang w:val="uk-UA"/>
        </w:rPr>
        <w:t>різними варіантами</w:t>
      </w:r>
      <w:r w:rsidRPr="001416ED">
        <w:rPr>
          <w:lang w:val="uk-UA"/>
        </w:rPr>
        <w:t xml:space="preserve"> гена ЕТ</w:t>
      </w:r>
      <w:r w:rsidR="00BC0119" w:rsidRPr="001416ED">
        <w:rPr>
          <w:lang w:val="uk-UA"/>
        </w:rPr>
        <w:t>–</w:t>
      </w:r>
      <w:r w:rsidRPr="001416ED">
        <w:rPr>
          <w:lang w:val="uk-UA"/>
        </w:rPr>
        <w:t xml:space="preserve">1. До таких осіб відносились </w:t>
      </w:r>
      <w:r w:rsidR="00211C65" w:rsidRPr="001416ED">
        <w:rPr>
          <w:lang w:val="uk-UA"/>
        </w:rPr>
        <w:t>чоловіки</w:t>
      </w:r>
      <w:r w:rsidRPr="001416ED">
        <w:rPr>
          <w:lang w:val="uk-UA"/>
        </w:rPr>
        <w:t xml:space="preserve">, </w:t>
      </w:r>
      <w:r w:rsidR="00252017" w:rsidRPr="001416ED">
        <w:rPr>
          <w:lang w:val="uk-UA"/>
        </w:rPr>
        <w:t xml:space="preserve">батько, мати, рідні сестри чи брати </w:t>
      </w:r>
      <w:r w:rsidRPr="001416ED">
        <w:rPr>
          <w:lang w:val="uk-UA"/>
        </w:rPr>
        <w:t>яких хворіли на ГХ</w:t>
      </w:r>
      <w:r w:rsidR="00252017" w:rsidRPr="001416ED">
        <w:rPr>
          <w:lang w:val="uk-UA"/>
        </w:rPr>
        <w:t>, що була задокументована</w:t>
      </w:r>
      <w:r w:rsidR="004B4FEA" w:rsidRPr="001416ED">
        <w:rPr>
          <w:lang w:val="uk-UA"/>
        </w:rPr>
        <w:t xml:space="preserve">. Серед чоловіків групи контролю обтяжена спадковість стосовно ГХ, за даними анамнезу, виявлена у 15 осіб, що складає </w:t>
      </w:r>
      <w:r w:rsidR="00213107" w:rsidRPr="001416ED">
        <w:rPr>
          <w:lang w:val="uk-UA"/>
        </w:rPr>
        <w:t>18,99</w:t>
      </w:r>
      <w:r w:rsidR="00D4219F" w:rsidRPr="001416ED">
        <w:rPr>
          <w:lang w:val="uk-UA"/>
        </w:rPr>
        <w:t xml:space="preserve"> %</w:t>
      </w:r>
      <w:r w:rsidR="00213107" w:rsidRPr="001416ED">
        <w:rPr>
          <w:lang w:val="uk-UA"/>
        </w:rPr>
        <w:t>. Відповідно,</w:t>
      </w:r>
      <w:r w:rsidR="004B4FEA" w:rsidRPr="001416ED">
        <w:rPr>
          <w:lang w:val="uk-UA"/>
        </w:rPr>
        <w:t xml:space="preserve"> відсутність даного фактору ризику виявлена достовірно частіше</w:t>
      </w:r>
      <w:r w:rsidR="00AA7B10" w:rsidRPr="001416ED">
        <w:rPr>
          <w:lang w:val="uk-UA"/>
        </w:rPr>
        <w:t xml:space="preserve"> </w:t>
      </w:r>
      <w:r w:rsidR="00BC0119" w:rsidRPr="001416ED">
        <w:rPr>
          <w:lang w:val="uk-UA"/>
        </w:rPr>
        <w:t>–</w:t>
      </w:r>
      <w:r w:rsidR="004B4FEA" w:rsidRPr="001416ED">
        <w:rPr>
          <w:lang w:val="uk-UA"/>
        </w:rPr>
        <w:t xml:space="preserve"> у 64 (81,01</w:t>
      </w:r>
      <w:r w:rsidR="00D4219F" w:rsidRPr="001416ED">
        <w:rPr>
          <w:lang w:val="uk-UA"/>
        </w:rPr>
        <w:t xml:space="preserve"> %</w:t>
      </w:r>
      <w:r w:rsidR="004B4FEA" w:rsidRPr="001416ED">
        <w:rPr>
          <w:lang w:val="uk-UA"/>
        </w:rPr>
        <w:t>) осіб чоловічої статі</w:t>
      </w:r>
      <w:r w:rsidR="00E71564" w:rsidRPr="001416ED">
        <w:rPr>
          <w:lang w:val="uk-UA"/>
        </w:rPr>
        <w:t xml:space="preserve"> (р&lt;0,000</w:t>
      </w:r>
      <w:r w:rsidR="00216386" w:rsidRPr="001416ED">
        <w:rPr>
          <w:lang w:val="uk-UA"/>
        </w:rPr>
        <w:t>1)</w:t>
      </w:r>
      <w:r w:rsidR="004B4FEA" w:rsidRPr="001416ED">
        <w:rPr>
          <w:lang w:val="uk-UA"/>
        </w:rPr>
        <w:t xml:space="preserve">. </w:t>
      </w:r>
      <w:r w:rsidR="00D64A39" w:rsidRPr="001416ED">
        <w:rPr>
          <w:lang w:val="uk-UA"/>
        </w:rPr>
        <w:t>Тобто, у</w:t>
      </w:r>
      <w:r w:rsidR="001C6279" w:rsidRPr="001416ED">
        <w:rPr>
          <w:lang w:val="uk-UA"/>
        </w:rPr>
        <w:t xml:space="preserve"> носіїв генотипу</w:t>
      </w:r>
      <w:r w:rsidR="004B4FEA" w:rsidRPr="001416ED">
        <w:rPr>
          <w:lang w:val="uk-UA"/>
        </w:rPr>
        <w:t xml:space="preserve"> </w:t>
      </w:r>
      <w:r w:rsidR="001C6279" w:rsidRPr="001416ED">
        <w:rPr>
          <w:lang w:val="en-US"/>
        </w:rPr>
        <w:t>Lys</w:t>
      </w:r>
      <w:r w:rsidR="001C6279" w:rsidRPr="001416ED">
        <w:rPr>
          <w:lang w:val="uk-UA"/>
        </w:rPr>
        <w:t>/</w:t>
      </w:r>
      <w:r w:rsidR="001C6279" w:rsidRPr="001416ED">
        <w:rPr>
          <w:lang w:val="en-US"/>
        </w:rPr>
        <w:t>Lys</w:t>
      </w:r>
      <w:r w:rsidR="001C6279" w:rsidRPr="001416ED">
        <w:rPr>
          <w:lang w:val="uk-UA"/>
        </w:rPr>
        <w:t xml:space="preserve"> та алелі </w:t>
      </w:r>
      <w:r w:rsidR="001C6279" w:rsidRPr="001416ED">
        <w:rPr>
          <w:lang w:val="en-US"/>
        </w:rPr>
        <w:t>Asn</w:t>
      </w:r>
      <w:r w:rsidR="001C6279" w:rsidRPr="001416ED">
        <w:rPr>
          <w:lang w:val="uk-UA"/>
        </w:rPr>
        <w:t xml:space="preserve"> достовірно частіше виявлена необтяжена спадковість по ЕГ</w:t>
      </w:r>
      <w:r w:rsidR="00BA0201" w:rsidRPr="001416ED">
        <w:rPr>
          <w:lang w:val="uk-UA"/>
        </w:rPr>
        <w:t xml:space="preserve"> </w:t>
      </w:r>
      <w:r w:rsidR="004B4FEA" w:rsidRPr="001416ED">
        <w:rPr>
          <w:lang w:val="uk-UA"/>
        </w:rPr>
        <w:t>(табл</w:t>
      </w:r>
      <w:r w:rsidRPr="001416ED">
        <w:rPr>
          <w:lang w:val="uk-UA"/>
        </w:rPr>
        <w:t>.</w:t>
      </w:r>
      <w:r w:rsidR="004B4FEA" w:rsidRPr="001416ED">
        <w:rPr>
          <w:lang w:val="uk-UA"/>
        </w:rPr>
        <w:t xml:space="preserve"> 3.</w:t>
      </w:r>
      <w:r w:rsidR="00E3666E" w:rsidRPr="001416ED">
        <w:rPr>
          <w:lang w:val="uk-UA"/>
        </w:rPr>
        <w:t>3</w:t>
      </w:r>
      <w:r w:rsidR="004B4FEA" w:rsidRPr="001416ED">
        <w:rPr>
          <w:lang w:val="uk-UA"/>
        </w:rPr>
        <w:t>)</w:t>
      </w:r>
      <w:r w:rsidR="008B6576" w:rsidRPr="001416ED">
        <w:rPr>
          <w:lang w:val="uk-UA"/>
        </w:rPr>
        <w:t>.</w:t>
      </w:r>
    </w:p>
    <w:p w:rsidR="008407E1" w:rsidRPr="001416ED" w:rsidRDefault="004B4FEA" w:rsidP="004B4FEA">
      <w:pPr>
        <w:spacing w:line="360" w:lineRule="auto"/>
        <w:ind w:firstLine="708"/>
        <w:jc w:val="right"/>
        <w:rPr>
          <w:b/>
          <w:lang w:val="uk-UA"/>
        </w:rPr>
      </w:pPr>
      <w:r w:rsidRPr="001416ED">
        <w:rPr>
          <w:b/>
          <w:lang w:val="uk-UA"/>
        </w:rPr>
        <w:t>Таблиця 3.</w:t>
      </w:r>
      <w:r w:rsidR="00E3666E" w:rsidRPr="001416ED">
        <w:rPr>
          <w:b/>
          <w:lang w:val="uk-UA"/>
        </w:rPr>
        <w:t>3</w:t>
      </w:r>
    </w:p>
    <w:p w:rsidR="008407E1" w:rsidRPr="001416ED" w:rsidRDefault="008407E1" w:rsidP="008407E1">
      <w:pPr>
        <w:spacing w:line="360" w:lineRule="auto"/>
        <w:ind w:firstLine="708"/>
        <w:jc w:val="center"/>
        <w:rPr>
          <w:b/>
          <w:lang w:val="uk-UA"/>
        </w:rPr>
      </w:pPr>
      <w:r w:rsidRPr="001416ED">
        <w:rPr>
          <w:b/>
          <w:lang w:val="uk-UA"/>
        </w:rPr>
        <w:t>Частота обтяженої спадковості у чоловіків</w:t>
      </w:r>
      <w:r w:rsidR="004B4FEA" w:rsidRPr="001416ED">
        <w:rPr>
          <w:b/>
          <w:lang w:val="uk-UA"/>
        </w:rPr>
        <w:t xml:space="preserve"> групи контролю</w:t>
      </w:r>
      <w:r w:rsidRPr="001416ED">
        <w:rPr>
          <w:b/>
          <w:lang w:val="uk-UA"/>
        </w:rPr>
        <w:t xml:space="preserve"> </w:t>
      </w:r>
      <w:r w:rsidR="00BC0119" w:rsidRPr="001416ED">
        <w:rPr>
          <w:b/>
          <w:lang w:val="uk-UA"/>
        </w:rPr>
        <w:t>–</w:t>
      </w:r>
      <w:r w:rsidRPr="001416ED">
        <w:rPr>
          <w:b/>
          <w:lang w:val="uk-UA"/>
        </w:rPr>
        <w:t xml:space="preserve"> носіїв </w:t>
      </w:r>
      <w:r w:rsidR="00E6164F">
        <w:rPr>
          <w:b/>
          <w:lang w:val="uk-UA"/>
        </w:rPr>
        <w:t>поліморфних варіантів гена ЕТ–1</w:t>
      </w:r>
      <w:r w:rsidR="00A66A09" w:rsidRPr="001416ED">
        <w:rPr>
          <w:b/>
          <w:lang w:val="uk-UA"/>
        </w:rPr>
        <w:t>, (</w:t>
      </w:r>
      <w:r w:rsidR="00D4219F" w:rsidRPr="001416ED">
        <w:rPr>
          <w:b/>
          <w:lang w:val="uk-UA"/>
        </w:rPr>
        <w:t>%</w:t>
      </w:r>
      <w:r w:rsidR="00A66A09" w:rsidRPr="001416ED">
        <w:rPr>
          <w:b/>
          <w:lang w:val="uk-UA"/>
        </w:rPr>
        <w:t>)</w:t>
      </w:r>
    </w:p>
    <w:tbl>
      <w:tblPr>
        <w:tblStyle w:val="af5"/>
        <w:tblW w:w="0" w:type="auto"/>
        <w:tblLook w:val="04A0" w:firstRow="1" w:lastRow="0" w:firstColumn="1" w:lastColumn="0" w:noHBand="0" w:noVBand="1"/>
      </w:tblPr>
      <w:tblGrid>
        <w:gridCol w:w="3652"/>
        <w:gridCol w:w="2552"/>
        <w:gridCol w:w="2650"/>
        <w:gridCol w:w="1284"/>
      </w:tblGrid>
      <w:tr w:rsidR="008407E1" w:rsidRPr="001416ED" w:rsidTr="00ED2548">
        <w:tc>
          <w:tcPr>
            <w:tcW w:w="3652" w:type="dxa"/>
          </w:tcPr>
          <w:p w:rsidR="008407E1" w:rsidRPr="001416ED" w:rsidRDefault="000A5FC2" w:rsidP="00E96D21">
            <w:pPr>
              <w:spacing w:line="360" w:lineRule="auto"/>
              <w:jc w:val="center"/>
              <w:rPr>
                <w:b/>
              </w:rPr>
            </w:pPr>
            <w:r>
              <w:rPr>
                <w:b/>
              </w:rPr>
              <w:t>Поліморфні варіанти гена ЕТ-1</w:t>
            </w:r>
          </w:p>
        </w:tc>
        <w:tc>
          <w:tcPr>
            <w:tcW w:w="2552" w:type="dxa"/>
          </w:tcPr>
          <w:p w:rsidR="008407E1" w:rsidRPr="001416ED" w:rsidRDefault="008407E1" w:rsidP="00E96D21">
            <w:pPr>
              <w:spacing w:line="360" w:lineRule="auto"/>
              <w:jc w:val="center"/>
              <w:rPr>
                <w:b/>
              </w:rPr>
            </w:pPr>
            <w:r w:rsidRPr="001416ED">
              <w:rPr>
                <w:b/>
              </w:rPr>
              <w:t>Необтяжена спадковість по ГХ</w:t>
            </w:r>
          </w:p>
        </w:tc>
        <w:tc>
          <w:tcPr>
            <w:tcW w:w="2650" w:type="dxa"/>
          </w:tcPr>
          <w:p w:rsidR="008407E1" w:rsidRPr="001416ED" w:rsidRDefault="008407E1" w:rsidP="00E96D21">
            <w:pPr>
              <w:spacing w:line="360" w:lineRule="auto"/>
              <w:jc w:val="center"/>
              <w:rPr>
                <w:b/>
              </w:rPr>
            </w:pPr>
            <w:r w:rsidRPr="001416ED">
              <w:rPr>
                <w:b/>
              </w:rPr>
              <w:t>Обтяжена спадковість по ГХ</w:t>
            </w:r>
          </w:p>
        </w:tc>
        <w:tc>
          <w:tcPr>
            <w:tcW w:w="1284" w:type="dxa"/>
          </w:tcPr>
          <w:p w:rsidR="008407E1" w:rsidRPr="001416ED" w:rsidRDefault="008407E1" w:rsidP="00E96D21">
            <w:pPr>
              <w:spacing w:line="360" w:lineRule="auto"/>
              <w:jc w:val="center"/>
              <w:rPr>
                <w:b/>
              </w:rPr>
            </w:pPr>
            <w:r w:rsidRPr="001416ED">
              <w:rPr>
                <w:b/>
              </w:rPr>
              <w:t>р</w:t>
            </w:r>
          </w:p>
        </w:tc>
      </w:tr>
      <w:tr w:rsidR="008407E1" w:rsidRPr="001416ED" w:rsidTr="00ED2548">
        <w:tc>
          <w:tcPr>
            <w:tcW w:w="3652" w:type="dxa"/>
          </w:tcPr>
          <w:p w:rsidR="008407E1" w:rsidRPr="001416ED" w:rsidRDefault="00ED2548" w:rsidP="00E96D21">
            <w:pPr>
              <w:spacing w:line="360" w:lineRule="auto"/>
              <w:jc w:val="center"/>
              <w:rPr>
                <w:b/>
              </w:rPr>
            </w:pPr>
            <w:r w:rsidRPr="001416ED">
              <w:rPr>
                <w:lang w:val="uk-UA"/>
              </w:rPr>
              <w:t>Г</w:t>
            </w:r>
            <w:r w:rsidRPr="001416ED">
              <w:t>енотип</w:t>
            </w:r>
            <w:r w:rsidR="008407E1" w:rsidRPr="001416ED">
              <w:t xml:space="preserve"> </w:t>
            </w:r>
            <w:r w:rsidR="008407E1" w:rsidRPr="001416ED">
              <w:rPr>
                <w:lang w:val="en-US"/>
              </w:rPr>
              <w:t>Lys</w:t>
            </w:r>
            <w:r w:rsidR="008407E1" w:rsidRPr="001416ED">
              <w:t>/</w:t>
            </w:r>
            <w:r w:rsidR="008407E1" w:rsidRPr="001416ED">
              <w:rPr>
                <w:lang w:val="en-US"/>
              </w:rPr>
              <w:t>Lys</w:t>
            </w:r>
            <w:r w:rsidRPr="001416ED">
              <w:rPr>
                <w:lang w:val="uk-UA"/>
              </w:rPr>
              <w:t xml:space="preserve"> </w:t>
            </w:r>
            <w:r w:rsidRPr="001416ED">
              <w:t>(</w:t>
            </w:r>
            <w:r w:rsidRPr="001416ED">
              <w:rPr>
                <w:lang w:val="en-US"/>
              </w:rPr>
              <w:t>n</w:t>
            </w:r>
            <w:r w:rsidRPr="001416ED">
              <w:t>=52)</w:t>
            </w:r>
          </w:p>
        </w:tc>
        <w:tc>
          <w:tcPr>
            <w:tcW w:w="2552" w:type="dxa"/>
          </w:tcPr>
          <w:p w:rsidR="008407E1" w:rsidRPr="001416ED" w:rsidRDefault="008407E1" w:rsidP="00FA1E5A">
            <w:pPr>
              <w:spacing w:line="360" w:lineRule="auto"/>
              <w:jc w:val="center"/>
            </w:pPr>
            <w:r w:rsidRPr="001416ED">
              <w:t>82,69</w:t>
            </w:r>
            <w:r w:rsidR="00D4219F" w:rsidRPr="001416ED">
              <w:t xml:space="preserve"> %</w:t>
            </w:r>
            <w:r w:rsidRPr="001416ED">
              <w:t xml:space="preserve"> (n=43)</w:t>
            </w:r>
            <w:r w:rsidR="00FA1E5A" w:rsidRPr="001416ED">
              <w:rPr>
                <w:lang w:val="uk-UA"/>
              </w:rPr>
              <w:t xml:space="preserve"> </w:t>
            </w:r>
          </w:p>
        </w:tc>
        <w:tc>
          <w:tcPr>
            <w:tcW w:w="2650" w:type="dxa"/>
          </w:tcPr>
          <w:p w:rsidR="008407E1" w:rsidRPr="001416ED" w:rsidRDefault="008407E1" w:rsidP="00FA1E5A">
            <w:pPr>
              <w:spacing w:line="360" w:lineRule="auto"/>
              <w:jc w:val="center"/>
            </w:pPr>
            <w:r w:rsidRPr="001416ED">
              <w:t>17,31</w:t>
            </w:r>
            <w:r w:rsidR="00D4219F" w:rsidRPr="001416ED">
              <w:t xml:space="preserve"> %</w:t>
            </w:r>
            <w:r w:rsidRPr="001416ED">
              <w:t xml:space="preserve"> (n=9)</w:t>
            </w:r>
            <w:r w:rsidR="00FA1E5A" w:rsidRPr="001416ED">
              <w:rPr>
                <w:lang w:val="uk-UA"/>
              </w:rPr>
              <w:t xml:space="preserve"> </w:t>
            </w:r>
          </w:p>
        </w:tc>
        <w:tc>
          <w:tcPr>
            <w:tcW w:w="1284" w:type="dxa"/>
          </w:tcPr>
          <w:p w:rsidR="008407E1" w:rsidRPr="001416ED" w:rsidRDefault="00DC16F3" w:rsidP="00FA1E5A">
            <w:pPr>
              <w:spacing w:line="360" w:lineRule="auto"/>
              <w:jc w:val="center"/>
            </w:pPr>
            <w:r w:rsidRPr="001416ED">
              <w:rPr>
                <w:lang w:val="uk-UA"/>
              </w:rPr>
              <w:t>р</w:t>
            </w:r>
            <w:r w:rsidR="00866751" w:rsidRPr="001416ED">
              <w:t>&lt;0,000</w:t>
            </w:r>
            <w:r w:rsidR="008407E1" w:rsidRPr="001416ED">
              <w:t>1</w:t>
            </w:r>
          </w:p>
        </w:tc>
      </w:tr>
      <w:tr w:rsidR="008407E1" w:rsidRPr="001416ED" w:rsidTr="00ED2548">
        <w:tc>
          <w:tcPr>
            <w:tcW w:w="3652" w:type="dxa"/>
          </w:tcPr>
          <w:p w:rsidR="008407E1" w:rsidRPr="001416ED" w:rsidRDefault="008407E1" w:rsidP="00E96D21">
            <w:pPr>
              <w:spacing w:line="360" w:lineRule="auto"/>
              <w:jc w:val="center"/>
              <w:rPr>
                <w:b/>
              </w:rPr>
            </w:pPr>
            <w:r w:rsidRPr="001416ED">
              <w:t xml:space="preserve">Носії алелі </w:t>
            </w:r>
            <w:r w:rsidRPr="001416ED">
              <w:rPr>
                <w:lang w:val="en-US"/>
              </w:rPr>
              <w:t>Asn</w:t>
            </w:r>
            <w:r w:rsidR="00ED2548" w:rsidRPr="001416ED">
              <w:rPr>
                <w:lang w:val="uk-UA"/>
              </w:rPr>
              <w:t xml:space="preserve"> </w:t>
            </w:r>
            <w:r w:rsidR="00ED2548" w:rsidRPr="001416ED">
              <w:t>(</w:t>
            </w:r>
            <w:r w:rsidR="00ED2548" w:rsidRPr="001416ED">
              <w:rPr>
                <w:lang w:val="en-US"/>
              </w:rPr>
              <w:t>n</w:t>
            </w:r>
            <w:r w:rsidR="00ED2548" w:rsidRPr="001416ED">
              <w:t>=</w:t>
            </w:r>
            <w:r w:rsidR="00ED2548" w:rsidRPr="001416ED">
              <w:rPr>
                <w:lang w:val="en-US"/>
              </w:rPr>
              <w:t>2</w:t>
            </w:r>
            <w:r w:rsidR="00ED2548" w:rsidRPr="001416ED">
              <w:t>7</w:t>
            </w:r>
            <w:r w:rsidR="00ED2548" w:rsidRPr="001416ED">
              <w:rPr>
                <w:lang w:val="en-US"/>
              </w:rPr>
              <w:t>)</w:t>
            </w:r>
          </w:p>
        </w:tc>
        <w:tc>
          <w:tcPr>
            <w:tcW w:w="2552" w:type="dxa"/>
          </w:tcPr>
          <w:p w:rsidR="008407E1" w:rsidRPr="001416ED" w:rsidRDefault="008407E1" w:rsidP="00FA1E5A">
            <w:pPr>
              <w:spacing w:line="360" w:lineRule="auto"/>
              <w:jc w:val="center"/>
            </w:pPr>
            <w:r w:rsidRPr="001416ED">
              <w:t>77,78</w:t>
            </w:r>
            <w:r w:rsidR="00D4219F" w:rsidRPr="001416ED">
              <w:t xml:space="preserve"> %</w:t>
            </w:r>
            <w:r w:rsidRPr="001416ED">
              <w:t xml:space="preserve"> (n=21)</w:t>
            </w:r>
            <w:r w:rsidR="00FA1E5A" w:rsidRPr="001416ED">
              <w:rPr>
                <w:lang w:val="uk-UA"/>
              </w:rPr>
              <w:t xml:space="preserve"> </w:t>
            </w:r>
          </w:p>
        </w:tc>
        <w:tc>
          <w:tcPr>
            <w:tcW w:w="2650" w:type="dxa"/>
          </w:tcPr>
          <w:p w:rsidR="008407E1" w:rsidRPr="001416ED" w:rsidRDefault="008407E1" w:rsidP="00FA1E5A">
            <w:pPr>
              <w:spacing w:line="360" w:lineRule="auto"/>
              <w:jc w:val="center"/>
            </w:pPr>
            <w:r w:rsidRPr="001416ED">
              <w:t>22,22</w:t>
            </w:r>
            <w:r w:rsidR="00D4219F" w:rsidRPr="001416ED">
              <w:t xml:space="preserve"> %</w:t>
            </w:r>
            <w:r w:rsidRPr="001416ED">
              <w:t xml:space="preserve"> (n=6)</w:t>
            </w:r>
            <w:r w:rsidR="00FA1E5A" w:rsidRPr="001416ED">
              <w:rPr>
                <w:lang w:val="uk-UA"/>
              </w:rPr>
              <w:t xml:space="preserve"> </w:t>
            </w:r>
          </w:p>
        </w:tc>
        <w:tc>
          <w:tcPr>
            <w:tcW w:w="1284" w:type="dxa"/>
          </w:tcPr>
          <w:p w:rsidR="008407E1" w:rsidRPr="001416ED" w:rsidRDefault="00DC16F3" w:rsidP="00FA1E5A">
            <w:pPr>
              <w:spacing w:line="360" w:lineRule="auto"/>
              <w:jc w:val="center"/>
            </w:pPr>
            <w:r w:rsidRPr="001416ED">
              <w:rPr>
                <w:lang w:val="uk-UA"/>
              </w:rPr>
              <w:t>р</w:t>
            </w:r>
            <w:r w:rsidR="008407E1" w:rsidRPr="001416ED">
              <w:t>&lt;0,0001</w:t>
            </w:r>
          </w:p>
        </w:tc>
      </w:tr>
      <w:tr w:rsidR="008407E1" w:rsidRPr="001416ED" w:rsidTr="00ED2548">
        <w:tc>
          <w:tcPr>
            <w:tcW w:w="3652" w:type="dxa"/>
          </w:tcPr>
          <w:p w:rsidR="008407E1" w:rsidRPr="001416ED" w:rsidRDefault="008407E1" w:rsidP="00E96D21">
            <w:pPr>
              <w:spacing w:line="360" w:lineRule="auto"/>
              <w:jc w:val="center"/>
            </w:pPr>
            <w:r w:rsidRPr="001416ED">
              <w:t>р</w:t>
            </w:r>
          </w:p>
        </w:tc>
        <w:tc>
          <w:tcPr>
            <w:tcW w:w="2552" w:type="dxa"/>
          </w:tcPr>
          <w:p w:rsidR="008407E1" w:rsidRPr="001416ED" w:rsidRDefault="008407E1" w:rsidP="00E3666E">
            <w:pPr>
              <w:spacing w:line="360" w:lineRule="auto"/>
              <w:jc w:val="center"/>
            </w:pPr>
            <w:r w:rsidRPr="001416ED">
              <w:t>р&gt;0,05</w:t>
            </w:r>
          </w:p>
        </w:tc>
        <w:tc>
          <w:tcPr>
            <w:tcW w:w="2650" w:type="dxa"/>
          </w:tcPr>
          <w:p w:rsidR="008407E1" w:rsidRPr="001416ED" w:rsidRDefault="00DC16F3" w:rsidP="00E3666E">
            <w:pPr>
              <w:spacing w:line="360" w:lineRule="auto"/>
              <w:jc w:val="center"/>
            </w:pPr>
            <w:r w:rsidRPr="001416ED">
              <w:rPr>
                <w:lang w:val="uk-UA"/>
              </w:rPr>
              <w:t>р</w:t>
            </w:r>
            <w:r w:rsidR="008407E1" w:rsidRPr="001416ED">
              <w:t>&gt;0,05</w:t>
            </w:r>
          </w:p>
        </w:tc>
        <w:tc>
          <w:tcPr>
            <w:tcW w:w="1284" w:type="dxa"/>
          </w:tcPr>
          <w:p w:rsidR="008407E1" w:rsidRPr="001416ED" w:rsidRDefault="008407E1" w:rsidP="00E96D21">
            <w:pPr>
              <w:spacing w:line="360" w:lineRule="auto"/>
              <w:rPr>
                <w:b/>
              </w:rPr>
            </w:pPr>
          </w:p>
        </w:tc>
      </w:tr>
    </w:tbl>
    <w:p w:rsidR="001A6D30" w:rsidRPr="001416ED" w:rsidRDefault="001A6D30" w:rsidP="004841A9">
      <w:pPr>
        <w:spacing w:before="240" w:line="360" w:lineRule="auto"/>
        <w:ind w:firstLine="708"/>
        <w:jc w:val="both"/>
        <w:rPr>
          <w:lang w:val="uk-UA"/>
        </w:rPr>
      </w:pPr>
      <w:r w:rsidRPr="001416ED">
        <w:rPr>
          <w:b/>
          <w:lang w:val="uk-UA"/>
        </w:rPr>
        <w:t xml:space="preserve"> </w:t>
      </w:r>
      <w:r w:rsidRPr="001416ED">
        <w:rPr>
          <w:lang w:val="uk-UA"/>
        </w:rPr>
        <w:t xml:space="preserve">Оскільки надмірна маса тіла є </w:t>
      </w:r>
      <w:r w:rsidR="006609A4" w:rsidRPr="001416ED">
        <w:rPr>
          <w:lang w:val="uk-UA"/>
        </w:rPr>
        <w:t>фактором</w:t>
      </w:r>
      <w:r w:rsidRPr="001416ED">
        <w:rPr>
          <w:lang w:val="uk-UA"/>
        </w:rPr>
        <w:t>, що сприяє розвитку ЕГ, бу</w:t>
      </w:r>
      <w:r w:rsidR="001A1A74" w:rsidRPr="001416ED">
        <w:rPr>
          <w:lang w:val="uk-UA"/>
        </w:rPr>
        <w:t>в</w:t>
      </w:r>
      <w:r w:rsidRPr="001416ED">
        <w:rPr>
          <w:lang w:val="uk-UA"/>
        </w:rPr>
        <w:t xml:space="preserve"> розрахован</w:t>
      </w:r>
      <w:r w:rsidR="001A1A74" w:rsidRPr="001416ED">
        <w:rPr>
          <w:lang w:val="uk-UA"/>
        </w:rPr>
        <w:t>ий</w:t>
      </w:r>
      <w:r w:rsidRPr="001416ED">
        <w:rPr>
          <w:lang w:val="uk-UA"/>
        </w:rPr>
        <w:t xml:space="preserve"> ІМТ у чоловіків групи контролю. Так, нормальна маса тіла </w:t>
      </w:r>
      <w:r w:rsidRPr="001416ED">
        <w:rPr>
          <w:lang w:val="uk-UA"/>
        </w:rPr>
        <w:lastRenderedPageBreak/>
        <w:t>спостерігалась у 63,29</w:t>
      </w:r>
      <w:r w:rsidR="00D4219F" w:rsidRPr="001416ED">
        <w:rPr>
          <w:lang w:val="uk-UA"/>
        </w:rPr>
        <w:t xml:space="preserve"> %</w:t>
      </w:r>
      <w:r w:rsidRPr="001416ED">
        <w:rPr>
          <w:lang w:val="uk-UA"/>
        </w:rPr>
        <w:t xml:space="preserve"> </w:t>
      </w:r>
      <w:r w:rsidRPr="001416ED">
        <w:t>(n=</w:t>
      </w:r>
      <w:r w:rsidRPr="001416ED">
        <w:rPr>
          <w:lang w:val="uk-UA"/>
        </w:rPr>
        <w:t>50</w:t>
      </w:r>
      <w:r w:rsidRPr="001416ED">
        <w:t>)</w:t>
      </w:r>
      <w:r w:rsidRPr="001416ED">
        <w:rPr>
          <w:lang w:val="uk-UA"/>
        </w:rPr>
        <w:t xml:space="preserve"> осіб, надмірна маса тіла у 3</w:t>
      </w:r>
      <w:r w:rsidR="000E665D" w:rsidRPr="001416ED">
        <w:rPr>
          <w:lang w:val="uk-UA"/>
        </w:rPr>
        <w:t>6</w:t>
      </w:r>
      <w:r w:rsidRPr="001416ED">
        <w:rPr>
          <w:lang w:val="uk-UA"/>
        </w:rPr>
        <w:t>,</w:t>
      </w:r>
      <w:r w:rsidR="000E665D" w:rsidRPr="001416ED">
        <w:rPr>
          <w:lang w:val="uk-UA"/>
        </w:rPr>
        <w:t>71</w:t>
      </w:r>
      <w:r w:rsidR="00D4219F" w:rsidRPr="001416ED">
        <w:rPr>
          <w:lang w:val="uk-UA"/>
        </w:rPr>
        <w:t xml:space="preserve"> %</w:t>
      </w:r>
      <w:r w:rsidRPr="001416ED">
        <w:rPr>
          <w:lang w:val="uk-UA"/>
        </w:rPr>
        <w:t xml:space="preserve"> (n=2</w:t>
      </w:r>
      <w:r w:rsidR="000E665D" w:rsidRPr="001416ED">
        <w:rPr>
          <w:lang w:val="uk-UA"/>
        </w:rPr>
        <w:t>9)</w:t>
      </w:r>
      <w:r w:rsidRPr="001416ED">
        <w:rPr>
          <w:lang w:val="uk-UA"/>
        </w:rPr>
        <w:t xml:space="preserve"> чоловіків. Далі був визначений ІМТ при носійстві </w:t>
      </w:r>
      <w:r w:rsidR="00E6164F">
        <w:rPr>
          <w:lang w:val="uk-UA"/>
        </w:rPr>
        <w:t>поліморфних варіантів гена ЕТ–1</w:t>
      </w:r>
      <w:r w:rsidR="00B3303A" w:rsidRPr="001416ED">
        <w:rPr>
          <w:lang w:val="uk-UA"/>
        </w:rPr>
        <w:t>.</w:t>
      </w:r>
      <w:r w:rsidR="005954EB" w:rsidRPr="001416ED">
        <w:rPr>
          <w:lang w:val="uk-UA"/>
        </w:rPr>
        <w:t xml:space="preserve"> </w:t>
      </w:r>
      <w:r w:rsidR="00B3303A" w:rsidRPr="001416ED">
        <w:rPr>
          <w:lang w:val="uk-UA"/>
        </w:rPr>
        <w:t xml:space="preserve">У чоловіків носіїв генотипу Lys/Lys та алелі Asn достовірно частіше зустрічається нормальна маса тіла  </w:t>
      </w:r>
      <w:r w:rsidR="005954EB" w:rsidRPr="001416ED">
        <w:rPr>
          <w:lang w:val="uk-UA"/>
        </w:rPr>
        <w:t>(табл.</w:t>
      </w:r>
      <w:r w:rsidR="002507A3" w:rsidRPr="001416ED">
        <w:rPr>
          <w:lang w:val="uk-UA"/>
        </w:rPr>
        <w:t xml:space="preserve"> </w:t>
      </w:r>
      <w:r w:rsidR="005954EB" w:rsidRPr="001416ED">
        <w:rPr>
          <w:lang w:val="uk-UA"/>
        </w:rPr>
        <w:t>3</w:t>
      </w:r>
      <w:r w:rsidRPr="001416ED">
        <w:rPr>
          <w:lang w:val="uk-UA"/>
        </w:rPr>
        <w:t>.</w:t>
      </w:r>
      <w:r w:rsidR="00E3666E" w:rsidRPr="001416ED">
        <w:rPr>
          <w:lang w:val="uk-UA"/>
        </w:rPr>
        <w:t>4</w:t>
      </w:r>
      <w:r w:rsidR="005954EB" w:rsidRPr="001416ED">
        <w:rPr>
          <w:lang w:val="uk-UA"/>
        </w:rPr>
        <w:t>)</w:t>
      </w:r>
    </w:p>
    <w:p w:rsidR="0033570A" w:rsidRPr="001416ED" w:rsidRDefault="00F95B75" w:rsidP="00F95B75">
      <w:pPr>
        <w:spacing w:line="360" w:lineRule="auto"/>
        <w:ind w:firstLine="708"/>
        <w:jc w:val="right"/>
        <w:rPr>
          <w:b/>
          <w:lang w:val="uk-UA"/>
        </w:rPr>
      </w:pPr>
      <w:r w:rsidRPr="001416ED">
        <w:rPr>
          <w:b/>
          <w:lang w:val="uk-UA"/>
        </w:rPr>
        <w:t>Таблиця 3.</w:t>
      </w:r>
      <w:r w:rsidR="00E3666E" w:rsidRPr="001416ED">
        <w:rPr>
          <w:b/>
          <w:lang w:val="uk-UA"/>
        </w:rPr>
        <w:t>4</w:t>
      </w:r>
    </w:p>
    <w:p w:rsidR="00F95B75" w:rsidRPr="001416ED" w:rsidRDefault="001A1A74" w:rsidP="005954EB">
      <w:pPr>
        <w:spacing w:line="360" w:lineRule="auto"/>
        <w:ind w:firstLine="708"/>
        <w:jc w:val="center"/>
        <w:rPr>
          <w:b/>
          <w:lang w:val="uk-UA"/>
        </w:rPr>
      </w:pPr>
      <w:r w:rsidRPr="001416ED">
        <w:rPr>
          <w:b/>
          <w:lang w:val="uk-UA"/>
        </w:rPr>
        <w:t>Розподіл чоловіків</w:t>
      </w:r>
      <w:r w:rsidR="005954EB" w:rsidRPr="001416ED">
        <w:rPr>
          <w:b/>
          <w:lang w:val="uk-UA"/>
        </w:rPr>
        <w:t xml:space="preserve"> групи контролю за </w:t>
      </w:r>
      <w:r w:rsidR="000E665D" w:rsidRPr="001416ED">
        <w:rPr>
          <w:b/>
          <w:lang w:val="uk-UA"/>
        </w:rPr>
        <w:t>ІМТ</w:t>
      </w:r>
      <w:r w:rsidR="00F95B75" w:rsidRPr="001416ED">
        <w:rPr>
          <w:b/>
          <w:lang w:val="uk-UA"/>
        </w:rPr>
        <w:t xml:space="preserve"> </w:t>
      </w:r>
      <w:r w:rsidR="005954EB" w:rsidRPr="001416ED">
        <w:rPr>
          <w:b/>
          <w:lang w:val="uk-UA"/>
        </w:rPr>
        <w:t>при успадкуванні</w:t>
      </w:r>
      <w:r w:rsidR="00F95B75" w:rsidRPr="001416ED">
        <w:rPr>
          <w:b/>
          <w:lang w:val="uk-UA"/>
        </w:rPr>
        <w:t xml:space="preserve"> </w:t>
      </w:r>
      <w:r w:rsidR="00E6164F">
        <w:rPr>
          <w:b/>
          <w:lang w:val="uk-UA"/>
        </w:rPr>
        <w:t>поліморфних варіантів гена ЕТ–1</w:t>
      </w:r>
      <w:r w:rsidR="00A66A09" w:rsidRPr="001416ED">
        <w:rPr>
          <w:b/>
          <w:lang w:val="uk-UA"/>
        </w:rPr>
        <w:t>, (</w:t>
      </w:r>
      <w:r w:rsidR="00D4219F" w:rsidRPr="001416ED">
        <w:rPr>
          <w:b/>
          <w:lang w:val="uk-UA"/>
        </w:rPr>
        <w:t>%</w:t>
      </w:r>
      <w:r w:rsidR="00A66A09" w:rsidRPr="001416ED">
        <w:rPr>
          <w:b/>
          <w:lang w:val="uk-UA"/>
        </w:rPr>
        <w:t>)</w:t>
      </w:r>
    </w:p>
    <w:tbl>
      <w:tblPr>
        <w:tblStyle w:val="af5"/>
        <w:tblW w:w="0" w:type="auto"/>
        <w:tblLook w:val="04A0" w:firstRow="1" w:lastRow="0" w:firstColumn="1" w:lastColumn="0" w:noHBand="0" w:noVBand="1"/>
      </w:tblPr>
      <w:tblGrid>
        <w:gridCol w:w="3510"/>
        <w:gridCol w:w="2410"/>
        <w:gridCol w:w="2693"/>
        <w:gridCol w:w="1418"/>
      </w:tblGrid>
      <w:tr w:rsidR="000E665D" w:rsidRPr="001416ED" w:rsidTr="00ED2548">
        <w:trPr>
          <w:trHeight w:val="779"/>
        </w:trPr>
        <w:tc>
          <w:tcPr>
            <w:tcW w:w="3510" w:type="dxa"/>
          </w:tcPr>
          <w:p w:rsidR="000E665D" w:rsidRPr="001416ED" w:rsidRDefault="000A5FC2" w:rsidP="00E96D21">
            <w:pPr>
              <w:spacing w:line="360" w:lineRule="auto"/>
              <w:jc w:val="center"/>
              <w:rPr>
                <w:b/>
                <w:lang w:val="uk-UA"/>
              </w:rPr>
            </w:pPr>
            <w:r>
              <w:rPr>
                <w:b/>
              </w:rPr>
              <w:t>Поліморфні варіанти гена ЕТ-1</w:t>
            </w:r>
          </w:p>
        </w:tc>
        <w:tc>
          <w:tcPr>
            <w:tcW w:w="2410" w:type="dxa"/>
          </w:tcPr>
          <w:p w:rsidR="000E665D" w:rsidRPr="001416ED" w:rsidRDefault="000E665D" w:rsidP="002D75D2">
            <w:pPr>
              <w:spacing w:line="360" w:lineRule="auto"/>
              <w:jc w:val="center"/>
              <w:rPr>
                <w:b/>
                <w:lang w:val="uk-UA"/>
              </w:rPr>
            </w:pPr>
            <w:r w:rsidRPr="001416ED">
              <w:rPr>
                <w:b/>
                <w:lang w:val="uk-UA"/>
              </w:rPr>
              <w:t>Н</w:t>
            </w:r>
            <w:r w:rsidRPr="001416ED">
              <w:rPr>
                <w:b/>
              </w:rPr>
              <w:t>ормальна маса тіла</w:t>
            </w:r>
          </w:p>
        </w:tc>
        <w:tc>
          <w:tcPr>
            <w:tcW w:w="2693" w:type="dxa"/>
          </w:tcPr>
          <w:p w:rsidR="000E665D" w:rsidRPr="001416ED" w:rsidRDefault="000E665D" w:rsidP="00E96D21">
            <w:pPr>
              <w:spacing w:line="360" w:lineRule="auto"/>
              <w:jc w:val="center"/>
              <w:rPr>
                <w:b/>
                <w:lang w:val="uk-UA"/>
              </w:rPr>
            </w:pPr>
            <w:r w:rsidRPr="001416ED">
              <w:rPr>
                <w:b/>
                <w:vertAlign w:val="superscript"/>
              </w:rPr>
              <w:t xml:space="preserve"> </w:t>
            </w:r>
            <w:r w:rsidRPr="001416ED">
              <w:rPr>
                <w:b/>
              </w:rPr>
              <w:t>Надмірна маса тіла</w:t>
            </w:r>
          </w:p>
        </w:tc>
        <w:tc>
          <w:tcPr>
            <w:tcW w:w="1418" w:type="dxa"/>
          </w:tcPr>
          <w:p w:rsidR="000E665D" w:rsidRPr="001416ED" w:rsidRDefault="000E665D" w:rsidP="00E96D21">
            <w:pPr>
              <w:spacing w:line="360" w:lineRule="auto"/>
              <w:jc w:val="center"/>
              <w:rPr>
                <w:b/>
              </w:rPr>
            </w:pPr>
            <w:r w:rsidRPr="001416ED">
              <w:rPr>
                <w:b/>
              </w:rPr>
              <w:t>р</w:t>
            </w:r>
          </w:p>
        </w:tc>
      </w:tr>
      <w:tr w:rsidR="00ED2548" w:rsidRPr="001416ED" w:rsidTr="00ED2548">
        <w:tc>
          <w:tcPr>
            <w:tcW w:w="3510" w:type="dxa"/>
          </w:tcPr>
          <w:p w:rsidR="00ED2548" w:rsidRPr="001416ED" w:rsidRDefault="00ED2548" w:rsidP="00803F07">
            <w:pPr>
              <w:spacing w:line="360" w:lineRule="auto"/>
              <w:jc w:val="center"/>
              <w:rPr>
                <w:b/>
              </w:rPr>
            </w:pPr>
            <w:r w:rsidRPr="001416ED">
              <w:rPr>
                <w:lang w:val="uk-UA"/>
              </w:rPr>
              <w:t>Г</w:t>
            </w:r>
            <w:r w:rsidRPr="001416ED">
              <w:t xml:space="preserve">енотип </w:t>
            </w:r>
            <w:r w:rsidRPr="001416ED">
              <w:rPr>
                <w:lang w:val="en-US"/>
              </w:rPr>
              <w:t>Lys</w:t>
            </w:r>
            <w:r w:rsidRPr="001416ED">
              <w:t>/</w:t>
            </w:r>
            <w:r w:rsidRPr="001416ED">
              <w:rPr>
                <w:lang w:val="en-US"/>
              </w:rPr>
              <w:t>Lys</w:t>
            </w:r>
            <w:r w:rsidRPr="001416ED">
              <w:rPr>
                <w:lang w:val="uk-UA"/>
              </w:rPr>
              <w:t xml:space="preserve"> </w:t>
            </w:r>
            <w:r w:rsidRPr="001416ED">
              <w:t>(</w:t>
            </w:r>
            <w:r w:rsidRPr="001416ED">
              <w:rPr>
                <w:lang w:val="en-US"/>
              </w:rPr>
              <w:t>n</w:t>
            </w:r>
            <w:r w:rsidRPr="001416ED">
              <w:t>=52)</w:t>
            </w:r>
          </w:p>
        </w:tc>
        <w:tc>
          <w:tcPr>
            <w:tcW w:w="2410" w:type="dxa"/>
          </w:tcPr>
          <w:p w:rsidR="00ED2548" w:rsidRPr="001416ED" w:rsidRDefault="00ED2548" w:rsidP="00FA1E5A">
            <w:pPr>
              <w:spacing w:line="360" w:lineRule="auto"/>
              <w:jc w:val="center"/>
            </w:pPr>
            <w:r w:rsidRPr="001416ED">
              <w:rPr>
                <w:lang w:val="uk-UA"/>
              </w:rPr>
              <w:t>59,62</w:t>
            </w:r>
            <w:r w:rsidRPr="001416ED">
              <w:t xml:space="preserve"> % (n=</w:t>
            </w:r>
            <w:r w:rsidRPr="001416ED">
              <w:rPr>
                <w:lang w:val="uk-UA"/>
              </w:rPr>
              <w:t>31</w:t>
            </w:r>
            <w:r w:rsidRPr="001416ED">
              <w:t>)</w:t>
            </w:r>
            <w:r w:rsidRPr="001416ED">
              <w:rPr>
                <w:lang w:val="uk-UA"/>
              </w:rPr>
              <w:t xml:space="preserve"> </w:t>
            </w:r>
          </w:p>
        </w:tc>
        <w:tc>
          <w:tcPr>
            <w:tcW w:w="2693" w:type="dxa"/>
          </w:tcPr>
          <w:p w:rsidR="00ED2548" w:rsidRPr="001416ED" w:rsidRDefault="00ED2548" w:rsidP="00FA1E5A">
            <w:pPr>
              <w:spacing w:line="360" w:lineRule="auto"/>
              <w:jc w:val="center"/>
            </w:pPr>
            <w:r w:rsidRPr="001416ED">
              <w:rPr>
                <w:lang w:val="uk-UA"/>
              </w:rPr>
              <w:t>40,38</w:t>
            </w:r>
            <w:r w:rsidRPr="001416ED">
              <w:t xml:space="preserve"> % (n=</w:t>
            </w:r>
            <w:r w:rsidRPr="001416ED">
              <w:rPr>
                <w:lang w:val="uk-UA"/>
              </w:rPr>
              <w:t>21</w:t>
            </w:r>
            <w:r w:rsidRPr="001416ED">
              <w:t>)</w:t>
            </w:r>
            <w:r w:rsidRPr="001416ED">
              <w:rPr>
                <w:lang w:val="uk-UA"/>
              </w:rPr>
              <w:t xml:space="preserve"> </w:t>
            </w:r>
          </w:p>
        </w:tc>
        <w:tc>
          <w:tcPr>
            <w:tcW w:w="1418" w:type="dxa"/>
          </w:tcPr>
          <w:p w:rsidR="00ED2548" w:rsidRPr="001416ED" w:rsidRDefault="00ED2548" w:rsidP="001A1A74">
            <w:pPr>
              <w:spacing w:line="360" w:lineRule="auto"/>
              <w:jc w:val="center"/>
            </w:pPr>
            <w:r w:rsidRPr="001416ED">
              <w:rPr>
                <w:lang w:val="uk-UA"/>
              </w:rPr>
              <w:t>р</w:t>
            </w:r>
            <w:r w:rsidRPr="001416ED">
              <w:t>&lt;0,0</w:t>
            </w:r>
            <w:r w:rsidRPr="001416ED">
              <w:rPr>
                <w:lang w:val="uk-UA"/>
              </w:rPr>
              <w:t>5</w:t>
            </w:r>
          </w:p>
        </w:tc>
      </w:tr>
      <w:tr w:rsidR="00ED2548" w:rsidRPr="001416ED" w:rsidTr="00ED2548">
        <w:tc>
          <w:tcPr>
            <w:tcW w:w="3510" w:type="dxa"/>
          </w:tcPr>
          <w:p w:rsidR="00ED2548" w:rsidRPr="001416ED" w:rsidRDefault="00ED2548" w:rsidP="00803F07">
            <w:pPr>
              <w:spacing w:line="360" w:lineRule="auto"/>
              <w:jc w:val="center"/>
              <w:rPr>
                <w:b/>
              </w:rPr>
            </w:pPr>
            <w:r w:rsidRPr="001416ED">
              <w:t xml:space="preserve">Носії алелі </w:t>
            </w:r>
            <w:r w:rsidRPr="001416ED">
              <w:rPr>
                <w:lang w:val="en-US"/>
              </w:rPr>
              <w:t>Asn</w:t>
            </w:r>
            <w:r w:rsidRPr="001416ED">
              <w:rPr>
                <w:lang w:val="uk-UA"/>
              </w:rPr>
              <w:t xml:space="preserve"> </w:t>
            </w:r>
            <w:r w:rsidRPr="001416ED">
              <w:t>(</w:t>
            </w:r>
            <w:r w:rsidRPr="001416ED">
              <w:rPr>
                <w:lang w:val="en-US"/>
              </w:rPr>
              <w:t>n</w:t>
            </w:r>
            <w:r w:rsidRPr="001416ED">
              <w:t>=</w:t>
            </w:r>
            <w:r w:rsidRPr="001416ED">
              <w:rPr>
                <w:lang w:val="en-US"/>
              </w:rPr>
              <w:t>2</w:t>
            </w:r>
            <w:r w:rsidRPr="001416ED">
              <w:t>7</w:t>
            </w:r>
            <w:r w:rsidRPr="001416ED">
              <w:rPr>
                <w:lang w:val="en-US"/>
              </w:rPr>
              <w:t>)</w:t>
            </w:r>
          </w:p>
        </w:tc>
        <w:tc>
          <w:tcPr>
            <w:tcW w:w="2410" w:type="dxa"/>
          </w:tcPr>
          <w:p w:rsidR="00ED2548" w:rsidRPr="001416ED" w:rsidRDefault="00ED2548" w:rsidP="00FA1E5A">
            <w:pPr>
              <w:spacing w:line="360" w:lineRule="auto"/>
              <w:jc w:val="center"/>
            </w:pPr>
            <w:r w:rsidRPr="001416ED">
              <w:rPr>
                <w:lang w:val="uk-UA"/>
              </w:rPr>
              <w:t>70,37</w:t>
            </w:r>
            <w:r w:rsidRPr="001416ED">
              <w:t xml:space="preserve"> % (n=</w:t>
            </w:r>
            <w:r w:rsidRPr="001416ED">
              <w:rPr>
                <w:lang w:val="uk-UA"/>
              </w:rPr>
              <w:t>19</w:t>
            </w:r>
            <w:r w:rsidRPr="001416ED">
              <w:t>)</w:t>
            </w:r>
            <w:r w:rsidRPr="001416ED">
              <w:rPr>
                <w:lang w:val="uk-UA"/>
              </w:rPr>
              <w:t xml:space="preserve"> </w:t>
            </w:r>
          </w:p>
        </w:tc>
        <w:tc>
          <w:tcPr>
            <w:tcW w:w="2693" w:type="dxa"/>
          </w:tcPr>
          <w:p w:rsidR="00ED2548" w:rsidRPr="001416ED" w:rsidRDefault="00ED2548" w:rsidP="00FA1E5A">
            <w:pPr>
              <w:spacing w:line="360" w:lineRule="auto"/>
              <w:jc w:val="center"/>
            </w:pPr>
            <w:r w:rsidRPr="001416ED">
              <w:rPr>
                <w:lang w:val="uk-UA"/>
              </w:rPr>
              <w:t>29,63</w:t>
            </w:r>
            <w:r w:rsidRPr="001416ED">
              <w:t xml:space="preserve"> % (n=</w:t>
            </w:r>
            <w:r w:rsidRPr="001416ED">
              <w:rPr>
                <w:lang w:val="uk-UA"/>
              </w:rPr>
              <w:t>8</w:t>
            </w:r>
            <w:r w:rsidRPr="001416ED">
              <w:t>)</w:t>
            </w:r>
            <w:r w:rsidRPr="001416ED">
              <w:rPr>
                <w:lang w:val="uk-UA"/>
              </w:rPr>
              <w:t xml:space="preserve"> </w:t>
            </w:r>
          </w:p>
        </w:tc>
        <w:tc>
          <w:tcPr>
            <w:tcW w:w="1418" w:type="dxa"/>
          </w:tcPr>
          <w:p w:rsidR="00ED2548" w:rsidRPr="001416ED" w:rsidRDefault="00ED2548" w:rsidP="001A1A74">
            <w:pPr>
              <w:spacing w:line="360" w:lineRule="auto"/>
              <w:jc w:val="center"/>
              <w:rPr>
                <w:lang w:val="uk-UA"/>
              </w:rPr>
            </w:pPr>
            <w:r w:rsidRPr="001416ED">
              <w:rPr>
                <w:lang w:val="uk-UA"/>
              </w:rPr>
              <w:t>р</w:t>
            </w:r>
            <w:r w:rsidRPr="001416ED">
              <w:t>&lt;0,001</w:t>
            </w:r>
          </w:p>
        </w:tc>
      </w:tr>
      <w:tr w:rsidR="000E665D" w:rsidRPr="001416ED" w:rsidTr="00ED2548">
        <w:tc>
          <w:tcPr>
            <w:tcW w:w="3510" w:type="dxa"/>
          </w:tcPr>
          <w:p w:rsidR="000E665D" w:rsidRPr="001416ED" w:rsidRDefault="000E665D" w:rsidP="00E96D21">
            <w:pPr>
              <w:spacing w:line="360" w:lineRule="auto"/>
              <w:jc w:val="center"/>
            </w:pPr>
            <w:r w:rsidRPr="001416ED">
              <w:t>р</w:t>
            </w:r>
          </w:p>
        </w:tc>
        <w:tc>
          <w:tcPr>
            <w:tcW w:w="2410" w:type="dxa"/>
          </w:tcPr>
          <w:p w:rsidR="000E665D" w:rsidRPr="001416ED" w:rsidRDefault="000E665D" w:rsidP="000E01EB">
            <w:pPr>
              <w:spacing w:line="360" w:lineRule="auto"/>
              <w:jc w:val="center"/>
            </w:pPr>
            <w:r w:rsidRPr="001416ED">
              <w:t>р&gt;0,05</w:t>
            </w:r>
          </w:p>
        </w:tc>
        <w:tc>
          <w:tcPr>
            <w:tcW w:w="2693" w:type="dxa"/>
          </w:tcPr>
          <w:p w:rsidR="000E665D" w:rsidRPr="001416ED" w:rsidRDefault="000E665D" w:rsidP="000E01EB">
            <w:pPr>
              <w:spacing w:line="360" w:lineRule="auto"/>
              <w:jc w:val="center"/>
            </w:pPr>
            <w:r w:rsidRPr="001416ED">
              <w:rPr>
                <w:lang w:val="uk-UA"/>
              </w:rPr>
              <w:t>р</w:t>
            </w:r>
            <w:r w:rsidRPr="001416ED">
              <w:t>&gt;0,05</w:t>
            </w:r>
          </w:p>
        </w:tc>
        <w:tc>
          <w:tcPr>
            <w:tcW w:w="1418" w:type="dxa"/>
          </w:tcPr>
          <w:p w:rsidR="000E665D" w:rsidRPr="001416ED" w:rsidRDefault="000E665D" w:rsidP="00E96D21">
            <w:pPr>
              <w:spacing w:line="360" w:lineRule="auto"/>
              <w:rPr>
                <w:b/>
              </w:rPr>
            </w:pPr>
          </w:p>
        </w:tc>
      </w:tr>
    </w:tbl>
    <w:p w:rsidR="00A01BFB" w:rsidRPr="001416ED" w:rsidRDefault="00A01BFB" w:rsidP="00A74086">
      <w:pPr>
        <w:spacing w:before="240" w:after="240" w:line="360" w:lineRule="auto"/>
        <w:ind w:firstLine="708"/>
        <w:jc w:val="both"/>
        <w:rPr>
          <w:b/>
          <w:lang w:val="uk-UA"/>
        </w:rPr>
      </w:pPr>
      <w:r w:rsidRPr="001416ED">
        <w:rPr>
          <w:b/>
          <w:lang w:val="uk-UA"/>
        </w:rPr>
        <w:t>3.2</w:t>
      </w:r>
      <w:r w:rsidR="00A871C5" w:rsidRPr="001416ED">
        <w:rPr>
          <w:b/>
          <w:lang w:val="uk-UA"/>
        </w:rPr>
        <w:t>.</w:t>
      </w:r>
      <w:r w:rsidRPr="001416ED">
        <w:rPr>
          <w:b/>
          <w:lang w:val="uk-UA"/>
        </w:rPr>
        <w:t xml:space="preserve"> Рівень ендотеліну</w:t>
      </w:r>
      <w:r w:rsidR="00BC0119" w:rsidRPr="001416ED">
        <w:rPr>
          <w:b/>
          <w:lang w:val="uk-UA"/>
        </w:rPr>
        <w:t>–</w:t>
      </w:r>
      <w:r w:rsidRPr="001416ED">
        <w:rPr>
          <w:b/>
          <w:lang w:val="uk-UA"/>
        </w:rPr>
        <w:t>1 у плазмі крові чоловіків групи контролю, мешканців Подільського регіону</w:t>
      </w:r>
      <w:r w:rsidR="00E77CD7" w:rsidRPr="001416ED">
        <w:rPr>
          <w:b/>
          <w:lang w:val="uk-UA"/>
        </w:rPr>
        <w:t xml:space="preserve"> України </w:t>
      </w:r>
    </w:p>
    <w:p w:rsidR="00A01BFB" w:rsidRPr="001416ED" w:rsidRDefault="00A01BFB" w:rsidP="00A01BFB">
      <w:pPr>
        <w:spacing w:line="360" w:lineRule="auto"/>
        <w:ind w:firstLine="708"/>
        <w:jc w:val="both"/>
        <w:rPr>
          <w:lang w:val="uk-UA"/>
        </w:rPr>
      </w:pPr>
      <w:r w:rsidRPr="001416ED">
        <w:rPr>
          <w:lang w:val="uk-UA"/>
        </w:rPr>
        <w:t xml:space="preserve">Сьогодні ЕД розглядають як один із ключових факторів, </w:t>
      </w:r>
      <w:r w:rsidR="00BA631F" w:rsidRPr="001416ED">
        <w:rPr>
          <w:lang w:val="uk-UA"/>
        </w:rPr>
        <w:t xml:space="preserve">що </w:t>
      </w:r>
      <w:r w:rsidRPr="001416ED">
        <w:rPr>
          <w:lang w:val="uk-UA"/>
        </w:rPr>
        <w:t>призводить до розвитку ЕГ, а ЕТ</w:t>
      </w:r>
      <w:r w:rsidR="00BC0119" w:rsidRPr="001416ED">
        <w:rPr>
          <w:lang w:val="uk-UA"/>
        </w:rPr>
        <w:t>–</w:t>
      </w:r>
      <w:r w:rsidRPr="001416ED">
        <w:rPr>
          <w:lang w:val="uk-UA"/>
        </w:rPr>
        <w:t>1 відіграє в цьому одну із найголовніших ролей [</w:t>
      </w:r>
      <w:r w:rsidR="0037619B" w:rsidRPr="001416ED">
        <w:rPr>
          <w:lang w:val="uk-UA"/>
        </w:rPr>
        <w:t>3</w:t>
      </w:r>
      <w:r w:rsidRPr="001416ED">
        <w:rPr>
          <w:lang w:val="uk-UA"/>
        </w:rPr>
        <w:t>]. Тому</w:t>
      </w:r>
      <w:r w:rsidR="00F974B7" w:rsidRPr="001416ED">
        <w:rPr>
          <w:lang w:val="uk-UA"/>
        </w:rPr>
        <w:t>,</w:t>
      </w:r>
      <w:r w:rsidRPr="001416ED">
        <w:rPr>
          <w:lang w:val="uk-UA"/>
        </w:rPr>
        <w:t xml:space="preserve"> були проаналізовані рівні ЕТ</w:t>
      </w:r>
      <w:r w:rsidR="00BC0119" w:rsidRPr="001416ED">
        <w:rPr>
          <w:lang w:val="uk-UA"/>
        </w:rPr>
        <w:t>–</w:t>
      </w:r>
      <w:r w:rsidRPr="001416ED">
        <w:rPr>
          <w:lang w:val="uk-UA"/>
        </w:rPr>
        <w:t>1 в плазмі крові у осіб групи контролю. Плазмова концентрація ЕТ</w:t>
      </w:r>
      <w:r w:rsidR="00BC0119" w:rsidRPr="001416ED">
        <w:rPr>
          <w:lang w:val="uk-UA"/>
        </w:rPr>
        <w:t>–</w:t>
      </w:r>
      <w:r w:rsidRPr="001416ED">
        <w:rPr>
          <w:lang w:val="uk-UA"/>
        </w:rPr>
        <w:t xml:space="preserve">1 у чоловіків групи контролю складає </w:t>
      </w:r>
      <w:r w:rsidR="00A64D10" w:rsidRPr="001416ED">
        <w:rPr>
          <w:lang w:val="uk-UA"/>
        </w:rPr>
        <w:t>(</w:t>
      </w:r>
      <w:r w:rsidRPr="001416ED">
        <w:rPr>
          <w:lang w:val="uk-UA"/>
        </w:rPr>
        <w:t>1,79</w:t>
      </w:r>
      <w:r w:rsidR="007A07A9" w:rsidRPr="001416ED">
        <w:rPr>
          <w:lang w:val="uk-UA"/>
        </w:rPr>
        <w:t xml:space="preserve"> ± </w:t>
      </w:r>
      <w:r w:rsidRPr="001416ED">
        <w:rPr>
          <w:lang w:val="uk-UA"/>
        </w:rPr>
        <w:t>0,08</w:t>
      </w:r>
      <w:r w:rsidR="00A64D10" w:rsidRPr="001416ED">
        <w:rPr>
          <w:lang w:val="uk-UA"/>
        </w:rPr>
        <w:t>)</w:t>
      </w:r>
      <w:r w:rsidRPr="001416ED">
        <w:rPr>
          <w:lang w:val="uk-UA"/>
        </w:rPr>
        <w:t xml:space="preserve"> фмоль/мл.</w:t>
      </w:r>
      <w:r w:rsidRPr="001416ED">
        <w:t xml:space="preserve"> </w:t>
      </w:r>
      <w:r w:rsidRPr="001416ED">
        <w:rPr>
          <w:lang w:val="uk-UA"/>
        </w:rPr>
        <w:t>Цікавою знахідкою стала різна концентрація ЕТ</w:t>
      </w:r>
      <w:r w:rsidR="00BC0119" w:rsidRPr="001416ED">
        <w:rPr>
          <w:lang w:val="uk-UA"/>
        </w:rPr>
        <w:t>–</w:t>
      </w:r>
      <w:r w:rsidRPr="001416ED">
        <w:rPr>
          <w:lang w:val="uk-UA"/>
        </w:rPr>
        <w:t xml:space="preserve">1 при носійстві окремих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(рис.</w:t>
      </w:r>
      <w:r w:rsidR="00D27181" w:rsidRPr="001416ED">
        <w:rPr>
          <w:lang w:val="uk-UA"/>
        </w:rPr>
        <w:t xml:space="preserve"> </w:t>
      </w:r>
      <w:r w:rsidRPr="001416ED">
        <w:rPr>
          <w:lang w:val="uk-UA"/>
        </w:rPr>
        <w:t>3.3).</w:t>
      </w:r>
    </w:p>
    <w:p w:rsidR="00A01BFB" w:rsidRPr="001416ED" w:rsidRDefault="00A01BFB" w:rsidP="00A01BFB">
      <w:pPr>
        <w:ind w:firstLine="708"/>
        <w:jc w:val="center"/>
        <w:rPr>
          <w:lang w:val="uk-UA"/>
        </w:rPr>
      </w:pPr>
      <w:r w:rsidRPr="001416ED">
        <w:rPr>
          <w:noProof/>
          <w:lang w:val="uk-UA" w:eastAsia="uk-UA"/>
        </w:rPr>
        <w:drawing>
          <wp:inline distT="0" distB="0" distL="0" distR="0" wp14:anchorId="3973A1F7" wp14:editId="241951F4">
            <wp:extent cx="4043548" cy="1359724"/>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1BFB" w:rsidRPr="001416ED" w:rsidRDefault="00A01BFB" w:rsidP="00866751">
      <w:pPr>
        <w:spacing w:line="360" w:lineRule="auto"/>
        <w:ind w:firstLine="708"/>
        <w:jc w:val="both"/>
        <w:rPr>
          <w:b/>
          <w:lang w:val="uk-UA"/>
        </w:rPr>
      </w:pPr>
      <w:r w:rsidRPr="001416ED">
        <w:rPr>
          <w:b/>
          <w:lang w:val="uk-UA"/>
        </w:rPr>
        <w:t>Рис. 3.3 Плазмова концентрація ЕТ</w:t>
      </w:r>
      <w:r w:rsidR="00BC0119" w:rsidRPr="001416ED">
        <w:rPr>
          <w:b/>
          <w:lang w:val="uk-UA"/>
        </w:rPr>
        <w:t>–</w:t>
      </w:r>
      <w:r w:rsidRPr="001416ED">
        <w:rPr>
          <w:b/>
          <w:lang w:val="uk-UA"/>
        </w:rPr>
        <w:t xml:space="preserve">1 серед чоловіків групи </w:t>
      </w:r>
      <w:r w:rsidR="00472F94" w:rsidRPr="001416ED">
        <w:rPr>
          <w:b/>
          <w:lang w:val="uk-UA"/>
        </w:rPr>
        <w:t>контролю</w:t>
      </w:r>
      <w:r w:rsidRPr="001416ED">
        <w:rPr>
          <w:b/>
          <w:lang w:val="uk-UA"/>
        </w:rPr>
        <w:t xml:space="preserve">, що є носіями </w:t>
      </w:r>
      <w:r w:rsidR="00E6164F">
        <w:rPr>
          <w:b/>
          <w:lang w:val="uk-UA"/>
        </w:rPr>
        <w:t>поліморфних варіантів гена ЕТ–1</w:t>
      </w:r>
      <w:r w:rsidRPr="001416ED">
        <w:rPr>
          <w:b/>
          <w:lang w:val="uk-UA"/>
        </w:rPr>
        <w:t>, фмоль/мл</w:t>
      </w:r>
    </w:p>
    <w:p w:rsidR="00A01BFB" w:rsidRPr="001416ED" w:rsidRDefault="00A01BFB" w:rsidP="00866751">
      <w:pPr>
        <w:spacing w:after="240" w:line="360" w:lineRule="auto"/>
        <w:ind w:firstLine="708"/>
        <w:jc w:val="both"/>
        <w:rPr>
          <w:lang w:val="uk-UA"/>
        </w:rPr>
      </w:pPr>
      <w:r w:rsidRPr="001416ED">
        <w:rPr>
          <w:lang w:val="uk-UA"/>
        </w:rPr>
        <w:t>Примітка: різниця показників достовірна при порівнянні з: * носі</w:t>
      </w:r>
      <w:r w:rsidR="00866751" w:rsidRPr="001416ED">
        <w:rPr>
          <w:lang w:val="uk-UA"/>
        </w:rPr>
        <w:t>ями генотипу Lys/Lys (р&lt;0,000</w:t>
      </w:r>
      <w:r w:rsidRPr="001416ED">
        <w:rPr>
          <w:lang w:val="uk-UA"/>
        </w:rPr>
        <w:t xml:space="preserve">1) </w:t>
      </w:r>
    </w:p>
    <w:p w:rsidR="00A01BFB" w:rsidRPr="001416ED" w:rsidRDefault="00523D4B" w:rsidP="00A01BFB">
      <w:pPr>
        <w:spacing w:line="360" w:lineRule="auto"/>
        <w:ind w:firstLine="708"/>
        <w:jc w:val="both"/>
        <w:rPr>
          <w:lang w:val="uk-UA"/>
        </w:rPr>
      </w:pPr>
      <w:r w:rsidRPr="001416ED">
        <w:rPr>
          <w:lang w:val="uk-UA"/>
        </w:rPr>
        <w:lastRenderedPageBreak/>
        <w:t xml:space="preserve">Згідно даних </w:t>
      </w:r>
      <w:r w:rsidR="00F974B7" w:rsidRPr="001416ED">
        <w:rPr>
          <w:lang w:val="uk-UA"/>
        </w:rPr>
        <w:t>О.</w:t>
      </w:r>
      <w:r w:rsidR="00211C65" w:rsidRPr="001416ED">
        <w:rPr>
          <w:lang w:val="uk-UA"/>
        </w:rPr>
        <w:t xml:space="preserve"> </w:t>
      </w:r>
      <w:r w:rsidR="00F974B7" w:rsidRPr="001416ED">
        <w:rPr>
          <w:lang w:val="uk-UA"/>
        </w:rPr>
        <w:t xml:space="preserve">О. </w:t>
      </w:r>
      <w:r w:rsidRPr="001416ED">
        <w:rPr>
          <w:lang w:val="uk-UA"/>
        </w:rPr>
        <w:t>Абрагамович</w:t>
      </w:r>
      <w:r w:rsidR="00BE2C4B" w:rsidRPr="001416ED">
        <w:rPr>
          <w:lang w:val="uk-UA"/>
        </w:rPr>
        <w:t>а</w:t>
      </w:r>
      <w:r w:rsidRPr="001416ED">
        <w:rPr>
          <w:lang w:val="uk-UA"/>
        </w:rPr>
        <w:t xml:space="preserve"> та </w:t>
      </w:r>
      <w:r w:rsidR="00211C65" w:rsidRPr="001416ED">
        <w:rPr>
          <w:lang w:val="uk-UA"/>
        </w:rPr>
        <w:t>співавт.</w:t>
      </w:r>
      <w:r w:rsidR="00BE2C4B" w:rsidRPr="001416ED">
        <w:rPr>
          <w:lang w:val="uk-UA"/>
        </w:rPr>
        <w:t>,</w:t>
      </w:r>
      <w:r w:rsidRPr="001416ED">
        <w:rPr>
          <w:lang w:val="uk-UA"/>
        </w:rPr>
        <w:t xml:space="preserve"> в</w:t>
      </w:r>
      <w:r w:rsidR="00A01BFB" w:rsidRPr="001416ED">
        <w:rPr>
          <w:lang w:val="uk-UA"/>
        </w:rPr>
        <w:t xml:space="preserve"> нормі концентрація ЕТ</w:t>
      </w:r>
      <w:r w:rsidR="00BC0119" w:rsidRPr="001416ED">
        <w:rPr>
          <w:lang w:val="uk-UA"/>
        </w:rPr>
        <w:t>–</w:t>
      </w:r>
      <w:r w:rsidR="00A01BFB" w:rsidRPr="001416ED">
        <w:rPr>
          <w:lang w:val="uk-UA"/>
        </w:rPr>
        <w:t xml:space="preserve">1 в плазмі крові людини дорівнює </w:t>
      </w:r>
      <w:r w:rsidR="00A64D10" w:rsidRPr="001416ED">
        <w:rPr>
          <w:lang w:val="uk-UA"/>
        </w:rPr>
        <w:t>(</w:t>
      </w:r>
      <w:r w:rsidR="00A01BFB" w:rsidRPr="001416ED">
        <w:rPr>
          <w:lang w:val="uk-UA"/>
        </w:rPr>
        <w:t>0,1</w:t>
      </w:r>
      <w:r w:rsidR="00BC0119" w:rsidRPr="001416ED">
        <w:rPr>
          <w:lang w:val="uk-UA"/>
        </w:rPr>
        <w:t>–</w:t>
      </w:r>
      <w:r w:rsidR="00A01BFB" w:rsidRPr="001416ED">
        <w:rPr>
          <w:lang w:val="uk-UA"/>
        </w:rPr>
        <w:t>1</w:t>
      </w:r>
      <w:r w:rsidR="00A64D10" w:rsidRPr="001416ED">
        <w:rPr>
          <w:lang w:val="uk-UA"/>
        </w:rPr>
        <w:t>)</w:t>
      </w:r>
      <w:r w:rsidR="00A01BFB" w:rsidRPr="001416ED">
        <w:rPr>
          <w:lang w:val="uk-UA"/>
        </w:rPr>
        <w:t xml:space="preserve"> фмоль/мл</w:t>
      </w:r>
      <w:r w:rsidRPr="001416ED">
        <w:t xml:space="preserve"> </w:t>
      </w:r>
      <w:r w:rsidRPr="001416ED">
        <w:rPr>
          <w:lang w:val="uk-UA"/>
        </w:rPr>
        <w:t>або не виявляється зовсім [</w:t>
      </w:r>
      <w:r w:rsidR="003E1C6B" w:rsidRPr="001416ED">
        <w:rPr>
          <w:lang w:val="uk-UA"/>
        </w:rPr>
        <w:t>1</w:t>
      </w:r>
      <w:r w:rsidRPr="001416ED">
        <w:rPr>
          <w:lang w:val="uk-UA"/>
        </w:rPr>
        <w:t>]</w:t>
      </w:r>
      <w:r w:rsidR="00A01BFB" w:rsidRPr="001416ED">
        <w:rPr>
          <w:lang w:val="uk-UA"/>
        </w:rPr>
        <w:t>. У чоловіків мешканців Подільського регіону України у носіїв генотипу Lys/Lys і алелі Asn рівень ЕТ</w:t>
      </w:r>
      <w:r w:rsidR="00BC0119" w:rsidRPr="001416ED">
        <w:rPr>
          <w:lang w:val="uk-UA"/>
        </w:rPr>
        <w:t>–</w:t>
      </w:r>
      <w:r w:rsidR="00A01BFB" w:rsidRPr="001416ED">
        <w:rPr>
          <w:lang w:val="uk-UA"/>
        </w:rPr>
        <w:t xml:space="preserve">1 виявився вище загальновизнаної норми. Встановлено, що у чоловіків </w:t>
      </w:r>
      <w:r w:rsidR="00BC0119" w:rsidRPr="001416ED">
        <w:rPr>
          <w:lang w:val="uk-UA"/>
        </w:rPr>
        <w:t>–</w:t>
      </w:r>
      <w:r w:rsidR="00A01BFB" w:rsidRPr="001416ED">
        <w:rPr>
          <w:lang w:val="uk-UA"/>
        </w:rPr>
        <w:t xml:space="preserve"> носіїв генотипу Lys/Lys рівень ЕТ</w:t>
      </w:r>
      <w:r w:rsidR="00BC0119" w:rsidRPr="001416ED">
        <w:rPr>
          <w:lang w:val="uk-UA"/>
        </w:rPr>
        <w:t>–</w:t>
      </w:r>
      <w:r w:rsidR="00A01BFB" w:rsidRPr="001416ED">
        <w:rPr>
          <w:lang w:val="uk-UA"/>
        </w:rPr>
        <w:t xml:space="preserve">1 в плазмі крові </w:t>
      </w:r>
      <w:r w:rsidR="00211C65" w:rsidRPr="001416ED">
        <w:rPr>
          <w:lang w:val="uk-UA"/>
        </w:rPr>
        <w:t xml:space="preserve">(1,41 ± 0,05) фмоль/мл) </w:t>
      </w:r>
      <w:r w:rsidR="00A01BFB" w:rsidRPr="001416ED">
        <w:rPr>
          <w:lang w:val="uk-UA"/>
        </w:rPr>
        <w:t>достовірно нижче, ніж у носіїв алелі As</w:t>
      </w:r>
      <w:r w:rsidR="00F974B7" w:rsidRPr="001416ED">
        <w:rPr>
          <w:lang w:val="uk-UA"/>
        </w:rPr>
        <w:t>n (2,53</w:t>
      </w:r>
      <w:r w:rsidR="007A07A9" w:rsidRPr="001416ED">
        <w:rPr>
          <w:lang w:val="uk-UA"/>
        </w:rPr>
        <w:t xml:space="preserve"> ± </w:t>
      </w:r>
      <w:r w:rsidR="00F974B7" w:rsidRPr="001416ED">
        <w:rPr>
          <w:lang w:val="uk-UA"/>
        </w:rPr>
        <w:t>0,12</w:t>
      </w:r>
      <w:r w:rsidR="00A64D10" w:rsidRPr="001416ED">
        <w:rPr>
          <w:lang w:val="uk-UA"/>
        </w:rPr>
        <w:t>)</w:t>
      </w:r>
      <w:r w:rsidR="00F974B7" w:rsidRPr="001416ED">
        <w:rPr>
          <w:lang w:val="uk-UA"/>
        </w:rPr>
        <w:t xml:space="preserve"> фмоль/мл) (р&lt;0,000</w:t>
      </w:r>
      <w:r w:rsidR="00A01BFB" w:rsidRPr="001416ED">
        <w:rPr>
          <w:lang w:val="uk-UA"/>
        </w:rPr>
        <w:t>1), що може вказувати на наявність схильності до вазоконстрикції та розвитку у майбутньому ЕГ в групі останніх.</w:t>
      </w:r>
    </w:p>
    <w:p w:rsidR="00B52CEF" w:rsidRPr="001416ED" w:rsidRDefault="00B52CEF" w:rsidP="00B52CEF">
      <w:pPr>
        <w:spacing w:line="360" w:lineRule="auto"/>
        <w:ind w:firstLine="708"/>
        <w:jc w:val="both"/>
        <w:rPr>
          <w:lang w:val="uk-UA"/>
        </w:rPr>
      </w:pPr>
      <w:r w:rsidRPr="001416ED">
        <w:rPr>
          <w:lang w:val="uk-UA"/>
        </w:rPr>
        <w:t xml:space="preserve">Оскільки, носійство алелі </w:t>
      </w:r>
      <w:r w:rsidRPr="001416ED">
        <w:rPr>
          <w:lang w:val="en-US"/>
        </w:rPr>
        <w:t>Asn</w:t>
      </w:r>
      <w:r w:rsidRPr="001416ED">
        <w:rPr>
          <w:lang w:val="uk-UA"/>
        </w:rPr>
        <w:t xml:space="preserve"> асоціюється з вищим рівнем ЕТ-1 в плазмі крові, було вирішено розрахувати межовий рівень ЕТ-1 для встановлення носійства </w:t>
      </w:r>
      <w:r w:rsidR="0034372A" w:rsidRPr="001416ED">
        <w:rPr>
          <w:lang w:val="uk-UA"/>
        </w:rPr>
        <w:t xml:space="preserve">мутантної </w:t>
      </w:r>
      <w:r w:rsidRPr="001416ED">
        <w:rPr>
          <w:lang w:val="uk-UA"/>
        </w:rPr>
        <w:t xml:space="preserve">алелі для чоловіків без </w:t>
      </w:r>
      <w:r w:rsidR="00211C65" w:rsidRPr="001416ED">
        <w:rPr>
          <w:lang w:val="uk-UA"/>
        </w:rPr>
        <w:t>ССЗ</w:t>
      </w:r>
      <w:r w:rsidRPr="001416ED">
        <w:rPr>
          <w:lang w:val="uk-UA"/>
        </w:rPr>
        <w:t xml:space="preserve"> з метою проведення </w:t>
      </w:r>
      <w:r w:rsidR="00D446E1" w:rsidRPr="001416ED">
        <w:rPr>
          <w:lang w:val="uk-UA"/>
        </w:rPr>
        <w:t xml:space="preserve">у них </w:t>
      </w:r>
      <w:r w:rsidRPr="001416ED">
        <w:rPr>
          <w:lang w:val="uk-UA"/>
        </w:rPr>
        <w:t>заходів первинної профілактики:</w:t>
      </w:r>
    </w:p>
    <w:p w:rsidR="00B52CEF" w:rsidRPr="001416ED" w:rsidRDefault="00B52CEF" w:rsidP="00B52CEF">
      <w:pPr>
        <w:spacing w:line="360" w:lineRule="auto"/>
        <w:ind w:firstLine="708"/>
        <w:jc w:val="both"/>
        <w:rPr>
          <w:lang w:val="uk-UA"/>
        </w:rPr>
      </w:pPr>
      <w:r w:rsidRPr="001416ED">
        <w:rPr>
          <w:lang w:val="uk-UA"/>
        </w:rPr>
        <w:t xml:space="preserve">– плазмова концентрація ЕТ–1 ≥1,90 фмоль/мл (чутливість – 81,70 </w:t>
      </w:r>
      <w:r w:rsidR="00D4219F" w:rsidRPr="001416ED">
        <w:rPr>
          <w:lang w:val="uk-UA"/>
        </w:rPr>
        <w:t xml:space="preserve"> %</w:t>
      </w:r>
      <w:r w:rsidRPr="001416ED">
        <w:rPr>
          <w:lang w:val="uk-UA"/>
        </w:rPr>
        <w:t>, специфічність – 74,05</w:t>
      </w:r>
      <w:r w:rsidR="00D4219F" w:rsidRPr="001416ED">
        <w:rPr>
          <w:lang w:val="uk-UA"/>
        </w:rPr>
        <w:t xml:space="preserve"> %</w:t>
      </w:r>
      <w:r w:rsidRPr="001416ED">
        <w:rPr>
          <w:lang w:val="uk-UA"/>
        </w:rPr>
        <w:t>, безпомилковість – 79,56</w:t>
      </w:r>
      <w:r w:rsidR="00D4219F" w:rsidRPr="001416ED">
        <w:rPr>
          <w:lang w:val="uk-UA"/>
        </w:rPr>
        <w:t xml:space="preserve"> %</w:t>
      </w:r>
      <w:r w:rsidRPr="001416ED">
        <w:rPr>
          <w:lang w:val="uk-UA"/>
        </w:rPr>
        <w:t>, хибнонегативна відповідь – 5,07</w:t>
      </w:r>
      <w:r w:rsidR="00D4219F" w:rsidRPr="001416ED">
        <w:rPr>
          <w:lang w:val="uk-UA"/>
        </w:rPr>
        <w:t xml:space="preserve"> %</w:t>
      </w:r>
      <w:r w:rsidRPr="001416ED">
        <w:rPr>
          <w:lang w:val="uk-UA"/>
        </w:rPr>
        <w:t>, хибнопозитивна відповідь – 12,13</w:t>
      </w:r>
      <w:r w:rsidR="00D4219F" w:rsidRPr="001416ED">
        <w:rPr>
          <w:lang w:val="uk-UA"/>
        </w:rPr>
        <w:t xml:space="preserve"> %</w:t>
      </w:r>
      <w:r w:rsidRPr="001416ED">
        <w:rPr>
          <w:lang w:val="uk-UA"/>
        </w:rPr>
        <w:t xml:space="preserve">) дозволяє діагностувати носіїв алелі </w:t>
      </w:r>
      <w:r w:rsidRPr="001416ED">
        <w:rPr>
          <w:lang w:val="en-US"/>
        </w:rPr>
        <w:t>Asn</w:t>
      </w:r>
      <w:r w:rsidRPr="001416ED">
        <w:rPr>
          <w:lang w:val="uk-UA"/>
        </w:rPr>
        <w:t xml:space="preserve">  гена ЕТ–1 у чоловіків без серцево-судинної патології.</w:t>
      </w:r>
    </w:p>
    <w:p w:rsidR="00A01BFB" w:rsidRPr="001416ED" w:rsidRDefault="003F492B" w:rsidP="00B54D40">
      <w:pPr>
        <w:spacing w:after="240" w:line="360" w:lineRule="auto"/>
        <w:ind w:firstLine="708"/>
        <w:jc w:val="both"/>
        <w:rPr>
          <w:lang w:val="uk-UA"/>
        </w:rPr>
      </w:pPr>
      <w:r w:rsidRPr="001416ED">
        <w:rPr>
          <w:lang w:val="uk-UA"/>
        </w:rPr>
        <w:t>Відомо, що рівень деяких пептид</w:t>
      </w:r>
      <w:r w:rsidR="004A5FBD" w:rsidRPr="001416ED">
        <w:rPr>
          <w:lang w:val="uk-UA"/>
        </w:rPr>
        <w:t>ів</w:t>
      </w:r>
      <w:r w:rsidRPr="001416ED">
        <w:rPr>
          <w:lang w:val="uk-UA"/>
        </w:rPr>
        <w:t>, в тому числі МНП та СНП, відрізняються у осіб з та без ожиріння. Тому</w:t>
      </w:r>
      <w:r w:rsidR="00D446E1" w:rsidRPr="001416ED">
        <w:rPr>
          <w:lang w:val="uk-UA"/>
        </w:rPr>
        <w:t>,</w:t>
      </w:r>
      <w:r w:rsidRPr="001416ED">
        <w:rPr>
          <w:lang w:val="uk-UA"/>
        </w:rPr>
        <w:t xml:space="preserve"> стало цікавим, чи є така відмінність у ЕТ</w:t>
      </w:r>
      <w:r w:rsidR="00BC0119" w:rsidRPr="001416ED">
        <w:rPr>
          <w:lang w:val="uk-UA"/>
        </w:rPr>
        <w:t>–</w:t>
      </w:r>
      <w:r w:rsidRPr="001416ED">
        <w:rPr>
          <w:lang w:val="uk-UA"/>
        </w:rPr>
        <w:t xml:space="preserve">1 </w:t>
      </w:r>
      <w:r w:rsidR="00D446E1" w:rsidRPr="001416ED">
        <w:rPr>
          <w:lang w:val="uk-UA"/>
        </w:rPr>
        <w:t>в</w:t>
      </w:r>
      <w:r w:rsidRPr="001416ED">
        <w:rPr>
          <w:lang w:val="uk-UA"/>
        </w:rPr>
        <w:t xml:space="preserve"> </w:t>
      </w:r>
      <w:r w:rsidR="004A5FBD" w:rsidRPr="001416ED">
        <w:rPr>
          <w:lang w:val="uk-UA"/>
        </w:rPr>
        <w:t xml:space="preserve">чоловіків </w:t>
      </w:r>
      <w:r w:rsidRPr="001416ED">
        <w:rPr>
          <w:lang w:val="uk-UA"/>
        </w:rPr>
        <w:t>з різним ІМТ</w:t>
      </w:r>
      <w:r w:rsidR="00A01BFB" w:rsidRPr="001416ED">
        <w:rPr>
          <w:lang w:val="uk-UA"/>
        </w:rPr>
        <w:t xml:space="preserve"> (рис.</w:t>
      </w:r>
      <w:r w:rsidRPr="001416ED">
        <w:rPr>
          <w:lang w:val="uk-UA"/>
        </w:rPr>
        <w:t xml:space="preserve"> </w:t>
      </w:r>
      <w:r w:rsidR="00A01BFB" w:rsidRPr="001416ED">
        <w:rPr>
          <w:lang w:val="uk-UA"/>
        </w:rPr>
        <w:t>3.4).</w:t>
      </w:r>
    </w:p>
    <w:p w:rsidR="00A01BFB" w:rsidRPr="001416ED" w:rsidRDefault="00A01BFB" w:rsidP="00A01BFB">
      <w:pPr>
        <w:spacing w:line="360" w:lineRule="auto"/>
        <w:ind w:firstLine="708"/>
        <w:jc w:val="both"/>
        <w:rPr>
          <w:lang w:val="uk-UA"/>
        </w:rPr>
      </w:pPr>
      <w:r w:rsidRPr="001416ED">
        <w:rPr>
          <w:noProof/>
          <w:lang w:val="uk-UA" w:eastAsia="uk-UA"/>
        </w:rPr>
        <w:drawing>
          <wp:inline distT="0" distB="0" distL="0" distR="0" wp14:anchorId="7A69D395" wp14:editId="48E6E215">
            <wp:extent cx="5629701" cy="1303361"/>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1BFB" w:rsidRPr="001416ED" w:rsidRDefault="00A01BFB" w:rsidP="00A01BFB">
      <w:pPr>
        <w:spacing w:line="360" w:lineRule="auto"/>
        <w:ind w:firstLine="708"/>
        <w:jc w:val="both"/>
        <w:rPr>
          <w:b/>
          <w:lang w:val="uk-UA"/>
        </w:rPr>
      </w:pPr>
      <w:r w:rsidRPr="001416ED">
        <w:rPr>
          <w:b/>
          <w:lang w:val="uk-UA"/>
        </w:rPr>
        <w:t>Рис. 3.4 Плазмова концентрація ЕТ</w:t>
      </w:r>
      <w:r w:rsidR="00BC0119" w:rsidRPr="001416ED">
        <w:rPr>
          <w:b/>
          <w:lang w:val="uk-UA"/>
        </w:rPr>
        <w:t>–</w:t>
      </w:r>
      <w:r w:rsidRPr="001416ED">
        <w:rPr>
          <w:b/>
          <w:lang w:val="uk-UA"/>
        </w:rPr>
        <w:t xml:space="preserve">1 серед чоловіків групи </w:t>
      </w:r>
      <w:r w:rsidR="00472F94" w:rsidRPr="001416ED">
        <w:rPr>
          <w:b/>
          <w:lang w:val="uk-UA"/>
        </w:rPr>
        <w:t>контролю</w:t>
      </w:r>
      <w:r w:rsidRPr="001416ED">
        <w:rPr>
          <w:b/>
          <w:lang w:val="uk-UA"/>
        </w:rPr>
        <w:t>, при різному ІМТ, фмоль/мл</w:t>
      </w:r>
    </w:p>
    <w:p w:rsidR="00A01BFB" w:rsidRPr="001416ED" w:rsidRDefault="00A01BFB" w:rsidP="00060B74">
      <w:pPr>
        <w:spacing w:before="240" w:line="360" w:lineRule="auto"/>
        <w:ind w:firstLine="708"/>
        <w:jc w:val="both"/>
        <w:rPr>
          <w:lang w:val="uk-UA"/>
        </w:rPr>
      </w:pPr>
      <w:r w:rsidRPr="001416ED">
        <w:rPr>
          <w:lang w:val="uk-UA"/>
        </w:rPr>
        <w:t>Отже, у чоловіків групи контролю різниці у рівнях ЕТ</w:t>
      </w:r>
      <w:r w:rsidR="00BC0119" w:rsidRPr="001416ED">
        <w:rPr>
          <w:lang w:val="uk-UA"/>
        </w:rPr>
        <w:t>–</w:t>
      </w:r>
      <w:r w:rsidRPr="001416ED">
        <w:rPr>
          <w:lang w:val="uk-UA"/>
        </w:rPr>
        <w:t xml:space="preserve">1 в плазмі крові при різному ІМТ не виявлено (р&gt;0,05), що є перевагою при дослідженні осіб, що мають </w:t>
      </w:r>
      <w:r w:rsidR="005B20E3" w:rsidRPr="001416ED">
        <w:rPr>
          <w:lang w:val="uk-UA"/>
        </w:rPr>
        <w:t>надлишкову вагу</w:t>
      </w:r>
      <w:r w:rsidRPr="001416ED">
        <w:rPr>
          <w:lang w:val="uk-UA"/>
        </w:rPr>
        <w:t xml:space="preserve">. </w:t>
      </w:r>
      <w:r w:rsidR="003F16C8" w:rsidRPr="001416ED">
        <w:rPr>
          <w:lang w:val="uk-UA"/>
        </w:rPr>
        <w:t xml:space="preserve">Подібні результати були отримані </w:t>
      </w:r>
      <w:r w:rsidR="00750FB6" w:rsidRPr="001416ED">
        <w:rPr>
          <w:lang w:val="uk-UA"/>
        </w:rPr>
        <w:t xml:space="preserve">на кафедрі </w:t>
      </w:r>
      <w:r w:rsidR="00750FB6" w:rsidRPr="001416ED">
        <w:rPr>
          <w:lang w:val="uk-UA"/>
        </w:rPr>
        <w:lastRenderedPageBreak/>
        <w:t xml:space="preserve">внутрішньої медицини медичного факультету №2 ВНМУ ім. М.І. Пирогова в роботі </w:t>
      </w:r>
      <w:r w:rsidR="00A871C5" w:rsidRPr="001416ED">
        <w:rPr>
          <w:lang w:val="uk-UA"/>
        </w:rPr>
        <w:t xml:space="preserve">В. В. </w:t>
      </w:r>
      <w:r w:rsidR="003F16C8" w:rsidRPr="001416ED">
        <w:rPr>
          <w:lang w:val="uk-UA"/>
        </w:rPr>
        <w:t>Багрій</w:t>
      </w:r>
      <w:r w:rsidR="00FB653E" w:rsidRPr="001416ED">
        <w:rPr>
          <w:lang w:val="uk-UA"/>
        </w:rPr>
        <w:t>, де плазмова концентрація ЕТ</w:t>
      </w:r>
      <w:r w:rsidR="00BC0119" w:rsidRPr="001416ED">
        <w:rPr>
          <w:lang w:val="uk-UA"/>
        </w:rPr>
        <w:t>–</w:t>
      </w:r>
      <w:r w:rsidR="00FB653E" w:rsidRPr="001416ED">
        <w:rPr>
          <w:lang w:val="uk-UA"/>
        </w:rPr>
        <w:t>1 достовірно не відрізнялась</w:t>
      </w:r>
      <w:r w:rsidR="0089646C" w:rsidRPr="001416ED">
        <w:rPr>
          <w:lang w:val="uk-UA"/>
        </w:rPr>
        <w:t xml:space="preserve"> </w:t>
      </w:r>
      <w:r w:rsidR="00FB653E" w:rsidRPr="001416ED">
        <w:rPr>
          <w:lang w:val="uk-UA"/>
        </w:rPr>
        <w:t xml:space="preserve">у практично здорових жінок з наявністю або відсутністю ожиріння </w:t>
      </w:r>
      <w:r w:rsidR="0089646C" w:rsidRPr="001416ED">
        <w:rPr>
          <w:lang w:val="uk-UA"/>
        </w:rPr>
        <w:t>[</w:t>
      </w:r>
      <w:r w:rsidR="0037619B" w:rsidRPr="001416ED">
        <w:rPr>
          <w:lang w:val="uk-UA"/>
        </w:rPr>
        <w:t>4</w:t>
      </w:r>
      <w:r w:rsidR="0089646C" w:rsidRPr="001416ED">
        <w:rPr>
          <w:lang w:val="uk-UA"/>
        </w:rPr>
        <w:t>].</w:t>
      </w:r>
    </w:p>
    <w:p w:rsidR="00B54D40" w:rsidRPr="001416ED" w:rsidRDefault="00B54D40" w:rsidP="00B54D40">
      <w:pPr>
        <w:spacing w:before="240" w:after="240" w:line="360" w:lineRule="auto"/>
        <w:ind w:firstLine="708"/>
        <w:jc w:val="both"/>
        <w:rPr>
          <w:b/>
          <w:lang w:val="uk-UA"/>
        </w:rPr>
      </w:pPr>
      <w:r w:rsidRPr="001416ED">
        <w:rPr>
          <w:b/>
          <w:lang w:val="uk-UA"/>
        </w:rPr>
        <w:t>3.3</w:t>
      </w:r>
      <w:r w:rsidR="00A871C5" w:rsidRPr="001416ED">
        <w:rPr>
          <w:b/>
          <w:lang w:val="uk-UA"/>
        </w:rPr>
        <w:t>.</w:t>
      </w:r>
      <w:r w:rsidRPr="001416ED">
        <w:rPr>
          <w:b/>
          <w:lang w:val="uk-UA"/>
        </w:rPr>
        <w:t xml:space="preserve"> Рівень С</w:t>
      </w:r>
      <w:r w:rsidR="00BC0119" w:rsidRPr="001416ED">
        <w:rPr>
          <w:b/>
          <w:lang w:val="uk-UA"/>
        </w:rPr>
        <w:t>–</w:t>
      </w:r>
      <w:r w:rsidRPr="001416ED">
        <w:rPr>
          <w:b/>
          <w:lang w:val="uk-UA"/>
        </w:rPr>
        <w:t>натрійуретичного пептиду у плазмі крові чоловіків групи контролю, мешканців Подільського регіону України</w:t>
      </w:r>
    </w:p>
    <w:p w:rsidR="00B54D40" w:rsidRPr="001416ED" w:rsidRDefault="00B54D40" w:rsidP="00B54D40">
      <w:pPr>
        <w:spacing w:line="360" w:lineRule="auto"/>
        <w:ind w:firstLine="708"/>
        <w:jc w:val="both"/>
        <w:rPr>
          <w:lang w:val="uk-UA"/>
        </w:rPr>
      </w:pPr>
      <w:r w:rsidRPr="001416ED">
        <w:rPr>
          <w:lang w:val="uk-UA"/>
        </w:rPr>
        <w:t>С</w:t>
      </w:r>
      <w:r w:rsidR="00BC0119" w:rsidRPr="001416ED">
        <w:rPr>
          <w:lang w:val="uk-UA"/>
        </w:rPr>
        <w:t>–</w:t>
      </w:r>
      <w:r w:rsidRPr="001416ED">
        <w:rPr>
          <w:lang w:val="uk-UA"/>
        </w:rPr>
        <w:t>натрійуретичний пептид є фізіологічним антагоністом ЕТ</w:t>
      </w:r>
      <w:r w:rsidR="00BC0119" w:rsidRPr="001416ED">
        <w:rPr>
          <w:lang w:val="uk-UA"/>
        </w:rPr>
        <w:t>–</w:t>
      </w:r>
      <w:r w:rsidRPr="001416ED">
        <w:rPr>
          <w:lang w:val="uk-UA"/>
        </w:rPr>
        <w:t>1, що викликає вазорелаксацію в умовах нормального функціонування судин. Однак</w:t>
      </w:r>
      <w:r w:rsidR="00A871C5" w:rsidRPr="001416ED">
        <w:rPr>
          <w:lang w:val="uk-UA"/>
        </w:rPr>
        <w:t>,</w:t>
      </w:r>
      <w:r w:rsidRPr="001416ED">
        <w:rPr>
          <w:lang w:val="uk-UA"/>
        </w:rPr>
        <w:t xml:space="preserve"> при дисбалансі активностей вазодилятаторів, зокрема СНП, та вазоконстрикторів, зокрема ЕТ</w:t>
      </w:r>
      <w:r w:rsidR="00BC0119" w:rsidRPr="001416ED">
        <w:rPr>
          <w:lang w:val="uk-UA"/>
        </w:rPr>
        <w:t>–</w:t>
      </w:r>
      <w:r w:rsidRPr="001416ED">
        <w:rPr>
          <w:lang w:val="uk-UA"/>
        </w:rPr>
        <w:t xml:space="preserve">1, </w:t>
      </w:r>
      <w:r w:rsidR="00874483" w:rsidRPr="001416ED">
        <w:rPr>
          <w:lang w:val="uk-UA"/>
        </w:rPr>
        <w:t>може виникати</w:t>
      </w:r>
      <w:r w:rsidRPr="001416ED">
        <w:rPr>
          <w:lang w:val="uk-UA"/>
        </w:rPr>
        <w:t xml:space="preserve"> ЕД. Тому</w:t>
      </w:r>
      <w:r w:rsidR="0034372A" w:rsidRPr="001416ED">
        <w:rPr>
          <w:lang w:val="uk-UA"/>
        </w:rPr>
        <w:t>,</w:t>
      </w:r>
      <w:r w:rsidRPr="001416ED">
        <w:rPr>
          <w:lang w:val="uk-UA"/>
        </w:rPr>
        <w:t xml:space="preserve"> наступним кроком стало визначення рівнів СНП в плазмі крові осіб групи контролю. Рівень СНП в групі контролю становить </w:t>
      </w:r>
      <w:r w:rsidR="00A64D10" w:rsidRPr="001416ED">
        <w:rPr>
          <w:lang w:val="uk-UA"/>
        </w:rPr>
        <w:t>(</w:t>
      </w:r>
      <w:r w:rsidRPr="001416ED">
        <w:rPr>
          <w:lang w:val="uk-UA"/>
        </w:rPr>
        <w:t>2,35</w:t>
      </w:r>
      <w:r w:rsidR="007A07A9" w:rsidRPr="001416ED">
        <w:rPr>
          <w:lang w:val="uk-UA"/>
        </w:rPr>
        <w:t xml:space="preserve"> ± </w:t>
      </w:r>
      <w:r w:rsidRPr="001416ED">
        <w:rPr>
          <w:lang w:val="uk-UA"/>
        </w:rPr>
        <w:t>0,06</w:t>
      </w:r>
      <w:r w:rsidR="00A64D10" w:rsidRPr="001416ED">
        <w:rPr>
          <w:lang w:val="uk-UA"/>
        </w:rPr>
        <w:t>)</w:t>
      </w:r>
      <w:r w:rsidRPr="001416ED">
        <w:rPr>
          <w:lang w:val="uk-UA"/>
        </w:rPr>
        <w:t xml:space="preserve"> </w:t>
      </w:r>
      <w:r w:rsidR="00023CB5" w:rsidRPr="001416ED">
        <w:rPr>
          <w:lang w:val="uk-UA"/>
        </w:rPr>
        <w:t>пмоль/мл</w:t>
      </w:r>
      <w:r w:rsidRPr="001416ED">
        <w:rPr>
          <w:lang w:val="uk-UA"/>
        </w:rPr>
        <w:t>. У носіїв алелі Asn (2,98</w:t>
      </w:r>
      <w:r w:rsidR="007A07A9" w:rsidRPr="001416ED">
        <w:rPr>
          <w:lang w:val="uk-UA"/>
        </w:rPr>
        <w:t xml:space="preserve"> ± </w:t>
      </w:r>
      <w:r w:rsidRPr="001416ED">
        <w:rPr>
          <w:lang w:val="uk-UA"/>
        </w:rPr>
        <w:t>0,08</w:t>
      </w:r>
      <w:r w:rsidR="00A64D10" w:rsidRPr="001416ED">
        <w:rPr>
          <w:lang w:val="uk-UA"/>
        </w:rPr>
        <w:t>)</w:t>
      </w:r>
      <w:r w:rsidRPr="001416ED">
        <w:rPr>
          <w:lang w:val="uk-UA"/>
        </w:rPr>
        <w:t xml:space="preserve"> </w:t>
      </w:r>
      <w:r w:rsidR="00023CB5" w:rsidRPr="001416ED">
        <w:rPr>
          <w:lang w:val="uk-UA"/>
        </w:rPr>
        <w:t>пмоль/мл</w:t>
      </w:r>
      <w:r w:rsidRPr="001416ED">
        <w:rPr>
          <w:lang w:val="uk-UA"/>
        </w:rPr>
        <w:t>) рівень СНП, як і ЕТ</w:t>
      </w:r>
      <w:r w:rsidR="00BC0119" w:rsidRPr="001416ED">
        <w:rPr>
          <w:lang w:val="uk-UA"/>
        </w:rPr>
        <w:t>–</w:t>
      </w:r>
      <w:r w:rsidRPr="001416ED">
        <w:rPr>
          <w:lang w:val="uk-UA"/>
        </w:rPr>
        <w:t>1, виявився достовірно вище, ніж у носіїв генотипу Lys/Lys (2,02</w:t>
      </w:r>
      <w:r w:rsidR="007A07A9" w:rsidRPr="001416ED">
        <w:rPr>
          <w:lang w:val="uk-UA"/>
        </w:rPr>
        <w:t xml:space="preserve"> ± </w:t>
      </w:r>
      <w:r w:rsidRPr="001416ED">
        <w:rPr>
          <w:lang w:val="uk-UA"/>
        </w:rPr>
        <w:t>0,29</w:t>
      </w:r>
      <w:r w:rsidR="00A64D10" w:rsidRPr="001416ED">
        <w:rPr>
          <w:lang w:val="uk-UA"/>
        </w:rPr>
        <w:t>)</w:t>
      </w:r>
      <w:r w:rsidRPr="001416ED">
        <w:rPr>
          <w:lang w:val="uk-UA"/>
        </w:rPr>
        <w:t xml:space="preserve"> </w:t>
      </w:r>
      <w:r w:rsidR="00023CB5" w:rsidRPr="001416ED">
        <w:rPr>
          <w:lang w:val="uk-UA"/>
        </w:rPr>
        <w:t>пмоль/мл</w:t>
      </w:r>
      <w:r w:rsidRPr="001416ED">
        <w:rPr>
          <w:lang w:val="uk-UA"/>
        </w:rPr>
        <w:t>) (р</w:t>
      </w:r>
      <w:r w:rsidR="00866751" w:rsidRPr="001416ED">
        <w:rPr>
          <w:lang w:val="uk-UA"/>
        </w:rPr>
        <w:t>&lt;0,000</w:t>
      </w:r>
      <w:r w:rsidRPr="001416ED">
        <w:rPr>
          <w:lang w:val="uk-UA"/>
        </w:rPr>
        <w:t>1).</w:t>
      </w:r>
    </w:p>
    <w:p w:rsidR="00B54D40" w:rsidRPr="001416ED" w:rsidRDefault="00B54D40" w:rsidP="00B54D40">
      <w:pPr>
        <w:spacing w:line="360" w:lineRule="auto"/>
        <w:ind w:firstLine="708"/>
        <w:jc w:val="both"/>
        <w:rPr>
          <w:lang w:val="uk-UA"/>
        </w:rPr>
      </w:pPr>
      <w:r w:rsidRPr="001416ED">
        <w:rPr>
          <w:lang w:val="uk-UA"/>
        </w:rPr>
        <w:t>Згідно даних літератури, рівень СНП у пацієнтів з ожирінням достовірно нижче, ніж у осіб з нормальною масою тіла, що пояснюється особливими механізмами виведення СНП, які такі ж самі як і у МНП. Так, в жировій тканині знаходиться нейтральна ендопептидаза – фермент, що приймає участь у метаболізмі пептиду, а також в адипоцитах розташована більша кількість рецепторів НУП типу С, які забезпечують зв’язування та виведення НУП з організму [</w:t>
      </w:r>
      <w:r w:rsidR="00F807CD" w:rsidRPr="001416ED">
        <w:rPr>
          <w:lang w:val="uk-UA"/>
        </w:rPr>
        <w:t>1</w:t>
      </w:r>
      <w:r w:rsidR="00034952" w:rsidRPr="001416ED">
        <w:rPr>
          <w:lang w:val="uk-UA"/>
        </w:rPr>
        <w:t>26</w:t>
      </w:r>
      <w:r w:rsidRPr="001416ED">
        <w:rPr>
          <w:lang w:val="uk-UA"/>
        </w:rPr>
        <w:t>]. Тому цікавим стало визначення рівня СНП у пацієнтів з різним ІМТ (рис. 3.5).</w:t>
      </w:r>
    </w:p>
    <w:p w:rsidR="00B54D40" w:rsidRPr="001416ED" w:rsidRDefault="00B54D40" w:rsidP="00B54D40">
      <w:pPr>
        <w:spacing w:line="360" w:lineRule="auto"/>
        <w:ind w:firstLine="708"/>
        <w:jc w:val="both"/>
        <w:rPr>
          <w:lang w:val="uk-UA"/>
        </w:rPr>
      </w:pPr>
      <w:r w:rsidRPr="001416ED">
        <w:rPr>
          <w:noProof/>
          <w:sz w:val="20"/>
          <w:szCs w:val="20"/>
          <w:lang w:val="uk-UA" w:eastAsia="uk-UA"/>
        </w:rPr>
        <w:drawing>
          <wp:inline distT="0" distB="0" distL="0" distR="0" wp14:anchorId="5C7C0922" wp14:editId="1D773E76">
            <wp:extent cx="5683910" cy="1360628"/>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4D40" w:rsidRPr="001416ED" w:rsidRDefault="00B54D40" w:rsidP="00B54D40">
      <w:pPr>
        <w:spacing w:line="360" w:lineRule="auto"/>
        <w:ind w:firstLine="708"/>
        <w:jc w:val="both"/>
        <w:rPr>
          <w:b/>
          <w:lang w:val="uk-UA"/>
        </w:rPr>
      </w:pPr>
      <w:r w:rsidRPr="001416ED">
        <w:rPr>
          <w:b/>
          <w:lang w:val="uk-UA"/>
        </w:rPr>
        <w:t xml:space="preserve">Рис. 3.5 Плазмова концентрація СНП серед чоловіків групи </w:t>
      </w:r>
      <w:r w:rsidR="00472F94" w:rsidRPr="001416ED">
        <w:rPr>
          <w:b/>
          <w:lang w:val="uk-UA"/>
        </w:rPr>
        <w:t>контролю</w:t>
      </w:r>
      <w:r w:rsidR="00023CB5" w:rsidRPr="001416ED">
        <w:rPr>
          <w:b/>
          <w:lang w:val="uk-UA"/>
        </w:rPr>
        <w:t>, при різн</w:t>
      </w:r>
      <w:r w:rsidRPr="001416ED">
        <w:rPr>
          <w:b/>
          <w:lang w:val="uk-UA"/>
        </w:rPr>
        <w:t>ому ІМТ, п</w:t>
      </w:r>
      <w:r w:rsidR="00023CB5" w:rsidRPr="001416ED">
        <w:rPr>
          <w:b/>
          <w:lang w:val="uk-UA"/>
        </w:rPr>
        <w:t>моль</w:t>
      </w:r>
      <w:r w:rsidRPr="001416ED">
        <w:rPr>
          <w:b/>
          <w:lang w:val="uk-UA"/>
        </w:rPr>
        <w:t>/мл</w:t>
      </w:r>
    </w:p>
    <w:p w:rsidR="00B54D40" w:rsidRPr="001416ED" w:rsidRDefault="00B54D40" w:rsidP="00B54D40">
      <w:pPr>
        <w:spacing w:before="240" w:line="360" w:lineRule="auto"/>
        <w:ind w:firstLine="708"/>
        <w:jc w:val="both"/>
        <w:rPr>
          <w:lang w:val="uk-UA"/>
        </w:rPr>
      </w:pPr>
      <w:r w:rsidRPr="001416ED">
        <w:rPr>
          <w:lang w:val="uk-UA"/>
        </w:rPr>
        <w:lastRenderedPageBreak/>
        <w:t xml:space="preserve">Згідно отриманих даних, рівень СНП у пацієнтів з групи </w:t>
      </w:r>
      <w:r w:rsidR="00472F94" w:rsidRPr="001416ED">
        <w:rPr>
          <w:lang w:val="uk-UA"/>
        </w:rPr>
        <w:t>контролю</w:t>
      </w:r>
      <w:r w:rsidRPr="001416ED">
        <w:rPr>
          <w:lang w:val="uk-UA"/>
        </w:rPr>
        <w:t xml:space="preserve"> з різним ІМТ достовірно не відрізняється (р&gt;0,05), що в</w:t>
      </w:r>
      <w:r w:rsidR="006609A4" w:rsidRPr="001416ED">
        <w:rPr>
          <w:lang w:val="uk-UA"/>
        </w:rPr>
        <w:t>ідповідає результатам, отримани</w:t>
      </w:r>
      <w:r w:rsidRPr="001416ED">
        <w:rPr>
          <w:lang w:val="uk-UA"/>
        </w:rPr>
        <w:t xml:space="preserve">м на кафедрі внутрішньої </w:t>
      </w:r>
      <w:r w:rsidR="006609A4" w:rsidRPr="001416ED">
        <w:rPr>
          <w:lang w:val="uk-UA"/>
        </w:rPr>
        <w:t>медицини</w:t>
      </w:r>
      <w:r w:rsidRPr="001416ED">
        <w:rPr>
          <w:lang w:val="uk-UA"/>
        </w:rPr>
        <w:t xml:space="preserve"> медичного факультету №2 ВНМУ ім. М.І. Пирогова при дослідженні практично здорових жінок [</w:t>
      </w:r>
      <w:r w:rsidR="00034952" w:rsidRPr="001416ED">
        <w:rPr>
          <w:lang w:val="uk-UA"/>
        </w:rPr>
        <w:t>4</w:t>
      </w:r>
      <w:r w:rsidRPr="001416ED">
        <w:rPr>
          <w:lang w:val="uk-UA"/>
        </w:rPr>
        <w:t>].</w:t>
      </w:r>
    </w:p>
    <w:p w:rsidR="00B54D40" w:rsidRPr="001416ED" w:rsidRDefault="00B54D40" w:rsidP="00B54D40">
      <w:pPr>
        <w:spacing w:after="240" w:line="360" w:lineRule="auto"/>
        <w:ind w:firstLine="708"/>
        <w:jc w:val="both"/>
        <w:rPr>
          <w:lang w:val="uk-UA"/>
        </w:rPr>
      </w:pPr>
      <w:r w:rsidRPr="001416ED">
        <w:rPr>
          <w:lang w:val="uk-UA"/>
        </w:rPr>
        <w:t>Для оцінки балансу вазоконстрикторів і вазодилататорів був розрахований коефіцієнт, який являє собою відношення концентрацій СНП та ЕТ</w:t>
      </w:r>
      <w:r w:rsidR="00BC0119" w:rsidRPr="001416ED">
        <w:rPr>
          <w:lang w:val="uk-UA"/>
        </w:rPr>
        <w:t>–</w:t>
      </w:r>
      <w:r w:rsidRPr="001416ED">
        <w:rPr>
          <w:lang w:val="uk-UA"/>
        </w:rPr>
        <w:t xml:space="preserve">1 у плазмі крові хворого. Значення даного коефіцієнта у чоловіків групи </w:t>
      </w:r>
      <w:r w:rsidR="00472F94" w:rsidRPr="001416ED">
        <w:rPr>
          <w:lang w:val="uk-UA"/>
        </w:rPr>
        <w:t>контролю</w:t>
      </w:r>
      <w:r w:rsidRPr="001416ED">
        <w:rPr>
          <w:lang w:val="uk-UA"/>
        </w:rPr>
        <w:t xml:space="preserve"> були проаналізовані при </w:t>
      </w:r>
      <w:r w:rsidR="00F40216">
        <w:rPr>
          <w:lang w:val="uk-UA"/>
        </w:rPr>
        <w:t>різних варіантах гена</w:t>
      </w:r>
      <w:r w:rsidRPr="001416ED">
        <w:rPr>
          <w:lang w:val="uk-UA"/>
        </w:rPr>
        <w:t xml:space="preserve"> ЕТ</w:t>
      </w:r>
      <w:r w:rsidR="00BC0119" w:rsidRPr="001416ED">
        <w:rPr>
          <w:lang w:val="uk-UA"/>
        </w:rPr>
        <w:t>–</w:t>
      </w:r>
      <w:r w:rsidRPr="001416ED">
        <w:rPr>
          <w:lang w:val="uk-UA"/>
        </w:rPr>
        <w:t xml:space="preserve">1. Так, у носіїв генотипу Lys/Lys він становить </w:t>
      </w:r>
      <w:r w:rsidR="00A64D10" w:rsidRPr="001416ED">
        <w:rPr>
          <w:lang w:val="uk-UA"/>
        </w:rPr>
        <w:t>(</w:t>
      </w:r>
      <w:r w:rsidRPr="001416ED">
        <w:rPr>
          <w:lang w:val="uk-UA"/>
        </w:rPr>
        <w:t>1,49</w:t>
      </w:r>
      <w:r w:rsidR="007A07A9" w:rsidRPr="001416ED">
        <w:rPr>
          <w:lang w:val="uk-UA"/>
        </w:rPr>
        <w:t xml:space="preserve"> ± </w:t>
      </w:r>
      <w:r w:rsidRPr="001416ED">
        <w:rPr>
          <w:lang w:val="uk-UA"/>
        </w:rPr>
        <w:t>0,04</w:t>
      </w:r>
      <w:r w:rsidR="00A64D10" w:rsidRPr="001416ED">
        <w:rPr>
          <w:lang w:val="uk-UA"/>
        </w:rPr>
        <w:t>)</w:t>
      </w:r>
      <w:r w:rsidRPr="001416ED">
        <w:rPr>
          <w:lang w:val="uk-UA"/>
        </w:rPr>
        <w:t xml:space="preserve"> ум.од. і є достовірно вищим, ніж у носіїв алелі Asn (1,22</w:t>
      </w:r>
      <w:r w:rsidR="007A07A9" w:rsidRPr="001416ED">
        <w:rPr>
          <w:lang w:val="uk-UA"/>
        </w:rPr>
        <w:t xml:space="preserve"> ± </w:t>
      </w:r>
      <w:r w:rsidRPr="001416ED">
        <w:rPr>
          <w:lang w:val="uk-UA"/>
        </w:rPr>
        <w:t>0,05</w:t>
      </w:r>
      <w:r w:rsidR="00A64D10" w:rsidRPr="001416ED">
        <w:rPr>
          <w:lang w:val="uk-UA"/>
        </w:rPr>
        <w:t>)</w:t>
      </w:r>
      <w:r w:rsidRPr="001416ED">
        <w:rPr>
          <w:lang w:val="uk-UA"/>
        </w:rPr>
        <w:t xml:space="preserve"> ум.од.) (р</w:t>
      </w:r>
      <w:r w:rsidR="00866751" w:rsidRPr="001416ED">
        <w:rPr>
          <w:lang w:val="uk-UA"/>
        </w:rPr>
        <w:t>&lt;0,000</w:t>
      </w:r>
      <w:r w:rsidRPr="001416ED">
        <w:rPr>
          <w:lang w:val="uk-UA"/>
        </w:rPr>
        <w:t xml:space="preserve">1), що може вказувати на реєстрацію початкових змін в балансуванні активностей вазодилятатор/вазоконстриктор в групі останніх. В роботі </w:t>
      </w:r>
      <w:r w:rsidR="00034952" w:rsidRPr="001416ED">
        <w:rPr>
          <w:lang w:val="uk-UA"/>
        </w:rPr>
        <w:t xml:space="preserve">В. В. </w:t>
      </w:r>
      <w:r w:rsidRPr="001416ED">
        <w:rPr>
          <w:lang w:val="uk-UA"/>
        </w:rPr>
        <w:t>Багрій був досліджений коефіцієнт СНП/ЕТ</w:t>
      </w:r>
      <w:r w:rsidR="00BC0119" w:rsidRPr="001416ED">
        <w:rPr>
          <w:lang w:val="uk-UA"/>
        </w:rPr>
        <w:t>–</w:t>
      </w:r>
      <w:r w:rsidRPr="001416ED">
        <w:rPr>
          <w:lang w:val="uk-UA"/>
        </w:rPr>
        <w:t xml:space="preserve">1 у практично здорових жінок – носіїв різних генотипів </w:t>
      </w:r>
      <w:r w:rsidRPr="001416ED">
        <w:rPr>
          <w:bCs/>
          <w:lang w:val="uk-UA"/>
        </w:rPr>
        <w:t>ППАР</w:t>
      </w:r>
      <w:r w:rsidR="00BC0119" w:rsidRPr="001416ED">
        <w:rPr>
          <w:bCs/>
          <w:lang w:val="uk-UA"/>
        </w:rPr>
        <w:t>–</w:t>
      </w:r>
      <w:r w:rsidRPr="001416ED">
        <w:rPr>
          <w:bCs/>
          <w:lang w:val="uk-UA"/>
        </w:rPr>
        <w:t xml:space="preserve">γ, однак достовірної різниці в даному показнику не виявлено (особи з генотипом Pro/Pro </w:t>
      </w:r>
      <w:r w:rsidR="00A64D10" w:rsidRPr="001416ED">
        <w:rPr>
          <w:bCs/>
          <w:lang w:val="uk-UA"/>
        </w:rPr>
        <w:t>(</w:t>
      </w:r>
      <w:r w:rsidRPr="001416ED">
        <w:rPr>
          <w:bCs/>
          <w:lang w:val="uk-UA"/>
        </w:rPr>
        <w:t>1,44</w:t>
      </w:r>
      <w:r w:rsidR="007A07A9" w:rsidRPr="001416ED">
        <w:rPr>
          <w:bCs/>
          <w:lang w:val="uk-UA"/>
        </w:rPr>
        <w:t xml:space="preserve"> ± </w:t>
      </w:r>
      <w:r w:rsidRPr="001416ED">
        <w:rPr>
          <w:bCs/>
          <w:lang w:val="uk-UA"/>
        </w:rPr>
        <w:t>0,05</w:t>
      </w:r>
      <w:r w:rsidR="00A64D10" w:rsidRPr="001416ED">
        <w:rPr>
          <w:bCs/>
          <w:lang w:val="uk-UA"/>
        </w:rPr>
        <w:t>)</w:t>
      </w:r>
      <w:r w:rsidRPr="001416ED">
        <w:rPr>
          <w:lang w:val="uk-UA"/>
        </w:rPr>
        <w:t xml:space="preserve"> ум.од., носії алелі Ala </w:t>
      </w:r>
      <w:r w:rsidR="00BC0119" w:rsidRPr="001416ED">
        <w:rPr>
          <w:lang w:val="uk-UA"/>
        </w:rPr>
        <w:t>–</w:t>
      </w:r>
      <w:r w:rsidRPr="001416ED">
        <w:rPr>
          <w:lang w:val="uk-UA"/>
        </w:rPr>
        <w:t xml:space="preserve"> </w:t>
      </w:r>
      <w:r w:rsidR="00A64D10" w:rsidRPr="001416ED">
        <w:rPr>
          <w:lang w:val="uk-UA"/>
        </w:rPr>
        <w:t>(</w:t>
      </w:r>
      <w:r w:rsidRPr="001416ED">
        <w:rPr>
          <w:lang w:val="uk-UA"/>
        </w:rPr>
        <w:t>1,41</w:t>
      </w:r>
      <w:r w:rsidR="007A07A9" w:rsidRPr="001416ED">
        <w:rPr>
          <w:lang w:val="uk-UA"/>
        </w:rPr>
        <w:t xml:space="preserve"> ± </w:t>
      </w:r>
      <w:r w:rsidRPr="001416ED">
        <w:rPr>
          <w:lang w:val="uk-UA"/>
        </w:rPr>
        <w:t>0,09</w:t>
      </w:r>
      <w:r w:rsidR="00A64D10" w:rsidRPr="001416ED">
        <w:rPr>
          <w:lang w:val="uk-UA"/>
        </w:rPr>
        <w:t>)</w:t>
      </w:r>
      <w:r w:rsidRPr="001416ED">
        <w:rPr>
          <w:lang w:val="uk-UA"/>
        </w:rPr>
        <w:t xml:space="preserve"> ум.од.) [</w:t>
      </w:r>
      <w:r w:rsidR="00034952" w:rsidRPr="001416ED">
        <w:rPr>
          <w:lang w:val="uk-UA"/>
        </w:rPr>
        <w:t>4</w:t>
      </w:r>
      <w:r w:rsidRPr="001416ED">
        <w:rPr>
          <w:lang w:val="uk-UA"/>
        </w:rPr>
        <w:t>].</w:t>
      </w:r>
    </w:p>
    <w:p w:rsidR="00B3303A" w:rsidRPr="001416ED" w:rsidRDefault="00F00198" w:rsidP="00D27181">
      <w:pPr>
        <w:spacing w:before="240" w:after="240" w:line="360" w:lineRule="auto"/>
        <w:ind w:firstLine="708"/>
        <w:jc w:val="both"/>
        <w:rPr>
          <w:b/>
          <w:lang w:val="uk-UA"/>
        </w:rPr>
      </w:pPr>
      <w:r w:rsidRPr="001416ED">
        <w:rPr>
          <w:b/>
          <w:lang w:val="uk-UA"/>
        </w:rPr>
        <w:t>3.</w:t>
      </w:r>
      <w:r w:rsidR="00B54D40" w:rsidRPr="001416ED">
        <w:rPr>
          <w:b/>
          <w:lang w:val="uk-UA"/>
        </w:rPr>
        <w:t>4</w:t>
      </w:r>
      <w:r w:rsidRPr="001416ED">
        <w:rPr>
          <w:b/>
          <w:lang w:val="uk-UA"/>
        </w:rPr>
        <w:t>.</w:t>
      </w:r>
      <w:r w:rsidRPr="001416ED">
        <w:rPr>
          <w:lang w:val="uk-UA"/>
        </w:rPr>
        <w:t xml:space="preserve"> </w:t>
      </w:r>
      <w:r w:rsidRPr="001416ED">
        <w:rPr>
          <w:b/>
          <w:lang w:val="uk-UA"/>
        </w:rPr>
        <w:t xml:space="preserve">Показники ліпідного спектру і глюкози крові </w:t>
      </w:r>
      <w:r w:rsidR="00AA7B10" w:rsidRPr="001416ED">
        <w:rPr>
          <w:b/>
          <w:lang w:val="uk-UA"/>
        </w:rPr>
        <w:t>у</w:t>
      </w:r>
      <w:r w:rsidRPr="001416ED">
        <w:rPr>
          <w:b/>
          <w:lang w:val="uk-UA"/>
        </w:rPr>
        <w:t xml:space="preserve"> </w:t>
      </w:r>
      <w:r w:rsidR="00AA7B10" w:rsidRPr="001416ED">
        <w:rPr>
          <w:b/>
          <w:lang w:val="uk-UA"/>
        </w:rPr>
        <w:t>чоловіків групи контролю</w:t>
      </w:r>
      <w:r w:rsidR="00E77CD7" w:rsidRPr="001416ED">
        <w:rPr>
          <w:b/>
          <w:lang w:val="uk-UA"/>
        </w:rPr>
        <w:t>, мешканців Подільського регіону України</w:t>
      </w:r>
    </w:p>
    <w:p w:rsidR="009E219A" w:rsidRPr="001416ED" w:rsidRDefault="00F00198" w:rsidP="009E219A">
      <w:pPr>
        <w:spacing w:line="360" w:lineRule="auto"/>
        <w:ind w:firstLine="708"/>
        <w:jc w:val="both"/>
        <w:rPr>
          <w:lang w:val="uk-UA"/>
        </w:rPr>
      </w:pPr>
      <w:r w:rsidRPr="001416ED">
        <w:rPr>
          <w:lang w:val="uk-UA"/>
        </w:rPr>
        <w:t>При досліджені показників обміну ліпідів і глюкози крові</w:t>
      </w:r>
      <w:r w:rsidR="00B833FF" w:rsidRPr="001416ED">
        <w:rPr>
          <w:lang w:val="uk-UA"/>
        </w:rPr>
        <w:t xml:space="preserve"> у осіб чоловічої статі</w:t>
      </w:r>
      <w:r w:rsidR="005A5A95" w:rsidRPr="001416ED">
        <w:rPr>
          <w:lang w:val="uk-UA"/>
        </w:rPr>
        <w:t xml:space="preserve"> </w:t>
      </w:r>
      <w:r w:rsidR="000D011F" w:rsidRPr="001416ED">
        <w:rPr>
          <w:lang w:val="uk-UA"/>
        </w:rPr>
        <w:t xml:space="preserve">групи контролю </w:t>
      </w:r>
      <w:r w:rsidR="00BC0119" w:rsidRPr="001416ED">
        <w:rPr>
          <w:lang w:val="uk-UA"/>
        </w:rPr>
        <w:t>–</w:t>
      </w:r>
      <w:r w:rsidR="005A5A95" w:rsidRPr="001416ED">
        <w:rPr>
          <w:lang w:val="uk-UA"/>
        </w:rPr>
        <w:t xml:space="preserve"> </w:t>
      </w:r>
      <w:r w:rsidR="00B833FF" w:rsidRPr="001416ED">
        <w:rPr>
          <w:lang w:val="uk-UA"/>
        </w:rPr>
        <w:t>носії</w:t>
      </w:r>
      <w:r w:rsidR="00292C3C" w:rsidRPr="001416ED">
        <w:rPr>
          <w:lang w:val="uk-UA"/>
        </w:rPr>
        <w:t>в</w:t>
      </w:r>
      <w:r w:rsidR="00B833FF" w:rsidRPr="001416ED">
        <w:rPr>
          <w:lang w:val="uk-UA"/>
        </w:rPr>
        <w:t xml:space="preserve"> </w:t>
      </w:r>
      <w:r w:rsidR="00E6164F">
        <w:rPr>
          <w:lang w:val="uk-UA"/>
        </w:rPr>
        <w:t>поліморфних варіантів гена ЕТ–1</w:t>
      </w:r>
      <w:r w:rsidRPr="001416ED">
        <w:rPr>
          <w:lang w:val="uk-UA"/>
        </w:rPr>
        <w:t xml:space="preserve"> встановлено, що </w:t>
      </w:r>
      <w:r w:rsidR="009E219A" w:rsidRPr="001416ED">
        <w:rPr>
          <w:lang w:val="uk-UA"/>
        </w:rPr>
        <w:t xml:space="preserve">їх </w:t>
      </w:r>
      <w:r w:rsidRPr="001416ED">
        <w:rPr>
          <w:lang w:val="uk-UA"/>
        </w:rPr>
        <w:t>рівні знаходяться в межах вікової норми</w:t>
      </w:r>
      <w:r w:rsidR="009E219A" w:rsidRPr="001416ED">
        <w:rPr>
          <w:lang w:val="uk-UA"/>
        </w:rPr>
        <w:t>.</w:t>
      </w:r>
      <w:r w:rsidR="0092556A" w:rsidRPr="001416ED">
        <w:rPr>
          <w:lang w:val="uk-UA"/>
        </w:rPr>
        <w:t xml:space="preserve"> </w:t>
      </w:r>
      <w:r w:rsidR="00F2664D" w:rsidRPr="001416ED">
        <w:rPr>
          <w:lang w:val="uk-UA"/>
        </w:rPr>
        <w:t>Цікавим виявився той факт, що у</w:t>
      </w:r>
      <w:r w:rsidR="00292C3C" w:rsidRPr="001416ED">
        <w:rPr>
          <w:lang w:val="uk-UA"/>
        </w:rPr>
        <w:t xml:space="preserve"> носіїв алелі Asn рівні </w:t>
      </w:r>
      <w:r w:rsidR="002E5E28" w:rsidRPr="001416ED">
        <w:rPr>
          <w:lang w:val="uk-UA"/>
        </w:rPr>
        <w:t>ХС, ХСЛПНЩ</w:t>
      </w:r>
      <w:r w:rsidR="003C4B0A" w:rsidRPr="001416ED">
        <w:rPr>
          <w:lang w:val="uk-UA"/>
        </w:rPr>
        <w:t>,</w:t>
      </w:r>
      <w:r w:rsidR="002E5E28" w:rsidRPr="001416ED">
        <w:rPr>
          <w:lang w:val="uk-UA"/>
        </w:rPr>
        <w:t xml:space="preserve"> ХСЛПДНЩ та ТГ </w:t>
      </w:r>
      <w:r w:rsidR="00292C3C" w:rsidRPr="001416ED">
        <w:rPr>
          <w:lang w:val="uk-UA"/>
        </w:rPr>
        <w:t xml:space="preserve">крові вищі, </w:t>
      </w:r>
      <w:r w:rsidR="002E5E28" w:rsidRPr="001416ED">
        <w:rPr>
          <w:lang w:val="uk-UA"/>
        </w:rPr>
        <w:t>а концентраці</w:t>
      </w:r>
      <w:r w:rsidR="003C4B0A" w:rsidRPr="001416ED">
        <w:rPr>
          <w:lang w:val="uk-UA"/>
        </w:rPr>
        <w:t>я</w:t>
      </w:r>
      <w:r w:rsidR="002E5E28" w:rsidRPr="001416ED">
        <w:rPr>
          <w:lang w:val="uk-UA"/>
        </w:rPr>
        <w:t xml:space="preserve"> ХСЛПВЩ нижча, ніж у носіїв генотипу Lys/Lys. О</w:t>
      </w:r>
      <w:r w:rsidR="00292C3C" w:rsidRPr="001416ED">
        <w:rPr>
          <w:lang w:val="uk-UA"/>
        </w:rPr>
        <w:t>днак</w:t>
      </w:r>
      <w:r w:rsidR="003266DD" w:rsidRPr="001416ED">
        <w:rPr>
          <w:lang w:val="uk-UA"/>
        </w:rPr>
        <w:t>,</w:t>
      </w:r>
      <w:r w:rsidR="00292C3C" w:rsidRPr="001416ED">
        <w:rPr>
          <w:lang w:val="uk-UA"/>
        </w:rPr>
        <w:t xml:space="preserve"> такої різниці у р</w:t>
      </w:r>
      <w:r w:rsidR="002507A3" w:rsidRPr="001416ED">
        <w:rPr>
          <w:lang w:val="uk-UA"/>
        </w:rPr>
        <w:t>івнях глюкози натще не виявлено</w:t>
      </w:r>
      <w:r w:rsidR="00292C3C" w:rsidRPr="001416ED">
        <w:rPr>
          <w:lang w:val="uk-UA"/>
        </w:rPr>
        <w:t xml:space="preserve"> (табл. 3.</w:t>
      </w:r>
      <w:r w:rsidR="00E3666E" w:rsidRPr="001416ED">
        <w:rPr>
          <w:lang w:val="uk-UA"/>
        </w:rPr>
        <w:t>5</w:t>
      </w:r>
      <w:r w:rsidR="00292C3C" w:rsidRPr="001416ED">
        <w:rPr>
          <w:lang w:val="uk-UA"/>
        </w:rPr>
        <w:t>)</w:t>
      </w:r>
    </w:p>
    <w:p w:rsidR="00F12F21" w:rsidRPr="001416ED" w:rsidRDefault="00F12F21" w:rsidP="00BC6237">
      <w:pPr>
        <w:spacing w:line="360" w:lineRule="auto"/>
        <w:ind w:firstLine="708"/>
        <w:jc w:val="right"/>
        <w:rPr>
          <w:b/>
          <w:lang w:val="uk-UA"/>
        </w:rPr>
      </w:pPr>
    </w:p>
    <w:p w:rsidR="00F12F21" w:rsidRPr="001416ED" w:rsidRDefault="00F12F21" w:rsidP="00BC6237">
      <w:pPr>
        <w:spacing w:line="360" w:lineRule="auto"/>
        <w:ind w:firstLine="708"/>
        <w:jc w:val="right"/>
        <w:rPr>
          <w:b/>
          <w:lang w:val="uk-UA"/>
        </w:rPr>
      </w:pPr>
    </w:p>
    <w:p w:rsidR="00F12F21" w:rsidRPr="001416ED" w:rsidRDefault="00F12F21" w:rsidP="00BC6237">
      <w:pPr>
        <w:spacing w:line="360" w:lineRule="auto"/>
        <w:ind w:firstLine="708"/>
        <w:jc w:val="right"/>
        <w:rPr>
          <w:b/>
          <w:lang w:val="uk-UA"/>
        </w:rPr>
      </w:pPr>
    </w:p>
    <w:p w:rsidR="00F12F21" w:rsidRPr="001416ED" w:rsidRDefault="00F12F21" w:rsidP="00BC6237">
      <w:pPr>
        <w:spacing w:line="360" w:lineRule="auto"/>
        <w:ind w:firstLine="708"/>
        <w:jc w:val="right"/>
        <w:rPr>
          <w:b/>
          <w:lang w:val="uk-UA"/>
        </w:rPr>
      </w:pPr>
    </w:p>
    <w:p w:rsidR="00F12F21" w:rsidRPr="001416ED" w:rsidRDefault="00F12F21" w:rsidP="00BC6237">
      <w:pPr>
        <w:spacing w:line="360" w:lineRule="auto"/>
        <w:ind w:firstLine="708"/>
        <w:jc w:val="right"/>
        <w:rPr>
          <w:b/>
          <w:lang w:val="uk-UA"/>
        </w:rPr>
      </w:pPr>
    </w:p>
    <w:p w:rsidR="00F12F21" w:rsidRPr="001416ED" w:rsidRDefault="00F12F21" w:rsidP="00BC6237">
      <w:pPr>
        <w:spacing w:line="360" w:lineRule="auto"/>
        <w:ind w:firstLine="708"/>
        <w:jc w:val="right"/>
        <w:rPr>
          <w:b/>
          <w:lang w:val="uk-UA"/>
        </w:rPr>
      </w:pPr>
    </w:p>
    <w:p w:rsidR="00BC6237" w:rsidRPr="001416ED" w:rsidRDefault="00BC6237" w:rsidP="00BC6237">
      <w:pPr>
        <w:spacing w:line="360" w:lineRule="auto"/>
        <w:ind w:firstLine="708"/>
        <w:jc w:val="right"/>
        <w:rPr>
          <w:b/>
          <w:lang w:val="uk-UA"/>
        </w:rPr>
      </w:pPr>
      <w:r w:rsidRPr="001416ED">
        <w:rPr>
          <w:b/>
          <w:lang w:val="uk-UA"/>
        </w:rPr>
        <w:lastRenderedPageBreak/>
        <w:t>Таблиця 3.</w:t>
      </w:r>
      <w:r w:rsidR="00E3666E" w:rsidRPr="001416ED">
        <w:rPr>
          <w:b/>
          <w:lang w:val="uk-UA"/>
        </w:rPr>
        <w:t>5</w:t>
      </w:r>
    </w:p>
    <w:p w:rsidR="00BC6237" w:rsidRPr="001416ED" w:rsidRDefault="00F2664D" w:rsidP="00BC6237">
      <w:pPr>
        <w:spacing w:line="360" w:lineRule="auto"/>
        <w:ind w:firstLine="708"/>
        <w:jc w:val="center"/>
        <w:rPr>
          <w:b/>
          <w:lang w:val="uk-UA"/>
        </w:rPr>
      </w:pPr>
      <w:r w:rsidRPr="001416ED">
        <w:rPr>
          <w:b/>
          <w:lang w:val="uk-UA"/>
        </w:rPr>
        <w:t>Показники л</w:t>
      </w:r>
      <w:r w:rsidR="00BC6237" w:rsidRPr="001416ED">
        <w:rPr>
          <w:b/>
          <w:lang w:val="uk-UA"/>
        </w:rPr>
        <w:t>іпідн</w:t>
      </w:r>
      <w:r w:rsidRPr="001416ED">
        <w:rPr>
          <w:b/>
          <w:lang w:val="uk-UA"/>
        </w:rPr>
        <w:t>ого</w:t>
      </w:r>
      <w:r w:rsidR="00BC6237" w:rsidRPr="001416ED">
        <w:rPr>
          <w:b/>
          <w:lang w:val="uk-UA"/>
        </w:rPr>
        <w:t xml:space="preserve"> спектр</w:t>
      </w:r>
      <w:r w:rsidRPr="001416ED">
        <w:rPr>
          <w:b/>
          <w:lang w:val="uk-UA"/>
        </w:rPr>
        <w:t>у</w:t>
      </w:r>
      <w:r w:rsidR="00BC6237" w:rsidRPr="001416ED">
        <w:rPr>
          <w:b/>
          <w:lang w:val="uk-UA"/>
        </w:rPr>
        <w:t xml:space="preserve"> крові</w:t>
      </w:r>
      <w:r w:rsidR="00BB4510" w:rsidRPr="001416ED">
        <w:rPr>
          <w:b/>
          <w:lang w:val="uk-UA"/>
        </w:rPr>
        <w:t xml:space="preserve"> та рівень глюкози</w:t>
      </w:r>
      <w:r w:rsidR="00BC6237" w:rsidRPr="001416ED">
        <w:rPr>
          <w:b/>
          <w:lang w:val="uk-UA"/>
        </w:rPr>
        <w:t xml:space="preserve"> у чоловіків групи контролю</w:t>
      </w:r>
      <w:r w:rsidR="00BC0119" w:rsidRPr="001416ED">
        <w:rPr>
          <w:b/>
          <w:lang w:val="uk-UA"/>
        </w:rPr>
        <w:t>–</w:t>
      </w:r>
      <w:r w:rsidR="00BC6237" w:rsidRPr="001416ED">
        <w:rPr>
          <w:b/>
          <w:lang w:val="uk-UA"/>
        </w:rPr>
        <w:t xml:space="preserve">носіїв </w:t>
      </w:r>
      <w:r w:rsidR="00E6164F">
        <w:rPr>
          <w:b/>
          <w:lang w:val="uk-UA"/>
        </w:rPr>
        <w:t>поліморфних варіантів гена ЕТ–1</w:t>
      </w:r>
      <w:r w:rsidR="00A66A09" w:rsidRPr="001416ED">
        <w:rPr>
          <w:b/>
          <w:lang w:val="uk-UA"/>
        </w:rPr>
        <w:t xml:space="preserve"> (M</w:t>
      </w:r>
      <w:r w:rsidR="007A07A9" w:rsidRPr="001416ED">
        <w:rPr>
          <w:b/>
          <w:lang w:val="uk-UA"/>
        </w:rPr>
        <w:t xml:space="preserve"> ± </w:t>
      </w:r>
      <w:r w:rsidR="00A66A09" w:rsidRPr="001416ED">
        <w:rPr>
          <w:b/>
          <w:lang w:val="uk-UA"/>
        </w:rPr>
        <w:t>m)</w:t>
      </w:r>
      <w:r w:rsidR="003266DD" w:rsidRPr="001416ED">
        <w:rPr>
          <w:lang w:val="uk-UA"/>
        </w:rPr>
        <w:t xml:space="preserve"> (</w:t>
      </w:r>
      <w:r w:rsidR="003266DD" w:rsidRPr="001416ED">
        <w:rPr>
          <w:b/>
          <w:lang w:val="uk-UA"/>
        </w:rPr>
        <w:t>ммоль/л)</w:t>
      </w:r>
    </w:p>
    <w:tbl>
      <w:tblPr>
        <w:tblStyle w:val="af5"/>
        <w:tblW w:w="10173" w:type="dxa"/>
        <w:tblLook w:val="04A0" w:firstRow="1" w:lastRow="0" w:firstColumn="1" w:lastColumn="0" w:noHBand="0" w:noVBand="1"/>
      </w:tblPr>
      <w:tblGrid>
        <w:gridCol w:w="3652"/>
        <w:gridCol w:w="2693"/>
        <w:gridCol w:w="2410"/>
        <w:gridCol w:w="1418"/>
      </w:tblGrid>
      <w:tr w:rsidR="00547CD8" w:rsidRPr="001416ED" w:rsidTr="002131E1">
        <w:trPr>
          <w:trHeight w:val="862"/>
        </w:trPr>
        <w:tc>
          <w:tcPr>
            <w:tcW w:w="3652" w:type="dxa"/>
          </w:tcPr>
          <w:p w:rsidR="00547CD8" w:rsidRPr="001416ED" w:rsidRDefault="00547CD8" w:rsidP="00E96D21">
            <w:pPr>
              <w:spacing w:line="360" w:lineRule="auto"/>
              <w:jc w:val="center"/>
              <w:rPr>
                <w:b/>
                <w:lang w:val="uk-UA"/>
              </w:rPr>
            </w:pPr>
            <w:r w:rsidRPr="001416ED">
              <w:rPr>
                <w:b/>
                <w:lang w:val="uk-UA"/>
              </w:rPr>
              <w:t>Ліпідний спектр крові</w:t>
            </w:r>
            <w:r w:rsidR="008D10FB" w:rsidRPr="001416ED">
              <w:rPr>
                <w:b/>
                <w:lang w:val="uk-UA"/>
              </w:rPr>
              <w:t>, глюкоза крові</w:t>
            </w:r>
          </w:p>
        </w:tc>
        <w:tc>
          <w:tcPr>
            <w:tcW w:w="2693" w:type="dxa"/>
          </w:tcPr>
          <w:p w:rsidR="00547CD8" w:rsidRPr="001416ED" w:rsidRDefault="004F7A8D" w:rsidP="004F7A8D">
            <w:pPr>
              <w:spacing w:line="360" w:lineRule="auto"/>
              <w:jc w:val="center"/>
              <w:rPr>
                <w:b/>
                <w:lang w:val="uk-UA"/>
              </w:rPr>
            </w:pPr>
            <w:r w:rsidRPr="001416ED">
              <w:rPr>
                <w:b/>
                <w:lang w:val="uk-UA"/>
              </w:rPr>
              <w:t>Г</w:t>
            </w:r>
            <w:r w:rsidR="00547CD8" w:rsidRPr="001416ED">
              <w:rPr>
                <w:b/>
              </w:rPr>
              <w:t xml:space="preserve">енотип </w:t>
            </w:r>
            <w:r w:rsidR="00547CD8" w:rsidRPr="001416ED">
              <w:rPr>
                <w:b/>
                <w:lang w:val="en-US"/>
              </w:rPr>
              <w:t>Lys</w:t>
            </w:r>
            <w:r w:rsidR="00547CD8" w:rsidRPr="001416ED">
              <w:rPr>
                <w:b/>
              </w:rPr>
              <w:t>/</w:t>
            </w:r>
            <w:r w:rsidR="00547CD8" w:rsidRPr="001416ED">
              <w:rPr>
                <w:b/>
                <w:lang w:val="en-US"/>
              </w:rPr>
              <w:t>Lys</w:t>
            </w:r>
            <w:r w:rsidR="002131E1" w:rsidRPr="001416ED">
              <w:rPr>
                <w:b/>
                <w:lang w:val="uk-UA"/>
              </w:rPr>
              <w:t xml:space="preserve"> (n=52)</w:t>
            </w:r>
          </w:p>
        </w:tc>
        <w:tc>
          <w:tcPr>
            <w:tcW w:w="2410" w:type="dxa"/>
          </w:tcPr>
          <w:p w:rsidR="00547CD8" w:rsidRPr="001416ED" w:rsidRDefault="00547CD8" w:rsidP="00E96D21">
            <w:pPr>
              <w:spacing w:line="360" w:lineRule="auto"/>
              <w:jc w:val="center"/>
              <w:rPr>
                <w:b/>
                <w:lang w:val="uk-UA"/>
              </w:rPr>
            </w:pPr>
            <w:r w:rsidRPr="001416ED">
              <w:rPr>
                <w:b/>
                <w:lang w:val="uk-UA"/>
              </w:rPr>
              <w:t xml:space="preserve">Носії алелі </w:t>
            </w:r>
            <w:r w:rsidRPr="001416ED">
              <w:rPr>
                <w:b/>
                <w:lang w:val="en-US"/>
              </w:rPr>
              <w:t>Asn</w:t>
            </w:r>
            <w:r w:rsidR="002131E1" w:rsidRPr="001416ED">
              <w:rPr>
                <w:b/>
                <w:lang w:val="uk-UA"/>
              </w:rPr>
              <w:t xml:space="preserve"> (n=27)</w:t>
            </w:r>
          </w:p>
        </w:tc>
        <w:tc>
          <w:tcPr>
            <w:tcW w:w="1418" w:type="dxa"/>
          </w:tcPr>
          <w:p w:rsidR="00547CD8" w:rsidRPr="001416ED" w:rsidRDefault="00547CD8" w:rsidP="00E96D21">
            <w:pPr>
              <w:spacing w:line="360" w:lineRule="auto"/>
              <w:jc w:val="center"/>
              <w:rPr>
                <w:b/>
                <w:lang w:val="uk-UA"/>
              </w:rPr>
            </w:pPr>
            <w:r w:rsidRPr="001416ED">
              <w:rPr>
                <w:b/>
                <w:lang w:val="uk-UA"/>
              </w:rPr>
              <w:t>р</w:t>
            </w:r>
          </w:p>
        </w:tc>
      </w:tr>
      <w:tr w:rsidR="00547CD8" w:rsidRPr="001416ED" w:rsidTr="002131E1">
        <w:trPr>
          <w:trHeight w:val="451"/>
        </w:trPr>
        <w:tc>
          <w:tcPr>
            <w:tcW w:w="3652" w:type="dxa"/>
          </w:tcPr>
          <w:p w:rsidR="00547CD8" w:rsidRPr="001416ED" w:rsidRDefault="00547CD8" w:rsidP="00E96D21">
            <w:pPr>
              <w:spacing w:line="360" w:lineRule="auto"/>
              <w:jc w:val="center"/>
              <w:rPr>
                <w:lang w:val="uk-UA"/>
              </w:rPr>
            </w:pPr>
            <w:r w:rsidRPr="001416ED">
              <w:rPr>
                <w:lang w:val="uk-UA"/>
              </w:rPr>
              <w:t>ХС</w:t>
            </w:r>
            <w:r w:rsidR="00B833FF" w:rsidRPr="001416ED">
              <w:rPr>
                <w:lang w:val="uk-UA"/>
              </w:rPr>
              <w:t>, ммоль/л</w:t>
            </w:r>
          </w:p>
        </w:tc>
        <w:tc>
          <w:tcPr>
            <w:tcW w:w="2693" w:type="dxa"/>
          </w:tcPr>
          <w:p w:rsidR="00547CD8" w:rsidRPr="001416ED" w:rsidRDefault="00547CD8" w:rsidP="002131E1">
            <w:pPr>
              <w:spacing w:line="360" w:lineRule="auto"/>
              <w:jc w:val="center"/>
              <w:rPr>
                <w:lang w:val="uk-UA"/>
              </w:rPr>
            </w:pPr>
            <w:r w:rsidRPr="001416ED">
              <w:rPr>
                <w:lang w:val="uk-UA"/>
              </w:rPr>
              <w:t>4,68</w:t>
            </w:r>
            <w:r w:rsidR="007A07A9" w:rsidRPr="001416ED">
              <w:rPr>
                <w:lang w:val="uk-UA"/>
              </w:rPr>
              <w:t xml:space="preserve"> ± </w:t>
            </w:r>
            <w:r w:rsidRPr="001416ED">
              <w:rPr>
                <w:lang w:val="uk-UA"/>
              </w:rPr>
              <w:t xml:space="preserve">0,05 </w:t>
            </w:r>
          </w:p>
        </w:tc>
        <w:tc>
          <w:tcPr>
            <w:tcW w:w="2410" w:type="dxa"/>
          </w:tcPr>
          <w:p w:rsidR="00547CD8" w:rsidRPr="001416ED" w:rsidRDefault="00547CD8" w:rsidP="002131E1">
            <w:pPr>
              <w:spacing w:line="360" w:lineRule="auto"/>
              <w:jc w:val="center"/>
              <w:rPr>
                <w:lang w:val="uk-UA"/>
              </w:rPr>
            </w:pPr>
            <w:r w:rsidRPr="001416ED">
              <w:rPr>
                <w:lang w:val="uk-UA"/>
              </w:rPr>
              <w:t>5,08</w:t>
            </w:r>
            <w:r w:rsidR="007A07A9" w:rsidRPr="001416ED">
              <w:rPr>
                <w:lang w:val="uk-UA"/>
              </w:rPr>
              <w:t xml:space="preserve"> ± </w:t>
            </w:r>
            <w:r w:rsidRPr="001416ED">
              <w:rPr>
                <w:lang w:val="uk-UA"/>
              </w:rPr>
              <w:t xml:space="preserve">0,05 </w:t>
            </w:r>
          </w:p>
        </w:tc>
        <w:tc>
          <w:tcPr>
            <w:tcW w:w="1418" w:type="dxa"/>
          </w:tcPr>
          <w:p w:rsidR="00547CD8" w:rsidRPr="001416ED" w:rsidRDefault="005A5A95" w:rsidP="00E96D21">
            <w:pPr>
              <w:spacing w:line="360" w:lineRule="auto"/>
              <w:jc w:val="center"/>
              <w:rPr>
                <w:lang w:val="uk-UA"/>
              </w:rPr>
            </w:pPr>
            <w:r w:rsidRPr="001416ED">
              <w:rPr>
                <w:lang w:val="uk-UA"/>
              </w:rPr>
              <w:t>р</w:t>
            </w:r>
            <w:r w:rsidR="00BC6237" w:rsidRPr="001416ED">
              <w:rPr>
                <w:lang w:val="uk-UA"/>
              </w:rPr>
              <w:t>&lt;0,0001</w:t>
            </w:r>
          </w:p>
        </w:tc>
      </w:tr>
      <w:tr w:rsidR="00581A3D" w:rsidRPr="001416ED" w:rsidTr="002131E1">
        <w:tc>
          <w:tcPr>
            <w:tcW w:w="3652" w:type="dxa"/>
          </w:tcPr>
          <w:p w:rsidR="00581A3D" w:rsidRPr="001416ED" w:rsidRDefault="00581A3D" w:rsidP="00C768B6">
            <w:pPr>
              <w:spacing w:line="360" w:lineRule="auto"/>
              <w:jc w:val="center"/>
              <w:rPr>
                <w:lang w:val="uk-UA"/>
              </w:rPr>
            </w:pPr>
            <w:r w:rsidRPr="001416ED">
              <w:rPr>
                <w:lang w:val="uk-UA"/>
              </w:rPr>
              <w:t>ХСЛПДНЩ, ммоль/л</w:t>
            </w:r>
          </w:p>
        </w:tc>
        <w:tc>
          <w:tcPr>
            <w:tcW w:w="2693" w:type="dxa"/>
          </w:tcPr>
          <w:p w:rsidR="00581A3D" w:rsidRPr="001416ED" w:rsidRDefault="00581A3D" w:rsidP="002131E1">
            <w:pPr>
              <w:spacing w:line="360" w:lineRule="auto"/>
              <w:jc w:val="center"/>
              <w:rPr>
                <w:lang w:val="uk-UA"/>
              </w:rPr>
            </w:pPr>
            <w:r w:rsidRPr="001416ED">
              <w:t>0,54</w:t>
            </w:r>
            <w:r w:rsidR="007A07A9" w:rsidRPr="001416ED">
              <w:t xml:space="preserve"> ± </w:t>
            </w:r>
            <w:r w:rsidRPr="001416ED">
              <w:t>0,02</w:t>
            </w:r>
            <w:r w:rsidRPr="001416ED">
              <w:rPr>
                <w:lang w:val="uk-UA"/>
              </w:rPr>
              <w:t xml:space="preserve"> </w:t>
            </w:r>
          </w:p>
        </w:tc>
        <w:tc>
          <w:tcPr>
            <w:tcW w:w="2410" w:type="dxa"/>
          </w:tcPr>
          <w:p w:rsidR="00581A3D" w:rsidRPr="001416ED" w:rsidRDefault="00151E97" w:rsidP="002131E1">
            <w:pPr>
              <w:spacing w:line="360" w:lineRule="auto"/>
              <w:jc w:val="center"/>
              <w:rPr>
                <w:lang w:val="uk-UA"/>
              </w:rPr>
            </w:pPr>
            <w:r w:rsidRPr="001416ED">
              <w:rPr>
                <w:lang w:val="uk-UA"/>
              </w:rPr>
              <w:t>0,78</w:t>
            </w:r>
            <w:r w:rsidR="007A07A9" w:rsidRPr="001416ED">
              <w:rPr>
                <w:lang w:val="uk-UA"/>
              </w:rPr>
              <w:t xml:space="preserve"> ± </w:t>
            </w:r>
            <w:r w:rsidRPr="001416ED">
              <w:rPr>
                <w:lang w:val="uk-UA"/>
              </w:rPr>
              <w:t xml:space="preserve">0,02 </w:t>
            </w:r>
          </w:p>
        </w:tc>
        <w:tc>
          <w:tcPr>
            <w:tcW w:w="1418" w:type="dxa"/>
          </w:tcPr>
          <w:p w:rsidR="00581A3D" w:rsidRPr="001416ED" w:rsidRDefault="00581A3D" w:rsidP="00C768B6">
            <w:pPr>
              <w:spacing w:line="360" w:lineRule="auto"/>
              <w:jc w:val="center"/>
              <w:rPr>
                <w:lang w:val="uk-UA"/>
              </w:rPr>
            </w:pPr>
            <w:r w:rsidRPr="001416ED">
              <w:rPr>
                <w:lang w:val="uk-UA"/>
              </w:rPr>
              <w:t>р&lt;0,0001</w:t>
            </w:r>
          </w:p>
        </w:tc>
      </w:tr>
      <w:tr w:rsidR="00B83C2C" w:rsidRPr="001416ED" w:rsidTr="002131E1">
        <w:tc>
          <w:tcPr>
            <w:tcW w:w="3652" w:type="dxa"/>
          </w:tcPr>
          <w:p w:rsidR="00B83C2C" w:rsidRPr="001416ED" w:rsidRDefault="00B83C2C" w:rsidP="00683BC8">
            <w:pPr>
              <w:spacing w:line="360" w:lineRule="auto"/>
              <w:jc w:val="center"/>
              <w:rPr>
                <w:lang w:val="uk-UA"/>
              </w:rPr>
            </w:pPr>
            <w:r w:rsidRPr="001416ED">
              <w:rPr>
                <w:lang w:val="uk-UA"/>
              </w:rPr>
              <w:t>ХСЛПНЩ, ммоль/л</w:t>
            </w:r>
          </w:p>
        </w:tc>
        <w:tc>
          <w:tcPr>
            <w:tcW w:w="2693" w:type="dxa"/>
          </w:tcPr>
          <w:p w:rsidR="00B83C2C" w:rsidRPr="001416ED" w:rsidRDefault="00B83C2C" w:rsidP="002131E1">
            <w:pPr>
              <w:spacing w:line="360" w:lineRule="auto"/>
              <w:jc w:val="center"/>
            </w:pPr>
            <w:r w:rsidRPr="001416ED">
              <w:t>1,50</w:t>
            </w:r>
            <w:r w:rsidR="007A07A9" w:rsidRPr="001416ED">
              <w:t xml:space="preserve"> ± </w:t>
            </w:r>
            <w:r w:rsidRPr="001416ED">
              <w:t>0,05</w:t>
            </w:r>
            <w:r w:rsidRPr="001416ED">
              <w:rPr>
                <w:lang w:val="uk-UA"/>
              </w:rPr>
              <w:t xml:space="preserve"> </w:t>
            </w:r>
          </w:p>
        </w:tc>
        <w:tc>
          <w:tcPr>
            <w:tcW w:w="2410" w:type="dxa"/>
          </w:tcPr>
          <w:p w:rsidR="00B83C2C" w:rsidRPr="001416ED" w:rsidRDefault="00B83C2C" w:rsidP="002131E1">
            <w:pPr>
              <w:spacing w:line="360" w:lineRule="auto"/>
              <w:jc w:val="center"/>
              <w:rPr>
                <w:lang w:val="uk-UA"/>
              </w:rPr>
            </w:pPr>
            <w:r w:rsidRPr="001416ED">
              <w:rPr>
                <w:lang w:val="uk-UA"/>
              </w:rPr>
              <w:t>2,35</w:t>
            </w:r>
            <w:r w:rsidR="007A07A9" w:rsidRPr="001416ED">
              <w:rPr>
                <w:lang w:val="uk-UA"/>
              </w:rPr>
              <w:t xml:space="preserve"> ± </w:t>
            </w:r>
            <w:r w:rsidRPr="001416ED">
              <w:rPr>
                <w:lang w:val="uk-UA"/>
              </w:rPr>
              <w:t xml:space="preserve">0,08 </w:t>
            </w:r>
          </w:p>
        </w:tc>
        <w:tc>
          <w:tcPr>
            <w:tcW w:w="1418" w:type="dxa"/>
          </w:tcPr>
          <w:p w:rsidR="00B83C2C" w:rsidRPr="001416ED" w:rsidRDefault="00B83C2C" w:rsidP="00151E97">
            <w:pPr>
              <w:spacing w:line="360" w:lineRule="auto"/>
              <w:jc w:val="center"/>
              <w:rPr>
                <w:lang w:val="uk-UA"/>
              </w:rPr>
            </w:pPr>
            <w:r w:rsidRPr="001416ED">
              <w:rPr>
                <w:lang w:val="uk-UA"/>
              </w:rPr>
              <w:t>р&lt;0,0001</w:t>
            </w:r>
          </w:p>
        </w:tc>
      </w:tr>
      <w:tr w:rsidR="00B83C2C" w:rsidRPr="001416ED" w:rsidTr="002131E1">
        <w:tc>
          <w:tcPr>
            <w:tcW w:w="3652" w:type="dxa"/>
          </w:tcPr>
          <w:p w:rsidR="00B83C2C" w:rsidRPr="001416ED" w:rsidRDefault="00B83C2C" w:rsidP="00683BC8">
            <w:pPr>
              <w:spacing w:line="360" w:lineRule="auto"/>
              <w:jc w:val="center"/>
              <w:rPr>
                <w:lang w:val="uk-UA"/>
              </w:rPr>
            </w:pPr>
            <w:r w:rsidRPr="001416ED">
              <w:rPr>
                <w:lang w:val="uk-UA"/>
              </w:rPr>
              <w:t>ХСЛПВЩ, ммоль/л</w:t>
            </w:r>
          </w:p>
        </w:tc>
        <w:tc>
          <w:tcPr>
            <w:tcW w:w="2693" w:type="dxa"/>
          </w:tcPr>
          <w:p w:rsidR="00B83C2C" w:rsidRPr="001416ED" w:rsidRDefault="00B83C2C" w:rsidP="002131E1">
            <w:pPr>
              <w:spacing w:line="360" w:lineRule="auto"/>
              <w:jc w:val="center"/>
            </w:pPr>
            <w:r w:rsidRPr="001416ED">
              <w:t>1,70</w:t>
            </w:r>
            <w:r w:rsidR="007A07A9" w:rsidRPr="001416ED">
              <w:t xml:space="preserve"> ± </w:t>
            </w:r>
            <w:r w:rsidRPr="001416ED">
              <w:t>0,03</w:t>
            </w:r>
            <w:r w:rsidRPr="001416ED">
              <w:rPr>
                <w:lang w:val="uk-UA"/>
              </w:rPr>
              <w:t xml:space="preserve"> </w:t>
            </w:r>
          </w:p>
        </w:tc>
        <w:tc>
          <w:tcPr>
            <w:tcW w:w="2410" w:type="dxa"/>
          </w:tcPr>
          <w:p w:rsidR="00B83C2C" w:rsidRPr="001416ED" w:rsidRDefault="00B83C2C" w:rsidP="002131E1">
            <w:pPr>
              <w:spacing w:line="360" w:lineRule="auto"/>
              <w:jc w:val="center"/>
              <w:rPr>
                <w:lang w:val="uk-UA"/>
              </w:rPr>
            </w:pPr>
            <w:r w:rsidRPr="001416ED">
              <w:rPr>
                <w:lang w:val="uk-UA"/>
              </w:rPr>
              <w:t>1,47</w:t>
            </w:r>
            <w:r w:rsidR="007A07A9" w:rsidRPr="001416ED">
              <w:rPr>
                <w:lang w:val="uk-UA"/>
              </w:rPr>
              <w:t xml:space="preserve"> ± </w:t>
            </w:r>
            <w:r w:rsidRPr="001416ED">
              <w:rPr>
                <w:lang w:val="uk-UA"/>
              </w:rPr>
              <w:t xml:space="preserve">0,04 </w:t>
            </w:r>
          </w:p>
        </w:tc>
        <w:tc>
          <w:tcPr>
            <w:tcW w:w="1418" w:type="dxa"/>
          </w:tcPr>
          <w:p w:rsidR="00B83C2C" w:rsidRPr="001416ED" w:rsidRDefault="00B83C2C" w:rsidP="00151E97">
            <w:pPr>
              <w:spacing w:line="360" w:lineRule="auto"/>
              <w:jc w:val="center"/>
              <w:rPr>
                <w:lang w:val="uk-UA"/>
              </w:rPr>
            </w:pPr>
            <w:r w:rsidRPr="001416ED">
              <w:rPr>
                <w:lang w:val="uk-UA"/>
              </w:rPr>
              <w:t>р&lt;0,001</w:t>
            </w:r>
          </w:p>
        </w:tc>
      </w:tr>
      <w:tr w:rsidR="00B83C2C" w:rsidRPr="001416ED" w:rsidTr="002131E1">
        <w:tc>
          <w:tcPr>
            <w:tcW w:w="3652" w:type="dxa"/>
          </w:tcPr>
          <w:p w:rsidR="00B83C2C" w:rsidRPr="001416ED" w:rsidRDefault="00B83C2C" w:rsidP="00683BC8">
            <w:pPr>
              <w:spacing w:line="360" w:lineRule="auto"/>
              <w:jc w:val="center"/>
              <w:rPr>
                <w:lang w:val="uk-UA"/>
              </w:rPr>
            </w:pPr>
            <w:r w:rsidRPr="001416ED">
              <w:rPr>
                <w:lang w:val="uk-UA"/>
              </w:rPr>
              <w:t>ТГ, ммоль/л</w:t>
            </w:r>
          </w:p>
        </w:tc>
        <w:tc>
          <w:tcPr>
            <w:tcW w:w="2693" w:type="dxa"/>
          </w:tcPr>
          <w:p w:rsidR="00B83C2C" w:rsidRPr="001416ED" w:rsidRDefault="00B83C2C" w:rsidP="002131E1">
            <w:pPr>
              <w:spacing w:line="360" w:lineRule="auto"/>
              <w:jc w:val="center"/>
            </w:pPr>
            <w:r w:rsidRPr="001416ED">
              <w:t>1,49</w:t>
            </w:r>
            <w:r w:rsidR="007A07A9" w:rsidRPr="001416ED">
              <w:t xml:space="preserve"> ± </w:t>
            </w:r>
            <w:r w:rsidRPr="001416ED">
              <w:t>0,03</w:t>
            </w:r>
            <w:r w:rsidRPr="001416ED">
              <w:rPr>
                <w:lang w:val="uk-UA"/>
              </w:rPr>
              <w:t xml:space="preserve"> </w:t>
            </w:r>
          </w:p>
        </w:tc>
        <w:tc>
          <w:tcPr>
            <w:tcW w:w="2410" w:type="dxa"/>
          </w:tcPr>
          <w:p w:rsidR="00B83C2C" w:rsidRPr="001416ED" w:rsidRDefault="00B83C2C" w:rsidP="002131E1">
            <w:pPr>
              <w:spacing w:line="360" w:lineRule="auto"/>
              <w:jc w:val="center"/>
              <w:rPr>
                <w:lang w:val="uk-UA"/>
              </w:rPr>
            </w:pPr>
            <w:r w:rsidRPr="001416ED">
              <w:rPr>
                <w:lang w:val="uk-UA"/>
              </w:rPr>
              <w:t>1,69</w:t>
            </w:r>
            <w:r w:rsidR="007A07A9" w:rsidRPr="001416ED">
              <w:rPr>
                <w:lang w:val="uk-UA"/>
              </w:rPr>
              <w:t xml:space="preserve"> ± </w:t>
            </w:r>
            <w:r w:rsidRPr="001416ED">
              <w:rPr>
                <w:lang w:val="uk-UA"/>
              </w:rPr>
              <w:t xml:space="preserve">0,02 </w:t>
            </w:r>
          </w:p>
        </w:tc>
        <w:tc>
          <w:tcPr>
            <w:tcW w:w="1418" w:type="dxa"/>
          </w:tcPr>
          <w:p w:rsidR="00B83C2C" w:rsidRPr="001416ED" w:rsidRDefault="00B83C2C" w:rsidP="00151E97">
            <w:pPr>
              <w:spacing w:line="360" w:lineRule="auto"/>
              <w:jc w:val="center"/>
              <w:rPr>
                <w:lang w:val="uk-UA"/>
              </w:rPr>
            </w:pPr>
            <w:r w:rsidRPr="001416ED">
              <w:rPr>
                <w:lang w:val="uk-UA"/>
              </w:rPr>
              <w:t xml:space="preserve">р&lt;0,01 </w:t>
            </w:r>
          </w:p>
        </w:tc>
      </w:tr>
      <w:tr w:rsidR="00B83C2C" w:rsidRPr="001416ED" w:rsidTr="002131E1">
        <w:tc>
          <w:tcPr>
            <w:tcW w:w="3652" w:type="dxa"/>
          </w:tcPr>
          <w:p w:rsidR="00B83C2C" w:rsidRPr="001416ED" w:rsidRDefault="00B83C2C" w:rsidP="00683BC8">
            <w:pPr>
              <w:spacing w:line="360" w:lineRule="auto"/>
              <w:jc w:val="center"/>
              <w:rPr>
                <w:lang w:val="uk-UA"/>
              </w:rPr>
            </w:pPr>
            <w:r w:rsidRPr="001416ED">
              <w:rPr>
                <w:lang w:val="uk-UA"/>
              </w:rPr>
              <w:t>Глюкоза натще, ммоль/л</w:t>
            </w:r>
          </w:p>
        </w:tc>
        <w:tc>
          <w:tcPr>
            <w:tcW w:w="2693" w:type="dxa"/>
          </w:tcPr>
          <w:p w:rsidR="00B83C2C" w:rsidRPr="001416ED" w:rsidRDefault="00B83C2C" w:rsidP="002131E1">
            <w:pPr>
              <w:spacing w:line="360" w:lineRule="auto"/>
              <w:jc w:val="center"/>
              <w:rPr>
                <w:lang w:val="uk-UA"/>
              </w:rPr>
            </w:pPr>
            <w:r w:rsidRPr="001416ED">
              <w:rPr>
                <w:lang w:val="uk-UA"/>
              </w:rPr>
              <w:t>4,81</w:t>
            </w:r>
            <w:r w:rsidR="007A07A9" w:rsidRPr="001416ED">
              <w:t xml:space="preserve"> ± </w:t>
            </w:r>
            <w:r w:rsidRPr="001416ED">
              <w:rPr>
                <w:lang w:val="uk-UA"/>
              </w:rPr>
              <w:t xml:space="preserve">0,10 </w:t>
            </w:r>
          </w:p>
        </w:tc>
        <w:tc>
          <w:tcPr>
            <w:tcW w:w="2410" w:type="dxa"/>
          </w:tcPr>
          <w:p w:rsidR="00B83C2C" w:rsidRPr="001416ED" w:rsidRDefault="00B83C2C" w:rsidP="002131E1">
            <w:pPr>
              <w:spacing w:line="360" w:lineRule="auto"/>
              <w:jc w:val="center"/>
              <w:rPr>
                <w:lang w:val="uk-UA"/>
              </w:rPr>
            </w:pPr>
            <w:r w:rsidRPr="001416ED">
              <w:rPr>
                <w:lang w:val="uk-UA"/>
              </w:rPr>
              <w:t>4,98</w:t>
            </w:r>
            <w:r w:rsidR="007A07A9" w:rsidRPr="001416ED">
              <w:t xml:space="preserve"> ± </w:t>
            </w:r>
            <w:r w:rsidRPr="001416ED">
              <w:rPr>
                <w:lang w:val="uk-UA"/>
              </w:rPr>
              <w:t>0,11</w:t>
            </w:r>
          </w:p>
        </w:tc>
        <w:tc>
          <w:tcPr>
            <w:tcW w:w="1418" w:type="dxa"/>
          </w:tcPr>
          <w:p w:rsidR="00B83C2C" w:rsidRPr="001416ED" w:rsidRDefault="00471DF7" w:rsidP="00683BC8">
            <w:pPr>
              <w:spacing w:line="360" w:lineRule="auto"/>
              <w:jc w:val="center"/>
              <w:rPr>
                <w:lang w:val="uk-UA"/>
              </w:rPr>
            </w:pPr>
            <w:r w:rsidRPr="001416ED">
              <w:rPr>
                <w:lang w:val="uk-UA"/>
              </w:rPr>
              <w:t>р˃</w:t>
            </w:r>
            <w:r w:rsidR="00B83C2C" w:rsidRPr="001416ED">
              <w:rPr>
                <w:lang w:val="uk-UA"/>
              </w:rPr>
              <w:t>0,05</w:t>
            </w:r>
          </w:p>
        </w:tc>
      </w:tr>
    </w:tbl>
    <w:p w:rsidR="00623E91" w:rsidRPr="001416ED" w:rsidRDefault="00623E91" w:rsidP="00095217">
      <w:pPr>
        <w:spacing w:before="240" w:after="240" w:line="360" w:lineRule="auto"/>
        <w:ind w:firstLine="708"/>
        <w:jc w:val="both"/>
        <w:rPr>
          <w:b/>
          <w:lang w:val="uk-UA"/>
        </w:rPr>
      </w:pPr>
      <w:r w:rsidRPr="001416ED">
        <w:rPr>
          <w:b/>
          <w:lang w:val="uk-UA"/>
        </w:rPr>
        <w:t>3.5</w:t>
      </w:r>
      <w:r w:rsidR="00A414C1" w:rsidRPr="001416ED">
        <w:rPr>
          <w:b/>
          <w:lang w:val="uk-UA"/>
        </w:rPr>
        <w:t>.</w:t>
      </w:r>
      <w:r w:rsidRPr="001416ED">
        <w:rPr>
          <w:b/>
          <w:lang w:val="uk-UA"/>
        </w:rPr>
        <w:t xml:space="preserve"> </w:t>
      </w:r>
      <w:r w:rsidR="004C6643" w:rsidRPr="001416ED">
        <w:rPr>
          <w:b/>
          <w:lang w:val="uk-UA"/>
        </w:rPr>
        <w:t xml:space="preserve">Показники </w:t>
      </w:r>
      <w:r w:rsidR="000D011F" w:rsidRPr="001416ED">
        <w:rPr>
          <w:b/>
          <w:lang w:val="uk-UA"/>
        </w:rPr>
        <w:t xml:space="preserve">артеріального тиску </w:t>
      </w:r>
      <w:r w:rsidR="00A36455" w:rsidRPr="001416ED">
        <w:rPr>
          <w:b/>
          <w:lang w:val="uk-UA"/>
        </w:rPr>
        <w:t>у</w:t>
      </w:r>
      <w:r w:rsidR="00324191" w:rsidRPr="001416ED">
        <w:rPr>
          <w:b/>
          <w:lang w:val="uk-UA"/>
        </w:rPr>
        <w:t xml:space="preserve"> чоловіків групи контролю </w:t>
      </w:r>
      <w:r w:rsidR="00C773D0">
        <w:rPr>
          <w:b/>
          <w:lang w:val="uk-UA"/>
        </w:rPr>
        <w:t>із різними варіантами</w:t>
      </w:r>
      <w:r w:rsidR="00324191" w:rsidRPr="001416ED">
        <w:rPr>
          <w:b/>
          <w:lang w:val="uk-UA"/>
        </w:rPr>
        <w:t xml:space="preserve"> гена </w:t>
      </w:r>
      <w:r w:rsidR="000D011F" w:rsidRPr="001416ED">
        <w:rPr>
          <w:b/>
          <w:lang w:val="uk-UA"/>
        </w:rPr>
        <w:t>ЕТ</w:t>
      </w:r>
      <w:r w:rsidR="00BC0119" w:rsidRPr="001416ED">
        <w:rPr>
          <w:b/>
          <w:lang w:val="uk-UA"/>
        </w:rPr>
        <w:t>–</w:t>
      </w:r>
      <w:r w:rsidR="00324191" w:rsidRPr="001416ED">
        <w:rPr>
          <w:b/>
          <w:lang w:val="uk-UA"/>
        </w:rPr>
        <w:t>1</w:t>
      </w:r>
      <w:r w:rsidR="006A4F0B" w:rsidRPr="001416ED">
        <w:rPr>
          <w:b/>
          <w:lang w:val="uk-UA"/>
        </w:rPr>
        <w:t>, мешканців Подільського регіону України</w:t>
      </w:r>
      <w:r w:rsidR="00324191" w:rsidRPr="001416ED">
        <w:rPr>
          <w:b/>
          <w:lang w:val="uk-UA"/>
        </w:rPr>
        <w:t xml:space="preserve">       </w:t>
      </w:r>
    </w:p>
    <w:p w:rsidR="00936C48" w:rsidRPr="001416ED" w:rsidRDefault="00095217" w:rsidP="00936C48">
      <w:pPr>
        <w:spacing w:line="360" w:lineRule="auto"/>
        <w:ind w:firstLine="708"/>
        <w:jc w:val="both"/>
        <w:rPr>
          <w:lang w:val="uk-UA"/>
        </w:rPr>
      </w:pPr>
      <w:r w:rsidRPr="001416ED">
        <w:rPr>
          <w:lang w:val="uk-UA"/>
        </w:rPr>
        <w:t xml:space="preserve">Відомо, що </w:t>
      </w:r>
      <w:r w:rsidR="00936C48" w:rsidRPr="001416ED">
        <w:rPr>
          <w:lang w:val="uk-UA"/>
        </w:rPr>
        <w:t>ЕТ</w:t>
      </w:r>
      <w:r w:rsidR="00BC0119" w:rsidRPr="001416ED">
        <w:rPr>
          <w:lang w:val="uk-UA"/>
        </w:rPr>
        <w:t>–</w:t>
      </w:r>
      <w:r w:rsidR="00936C48" w:rsidRPr="001416ED">
        <w:rPr>
          <w:lang w:val="uk-UA"/>
        </w:rPr>
        <w:t xml:space="preserve">1, як потужний вазоконстриктор, сприяє підвищенню АТ, тому було вирішено розрахувати частоту </w:t>
      </w:r>
      <w:r w:rsidR="000D011F" w:rsidRPr="001416ED">
        <w:rPr>
          <w:lang w:val="uk-UA"/>
        </w:rPr>
        <w:t xml:space="preserve">випадків </w:t>
      </w:r>
      <w:r w:rsidR="00024F43" w:rsidRPr="001416ED">
        <w:rPr>
          <w:lang w:val="uk-UA"/>
        </w:rPr>
        <w:t>категорій нормального АТ у обстежених осіб</w:t>
      </w:r>
      <w:r w:rsidR="00936C48" w:rsidRPr="001416ED">
        <w:rPr>
          <w:lang w:val="uk-UA"/>
        </w:rPr>
        <w:t xml:space="preserve"> (табл. 3.</w:t>
      </w:r>
      <w:r w:rsidR="00E3666E" w:rsidRPr="001416ED">
        <w:rPr>
          <w:lang w:val="uk-UA"/>
        </w:rPr>
        <w:t>6</w:t>
      </w:r>
      <w:r w:rsidR="00936C48" w:rsidRPr="001416ED">
        <w:rPr>
          <w:lang w:val="uk-UA"/>
        </w:rPr>
        <w:t>)</w:t>
      </w:r>
    </w:p>
    <w:p w:rsidR="00936C48" w:rsidRPr="001416ED" w:rsidRDefault="00936C48" w:rsidP="00936C48">
      <w:pPr>
        <w:spacing w:line="360" w:lineRule="auto"/>
        <w:ind w:firstLine="708"/>
        <w:jc w:val="right"/>
        <w:rPr>
          <w:b/>
          <w:lang w:val="uk-UA"/>
        </w:rPr>
      </w:pPr>
      <w:r w:rsidRPr="001416ED">
        <w:rPr>
          <w:b/>
          <w:lang w:val="uk-UA"/>
        </w:rPr>
        <w:t>Таблиця 3.</w:t>
      </w:r>
      <w:r w:rsidR="00E3666E" w:rsidRPr="001416ED">
        <w:rPr>
          <w:b/>
          <w:lang w:val="uk-UA"/>
        </w:rPr>
        <w:t>6</w:t>
      </w:r>
    </w:p>
    <w:p w:rsidR="00936C48" w:rsidRPr="001416ED" w:rsidRDefault="00936C48" w:rsidP="004156AB">
      <w:pPr>
        <w:spacing w:line="360" w:lineRule="auto"/>
        <w:ind w:firstLine="708"/>
        <w:jc w:val="center"/>
        <w:rPr>
          <w:b/>
          <w:lang w:val="uk-UA"/>
        </w:rPr>
      </w:pPr>
      <w:r w:rsidRPr="001416ED">
        <w:rPr>
          <w:b/>
          <w:lang w:val="uk-UA"/>
        </w:rPr>
        <w:t>Частота</w:t>
      </w:r>
      <w:r w:rsidR="000D011F" w:rsidRPr="001416ED">
        <w:rPr>
          <w:b/>
          <w:lang w:val="uk-UA"/>
        </w:rPr>
        <w:t xml:space="preserve"> випадків</w:t>
      </w:r>
      <w:r w:rsidRPr="001416ED">
        <w:rPr>
          <w:b/>
          <w:lang w:val="uk-UA"/>
        </w:rPr>
        <w:t xml:space="preserve"> категорій нормального АТ при носійстві </w:t>
      </w:r>
      <w:r w:rsidR="00E6164F">
        <w:rPr>
          <w:b/>
          <w:lang w:val="uk-UA"/>
        </w:rPr>
        <w:t>поліморфних варіантів гена ЕТ–1</w:t>
      </w:r>
      <w:r w:rsidRPr="001416ED">
        <w:rPr>
          <w:b/>
          <w:lang w:val="uk-UA"/>
        </w:rPr>
        <w:t xml:space="preserve"> у чоловіків групи контролю, (</w:t>
      </w:r>
      <w:r w:rsidR="00D4219F" w:rsidRPr="001416ED">
        <w:rPr>
          <w:b/>
          <w:lang w:val="uk-UA"/>
        </w:rPr>
        <w:t>%</w:t>
      </w:r>
      <w:r w:rsidRPr="001416ED">
        <w:rPr>
          <w:b/>
          <w:lang w:val="uk-UA"/>
        </w:rPr>
        <w:t>)</w:t>
      </w:r>
    </w:p>
    <w:tbl>
      <w:tblPr>
        <w:tblStyle w:val="af5"/>
        <w:tblW w:w="0" w:type="auto"/>
        <w:tblLayout w:type="fixed"/>
        <w:tblLook w:val="04A0" w:firstRow="1" w:lastRow="0" w:firstColumn="1" w:lastColumn="0" w:noHBand="0" w:noVBand="1"/>
      </w:tblPr>
      <w:tblGrid>
        <w:gridCol w:w="2802"/>
        <w:gridCol w:w="1835"/>
        <w:gridCol w:w="1850"/>
        <w:gridCol w:w="2268"/>
        <w:gridCol w:w="1384"/>
      </w:tblGrid>
      <w:tr w:rsidR="000A5FC2" w:rsidRPr="001416ED" w:rsidTr="000A5FC2">
        <w:tc>
          <w:tcPr>
            <w:tcW w:w="2802" w:type="dxa"/>
          </w:tcPr>
          <w:p w:rsidR="00936C48" w:rsidRPr="001416ED" w:rsidRDefault="000A5FC2" w:rsidP="000A5FC2">
            <w:pPr>
              <w:spacing w:line="360" w:lineRule="auto"/>
              <w:jc w:val="center"/>
              <w:rPr>
                <w:b/>
              </w:rPr>
            </w:pPr>
            <w:r>
              <w:rPr>
                <w:b/>
              </w:rPr>
              <w:t xml:space="preserve">Поліморфні варіанти гена </w:t>
            </w:r>
            <w:r>
              <w:rPr>
                <w:b/>
                <w:lang w:val="uk-UA"/>
              </w:rPr>
              <w:t>Е</w:t>
            </w:r>
            <w:r>
              <w:rPr>
                <w:b/>
              </w:rPr>
              <w:t>Т-1</w:t>
            </w:r>
          </w:p>
        </w:tc>
        <w:tc>
          <w:tcPr>
            <w:tcW w:w="1835" w:type="dxa"/>
          </w:tcPr>
          <w:p w:rsidR="00936C48" w:rsidRPr="001416ED" w:rsidRDefault="00936C48" w:rsidP="00E96D21">
            <w:pPr>
              <w:spacing w:line="360" w:lineRule="auto"/>
              <w:jc w:val="center"/>
              <w:rPr>
                <w:b/>
              </w:rPr>
            </w:pPr>
            <w:r w:rsidRPr="001416ED">
              <w:rPr>
                <w:b/>
              </w:rPr>
              <w:t>Оптималь</w:t>
            </w:r>
            <w:r w:rsidR="000A5FC2">
              <w:rPr>
                <w:b/>
                <w:lang w:val="uk-UA"/>
              </w:rPr>
              <w:t>-</w:t>
            </w:r>
            <w:r w:rsidRPr="001416ED">
              <w:rPr>
                <w:b/>
              </w:rPr>
              <w:t>ний АТ</w:t>
            </w:r>
          </w:p>
        </w:tc>
        <w:tc>
          <w:tcPr>
            <w:tcW w:w="1850" w:type="dxa"/>
          </w:tcPr>
          <w:p w:rsidR="00936C48" w:rsidRPr="001416ED" w:rsidRDefault="00936C48" w:rsidP="00E96D21">
            <w:pPr>
              <w:spacing w:line="360" w:lineRule="auto"/>
              <w:jc w:val="center"/>
              <w:rPr>
                <w:b/>
              </w:rPr>
            </w:pPr>
            <w:r w:rsidRPr="001416ED">
              <w:rPr>
                <w:b/>
              </w:rPr>
              <w:t>Нормальний АТ</w:t>
            </w:r>
          </w:p>
        </w:tc>
        <w:tc>
          <w:tcPr>
            <w:tcW w:w="2268" w:type="dxa"/>
          </w:tcPr>
          <w:p w:rsidR="00936C48" w:rsidRPr="001416ED" w:rsidRDefault="00936C48" w:rsidP="00E96D21">
            <w:pPr>
              <w:spacing w:line="360" w:lineRule="auto"/>
              <w:jc w:val="center"/>
              <w:rPr>
                <w:b/>
              </w:rPr>
            </w:pPr>
            <w:r w:rsidRPr="001416ED">
              <w:rPr>
                <w:b/>
              </w:rPr>
              <w:t>Високий нормальний АТ</w:t>
            </w:r>
          </w:p>
        </w:tc>
        <w:tc>
          <w:tcPr>
            <w:tcW w:w="1384" w:type="dxa"/>
          </w:tcPr>
          <w:p w:rsidR="00936C48" w:rsidRPr="001416ED" w:rsidRDefault="00936C48" w:rsidP="00E96D21">
            <w:pPr>
              <w:spacing w:line="360" w:lineRule="auto"/>
              <w:jc w:val="center"/>
              <w:rPr>
                <w:b/>
              </w:rPr>
            </w:pPr>
            <w:r w:rsidRPr="001416ED">
              <w:rPr>
                <w:b/>
              </w:rPr>
              <w:t>р</w:t>
            </w:r>
          </w:p>
        </w:tc>
      </w:tr>
      <w:tr w:rsidR="000A5FC2" w:rsidRPr="001416ED" w:rsidTr="000A5FC2">
        <w:tc>
          <w:tcPr>
            <w:tcW w:w="2802" w:type="dxa"/>
          </w:tcPr>
          <w:p w:rsidR="00936C48" w:rsidRPr="001416ED" w:rsidRDefault="004F7A8D" w:rsidP="00E96D21">
            <w:pPr>
              <w:spacing w:line="360" w:lineRule="auto"/>
              <w:jc w:val="center"/>
              <w:rPr>
                <w:lang w:val="uk-UA"/>
              </w:rPr>
            </w:pPr>
            <w:r w:rsidRPr="001416ED">
              <w:rPr>
                <w:lang w:val="uk-UA"/>
              </w:rPr>
              <w:t>Г</w:t>
            </w:r>
            <w:r w:rsidRPr="001416ED">
              <w:t>енотип</w:t>
            </w:r>
            <w:r w:rsidR="00936C48" w:rsidRPr="001416ED">
              <w:t xml:space="preserve"> </w:t>
            </w:r>
            <w:r w:rsidR="00936C48" w:rsidRPr="001416ED">
              <w:rPr>
                <w:lang w:val="en-US"/>
              </w:rPr>
              <w:t>Lys</w:t>
            </w:r>
            <w:r w:rsidR="00936C48" w:rsidRPr="001416ED">
              <w:t>/</w:t>
            </w:r>
            <w:r w:rsidR="00936C48" w:rsidRPr="001416ED">
              <w:rPr>
                <w:lang w:val="en-US"/>
              </w:rPr>
              <w:t>Lys</w:t>
            </w:r>
          </w:p>
          <w:p w:rsidR="001F705F" w:rsidRPr="001416ED" w:rsidRDefault="001F705F" w:rsidP="00E96D21">
            <w:pPr>
              <w:spacing w:line="360" w:lineRule="auto"/>
              <w:jc w:val="center"/>
              <w:rPr>
                <w:b/>
                <w:lang w:val="uk-UA"/>
              </w:rPr>
            </w:pPr>
            <w:r w:rsidRPr="001416ED">
              <w:t>(</w:t>
            </w:r>
            <w:r w:rsidRPr="001416ED">
              <w:rPr>
                <w:lang w:val="en-US"/>
              </w:rPr>
              <w:t>n</w:t>
            </w:r>
            <w:r w:rsidRPr="001416ED">
              <w:t>=</w:t>
            </w:r>
            <w:r w:rsidRPr="001416ED">
              <w:rPr>
                <w:lang w:val="uk-UA"/>
              </w:rPr>
              <w:t>52</w:t>
            </w:r>
            <w:r w:rsidRPr="001416ED">
              <w:t>)</w:t>
            </w:r>
          </w:p>
        </w:tc>
        <w:tc>
          <w:tcPr>
            <w:tcW w:w="1835" w:type="dxa"/>
          </w:tcPr>
          <w:p w:rsidR="00936C48" w:rsidRPr="001416ED" w:rsidRDefault="00936C48" w:rsidP="00E96D21">
            <w:pPr>
              <w:spacing w:line="360" w:lineRule="auto"/>
              <w:jc w:val="center"/>
            </w:pPr>
            <w:r w:rsidRPr="001416ED">
              <w:t>28,85</w:t>
            </w:r>
            <w:r w:rsidR="00D4219F" w:rsidRPr="001416ED">
              <w:t xml:space="preserve"> %</w:t>
            </w:r>
            <w:r w:rsidRPr="001416ED">
              <w:t xml:space="preserve"> (</w:t>
            </w:r>
            <w:r w:rsidRPr="001416ED">
              <w:rPr>
                <w:lang w:val="en-US"/>
              </w:rPr>
              <w:t>n</w:t>
            </w:r>
            <w:r w:rsidRPr="001416ED">
              <w:t>=15)</w:t>
            </w:r>
          </w:p>
          <w:p w:rsidR="00936C48" w:rsidRPr="001416ED" w:rsidRDefault="00936C48" w:rsidP="00E96D21">
            <w:pPr>
              <w:spacing w:line="360" w:lineRule="auto"/>
              <w:jc w:val="center"/>
            </w:pPr>
            <w:r w:rsidRPr="001416ED">
              <w:t>(1)</w:t>
            </w:r>
          </w:p>
        </w:tc>
        <w:tc>
          <w:tcPr>
            <w:tcW w:w="1850" w:type="dxa"/>
          </w:tcPr>
          <w:p w:rsidR="000A5FC2" w:rsidRDefault="00936C48" w:rsidP="000A5FC2">
            <w:pPr>
              <w:spacing w:line="360" w:lineRule="auto"/>
              <w:jc w:val="center"/>
              <w:rPr>
                <w:lang w:val="uk-UA"/>
              </w:rPr>
            </w:pPr>
            <w:r w:rsidRPr="001416ED">
              <w:t>44,23</w:t>
            </w:r>
            <w:r w:rsidR="00D4219F" w:rsidRPr="001416ED">
              <w:t xml:space="preserve"> %</w:t>
            </w:r>
            <w:r w:rsidRPr="001416ED">
              <w:t xml:space="preserve"> (</w:t>
            </w:r>
            <w:r w:rsidRPr="001416ED">
              <w:rPr>
                <w:lang w:val="en-US"/>
              </w:rPr>
              <w:t>n</w:t>
            </w:r>
            <w:r w:rsidRPr="001416ED">
              <w:t>=23)</w:t>
            </w:r>
          </w:p>
          <w:p w:rsidR="00936C48" w:rsidRPr="001416ED" w:rsidRDefault="00936C48" w:rsidP="000A5FC2">
            <w:pPr>
              <w:spacing w:line="360" w:lineRule="auto"/>
              <w:jc w:val="center"/>
            </w:pPr>
            <w:r w:rsidRPr="001416ED">
              <w:t>(3)</w:t>
            </w:r>
          </w:p>
        </w:tc>
        <w:tc>
          <w:tcPr>
            <w:tcW w:w="2268" w:type="dxa"/>
          </w:tcPr>
          <w:p w:rsidR="000A5FC2" w:rsidRDefault="00936C48" w:rsidP="00E96D21">
            <w:pPr>
              <w:spacing w:line="360" w:lineRule="auto"/>
              <w:jc w:val="center"/>
              <w:rPr>
                <w:lang w:val="uk-UA"/>
              </w:rPr>
            </w:pPr>
            <w:r w:rsidRPr="001416ED">
              <w:t>26,92</w:t>
            </w:r>
            <w:r w:rsidR="00D4219F" w:rsidRPr="001416ED">
              <w:t xml:space="preserve"> %</w:t>
            </w:r>
            <w:r w:rsidRPr="001416ED">
              <w:t xml:space="preserve"> </w:t>
            </w:r>
          </w:p>
          <w:p w:rsidR="00936C48" w:rsidRPr="001416ED" w:rsidRDefault="00936C48" w:rsidP="00E96D21">
            <w:pPr>
              <w:spacing w:line="360" w:lineRule="auto"/>
              <w:jc w:val="center"/>
            </w:pPr>
            <w:r w:rsidRPr="001416ED">
              <w:t>(</w:t>
            </w:r>
            <w:r w:rsidRPr="001416ED">
              <w:rPr>
                <w:lang w:val="en-US"/>
              </w:rPr>
              <w:t>n</w:t>
            </w:r>
            <w:r w:rsidRPr="001416ED">
              <w:t>=14)</w:t>
            </w:r>
          </w:p>
          <w:p w:rsidR="00936C48" w:rsidRPr="001416ED" w:rsidRDefault="00936C48" w:rsidP="00E96D21">
            <w:pPr>
              <w:spacing w:line="360" w:lineRule="auto"/>
              <w:jc w:val="center"/>
            </w:pPr>
            <w:r w:rsidRPr="001416ED">
              <w:t>(5)</w:t>
            </w:r>
          </w:p>
        </w:tc>
        <w:tc>
          <w:tcPr>
            <w:tcW w:w="1384" w:type="dxa"/>
          </w:tcPr>
          <w:p w:rsidR="00936C48" w:rsidRPr="001416ED" w:rsidRDefault="00936C48" w:rsidP="00E96D21">
            <w:pPr>
              <w:spacing w:line="360" w:lineRule="auto"/>
              <w:jc w:val="center"/>
              <w:rPr>
                <w:lang w:val="uk-UA"/>
              </w:rPr>
            </w:pPr>
            <w:r w:rsidRPr="001416ED">
              <w:t>р</w:t>
            </w:r>
            <w:r w:rsidRPr="001416ED">
              <w:rPr>
                <w:vertAlign w:val="subscript"/>
              </w:rPr>
              <w:t>3</w:t>
            </w:r>
            <w:r w:rsidR="00BC0119" w:rsidRPr="001416ED">
              <w:rPr>
                <w:vertAlign w:val="subscript"/>
              </w:rPr>
              <w:t>–</w:t>
            </w:r>
            <w:r w:rsidRPr="001416ED">
              <w:rPr>
                <w:vertAlign w:val="subscript"/>
              </w:rPr>
              <w:t>1</w:t>
            </w:r>
            <w:r w:rsidRPr="001416ED">
              <w:t>&lt;0,05</w:t>
            </w:r>
            <w:r w:rsidR="004F7A8D" w:rsidRPr="001416ED">
              <w:rPr>
                <w:lang w:val="uk-UA"/>
              </w:rPr>
              <w:t>;</w:t>
            </w:r>
          </w:p>
          <w:p w:rsidR="004F7A8D" w:rsidRPr="001416ED" w:rsidRDefault="00936C48" w:rsidP="004F7A8D">
            <w:pPr>
              <w:spacing w:line="360" w:lineRule="auto"/>
              <w:jc w:val="center"/>
              <w:rPr>
                <w:lang w:val="uk-UA"/>
              </w:rPr>
            </w:pPr>
            <w:r w:rsidRPr="001416ED">
              <w:t>р</w:t>
            </w:r>
            <w:r w:rsidRPr="001416ED">
              <w:rPr>
                <w:vertAlign w:val="subscript"/>
              </w:rPr>
              <w:t>5</w:t>
            </w:r>
            <w:r w:rsidR="00BC0119" w:rsidRPr="001416ED">
              <w:rPr>
                <w:vertAlign w:val="subscript"/>
              </w:rPr>
              <w:t>–</w:t>
            </w:r>
            <w:r w:rsidRPr="001416ED">
              <w:rPr>
                <w:vertAlign w:val="subscript"/>
              </w:rPr>
              <w:t>1</w:t>
            </w:r>
            <w:r w:rsidRPr="001416ED">
              <w:t>&gt;0,05</w:t>
            </w:r>
            <w:r w:rsidR="004F7A8D" w:rsidRPr="001416ED">
              <w:rPr>
                <w:lang w:val="uk-UA"/>
              </w:rPr>
              <w:t>;</w:t>
            </w:r>
          </w:p>
          <w:p w:rsidR="004F7A8D" w:rsidRPr="001416ED" w:rsidRDefault="00936C48" w:rsidP="004F7A8D">
            <w:pPr>
              <w:spacing w:line="360" w:lineRule="auto"/>
              <w:jc w:val="center"/>
              <w:rPr>
                <w:b/>
                <w:lang w:val="uk-UA"/>
              </w:rPr>
            </w:pPr>
            <w:r w:rsidRPr="001416ED">
              <w:t>р</w:t>
            </w:r>
            <w:r w:rsidRPr="001416ED">
              <w:rPr>
                <w:vertAlign w:val="subscript"/>
              </w:rPr>
              <w:t>5</w:t>
            </w:r>
            <w:r w:rsidR="00BC0119" w:rsidRPr="001416ED">
              <w:rPr>
                <w:vertAlign w:val="subscript"/>
              </w:rPr>
              <w:t>–</w:t>
            </w:r>
            <w:r w:rsidRPr="001416ED">
              <w:rPr>
                <w:vertAlign w:val="subscript"/>
              </w:rPr>
              <w:t>3</w:t>
            </w:r>
            <w:r w:rsidRPr="001416ED">
              <w:t>&lt;0,05</w:t>
            </w:r>
          </w:p>
        </w:tc>
      </w:tr>
      <w:tr w:rsidR="000A5FC2" w:rsidRPr="001416ED" w:rsidTr="000A5FC2">
        <w:tc>
          <w:tcPr>
            <w:tcW w:w="2802" w:type="dxa"/>
          </w:tcPr>
          <w:p w:rsidR="00936C48" w:rsidRPr="001416ED" w:rsidRDefault="00936C48" w:rsidP="001F705F">
            <w:pPr>
              <w:spacing w:line="360" w:lineRule="auto"/>
              <w:jc w:val="center"/>
              <w:rPr>
                <w:b/>
              </w:rPr>
            </w:pPr>
            <w:r w:rsidRPr="001416ED">
              <w:t xml:space="preserve">Носії алелі </w:t>
            </w:r>
            <w:r w:rsidRPr="001416ED">
              <w:rPr>
                <w:lang w:val="en-US"/>
              </w:rPr>
              <w:t>Asn</w:t>
            </w:r>
            <w:r w:rsidR="001F705F" w:rsidRPr="001416ED">
              <w:rPr>
                <w:lang w:val="uk-UA"/>
              </w:rPr>
              <w:t xml:space="preserve"> </w:t>
            </w:r>
            <w:r w:rsidR="001F705F" w:rsidRPr="001416ED">
              <w:t>(</w:t>
            </w:r>
            <w:r w:rsidR="001F705F" w:rsidRPr="001416ED">
              <w:rPr>
                <w:lang w:val="en-US"/>
              </w:rPr>
              <w:t>n</w:t>
            </w:r>
            <w:r w:rsidR="001F705F" w:rsidRPr="001416ED">
              <w:t>=</w:t>
            </w:r>
            <w:r w:rsidR="001F705F" w:rsidRPr="001416ED">
              <w:rPr>
                <w:lang w:val="uk-UA"/>
              </w:rPr>
              <w:t>27</w:t>
            </w:r>
            <w:r w:rsidR="001F705F" w:rsidRPr="001416ED">
              <w:t>)</w:t>
            </w:r>
          </w:p>
        </w:tc>
        <w:tc>
          <w:tcPr>
            <w:tcW w:w="1835" w:type="dxa"/>
          </w:tcPr>
          <w:p w:rsidR="00936C48" w:rsidRPr="001416ED" w:rsidRDefault="00936C48" w:rsidP="00E96D21">
            <w:pPr>
              <w:spacing w:line="360" w:lineRule="auto"/>
              <w:jc w:val="center"/>
            </w:pPr>
            <w:r w:rsidRPr="001416ED">
              <w:t>18,52</w:t>
            </w:r>
            <w:r w:rsidR="00D4219F" w:rsidRPr="001416ED">
              <w:t xml:space="preserve"> %</w:t>
            </w:r>
            <w:r w:rsidRPr="001416ED">
              <w:t xml:space="preserve"> (</w:t>
            </w:r>
            <w:r w:rsidRPr="001416ED">
              <w:rPr>
                <w:lang w:val="en-US"/>
              </w:rPr>
              <w:t>n</w:t>
            </w:r>
            <w:r w:rsidRPr="001416ED">
              <w:t>=5)</w:t>
            </w:r>
          </w:p>
          <w:p w:rsidR="00936C48" w:rsidRPr="001416ED" w:rsidRDefault="00936C48" w:rsidP="00E96D21">
            <w:pPr>
              <w:spacing w:line="360" w:lineRule="auto"/>
              <w:jc w:val="center"/>
            </w:pPr>
            <w:r w:rsidRPr="001416ED">
              <w:t>(2)</w:t>
            </w:r>
          </w:p>
        </w:tc>
        <w:tc>
          <w:tcPr>
            <w:tcW w:w="1850" w:type="dxa"/>
          </w:tcPr>
          <w:p w:rsidR="000A5FC2" w:rsidRDefault="00936C48" w:rsidP="000A5FC2">
            <w:pPr>
              <w:spacing w:line="360" w:lineRule="auto"/>
              <w:jc w:val="center"/>
              <w:rPr>
                <w:lang w:val="uk-UA"/>
              </w:rPr>
            </w:pPr>
            <w:r w:rsidRPr="001416ED">
              <w:t>37,04</w:t>
            </w:r>
            <w:r w:rsidR="00D4219F" w:rsidRPr="001416ED">
              <w:t xml:space="preserve"> %</w:t>
            </w:r>
            <w:r w:rsidRPr="001416ED">
              <w:t xml:space="preserve"> (</w:t>
            </w:r>
            <w:r w:rsidRPr="001416ED">
              <w:rPr>
                <w:lang w:val="en-US"/>
              </w:rPr>
              <w:t>n</w:t>
            </w:r>
            <w:r w:rsidRPr="001416ED">
              <w:t>=10)</w:t>
            </w:r>
            <w:r w:rsidR="000A5FC2">
              <w:rPr>
                <w:lang w:val="uk-UA"/>
              </w:rPr>
              <w:t xml:space="preserve"> </w:t>
            </w:r>
          </w:p>
          <w:p w:rsidR="00936C48" w:rsidRPr="001416ED" w:rsidRDefault="00936C48" w:rsidP="000A5FC2">
            <w:pPr>
              <w:spacing w:line="360" w:lineRule="auto"/>
              <w:jc w:val="center"/>
            </w:pPr>
            <w:r w:rsidRPr="001416ED">
              <w:t>(4)</w:t>
            </w:r>
          </w:p>
        </w:tc>
        <w:tc>
          <w:tcPr>
            <w:tcW w:w="2268" w:type="dxa"/>
          </w:tcPr>
          <w:p w:rsidR="000A5FC2" w:rsidRDefault="00936C48" w:rsidP="00E96D21">
            <w:pPr>
              <w:spacing w:line="360" w:lineRule="auto"/>
              <w:jc w:val="center"/>
              <w:rPr>
                <w:lang w:val="uk-UA"/>
              </w:rPr>
            </w:pPr>
            <w:r w:rsidRPr="001416ED">
              <w:t>44,44</w:t>
            </w:r>
            <w:r w:rsidR="00D4219F" w:rsidRPr="001416ED">
              <w:t xml:space="preserve"> %</w:t>
            </w:r>
            <w:r w:rsidRPr="001416ED">
              <w:t xml:space="preserve"> </w:t>
            </w:r>
          </w:p>
          <w:p w:rsidR="00936C48" w:rsidRPr="001416ED" w:rsidRDefault="00936C48" w:rsidP="00E96D21">
            <w:pPr>
              <w:spacing w:line="360" w:lineRule="auto"/>
              <w:jc w:val="center"/>
            </w:pPr>
            <w:r w:rsidRPr="001416ED">
              <w:t>(</w:t>
            </w:r>
            <w:r w:rsidRPr="001416ED">
              <w:rPr>
                <w:lang w:val="en-US"/>
              </w:rPr>
              <w:t>n</w:t>
            </w:r>
            <w:r w:rsidRPr="001416ED">
              <w:t>=12)</w:t>
            </w:r>
          </w:p>
          <w:p w:rsidR="00936C48" w:rsidRPr="001416ED" w:rsidRDefault="00936C48" w:rsidP="00E96D21">
            <w:pPr>
              <w:spacing w:line="360" w:lineRule="auto"/>
              <w:jc w:val="center"/>
            </w:pPr>
            <w:r w:rsidRPr="001416ED">
              <w:t>(6)</w:t>
            </w:r>
          </w:p>
        </w:tc>
        <w:tc>
          <w:tcPr>
            <w:tcW w:w="1384" w:type="dxa"/>
          </w:tcPr>
          <w:p w:rsidR="00936C48" w:rsidRPr="001416ED" w:rsidRDefault="00936C48" w:rsidP="00E96D21">
            <w:pPr>
              <w:spacing w:line="360" w:lineRule="auto"/>
              <w:jc w:val="center"/>
              <w:rPr>
                <w:lang w:val="uk-UA"/>
              </w:rPr>
            </w:pPr>
            <w:r w:rsidRPr="001416ED">
              <w:t>р</w:t>
            </w:r>
            <w:r w:rsidRPr="001416ED">
              <w:rPr>
                <w:vertAlign w:val="subscript"/>
              </w:rPr>
              <w:t>4</w:t>
            </w:r>
            <w:r w:rsidR="00BC0119" w:rsidRPr="001416ED">
              <w:rPr>
                <w:vertAlign w:val="subscript"/>
              </w:rPr>
              <w:t>–</w:t>
            </w:r>
            <w:r w:rsidRPr="001416ED">
              <w:rPr>
                <w:vertAlign w:val="subscript"/>
              </w:rPr>
              <w:t>2</w:t>
            </w:r>
            <w:r w:rsidRPr="001416ED">
              <w:t>&gt;0,05</w:t>
            </w:r>
            <w:r w:rsidR="00F12F21" w:rsidRPr="001416ED">
              <w:rPr>
                <w:lang w:val="uk-UA"/>
              </w:rPr>
              <w:t>;</w:t>
            </w:r>
          </w:p>
          <w:p w:rsidR="00936C48" w:rsidRPr="001416ED" w:rsidRDefault="00936C48" w:rsidP="00E96D21">
            <w:pPr>
              <w:spacing w:line="360" w:lineRule="auto"/>
              <w:jc w:val="center"/>
              <w:rPr>
                <w:lang w:val="uk-UA"/>
              </w:rPr>
            </w:pPr>
            <w:r w:rsidRPr="001416ED">
              <w:t>р</w:t>
            </w:r>
            <w:r w:rsidRPr="001416ED">
              <w:rPr>
                <w:vertAlign w:val="subscript"/>
              </w:rPr>
              <w:t>6</w:t>
            </w:r>
            <w:r w:rsidR="00BC0119" w:rsidRPr="001416ED">
              <w:rPr>
                <w:vertAlign w:val="subscript"/>
              </w:rPr>
              <w:t>–</w:t>
            </w:r>
            <w:r w:rsidRPr="001416ED">
              <w:rPr>
                <w:vertAlign w:val="subscript"/>
              </w:rPr>
              <w:t>2</w:t>
            </w:r>
            <w:r w:rsidRPr="001416ED">
              <w:t>&lt;0,05</w:t>
            </w:r>
            <w:r w:rsidR="00F12F21" w:rsidRPr="001416ED">
              <w:rPr>
                <w:lang w:val="uk-UA"/>
              </w:rPr>
              <w:t>;</w:t>
            </w:r>
          </w:p>
          <w:p w:rsidR="00936C48" w:rsidRPr="001416ED" w:rsidRDefault="00936C48" w:rsidP="00E96D21">
            <w:pPr>
              <w:spacing w:line="360" w:lineRule="auto"/>
              <w:jc w:val="center"/>
              <w:rPr>
                <w:b/>
              </w:rPr>
            </w:pPr>
            <w:r w:rsidRPr="001416ED">
              <w:t>р</w:t>
            </w:r>
            <w:r w:rsidRPr="001416ED">
              <w:rPr>
                <w:vertAlign w:val="subscript"/>
              </w:rPr>
              <w:t>6</w:t>
            </w:r>
            <w:r w:rsidR="00BC0119" w:rsidRPr="001416ED">
              <w:rPr>
                <w:vertAlign w:val="subscript"/>
              </w:rPr>
              <w:t>–</w:t>
            </w:r>
            <w:r w:rsidRPr="001416ED">
              <w:rPr>
                <w:vertAlign w:val="subscript"/>
              </w:rPr>
              <w:t>4</w:t>
            </w:r>
            <w:r w:rsidRPr="001416ED">
              <w:t>&gt;0,05</w:t>
            </w:r>
          </w:p>
        </w:tc>
      </w:tr>
      <w:tr w:rsidR="000A5FC2" w:rsidRPr="001416ED" w:rsidTr="000A5FC2">
        <w:tc>
          <w:tcPr>
            <w:tcW w:w="2802" w:type="dxa"/>
          </w:tcPr>
          <w:p w:rsidR="00936C48" w:rsidRPr="001416ED" w:rsidRDefault="00936C48" w:rsidP="00E96D21">
            <w:pPr>
              <w:spacing w:line="360" w:lineRule="auto"/>
              <w:jc w:val="center"/>
            </w:pPr>
            <w:proofErr w:type="gramStart"/>
            <w:r w:rsidRPr="001416ED">
              <w:t>р</w:t>
            </w:r>
            <w:proofErr w:type="gramEnd"/>
          </w:p>
        </w:tc>
        <w:tc>
          <w:tcPr>
            <w:tcW w:w="1835" w:type="dxa"/>
          </w:tcPr>
          <w:p w:rsidR="00936C48" w:rsidRPr="001416ED" w:rsidRDefault="00936C48" w:rsidP="004C6643">
            <w:pPr>
              <w:spacing w:line="360" w:lineRule="auto"/>
              <w:jc w:val="center"/>
              <w:rPr>
                <w:b/>
              </w:rPr>
            </w:pPr>
            <w:r w:rsidRPr="001416ED">
              <w:rPr>
                <w:lang w:val="uk-UA"/>
              </w:rPr>
              <w:t>р</w:t>
            </w:r>
            <w:r w:rsidRPr="001416ED">
              <w:t>&gt;0,05</w:t>
            </w:r>
          </w:p>
        </w:tc>
        <w:tc>
          <w:tcPr>
            <w:tcW w:w="1850" w:type="dxa"/>
          </w:tcPr>
          <w:p w:rsidR="00936C48" w:rsidRPr="001416ED" w:rsidRDefault="00936C48" w:rsidP="007D4A06">
            <w:pPr>
              <w:spacing w:line="360" w:lineRule="auto"/>
              <w:jc w:val="center"/>
              <w:rPr>
                <w:b/>
              </w:rPr>
            </w:pPr>
            <w:r w:rsidRPr="001416ED">
              <w:rPr>
                <w:lang w:val="uk-UA"/>
              </w:rPr>
              <w:t>р</w:t>
            </w:r>
            <w:r w:rsidRPr="001416ED">
              <w:t>&gt;0,05</w:t>
            </w:r>
          </w:p>
        </w:tc>
        <w:tc>
          <w:tcPr>
            <w:tcW w:w="2268" w:type="dxa"/>
          </w:tcPr>
          <w:p w:rsidR="00936C48" w:rsidRPr="001416ED" w:rsidRDefault="00936C48" w:rsidP="007D4A06">
            <w:pPr>
              <w:spacing w:line="360" w:lineRule="auto"/>
              <w:jc w:val="center"/>
              <w:rPr>
                <w:b/>
              </w:rPr>
            </w:pPr>
            <w:r w:rsidRPr="001416ED">
              <w:rPr>
                <w:lang w:val="uk-UA"/>
              </w:rPr>
              <w:t>р</w:t>
            </w:r>
            <w:r w:rsidRPr="001416ED">
              <w:t>&gt;0,05</w:t>
            </w:r>
          </w:p>
        </w:tc>
        <w:tc>
          <w:tcPr>
            <w:tcW w:w="1384" w:type="dxa"/>
          </w:tcPr>
          <w:p w:rsidR="00936C48" w:rsidRPr="001416ED" w:rsidRDefault="00936C48" w:rsidP="00E96D21">
            <w:pPr>
              <w:spacing w:line="360" w:lineRule="auto"/>
              <w:jc w:val="right"/>
              <w:rPr>
                <w:b/>
              </w:rPr>
            </w:pPr>
          </w:p>
        </w:tc>
      </w:tr>
    </w:tbl>
    <w:p w:rsidR="00936C48" w:rsidRPr="001416ED" w:rsidRDefault="00936C48" w:rsidP="00936C48">
      <w:pPr>
        <w:spacing w:before="240" w:line="360" w:lineRule="auto"/>
        <w:ind w:firstLine="708"/>
        <w:jc w:val="both"/>
        <w:rPr>
          <w:lang w:val="uk-UA"/>
        </w:rPr>
      </w:pPr>
      <w:r w:rsidRPr="001416ED">
        <w:rPr>
          <w:lang w:val="uk-UA"/>
        </w:rPr>
        <w:lastRenderedPageBreak/>
        <w:t>У чоловіків, що є носіями генотипу</w:t>
      </w:r>
      <w:r w:rsidRPr="001416ED">
        <w:rPr>
          <w:b/>
          <w:lang w:val="uk-UA"/>
        </w:rPr>
        <w:t xml:space="preserve"> </w:t>
      </w:r>
      <w:r w:rsidRPr="001416ED">
        <w:rPr>
          <w:lang w:val="en-US"/>
        </w:rPr>
        <w:t>Lys</w:t>
      </w:r>
      <w:r w:rsidRPr="001416ED">
        <w:rPr>
          <w:lang w:val="uk-UA"/>
        </w:rPr>
        <w:t>/</w:t>
      </w:r>
      <w:r w:rsidRPr="001416ED">
        <w:rPr>
          <w:lang w:val="en-US"/>
        </w:rPr>
        <w:t>Lys</w:t>
      </w:r>
      <w:r w:rsidRPr="001416ED">
        <w:rPr>
          <w:lang w:val="uk-UA"/>
        </w:rPr>
        <w:t xml:space="preserve"> достовірно частіше зустрічається нормальний АТ, у носіїв алелі </w:t>
      </w:r>
      <w:r w:rsidRPr="001416ED">
        <w:rPr>
          <w:lang w:val="en-US"/>
        </w:rPr>
        <w:t>Asn</w:t>
      </w:r>
      <w:r w:rsidRPr="001416ED">
        <w:rPr>
          <w:lang w:val="uk-UA"/>
        </w:rPr>
        <w:t xml:space="preserve"> – високий нормальний АТ спо</w:t>
      </w:r>
      <w:r w:rsidR="000D011F" w:rsidRPr="001416ED">
        <w:rPr>
          <w:lang w:val="uk-UA"/>
        </w:rPr>
        <w:t>стерігається достовірно частіше</w:t>
      </w:r>
      <w:r w:rsidRPr="001416ED">
        <w:rPr>
          <w:lang w:val="uk-UA"/>
        </w:rPr>
        <w:t xml:space="preserve"> ніж оптимальний АТ, однак</w:t>
      </w:r>
      <w:r w:rsidR="000D011F" w:rsidRPr="001416ED">
        <w:rPr>
          <w:lang w:val="uk-UA"/>
        </w:rPr>
        <w:t>,</w:t>
      </w:r>
      <w:r w:rsidRPr="001416ED">
        <w:rPr>
          <w:lang w:val="uk-UA"/>
        </w:rPr>
        <w:t xml:space="preserve"> немає вірогідної різниці з</w:t>
      </w:r>
      <w:r w:rsidR="00024F43" w:rsidRPr="001416ED">
        <w:rPr>
          <w:lang w:val="uk-UA"/>
        </w:rPr>
        <w:t xml:space="preserve"> особами, </w:t>
      </w:r>
      <w:r w:rsidR="004C6643" w:rsidRPr="001416ED">
        <w:rPr>
          <w:lang w:val="uk-UA"/>
        </w:rPr>
        <w:t xml:space="preserve">в </w:t>
      </w:r>
      <w:r w:rsidR="00024F43" w:rsidRPr="001416ED">
        <w:rPr>
          <w:lang w:val="uk-UA"/>
        </w:rPr>
        <w:t xml:space="preserve">яких реєструється </w:t>
      </w:r>
      <w:r w:rsidRPr="001416ED">
        <w:rPr>
          <w:lang w:val="uk-UA"/>
        </w:rPr>
        <w:t>нормальни</w:t>
      </w:r>
      <w:r w:rsidR="00024F43" w:rsidRPr="001416ED">
        <w:rPr>
          <w:lang w:val="uk-UA"/>
        </w:rPr>
        <w:t>й</w:t>
      </w:r>
      <w:r w:rsidRPr="001416ED">
        <w:rPr>
          <w:lang w:val="uk-UA"/>
        </w:rPr>
        <w:t xml:space="preserve"> АТ.</w:t>
      </w:r>
    </w:p>
    <w:p w:rsidR="00936C48" w:rsidRPr="001416ED" w:rsidRDefault="00A06DDF" w:rsidP="00024F43">
      <w:pPr>
        <w:spacing w:line="360" w:lineRule="auto"/>
        <w:ind w:firstLine="708"/>
        <w:jc w:val="both"/>
        <w:rPr>
          <w:lang w:val="uk-UA"/>
        </w:rPr>
      </w:pPr>
      <w:r w:rsidRPr="001416ED">
        <w:rPr>
          <w:lang w:val="uk-UA"/>
        </w:rPr>
        <w:t>Оскільки</w:t>
      </w:r>
      <w:r w:rsidR="000D011F" w:rsidRPr="001416ED">
        <w:rPr>
          <w:lang w:val="uk-UA"/>
        </w:rPr>
        <w:t>,</w:t>
      </w:r>
      <w:r w:rsidRPr="001416ED">
        <w:rPr>
          <w:lang w:val="uk-UA"/>
        </w:rPr>
        <w:t xml:space="preserve"> </w:t>
      </w:r>
      <w:r w:rsidR="00095217" w:rsidRPr="001416ED">
        <w:rPr>
          <w:lang w:val="uk-UA"/>
        </w:rPr>
        <w:t>ЕТ</w:t>
      </w:r>
      <w:r w:rsidR="00BC0119" w:rsidRPr="001416ED">
        <w:rPr>
          <w:lang w:val="uk-UA"/>
        </w:rPr>
        <w:t>–</w:t>
      </w:r>
      <w:r w:rsidR="00095217" w:rsidRPr="001416ED">
        <w:rPr>
          <w:lang w:val="uk-UA"/>
        </w:rPr>
        <w:t xml:space="preserve">1 та </w:t>
      </w:r>
      <w:r w:rsidRPr="001416ED">
        <w:rPr>
          <w:lang w:val="uk-UA"/>
        </w:rPr>
        <w:t>СНП володі</w:t>
      </w:r>
      <w:r w:rsidR="00095217" w:rsidRPr="001416ED">
        <w:rPr>
          <w:lang w:val="uk-UA"/>
        </w:rPr>
        <w:t>ють</w:t>
      </w:r>
      <w:r w:rsidRPr="001416ED">
        <w:rPr>
          <w:lang w:val="uk-UA"/>
        </w:rPr>
        <w:t xml:space="preserve"> протилежною дією щодо регуляції АТ, стало доцільним визначення плазмових рівнів </w:t>
      </w:r>
      <w:r w:rsidR="00095217" w:rsidRPr="001416ED">
        <w:rPr>
          <w:lang w:val="uk-UA"/>
        </w:rPr>
        <w:t>зазначених пептидів</w:t>
      </w:r>
      <w:r w:rsidRPr="001416ED">
        <w:rPr>
          <w:lang w:val="uk-UA"/>
        </w:rPr>
        <w:t xml:space="preserve"> в групі </w:t>
      </w:r>
      <w:r w:rsidR="00472F94" w:rsidRPr="001416ED">
        <w:rPr>
          <w:lang w:val="uk-UA"/>
        </w:rPr>
        <w:t>контролю</w:t>
      </w:r>
      <w:r w:rsidRPr="001416ED">
        <w:rPr>
          <w:lang w:val="uk-UA"/>
        </w:rPr>
        <w:t>, при різних категоріях нормального АТ</w:t>
      </w:r>
      <w:r w:rsidR="00095217" w:rsidRPr="001416ED">
        <w:rPr>
          <w:lang w:val="uk-UA"/>
        </w:rPr>
        <w:t xml:space="preserve"> (табл. 3.</w:t>
      </w:r>
      <w:r w:rsidR="00E3666E" w:rsidRPr="001416ED">
        <w:rPr>
          <w:lang w:val="uk-UA"/>
        </w:rPr>
        <w:t>7</w:t>
      </w:r>
      <w:r w:rsidR="00095217" w:rsidRPr="001416ED">
        <w:rPr>
          <w:lang w:val="uk-UA"/>
        </w:rPr>
        <w:t>).</w:t>
      </w:r>
    </w:p>
    <w:p w:rsidR="00936C48" w:rsidRPr="001416ED" w:rsidRDefault="00936C48" w:rsidP="00936C48">
      <w:pPr>
        <w:spacing w:line="360" w:lineRule="auto"/>
        <w:ind w:firstLine="708"/>
        <w:jc w:val="right"/>
        <w:rPr>
          <w:b/>
          <w:lang w:val="uk-UA"/>
        </w:rPr>
      </w:pPr>
      <w:r w:rsidRPr="001416ED">
        <w:rPr>
          <w:b/>
          <w:lang w:val="uk-UA"/>
        </w:rPr>
        <w:t>Таблиця 3.</w:t>
      </w:r>
      <w:r w:rsidR="00E3666E" w:rsidRPr="001416ED">
        <w:rPr>
          <w:b/>
          <w:lang w:val="uk-UA"/>
        </w:rPr>
        <w:t>7</w:t>
      </w:r>
    </w:p>
    <w:p w:rsidR="00936C48" w:rsidRPr="001416ED" w:rsidRDefault="00936C48" w:rsidP="004156AB">
      <w:pPr>
        <w:spacing w:line="360" w:lineRule="auto"/>
        <w:ind w:firstLine="708"/>
        <w:jc w:val="center"/>
        <w:rPr>
          <w:b/>
          <w:lang w:val="uk-UA"/>
        </w:rPr>
      </w:pPr>
      <w:r w:rsidRPr="001416ED">
        <w:rPr>
          <w:b/>
          <w:lang w:val="uk-UA"/>
        </w:rPr>
        <w:t>Рівень ЕТ</w:t>
      </w:r>
      <w:r w:rsidR="00BC0119" w:rsidRPr="001416ED">
        <w:rPr>
          <w:b/>
          <w:lang w:val="uk-UA"/>
        </w:rPr>
        <w:t>–</w:t>
      </w:r>
      <w:r w:rsidRPr="001416ED">
        <w:rPr>
          <w:b/>
          <w:lang w:val="uk-UA"/>
        </w:rPr>
        <w:t>1</w:t>
      </w:r>
      <w:r w:rsidR="007F4644" w:rsidRPr="001416ED">
        <w:rPr>
          <w:b/>
          <w:lang w:val="uk-UA"/>
        </w:rPr>
        <w:t>,</w:t>
      </w:r>
      <w:r w:rsidR="001B30CB" w:rsidRPr="001416ED">
        <w:t xml:space="preserve"> </w:t>
      </w:r>
      <w:r w:rsidR="001B30CB" w:rsidRPr="001416ED">
        <w:rPr>
          <w:b/>
          <w:lang w:val="uk-UA"/>
        </w:rPr>
        <w:t>СНП</w:t>
      </w:r>
      <w:r w:rsidR="00624794" w:rsidRPr="001416ED">
        <w:rPr>
          <w:b/>
          <w:lang w:val="uk-UA"/>
        </w:rPr>
        <w:t>,</w:t>
      </w:r>
      <w:r w:rsidR="007F4644" w:rsidRPr="001416ED">
        <w:rPr>
          <w:b/>
          <w:lang w:val="uk-UA"/>
        </w:rPr>
        <w:t xml:space="preserve"> СНП/ЕТ</w:t>
      </w:r>
      <w:r w:rsidR="00BC0119" w:rsidRPr="001416ED">
        <w:rPr>
          <w:b/>
          <w:lang w:val="uk-UA"/>
        </w:rPr>
        <w:t>–</w:t>
      </w:r>
      <w:r w:rsidR="007F4644" w:rsidRPr="001416ED">
        <w:rPr>
          <w:b/>
          <w:lang w:val="uk-UA"/>
        </w:rPr>
        <w:t>1</w:t>
      </w:r>
      <w:r w:rsidRPr="001416ED">
        <w:rPr>
          <w:b/>
          <w:lang w:val="uk-UA"/>
        </w:rPr>
        <w:t xml:space="preserve"> у чоловіків групи контролю при різних категоріях нормального АТ (M</w:t>
      </w:r>
      <w:r w:rsidR="007A07A9" w:rsidRPr="001416ED">
        <w:rPr>
          <w:b/>
          <w:lang w:val="uk-UA"/>
        </w:rPr>
        <w:t xml:space="preserve"> ± </w:t>
      </w:r>
      <w:r w:rsidRPr="001416ED">
        <w:rPr>
          <w:b/>
          <w:lang w:val="uk-UA"/>
        </w:rPr>
        <w:t xml:space="preserve">m) </w:t>
      </w:r>
    </w:p>
    <w:tbl>
      <w:tblPr>
        <w:tblStyle w:val="af5"/>
        <w:tblW w:w="0" w:type="auto"/>
        <w:tblLayout w:type="fixed"/>
        <w:tblLook w:val="04A0" w:firstRow="1" w:lastRow="0" w:firstColumn="1" w:lastColumn="0" w:noHBand="0" w:noVBand="1"/>
      </w:tblPr>
      <w:tblGrid>
        <w:gridCol w:w="1526"/>
        <w:gridCol w:w="2126"/>
        <w:gridCol w:w="1985"/>
        <w:gridCol w:w="1984"/>
        <w:gridCol w:w="2517"/>
      </w:tblGrid>
      <w:tr w:rsidR="00936C48" w:rsidRPr="001416ED" w:rsidTr="00E37632">
        <w:tc>
          <w:tcPr>
            <w:tcW w:w="1526" w:type="dxa"/>
          </w:tcPr>
          <w:p w:rsidR="00936C48" w:rsidRPr="001416ED" w:rsidRDefault="00095217" w:rsidP="00E0621C">
            <w:pPr>
              <w:spacing w:line="360" w:lineRule="auto"/>
              <w:jc w:val="center"/>
              <w:rPr>
                <w:b/>
                <w:lang w:val="uk-UA"/>
              </w:rPr>
            </w:pPr>
            <w:r w:rsidRPr="001416ED">
              <w:rPr>
                <w:b/>
                <w:lang w:val="uk-UA"/>
              </w:rPr>
              <w:t>Пептид</w:t>
            </w:r>
          </w:p>
        </w:tc>
        <w:tc>
          <w:tcPr>
            <w:tcW w:w="2126" w:type="dxa"/>
          </w:tcPr>
          <w:p w:rsidR="00936C48" w:rsidRPr="001416ED" w:rsidRDefault="00936C48" w:rsidP="00E0621C">
            <w:pPr>
              <w:spacing w:line="360" w:lineRule="auto"/>
              <w:jc w:val="center"/>
              <w:rPr>
                <w:b/>
              </w:rPr>
            </w:pPr>
            <w:r w:rsidRPr="001416ED">
              <w:rPr>
                <w:b/>
              </w:rPr>
              <w:t>Оптимальний АТ</w:t>
            </w:r>
            <w:r w:rsidR="00D52D8C" w:rsidRPr="001416ED">
              <w:rPr>
                <w:b/>
              </w:rPr>
              <w:t xml:space="preserve">  (</w:t>
            </w:r>
            <w:r w:rsidR="00D52D8C" w:rsidRPr="001416ED">
              <w:rPr>
                <w:b/>
                <w:lang w:val="en-US"/>
              </w:rPr>
              <w:t>n</w:t>
            </w:r>
            <w:r w:rsidR="00D52D8C" w:rsidRPr="001416ED">
              <w:rPr>
                <w:b/>
              </w:rPr>
              <w:t>=20</w:t>
            </w:r>
            <w:r w:rsidR="00D52D8C" w:rsidRPr="001416ED">
              <w:rPr>
                <w:b/>
                <w:lang w:val="en-US"/>
              </w:rPr>
              <w:t>)</w:t>
            </w:r>
            <w:r w:rsidR="00D52D8C" w:rsidRPr="001416ED">
              <w:rPr>
                <w:b/>
              </w:rPr>
              <w:t xml:space="preserve">  </w:t>
            </w:r>
            <w:r w:rsidR="00D52D8C" w:rsidRPr="001416ED">
              <w:rPr>
                <w:b/>
                <w:lang w:val="uk-UA"/>
              </w:rPr>
              <w:t xml:space="preserve"> </w:t>
            </w:r>
          </w:p>
        </w:tc>
        <w:tc>
          <w:tcPr>
            <w:tcW w:w="1985" w:type="dxa"/>
          </w:tcPr>
          <w:p w:rsidR="00936C48" w:rsidRPr="001416ED" w:rsidRDefault="00936C48" w:rsidP="00E0621C">
            <w:pPr>
              <w:spacing w:line="360" w:lineRule="auto"/>
              <w:jc w:val="center"/>
              <w:rPr>
                <w:b/>
              </w:rPr>
            </w:pPr>
            <w:r w:rsidRPr="001416ED">
              <w:rPr>
                <w:b/>
              </w:rPr>
              <w:t>Нормальний АТ</w:t>
            </w:r>
            <w:r w:rsidR="00D52D8C" w:rsidRPr="001416ED">
              <w:rPr>
                <w:b/>
              </w:rPr>
              <w:t xml:space="preserve">  (</w:t>
            </w:r>
            <w:r w:rsidR="00D52D8C" w:rsidRPr="001416ED">
              <w:rPr>
                <w:b/>
                <w:lang w:val="en-US"/>
              </w:rPr>
              <w:t>n</w:t>
            </w:r>
            <w:r w:rsidR="00D52D8C" w:rsidRPr="001416ED">
              <w:rPr>
                <w:b/>
              </w:rPr>
              <w:t>=33</w:t>
            </w:r>
            <w:r w:rsidR="00D52D8C" w:rsidRPr="001416ED">
              <w:rPr>
                <w:b/>
                <w:lang w:val="en-US"/>
              </w:rPr>
              <w:t>)</w:t>
            </w:r>
            <w:r w:rsidR="00D52D8C" w:rsidRPr="001416ED">
              <w:rPr>
                <w:b/>
              </w:rPr>
              <w:t xml:space="preserve">  </w:t>
            </w:r>
          </w:p>
        </w:tc>
        <w:tc>
          <w:tcPr>
            <w:tcW w:w="1984" w:type="dxa"/>
          </w:tcPr>
          <w:p w:rsidR="00936C48" w:rsidRPr="001416ED" w:rsidRDefault="00936C48" w:rsidP="00E0621C">
            <w:pPr>
              <w:spacing w:line="360" w:lineRule="auto"/>
              <w:jc w:val="center"/>
              <w:rPr>
                <w:b/>
              </w:rPr>
            </w:pPr>
            <w:r w:rsidRPr="001416ED">
              <w:rPr>
                <w:b/>
              </w:rPr>
              <w:t>Високий нормальний АТ</w:t>
            </w:r>
            <w:r w:rsidR="00D52D8C" w:rsidRPr="001416ED">
              <w:rPr>
                <w:b/>
                <w:lang w:val="uk-UA"/>
              </w:rPr>
              <w:t xml:space="preserve"> </w:t>
            </w:r>
            <w:r w:rsidR="00D52D8C" w:rsidRPr="001416ED">
              <w:rPr>
                <w:b/>
              </w:rPr>
              <w:t>(</w:t>
            </w:r>
            <w:r w:rsidR="00D52D8C" w:rsidRPr="001416ED">
              <w:rPr>
                <w:b/>
                <w:lang w:val="en-US"/>
              </w:rPr>
              <w:t>n</w:t>
            </w:r>
            <w:r w:rsidR="00D52D8C" w:rsidRPr="001416ED">
              <w:rPr>
                <w:b/>
              </w:rPr>
              <w:t>=26</w:t>
            </w:r>
            <w:r w:rsidR="00D52D8C" w:rsidRPr="001416ED">
              <w:rPr>
                <w:b/>
                <w:lang w:val="en-US"/>
              </w:rPr>
              <w:t>)</w:t>
            </w:r>
          </w:p>
        </w:tc>
        <w:tc>
          <w:tcPr>
            <w:tcW w:w="2517" w:type="dxa"/>
          </w:tcPr>
          <w:p w:rsidR="00936C48" w:rsidRPr="001416ED" w:rsidRDefault="00936C48" w:rsidP="00E0621C">
            <w:pPr>
              <w:spacing w:line="360" w:lineRule="auto"/>
              <w:jc w:val="center"/>
              <w:rPr>
                <w:b/>
                <w:lang w:val="uk-UA"/>
              </w:rPr>
            </w:pPr>
            <w:r w:rsidRPr="001416ED">
              <w:rPr>
                <w:b/>
                <w:lang w:val="uk-UA"/>
              </w:rPr>
              <w:t>р</w:t>
            </w:r>
          </w:p>
        </w:tc>
      </w:tr>
      <w:tr w:rsidR="00936C48" w:rsidRPr="001416ED" w:rsidTr="00E37632">
        <w:tc>
          <w:tcPr>
            <w:tcW w:w="1526" w:type="dxa"/>
          </w:tcPr>
          <w:p w:rsidR="00936C48" w:rsidRPr="001416ED" w:rsidRDefault="001B30CB" w:rsidP="00E0621C">
            <w:pPr>
              <w:spacing w:line="360" w:lineRule="auto"/>
              <w:jc w:val="both"/>
            </w:pPr>
            <w:r w:rsidRPr="001416ED">
              <w:rPr>
                <w:lang w:val="uk-UA"/>
              </w:rPr>
              <w:t>ЕТ</w:t>
            </w:r>
            <w:r w:rsidR="00BC0119" w:rsidRPr="001416ED">
              <w:rPr>
                <w:lang w:val="uk-UA"/>
              </w:rPr>
              <w:t>–</w:t>
            </w:r>
            <w:r w:rsidRPr="001416ED">
              <w:rPr>
                <w:lang w:val="uk-UA"/>
              </w:rPr>
              <w:t>1</w:t>
            </w:r>
            <w:r w:rsidR="00095217" w:rsidRPr="001416ED">
              <w:rPr>
                <w:b/>
                <w:lang w:val="uk-UA"/>
              </w:rPr>
              <w:t>,</w:t>
            </w:r>
            <w:r w:rsidR="00095217" w:rsidRPr="001416ED">
              <w:t xml:space="preserve"> </w:t>
            </w:r>
            <w:r w:rsidR="00095217" w:rsidRPr="001416ED">
              <w:rPr>
                <w:lang w:val="uk-UA"/>
              </w:rPr>
              <w:t>фмоль/мл</w:t>
            </w:r>
          </w:p>
        </w:tc>
        <w:tc>
          <w:tcPr>
            <w:tcW w:w="2126" w:type="dxa"/>
          </w:tcPr>
          <w:p w:rsidR="00936C48" w:rsidRPr="001416ED" w:rsidRDefault="00095217" w:rsidP="00E0621C">
            <w:pPr>
              <w:spacing w:line="360" w:lineRule="auto"/>
              <w:jc w:val="center"/>
              <w:rPr>
                <w:lang w:val="uk-UA"/>
              </w:rPr>
            </w:pPr>
            <w:r w:rsidRPr="001416ED">
              <w:rPr>
                <w:lang w:val="uk-UA"/>
              </w:rPr>
              <w:t>1,67</w:t>
            </w:r>
            <w:r w:rsidR="007A07A9" w:rsidRPr="001416ED">
              <w:t xml:space="preserve"> ± </w:t>
            </w:r>
            <w:r w:rsidR="00936C48" w:rsidRPr="001416ED">
              <w:t>0,1</w:t>
            </w:r>
            <w:r w:rsidRPr="001416ED">
              <w:rPr>
                <w:lang w:val="uk-UA"/>
              </w:rPr>
              <w:t>7</w:t>
            </w:r>
          </w:p>
          <w:p w:rsidR="00936C48" w:rsidRPr="001416ED" w:rsidRDefault="00936C48" w:rsidP="00E0621C">
            <w:pPr>
              <w:spacing w:line="360" w:lineRule="auto"/>
              <w:jc w:val="center"/>
            </w:pPr>
            <w:r w:rsidRPr="001416ED">
              <w:rPr>
                <w:lang w:val="uk-UA"/>
              </w:rPr>
              <w:t xml:space="preserve"> </w:t>
            </w:r>
            <w:r w:rsidRPr="001416ED">
              <w:t>(1)</w:t>
            </w:r>
          </w:p>
        </w:tc>
        <w:tc>
          <w:tcPr>
            <w:tcW w:w="1985" w:type="dxa"/>
          </w:tcPr>
          <w:p w:rsidR="00936C48" w:rsidRPr="001416ED" w:rsidRDefault="00095217" w:rsidP="00E0621C">
            <w:pPr>
              <w:spacing w:line="360" w:lineRule="auto"/>
              <w:jc w:val="center"/>
              <w:rPr>
                <w:lang w:val="uk-UA"/>
              </w:rPr>
            </w:pPr>
            <w:r w:rsidRPr="001416ED">
              <w:rPr>
                <w:lang w:val="uk-UA"/>
              </w:rPr>
              <w:t>1,77</w:t>
            </w:r>
            <w:r w:rsidR="007A07A9" w:rsidRPr="001416ED">
              <w:t xml:space="preserve"> ± </w:t>
            </w:r>
            <w:r w:rsidR="00936C48" w:rsidRPr="001416ED">
              <w:t>0,</w:t>
            </w:r>
            <w:r w:rsidRPr="001416ED">
              <w:rPr>
                <w:lang w:val="uk-UA"/>
              </w:rPr>
              <w:t>11</w:t>
            </w:r>
          </w:p>
          <w:p w:rsidR="00936C48" w:rsidRPr="001416ED" w:rsidRDefault="00936C48" w:rsidP="00E0621C">
            <w:pPr>
              <w:spacing w:line="360" w:lineRule="auto"/>
              <w:jc w:val="center"/>
            </w:pPr>
            <w:r w:rsidRPr="001416ED">
              <w:t xml:space="preserve"> (2)</w:t>
            </w:r>
          </w:p>
        </w:tc>
        <w:tc>
          <w:tcPr>
            <w:tcW w:w="1984" w:type="dxa"/>
          </w:tcPr>
          <w:p w:rsidR="00936C48" w:rsidRPr="001416ED" w:rsidRDefault="00095217" w:rsidP="00E0621C">
            <w:pPr>
              <w:spacing w:line="360" w:lineRule="auto"/>
              <w:jc w:val="center"/>
              <w:rPr>
                <w:lang w:val="uk-UA"/>
              </w:rPr>
            </w:pPr>
            <w:r w:rsidRPr="001416ED">
              <w:rPr>
                <w:lang w:val="uk-UA"/>
              </w:rPr>
              <w:t>1,92</w:t>
            </w:r>
            <w:r w:rsidR="007A07A9" w:rsidRPr="001416ED">
              <w:t xml:space="preserve"> ± </w:t>
            </w:r>
            <w:r w:rsidR="00936C48" w:rsidRPr="001416ED">
              <w:t>0,1</w:t>
            </w:r>
            <w:r w:rsidRPr="001416ED">
              <w:rPr>
                <w:lang w:val="uk-UA"/>
              </w:rPr>
              <w:t>5</w:t>
            </w:r>
          </w:p>
          <w:p w:rsidR="00936C48" w:rsidRPr="001416ED" w:rsidRDefault="00936C48" w:rsidP="00E0621C">
            <w:pPr>
              <w:spacing w:line="360" w:lineRule="auto"/>
              <w:jc w:val="center"/>
            </w:pPr>
            <w:r w:rsidRPr="001416ED">
              <w:t xml:space="preserve"> (3)</w:t>
            </w:r>
          </w:p>
        </w:tc>
        <w:tc>
          <w:tcPr>
            <w:tcW w:w="2517" w:type="dxa"/>
          </w:tcPr>
          <w:p w:rsidR="00936C48" w:rsidRPr="001416ED" w:rsidRDefault="00936C48" w:rsidP="00D52D8C">
            <w:pPr>
              <w:spacing w:line="360" w:lineRule="auto"/>
              <w:jc w:val="center"/>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Pr="001416ED">
              <w:rPr>
                <w:lang w:val="uk-UA"/>
              </w:rPr>
              <w:t>&gt;0,05</w:t>
            </w:r>
            <w:r w:rsidR="00D52D8C" w:rsidRPr="001416ED">
              <w:rPr>
                <w:lang w:val="uk-UA"/>
              </w:rPr>
              <w:t>;</w:t>
            </w:r>
            <w:r w:rsidR="000D011F" w:rsidRPr="001416ED">
              <w:rPr>
                <w:lang w:val="uk-UA"/>
              </w:rPr>
              <w:t xml:space="preserve"> </w:t>
            </w: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1</w:t>
            </w:r>
            <w:r w:rsidRPr="001416ED">
              <w:rPr>
                <w:lang w:val="uk-UA"/>
              </w:rPr>
              <w:t>&gt;0,05</w:t>
            </w:r>
          </w:p>
          <w:p w:rsidR="00936C48" w:rsidRPr="001416ED" w:rsidRDefault="00936C48" w:rsidP="00D52D8C">
            <w:pPr>
              <w:spacing w:line="360" w:lineRule="auto"/>
              <w:jc w:val="center"/>
              <w:rPr>
                <w:b/>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2</w:t>
            </w:r>
            <w:r w:rsidRPr="001416ED">
              <w:rPr>
                <w:lang w:val="uk-UA"/>
              </w:rPr>
              <w:t>&gt;0,05</w:t>
            </w:r>
          </w:p>
        </w:tc>
      </w:tr>
      <w:tr w:rsidR="001B30CB" w:rsidRPr="001416ED" w:rsidTr="00E37632">
        <w:tc>
          <w:tcPr>
            <w:tcW w:w="1526" w:type="dxa"/>
          </w:tcPr>
          <w:p w:rsidR="001B30CB" w:rsidRPr="001416ED" w:rsidRDefault="001B30CB" w:rsidP="00E0621C">
            <w:pPr>
              <w:spacing w:line="360" w:lineRule="auto"/>
              <w:jc w:val="both"/>
              <w:rPr>
                <w:lang w:val="uk-UA"/>
              </w:rPr>
            </w:pPr>
            <w:r w:rsidRPr="001416ED">
              <w:rPr>
                <w:lang w:val="uk-UA"/>
              </w:rPr>
              <w:t>СНП</w:t>
            </w:r>
            <w:r w:rsidR="00095217" w:rsidRPr="001416ED">
              <w:rPr>
                <w:lang w:val="uk-UA"/>
              </w:rPr>
              <w:t xml:space="preserve">, </w:t>
            </w:r>
            <w:r w:rsidR="00023CB5" w:rsidRPr="001416ED">
              <w:rPr>
                <w:lang w:val="uk-UA"/>
              </w:rPr>
              <w:t>пмоль/мл</w:t>
            </w:r>
          </w:p>
        </w:tc>
        <w:tc>
          <w:tcPr>
            <w:tcW w:w="2126" w:type="dxa"/>
          </w:tcPr>
          <w:p w:rsidR="001B30CB" w:rsidRPr="001416ED" w:rsidRDefault="001B30CB" w:rsidP="00E0621C">
            <w:pPr>
              <w:spacing w:line="360" w:lineRule="auto"/>
              <w:jc w:val="center"/>
            </w:pPr>
            <w:r w:rsidRPr="001416ED">
              <w:t>2,27</w:t>
            </w:r>
            <w:r w:rsidR="007A07A9" w:rsidRPr="001416ED">
              <w:t xml:space="preserve"> ± </w:t>
            </w:r>
            <w:r w:rsidRPr="001416ED">
              <w:t>0,10</w:t>
            </w:r>
          </w:p>
          <w:p w:rsidR="001B30CB" w:rsidRPr="001416ED" w:rsidRDefault="001B30CB" w:rsidP="00E0621C">
            <w:pPr>
              <w:spacing w:line="360" w:lineRule="auto"/>
              <w:jc w:val="center"/>
              <w:rPr>
                <w:kern w:val="11"/>
                <w:lang w:eastAsia="en-US"/>
              </w:rPr>
            </w:pPr>
            <w:r w:rsidRPr="001416ED">
              <w:t xml:space="preserve"> (4)</w:t>
            </w:r>
          </w:p>
        </w:tc>
        <w:tc>
          <w:tcPr>
            <w:tcW w:w="1985" w:type="dxa"/>
          </w:tcPr>
          <w:p w:rsidR="001B30CB" w:rsidRPr="001416ED" w:rsidRDefault="001B30CB" w:rsidP="00E0621C">
            <w:pPr>
              <w:spacing w:line="360" w:lineRule="auto"/>
              <w:jc w:val="center"/>
            </w:pPr>
            <w:r w:rsidRPr="001416ED">
              <w:t>2,34</w:t>
            </w:r>
            <w:r w:rsidR="007A07A9" w:rsidRPr="001416ED">
              <w:t xml:space="preserve"> ± </w:t>
            </w:r>
            <w:r w:rsidRPr="001416ED">
              <w:t>0,09</w:t>
            </w:r>
          </w:p>
          <w:p w:rsidR="001B30CB" w:rsidRPr="001416ED" w:rsidRDefault="001B30CB" w:rsidP="00D52D8C">
            <w:pPr>
              <w:spacing w:line="360" w:lineRule="auto"/>
              <w:jc w:val="center"/>
              <w:rPr>
                <w:kern w:val="11"/>
                <w:lang w:eastAsia="en-US"/>
              </w:rPr>
            </w:pPr>
            <w:r w:rsidRPr="001416ED">
              <w:t xml:space="preserve">  (5)</w:t>
            </w:r>
          </w:p>
        </w:tc>
        <w:tc>
          <w:tcPr>
            <w:tcW w:w="1984" w:type="dxa"/>
          </w:tcPr>
          <w:p w:rsidR="001B30CB" w:rsidRPr="001416ED" w:rsidRDefault="001B30CB" w:rsidP="00E0621C">
            <w:pPr>
              <w:spacing w:line="360" w:lineRule="auto"/>
              <w:jc w:val="center"/>
            </w:pPr>
            <w:r w:rsidRPr="001416ED">
              <w:t>2,43</w:t>
            </w:r>
            <w:r w:rsidR="007A07A9" w:rsidRPr="001416ED">
              <w:t xml:space="preserve"> ± </w:t>
            </w:r>
            <w:r w:rsidRPr="001416ED">
              <w:t>0,12</w:t>
            </w:r>
          </w:p>
          <w:p w:rsidR="001B30CB" w:rsidRPr="001416ED" w:rsidRDefault="001B30CB" w:rsidP="00E0621C">
            <w:pPr>
              <w:spacing w:line="360" w:lineRule="auto"/>
              <w:jc w:val="center"/>
              <w:rPr>
                <w:kern w:val="11"/>
                <w:lang w:eastAsia="en-US"/>
              </w:rPr>
            </w:pPr>
            <w:r w:rsidRPr="001416ED">
              <w:rPr>
                <w:lang w:val="en-US"/>
              </w:rPr>
              <w:t xml:space="preserve"> </w:t>
            </w:r>
            <w:r w:rsidRPr="001416ED">
              <w:t>(6)</w:t>
            </w:r>
          </w:p>
        </w:tc>
        <w:tc>
          <w:tcPr>
            <w:tcW w:w="2517" w:type="dxa"/>
          </w:tcPr>
          <w:p w:rsidR="001B30CB" w:rsidRPr="001416ED" w:rsidRDefault="001B30CB" w:rsidP="00D52D8C">
            <w:pPr>
              <w:spacing w:line="360" w:lineRule="auto"/>
              <w:jc w:val="center"/>
              <w:rPr>
                <w:lang w:val="uk-UA"/>
              </w:rPr>
            </w:pPr>
            <w:r w:rsidRPr="001416ED">
              <w:rPr>
                <w:lang w:val="uk-UA"/>
              </w:rPr>
              <w:t>р</w:t>
            </w:r>
            <w:r w:rsidRPr="001416ED">
              <w:rPr>
                <w:vertAlign w:val="subscript"/>
                <w:lang w:val="uk-UA"/>
              </w:rPr>
              <w:t>5</w:t>
            </w:r>
            <w:r w:rsidR="00BC0119" w:rsidRPr="001416ED">
              <w:rPr>
                <w:vertAlign w:val="subscript"/>
                <w:lang w:val="uk-UA"/>
              </w:rPr>
              <w:t>–</w:t>
            </w:r>
            <w:r w:rsidRPr="001416ED">
              <w:rPr>
                <w:vertAlign w:val="subscript"/>
                <w:lang w:val="uk-UA"/>
              </w:rPr>
              <w:t>4</w:t>
            </w:r>
            <w:r w:rsidRPr="001416ED">
              <w:rPr>
                <w:lang w:val="uk-UA"/>
              </w:rPr>
              <w:t>&gt;0,05</w:t>
            </w:r>
            <w:r w:rsidR="00D52D8C" w:rsidRPr="001416ED">
              <w:rPr>
                <w:lang w:val="uk-UA"/>
              </w:rPr>
              <w:t>;</w:t>
            </w:r>
            <w:r w:rsidR="000D011F" w:rsidRPr="001416ED">
              <w:rPr>
                <w:lang w:val="uk-UA"/>
              </w:rPr>
              <w:t xml:space="preserve"> </w:t>
            </w: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4</w:t>
            </w:r>
            <w:r w:rsidRPr="001416ED">
              <w:rPr>
                <w:lang w:val="uk-UA"/>
              </w:rPr>
              <w:t>&gt;0,05</w:t>
            </w:r>
          </w:p>
          <w:p w:rsidR="001B30CB" w:rsidRPr="001416ED" w:rsidRDefault="001B30CB" w:rsidP="00D52D8C">
            <w:pPr>
              <w:spacing w:line="360" w:lineRule="auto"/>
              <w:jc w:val="center"/>
              <w:rPr>
                <w:b/>
                <w:lang w:val="uk-UA"/>
              </w:rPr>
            </w:pP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5</w:t>
            </w:r>
            <w:r w:rsidRPr="001416ED">
              <w:rPr>
                <w:lang w:val="uk-UA"/>
              </w:rPr>
              <w:t>&gt;0,05</w:t>
            </w:r>
          </w:p>
        </w:tc>
      </w:tr>
      <w:tr w:rsidR="00B52CEF" w:rsidRPr="001416ED" w:rsidTr="00B52CEF">
        <w:tc>
          <w:tcPr>
            <w:tcW w:w="1526" w:type="dxa"/>
          </w:tcPr>
          <w:p w:rsidR="00B52CEF" w:rsidRPr="001416ED" w:rsidRDefault="00B52CEF" w:rsidP="00E5471B">
            <w:pPr>
              <w:spacing w:line="360" w:lineRule="auto"/>
              <w:jc w:val="both"/>
              <w:rPr>
                <w:lang w:val="uk-UA"/>
              </w:rPr>
            </w:pPr>
            <w:r w:rsidRPr="001416ED">
              <w:rPr>
                <w:lang w:val="uk-UA"/>
              </w:rPr>
              <w:t>СНП/ЕТ–1 ум.од.</w:t>
            </w:r>
          </w:p>
        </w:tc>
        <w:tc>
          <w:tcPr>
            <w:tcW w:w="2126" w:type="dxa"/>
          </w:tcPr>
          <w:p w:rsidR="00B52CEF" w:rsidRPr="001416ED" w:rsidRDefault="00B52CEF" w:rsidP="00E5471B">
            <w:pPr>
              <w:spacing w:line="360" w:lineRule="auto"/>
              <w:jc w:val="center"/>
              <w:rPr>
                <w:lang w:val="uk-UA"/>
              </w:rPr>
            </w:pPr>
            <w:r w:rsidRPr="001416ED">
              <w:rPr>
                <w:lang w:val="uk-UA"/>
              </w:rPr>
              <w:t>1,50</w:t>
            </w:r>
            <w:r w:rsidR="007A07A9" w:rsidRPr="001416ED">
              <w:t xml:space="preserve"> ± </w:t>
            </w:r>
            <w:r w:rsidRPr="001416ED">
              <w:t>0,</w:t>
            </w:r>
            <w:r w:rsidRPr="001416ED">
              <w:rPr>
                <w:lang w:val="uk-UA"/>
              </w:rPr>
              <w:t>08</w:t>
            </w:r>
          </w:p>
          <w:p w:rsidR="00B52CEF" w:rsidRPr="001416ED" w:rsidRDefault="00B52CEF" w:rsidP="00E5471B">
            <w:pPr>
              <w:spacing w:line="360" w:lineRule="auto"/>
              <w:jc w:val="center"/>
              <w:rPr>
                <w:kern w:val="11"/>
                <w:lang w:eastAsia="en-US"/>
              </w:rPr>
            </w:pPr>
            <w:r w:rsidRPr="001416ED">
              <w:t xml:space="preserve">  (</w:t>
            </w:r>
            <w:r w:rsidRPr="001416ED">
              <w:rPr>
                <w:lang w:val="uk-UA"/>
              </w:rPr>
              <w:t>7</w:t>
            </w:r>
            <w:r w:rsidRPr="001416ED">
              <w:t>)</w:t>
            </w:r>
          </w:p>
        </w:tc>
        <w:tc>
          <w:tcPr>
            <w:tcW w:w="1985" w:type="dxa"/>
          </w:tcPr>
          <w:p w:rsidR="00B52CEF" w:rsidRPr="001416ED" w:rsidRDefault="00B52CEF" w:rsidP="00E5471B">
            <w:pPr>
              <w:spacing w:line="360" w:lineRule="auto"/>
              <w:jc w:val="center"/>
              <w:rPr>
                <w:lang w:val="uk-UA"/>
              </w:rPr>
            </w:pPr>
            <w:r w:rsidRPr="001416ED">
              <w:rPr>
                <w:lang w:val="uk-UA"/>
              </w:rPr>
              <w:t>1,38</w:t>
            </w:r>
            <w:r w:rsidR="007A07A9" w:rsidRPr="001416ED">
              <w:t xml:space="preserve"> ± </w:t>
            </w:r>
            <w:r w:rsidRPr="001416ED">
              <w:t>0,0</w:t>
            </w:r>
            <w:r w:rsidRPr="001416ED">
              <w:rPr>
                <w:lang w:val="uk-UA"/>
              </w:rPr>
              <w:t>4</w:t>
            </w:r>
          </w:p>
          <w:p w:rsidR="00B52CEF" w:rsidRPr="001416ED" w:rsidRDefault="00B52CEF" w:rsidP="00E5471B">
            <w:pPr>
              <w:spacing w:line="360" w:lineRule="auto"/>
              <w:jc w:val="center"/>
              <w:rPr>
                <w:kern w:val="11"/>
                <w:lang w:eastAsia="en-US"/>
              </w:rPr>
            </w:pPr>
            <w:r w:rsidRPr="001416ED">
              <w:t xml:space="preserve">  (</w:t>
            </w:r>
            <w:r w:rsidRPr="001416ED">
              <w:rPr>
                <w:lang w:val="uk-UA"/>
              </w:rPr>
              <w:t>8</w:t>
            </w:r>
            <w:r w:rsidRPr="001416ED">
              <w:t>)</w:t>
            </w:r>
          </w:p>
        </w:tc>
        <w:tc>
          <w:tcPr>
            <w:tcW w:w="1984" w:type="dxa"/>
          </w:tcPr>
          <w:p w:rsidR="00B52CEF" w:rsidRPr="001416ED" w:rsidRDefault="00B52CEF" w:rsidP="00E5471B">
            <w:pPr>
              <w:spacing w:line="360" w:lineRule="auto"/>
              <w:jc w:val="center"/>
              <w:rPr>
                <w:lang w:val="uk-UA"/>
              </w:rPr>
            </w:pPr>
            <w:r w:rsidRPr="001416ED">
              <w:rPr>
                <w:lang w:val="uk-UA"/>
              </w:rPr>
              <w:t>1,35</w:t>
            </w:r>
            <w:r w:rsidR="007A07A9" w:rsidRPr="001416ED">
              <w:t xml:space="preserve"> ± </w:t>
            </w:r>
            <w:r w:rsidRPr="001416ED">
              <w:t>0,</w:t>
            </w:r>
            <w:r w:rsidRPr="001416ED">
              <w:rPr>
                <w:lang w:val="uk-UA"/>
              </w:rPr>
              <w:t>09</w:t>
            </w:r>
          </w:p>
          <w:p w:rsidR="00B52CEF" w:rsidRPr="001416ED" w:rsidRDefault="00B52CEF" w:rsidP="00E5471B">
            <w:pPr>
              <w:spacing w:line="360" w:lineRule="auto"/>
              <w:jc w:val="center"/>
              <w:rPr>
                <w:kern w:val="11"/>
                <w:lang w:eastAsia="en-US"/>
              </w:rPr>
            </w:pPr>
            <w:r w:rsidRPr="001416ED">
              <w:t xml:space="preserve"> (</w:t>
            </w:r>
            <w:r w:rsidRPr="001416ED">
              <w:rPr>
                <w:lang w:val="uk-UA"/>
              </w:rPr>
              <w:t>9</w:t>
            </w:r>
            <w:r w:rsidRPr="001416ED">
              <w:t>)</w:t>
            </w:r>
          </w:p>
        </w:tc>
        <w:tc>
          <w:tcPr>
            <w:tcW w:w="2517" w:type="dxa"/>
          </w:tcPr>
          <w:p w:rsidR="00B52CEF" w:rsidRPr="001416ED" w:rsidRDefault="00B52CEF" w:rsidP="00D52D8C">
            <w:pPr>
              <w:spacing w:line="360" w:lineRule="auto"/>
              <w:jc w:val="center"/>
              <w:rPr>
                <w:lang w:val="uk-UA"/>
              </w:rPr>
            </w:pPr>
            <w:r w:rsidRPr="001416ED">
              <w:rPr>
                <w:lang w:val="uk-UA"/>
              </w:rPr>
              <w:t>р</w:t>
            </w:r>
            <w:r w:rsidRPr="001416ED">
              <w:rPr>
                <w:vertAlign w:val="subscript"/>
                <w:lang w:val="uk-UA"/>
              </w:rPr>
              <w:t>8–7</w:t>
            </w:r>
            <w:r w:rsidR="00034952" w:rsidRPr="001416ED">
              <w:rPr>
                <w:lang w:val="uk-UA"/>
              </w:rPr>
              <w:t>˂</w:t>
            </w:r>
            <w:r w:rsidRPr="001416ED">
              <w:rPr>
                <w:lang w:val="uk-UA"/>
              </w:rPr>
              <w:t>0,05</w:t>
            </w:r>
            <w:r w:rsidR="00D52D8C" w:rsidRPr="001416ED">
              <w:rPr>
                <w:lang w:val="uk-UA"/>
              </w:rPr>
              <w:t>;</w:t>
            </w:r>
            <w:r w:rsidR="000D011F" w:rsidRPr="001416ED">
              <w:rPr>
                <w:lang w:val="uk-UA"/>
              </w:rPr>
              <w:t xml:space="preserve"> </w:t>
            </w:r>
            <w:r w:rsidRPr="001416ED">
              <w:rPr>
                <w:lang w:val="uk-UA"/>
              </w:rPr>
              <w:t>р</w:t>
            </w:r>
            <w:r w:rsidRPr="001416ED">
              <w:rPr>
                <w:vertAlign w:val="subscript"/>
                <w:lang w:val="uk-UA"/>
              </w:rPr>
              <w:t>9–7</w:t>
            </w:r>
            <w:r w:rsidR="000C04AA" w:rsidRPr="001416ED">
              <w:rPr>
                <w:lang w:val="uk-UA"/>
              </w:rPr>
              <w:t>˂</w:t>
            </w:r>
            <w:r w:rsidRPr="001416ED">
              <w:rPr>
                <w:lang w:val="uk-UA"/>
              </w:rPr>
              <w:t>0,05</w:t>
            </w:r>
          </w:p>
          <w:p w:rsidR="00B52CEF" w:rsidRPr="001416ED" w:rsidRDefault="00B52CEF" w:rsidP="00D52D8C">
            <w:pPr>
              <w:spacing w:line="360" w:lineRule="auto"/>
              <w:jc w:val="center"/>
              <w:rPr>
                <w:lang w:val="uk-UA"/>
              </w:rPr>
            </w:pPr>
            <w:r w:rsidRPr="001416ED">
              <w:rPr>
                <w:lang w:val="uk-UA"/>
              </w:rPr>
              <w:t>р</w:t>
            </w:r>
            <w:r w:rsidRPr="001416ED">
              <w:rPr>
                <w:vertAlign w:val="subscript"/>
                <w:lang w:val="uk-UA"/>
              </w:rPr>
              <w:t>9–8</w:t>
            </w:r>
            <w:r w:rsidRPr="001416ED">
              <w:rPr>
                <w:lang w:val="uk-UA"/>
              </w:rPr>
              <w:t>&gt;0,05</w:t>
            </w:r>
          </w:p>
        </w:tc>
      </w:tr>
    </w:tbl>
    <w:p w:rsidR="00936C48" w:rsidRPr="001416ED" w:rsidRDefault="00936C48" w:rsidP="00936C48">
      <w:pPr>
        <w:spacing w:before="240" w:line="360" w:lineRule="auto"/>
        <w:ind w:firstLine="708"/>
        <w:jc w:val="both"/>
        <w:rPr>
          <w:lang w:val="uk-UA"/>
        </w:rPr>
      </w:pPr>
      <w:r w:rsidRPr="001416ED">
        <w:rPr>
          <w:lang w:val="uk-UA"/>
        </w:rPr>
        <w:t>При аналізі отриманих даних, визначено, що рівень ЕТ</w:t>
      </w:r>
      <w:r w:rsidR="00BC0119" w:rsidRPr="001416ED">
        <w:rPr>
          <w:lang w:val="uk-UA"/>
        </w:rPr>
        <w:t>–</w:t>
      </w:r>
      <w:r w:rsidRPr="001416ED">
        <w:rPr>
          <w:lang w:val="uk-UA"/>
        </w:rPr>
        <w:t>1</w:t>
      </w:r>
      <w:r w:rsidR="001B30CB" w:rsidRPr="001416ED">
        <w:rPr>
          <w:lang w:val="uk-UA"/>
        </w:rPr>
        <w:t xml:space="preserve"> та СНП</w:t>
      </w:r>
      <w:r w:rsidRPr="001416ED">
        <w:rPr>
          <w:lang w:val="uk-UA"/>
        </w:rPr>
        <w:t xml:space="preserve"> у чоловіків групи контролю при різних категоріях АТ достовірно не відрізняється, р&gt;0,05.</w:t>
      </w:r>
      <w:r w:rsidR="00024F43" w:rsidRPr="001416ED">
        <w:rPr>
          <w:lang w:val="uk-UA"/>
        </w:rPr>
        <w:t xml:space="preserve"> </w:t>
      </w:r>
      <w:r w:rsidR="000E11B0" w:rsidRPr="001416ED">
        <w:rPr>
          <w:lang w:val="uk-UA"/>
        </w:rPr>
        <w:t>У чоловіків з нормальн</w:t>
      </w:r>
      <w:r w:rsidR="00D548B8" w:rsidRPr="001416ED">
        <w:rPr>
          <w:lang w:val="uk-UA"/>
        </w:rPr>
        <w:t>и</w:t>
      </w:r>
      <w:r w:rsidR="000E11B0" w:rsidRPr="001416ED">
        <w:rPr>
          <w:lang w:val="uk-UA"/>
        </w:rPr>
        <w:t>м і високим нормальним АТ коефіцієнт СНП/ЕТ</w:t>
      </w:r>
      <w:r w:rsidR="00BC0119" w:rsidRPr="001416ED">
        <w:rPr>
          <w:lang w:val="uk-UA"/>
        </w:rPr>
        <w:t>–</w:t>
      </w:r>
      <w:r w:rsidR="000E11B0" w:rsidRPr="001416ED">
        <w:rPr>
          <w:lang w:val="uk-UA"/>
        </w:rPr>
        <w:t>1 виявився достовірно нижче ніж в групі з оптимальним АТ, проте відмінності у показнику піж пацієнтами з  нормальним і високим нормальним АТ не виявлено.</w:t>
      </w:r>
    </w:p>
    <w:p w:rsidR="0063653A" w:rsidRPr="001416ED" w:rsidRDefault="0063653A" w:rsidP="001853EE">
      <w:pPr>
        <w:spacing w:before="240" w:line="360" w:lineRule="auto"/>
        <w:ind w:firstLine="708"/>
        <w:jc w:val="both"/>
        <w:rPr>
          <w:b/>
          <w:lang w:val="uk-UA"/>
        </w:rPr>
      </w:pPr>
      <w:r w:rsidRPr="001416ED">
        <w:rPr>
          <w:b/>
          <w:lang w:val="uk-UA"/>
        </w:rPr>
        <w:t>3.6. Особливості дерматогліфічних показників пальців обох кистей у чоловіків групи контролю</w:t>
      </w:r>
      <w:r w:rsidR="006A4F0B" w:rsidRPr="001416ED">
        <w:rPr>
          <w:b/>
          <w:lang w:val="uk-UA"/>
        </w:rPr>
        <w:t xml:space="preserve">, мешканців Подільського регіону України       </w:t>
      </w:r>
    </w:p>
    <w:p w:rsidR="00AC486E" w:rsidRPr="001416ED" w:rsidRDefault="00A95995" w:rsidP="00AC486E">
      <w:pPr>
        <w:spacing w:before="240" w:line="360" w:lineRule="auto"/>
        <w:ind w:firstLine="708"/>
        <w:jc w:val="both"/>
        <w:rPr>
          <w:lang w:val="uk-UA"/>
        </w:rPr>
      </w:pPr>
      <w:r w:rsidRPr="001416ED">
        <w:rPr>
          <w:lang w:val="uk-UA"/>
        </w:rPr>
        <w:t>Відомо, що пальцеві малюнки формуються в період внутрішньоутробного розвитку дитини, в той самий час, коли закладаються нервова та серцево</w:t>
      </w:r>
      <w:r w:rsidR="00BC0119" w:rsidRPr="001416ED">
        <w:rPr>
          <w:lang w:val="uk-UA"/>
        </w:rPr>
        <w:t>–</w:t>
      </w:r>
      <w:r w:rsidRPr="001416ED">
        <w:rPr>
          <w:lang w:val="uk-UA"/>
        </w:rPr>
        <w:t xml:space="preserve">судинна </w:t>
      </w:r>
      <w:r w:rsidRPr="001416ED">
        <w:rPr>
          <w:lang w:val="uk-UA"/>
        </w:rPr>
        <w:lastRenderedPageBreak/>
        <w:t xml:space="preserve">системи, що </w:t>
      </w:r>
      <w:r w:rsidR="005E3C05" w:rsidRPr="001416ED">
        <w:rPr>
          <w:lang w:val="uk-UA"/>
        </w:rPr>
        <w:t xml:space="preserve">може вказувати </w:t>
      </w:r>
      <w:r w:rsidRPr="001416ED">
        <w:rPr>
          <w:lang w:val="uk-UA"/>
        </w:rPr>
        <w:t>на взаємозв’язок мі</w:t>
      </w:r>
      <w:r w:rsidR="005E3C05" w:rsidRPr="001416ED">
        <w:rPr>
          <w:lang w:val="uk-UA"/>
        </w:rPr>
        <w:t>ж</w:t>
      </w:r>
      <w:r w:rsidRPr="001416ED">
        <w:rPr>
          <w:lang w:val="uk-UA"/>
        </w:rPr>
        <w:t xml:space="preserve"> ними. </w:t>
      </w:r>
      <w:r w:rsidR="003E669A" w:rsidRPr="001416ED">
        <w:rPr>
          <w:lang w:val="uk-UA"/>
        </w:rPr>
        <w:t>Тому, бул</w:t>
      </w:r>
      <w:r w:rsidR="00A36D87" w:rsidRPr="001416ED">
        <w:rPr>
          <w:lang w:val="uk-UA"/>
        </w:rPr>
        <w:t>а</w:t>
      </w:r>
      <w:r w:rsidR="003E669A" w:rsidRPr="001416ED">
        <w:rPr>
          <w:lang w:val="uk-UA"/>
        </w:rPr>
        <w:t xml:space="preserve"> проаналізован</w:t>
      </w:r>
      <w:r w:rsidR="00A36D87" w:rsidRPr="001416ED">
        <w:rPr>
          <w:lang w:val="uk-UA"/>
        </w:rPr>
        <w:t xml:space="preserve">а частота </w:t>
      </w:r>
      <w:r w:rsidRPr="001416ED">
        <w:rPr>
          <w:lang w:val="uk-UA"/>
        </w:rPr>
        <w:t>індивідуальн</w:t>
      </w:r>
      <w:r w:rsidR="00A36D87" w:rsidRPr="001416ED">
        <w:rPr>
          <w:lang w:val="uk-UA"/>
        </w:rPr>
        <w:t>их</w:t>
      </w:r>
      <w:r w:rsidRPr="001416ED">
        <w:rPr>
          <w:lang w:val="uk-UA"/>
        </w:rPr>
        <w:t xml:space="preserve"> </w:t>
      </w:r>
      <w:r w:rsidR="00862D5D" w:rsidRPr="001416ED">
        <w:rPr>
          <w:lang w:val="uk-UA"/>
        </w:rPr>
        <w:t>дерматогліф</w:t>
      </w:r>
      <w:r w:rsidR="00A36D87" w:rsidRPr="001416ED">
        <w:rPr>
          <w:lang w:val="uk-UA"/>
        </w:rPr>
        <w:t>ів</w:t>
      </w:r>
      <w:r w:rsidRPr="001416ED">
        <w:rPr>
          <w:lang w:val="uk-UA"/>
        </w:rPr>
        <w:t xml:space="preserve"> (завитки, петлі та дуги) </w:t>
      </w:r>
      <w:r w:rsidR="005E3C05" w:rsidRPr="001416ED">
        <w:rPr>
          <w:lang w:val="uk-UA"/>
        </w:rPr>
        <w:t xml:space="preserve">пальців кистей </w:t>
      </w:r>
      <w:r w:rsidR="00862D5D" w:rsidRPr="001416ED">
        <w:rPr>
          <w:lang w:val="uk-UA"/>
        </w:rPr>
        <w:t xml:space="preserve">у чоловіків з групи </w:t>
      </w:r>
      <w:r w:rsidR="00472F94" w:rsidRPr="001416ED">
        <w:rPr>
          <w:lang w:val="uk-UA"/>
        </w:rPr>
        <w:t>контролю</w:t>
      </w:r>
      <w:r w:rsidR="00862D5D" w:rsidRPr="001416ED">
        <w:rPr>
          <w:lang w:val="uk-UA"/>
        </w:rPr>
        <w:t>, мешканців Подільського регіону України</w:t>
      </w:r>
      <w:r w:rsidR="00A36D87" w:rsidRPr="001416ED">
        <w:rPr>
          <w:lang w:val="uk-UA"/>
        </w:rPr>
        <w:t xml:space="preserve">  (табл. 3.</w:t>
      </w:r>
      <w:r w:rsidR="00E3666E" w:rsidRPr="001416ED">
        <w:rPr>
          <w:lang w:val="uk-UA"/>
        </w:rPr>
        <w:t>8</w:t>
      </w:r>
      <w:r w:rsidR="00A36D87" w:rsidRPr="001416ED">
        <w:rPr>
          <w:lang w:val="uk-UA"/>
        </w:rPr>
        <w:t>)</w:t>
      </w:r>
      <w:r w:rsidR="00AB66BB" w:rsidRPr="001416ED">
        <w:rPr>
          <w:lang w:val="uk-UA"/>
        </w:rPr>
        <w:t>.</w:t>
      </w:r>
    </w:p>
    <w:p w:rsidR="00D2190F" w:rsidRPr="001416ED" w:rsidRDefault="00D2190F" w:rsidP="002811FB">
      <w:pPr>
        <w:spacing w:line="360" w:lineRule="auto"/>
        <w:ind w:firstLine="708"/>
        <w:jc w:val="right"/>
        <w:rPr>
          <w:b/>
          <w:lang w:val="uk-UA"/>
        </w:rPr>
      </w:pPr>
      <w:r w:rsidRPr="001416ED">
        <w:rPr>
          <w:b/>
          <w:lang w:val="uk-UA"/>
        </w:rPr>
        <w:t>Таблиця 3.</w:t>
      </w:r>
      <w:r w:rsidR="00E3666E" w:rsidRPr="001416ED">
        <w:rPr>
          <w:b/>
          <w:lang w:val="uk-UA"/>
        </w:rPr>
        <w:t>8</w:t>
      </w:r>
    </w:p>
    <w:p w:rsidR="00D2190F" w:rsidRPr="001416ED" w:rsidRDefault="00D2190F" w:rsidP="004156AB">
      <w:pPr>
        <w:spacing w:line="360" w:lineRule="auto"/>
        <w:ind w:firstLine="708"/>
        <w:jc w:val="center"/>
        <w:rPr>
          <w:b/>
          <w:lang w:val="uk-UA"/>
        </w:rPr>
      </w:pPr>
      <w:r w:rsidRPr="001416ED">
        <w:rPr>
          <w:b/>
          <w:lang w:val="uk-UA"/>
        </w:rPr>
        <w:t xml:space="preserve">Частота  і сума окремих пальцевих узорів на </w:t>
      </w:r>
      <w:r w:rsidR="004B632E">
        <w:rPr>
          <w:b/>
          <w:lang w:val="uk-UA"/>
        </w:rPr>
        <w:t>ПК</w:t>
      </w:r>
      <w:r w:rsidRPr="001416ED">
        <w:rPr>
          <w:b/>
          <w:lang w:val="uk-UA"/>
        </w:rPr>
        <w:t xml:space="preserve"> та </w:t>
      </w:r>
      <w:r w:rsidR="007F0AEB" w:rsidRPr="001416ED">
        <w:rPr>
          <w:b/>
          <w:lang w:val="uk-UA"/>
        </w:rPr>
        <w:t>ЛК</w:t>
      </w:r>
      <w:r w:rsidRPr="001416ED">
        <w:rPr>
          <w:b/>
          <w:lang w:val="uk-UA"/>
        </w:rPr>
        <w:t xml:space="preserve"> у чоловіків групи контролю,</w:t>
      </w:r>
      <w:r w:rsidRPr="001416ED">
        <w:rPr>
          <w:lang w:val="uk-UA"/>
        </w:rPr>
        <w:t xml:space="preserve"> </w:t>
      </w:r>
      <w:r w:rsidR="00D4219F" w:rsidRPr="001416ED">
        <w:rPr>
          <w:b/>
          <w:lang w:val="uk-UA"/>
        </w:rPr>
        <w:t xml:space="preserve"> %</w:t>
      </w:r>
      <w:r w:rsidRPr="001416ED">
        <w:rPr>
          <w:b/>
          <w:lang w:val="uk-UA"/>
        </w:rPr>
        <w:t>, ∑</w:t>
      </w:r>
    </w:p>
    <w:tbl>
      <w:tblPr>
        <w:tblStyle w:val="af5"/>
        <w:tblW w:w="0" w:type="auto"/>
        <w:tblInd w:w="108" w:type="dxa"/>
        <w:tblLook w:val="04A0" w:firstRow="1" w:lastRow="0" w:firstColumn="1" w:lastColumn="0" w:noHBand="0" w:noVBand="1"/>
      </w:tblPr>
      <w:tblGrid>
        <w:gridCol w:w="1276"/>
        <w:gridCol w:w="1843"/>
        <w:gridCol w:w="1559"/>
        <w:gridCol w:w="1418"/>
        <w:gridCol w:w="1842"/>
        <w:gridCol w:w="2092"/>
      </w:tblGrid>
      <w:tr w:rsidR="0061418B" w:rsidRPr="001416ED" w:rsidTr="000A683B">
        <w:tc>
          <w:tcPr>
            <w:tcW w:w="1276" w:type="dxa"/>
          </w:tcPr>
          <w:p w:rsidR="00A36D87" w:rsidRPr="001416ED" w:rsidRDefault="00EB5FC3" w:rsidP="00874505">
            <w:pPr>
              <w:spacing w:line="360" w:lineRule="auto"/>
              <w:jc w:val="center"/>
              <w:rPr>
                <w:b/>
                <w:lang w:val="uk-UA"/>
              </w:rPr>
            </w:pPr>
            <w:r w:rsidRPr="001416ED">
              <w:rPr>
                <w:b/>
                <w:lang w:val="uk-UA"/>
              </w:rPr>
              <w:t>Кисть</w:t>
            </w:r>
          </w:p>
        </w:tc>
        <w:tc>
          <w:tcPr>
            <w:tcW w:w="1843" w:type="dxa"/>
          </w:tcPr>
          <w:p w:rsidR="00A36D87" w:rsidRPr="001416ED" w:rsidRDefault="00A36D87" w:rsidP="00874505">
            <w:pPr>
              <w:spacing w:line="360" w:lineRule="auto"/>
              <w:jc w:val="center"/>
              <w:rPr>
                <w:b/>
              </w:rPr>
            </w:pPr>
            <w:r w:rsidRPr="001416ED">
              <w:rPr>
                <w:b/>
              </w:rPr>
              <w:t xml:space="preserve">1. </w:t>
            </w:r>
            <w:r w:rsidRPr="001416ED">
              <w:rPr>
                <w:b/>
                <w:lang w:val="uk-UA"/>
              </w:rPr>
              <w:t>У</w:t>
            </w:r>
            <w:r w:rsidRPr="001416ED">
              <w:rPr>
                <w:b/>
              </w:rPr>
              <w:t>льнарна петля (</w:t>
            </w:r>
            <w:r w:rsidRPr="001416ED">
              <w:rPr>
                <w:b/>
                <w:lang w:val="en-US"/>
              </w:rPr>
              <w:t>U</w:t>
            </w:r>
            <w:r w:rsidRPr="001416ED">
              <w:rPr>
                <w:b/>
              </w:rPr>
              <w:t>)</w:t>
            </w:r>
          </w:p>
        </w:tc>
        <w:tc>
          <w:tcPr>
            <w:tcW w:w="1559" w:type="dxa"/>
          </w:tcPr>
          <w:p w:rsidR="00A36D87" w:rsidRPr="001416ED" w:rsidRDefault="00A36D87" w:rsidP="00874505">
            <w:pPr>
              <w:spacing w:line="360" w:lineRule="auto"/>
              <w:jc w:val="center"/>
              <w:rPr>
                <w:b/>
              </w:rPr>
            </w:pPr>
            <w:r w:rsidRPr="001416ED">
              <w:rPr>
                <w:b/>
              </w:rPr>
              <w:t xml:space="preserve">2. </w:t>
            </w:r>
            <w:r w:rsidRPr="001416ED">
              <w:rPr>
                <w:b/>
                <w:lang w:val="uk-UA"/>
              </w:rPr>
              <w:t>З</w:t>
            </w:r>
            <w:r w:rsidRPr="001416ED">
              <w:rPr>
                <w:b/>
              </w:rPr>
              <w:t>авиток</w:t>
            </w:r>
          </w:p>
          <w:p w:rsidR="00A36D87" w:rsidRPr="001416ED" w:rsidRDefault="00A36D87" w:rsidP="00874505">
            <w:pPr>
              <w:spacing w:line="360" w:lineRule="auto"/>
              <w:jc w:val="center"/>
              <w:rPr>
                <w:b/>
              </w:rPr>
            </w:pPr>
            <w:r w:rsidRPr="001416ED">
              <w:rPr>
                <w:b/>
              </w:rPr>
              <w:t xml:space="preserve"> (</w:t>
            </w:r>
            <w:r w:rsidRPr="001416ED">
              <w:rPr>
                <w:b/>
                <w:lang w:val="en-US"/>
              </w:rPr>
              <w:t>W</w:t>
            </w:r>
            <w:r w:rsidRPr="001416ED">
              <w:rPr>
                <w:b/>
              </w:rPr>
              <w:t>)</w:t>
            </w:r>
          </w:p>
        </w:tc>
        <w:tc>
          <w:tcPr>
            <w:tcW w:w="1418" w:type="dxa"/>
          </w:tcPr>
          <w:p w:rsidR="00A36D87" w:rsidRPr="001416ED" w:rsidRDefault="00A36D87" w:rsidP="00874505">
            <w:pPr>
              <w:spacing w:line="360" w:lineRule="auto"/>
              <w:jc w:val="center"/>
              <w:rPr>
                <w:b/>
              </w:rPr>
            </w:pPr>
            <w:r w:rsidRPr="001416ED">
              <w:rPr>
                <w:b/>
              </w:rPr>
              <w:t>3.</w:t>
            </w:r>
            <w:r w:rsidRPr="001416ED">
              <w:rPr>
                <w:b/>
                <w:lang w:val="uk-UA"/>
              </w:rPr>
              <w:t xml:space="preserve"> </w:t>
            </w:r>
            <w:r w:rsidR="00FF5B8D" w:rsidRPr="001416ED">
              <w:rPr>
                <w:b/>
                <w:lang w:val="uk-UA"/>
              </w:rPr>
              <w:t>Дуга</w:t>
            </w:r>
          </w:p>
          <w:p w:rsidR="00A36D87" w:rsidRPr="001416ED" w:rsidRDefault="00A36D87" w:rsidP="00874505">
            <w:pPr>
              <w:spacing w:line="360" w:lineRule="auto"/>
              <w:jc w:val="center"/>
              <w:rPr>
                <w:b/>
              </w:rPr>
            </w:pPr>
            <w:r w:rsidRPr="001416ED">
              <w:rPr>
                <w:b/>
              </w:rPr>
              <w:t xml:space="preserve"> (А)</w:t>
            </w:r>
          </w:p>
        </w:tc>
        <w:tc>
          <w:tcPr>
            <w:tcW w:w="1842" w:type="dxa"/>
          </w:tcPr>
          <w:p w:rsidR="0061418B" w:rsidRPr="001416ED" w:rsidRDefault="00A36D87" w:rsidP="0061418B">
            <w:pPr>
              <w:spacing w:line="360" w:lineRule="auto"/>
              <w:jc w:val="center"/>
              <w:rPr>
                <w:b/>
                <w:lang w:val="uk-UA"/>
              </w:rPr>
            </w:pPr>
            <w:r w:rsidRPr="001416ED">
              <w:rPr>
                <w:b/>
              </w:rPr>
              <w:t xml:space="preserve">4. </w:t>
            </w:r>
            <w:r w:rsidRPr="001416ED">
              <w:rPr>
                <w:b/>
                <w:lang w:val="uk-UA"/>
              </w:rPr>
              <w:t>Р</w:t>
            </w:r>
            <w:r w:rsidRPr="001416ED">
              <w:rPr>
                <w:b/>
              </w:rPr>
              <w:t xml:space="preserve">адіальна </w:t>
            </w:r>
          </w:p>
          <w:p w:rsidR="00A36D87" w:rsidRPr="001416ED" w:rsidRDefault="00A36D87" w:rsidP="0061418B">
            <w:pPr>
              <w:spacing w:line="360" w:lineRule="auto"/>
              <w:jc w:val="center"/>
              <w:rPr>
                <w:b/>
              </w:rPr>
            </w:pPr>
            <w:r w:rsidRPr="001416ED">
              <w:rPr>
                <w:b/>
              </w:rPr>
              <w:t>петля (</w:t>
            </w:r>
            <w:r w:rsidRPr="001416ED">
              <w:rPr>
                <w:b/>
                <w:lang w:val="en-US"/>
              </w:rPr>
              <w:t>R</w:t>
            </w:r>
            <w:r w:rsidRPr="001416ED">
              <w:rPr>
                <w:b/>
              </w:rPr>
              <w:t>)</w:t>
            </w:r>
          </w:p>
        </w:tc>
        <w:tc>
          <w:tcPr>
            <w:tcW w:w="2092" w:type="dxa"/>
          </w:tcPr>
          <w:p w:rsidR="00A36D87" w:rsidRPr="001416ED" w:rsidRDefault="00A36D87" w:rsidP="00874505">
            <w:pPr>
              <w:spacing w:line="360" w:lineRule="auto"/>
              <w:jc w:val="center"/>
              <w:rPr>
                <w:b/>
              </w:rPr>
            </w:pPr>
            <w:r w:rsidRPr="001416ED">
              <w:rPr>
                <w:b/>
              </w:rPr>
              <w:t>р</w:t>
            </w:r>
          </w:p>
        </w:tc>
      </w:tr>
      <w:tr w:rsidR="0061418B" w:rsidRPr="001416ED" w:rsidTr="000A683B">
        <w:tc>
          <w:tcPr>
            <w:tcW w:w="1276" w:type="dxa"/>
          </w:tcPr>
          <w:p w:rsidR="00EB5FC3" w:rsidRPr="001416ED" w:rsidRDefault="006211BC" w:rsidP="00BF1A56">
            <w:pPr>
              <w:spacing w:line="360" w:lineRule="auto"/>
              <w:rPr>
                <w:lang w:val="uk-UA"/>
              </w:rPr>
            </w:pPr>
            <w:r w:rsidRPr="001416ED">
              <w:rPr>
                <w:lang w:val="uk-UA"/>
              </w:rPr>
              <w:t xml:space="preserve">1. </w:t>
            </w:r>
            <w:r w:rsidR="00BF1A56">
              <w:rPr>
                <w:lang w:val="uk-UA"/>
              </w:rPr>
              <w:t>ПК і ЛК</w:t>
            </w:r>
          </w:p>
        </w:tc>
        <w:tc>
          <w:tcPr>
            <w:tcW w:w="1843" w:type="dxa"/>
          </w:tcPr>
          <w:p w:rsidR="00EB5FC3" w:rsidRPr="001416ED" w:rsidRDefault="00EB5FC3" w:rsidP="00D02151">
            <w:pPr>
              <w:spacing w:line="360" w:lineRule="auto"/>
              <w:jc w:val="center"/>
              <w:rPr>
                <w:lang w:val="uk-UA"/>
              </w:rPr>
            </w:pPr>
            <w:r w:rsidRPr="001416ED">
              <w:t>54,4</w:t>
            </w:r>
            <w:r w:rsidR="00D4219F" w:rsidRPr="001416ED">
              <w:t xml:space="preserve"> %</w:t>
            </w:r>
            <w:r w:rsidR="00E52DE7" w:rsidRPr="001416ED">
              <w:rPr>
                <w:lang w:val="uk-UA"/>
              </w:rPr>
              <w:t xml:space="preserve"> </w:t>
            </w:r>
          </w:p>
          <w:p w:rsidR="00EB5FC3" w:rsidRPr="001416ED" w:rsidRDefault="00EB5FC3" w:rsidP="00D02151">
            <w:pPr>
              <w:spacing w:line="360" w:lineRule="auto"/>
              <w:jc w:val="center"/>
            </w:pPr>
            <w:r w:rsidRPr="001416ED">
              <w:t>∑=430</w:t>
            </w:r>
          </w:p>
        </w:tc>
        <w:tc>
          <w:tcPr>
            <w:tcW w:w="1559" w:type="dxa"/>
          </w:tcPr>
          <w:p w:rsidR="00EB5FC3" w:rsidRPr="001416ED" w:rsidRDefault="00EB5FC3" w:rsidP="00D02151">
            <w:pPr>
              <w:spacing w:line="360" w:lineRule="auto"/>
              <w:jc w:val="center"/>
              <w:rPr>
                <w:lang w:val="uk-UA"/>
              </w:rPr>
            </w:pPr>
            <w:r w:rsidRPr="001416ED">
              <w:t>38,1</w:t>
            </w:r>
            <w:r w:rsidR="00D4219F" w:rsidRPr="001416ED">
              <w:t xml:space="preserve"> %</w:t>
            </w:r>
            <w:r w:rsidR="00E52DE7" w:rsidRPr="001416ED">
              <w:rPr>
                <w:lang w:val="uk-UA"/>
              </w:rPr>
              <w:t xml:space="preserve"> </w:t>
            </w:r>
          </w:p>
          <w:p w:rsidR="00EB5FC3" w:rsidRPr="001416ED" w:rsidRDefault="00EB5FC3" w:rsidP="00D02151">
            <w:pPr>
              <w:spacing w:line="360" w:lineRule="auto"/>
              <w:jc w:val="center"/>
            </w:pPr>
            <w:r w:rsidRPr="001416ED">
              <w:t>∑=301</w:t>
            </w:r>
          </w:p>
        </w:tc>
        <w:tc>
          <w:tcPr>
            <w:tcW w:w="1418" w:type="dxa"/>
          </w:tcPr>
          <w:p w:rsidR="00EB5FC3" w:rsidRPr="001416ED" w:rsidRDefault="00EB5FC3" w:rsidP="00D02151">
            <w:pPr>
              <w:spacing w:line="360" w:lineRule="auto"/>
              <w:jc w:val="center"/>
            </w:pPr>
            <w:r w:rsidRPr="001416ED">
              <w:t>4,5</w:t>
            </w:r>
            <w:r w:rsidR="00D4219F" w:rsidRPr="001416ED">
              <w:t xml:space="preserve"> %</w:t>
            </w:r>
            <w:r w:rsidR="00E52DE7" w:rsidRPr="001416ED">
              <w:rPr>
                <w:lang w:val="uk-UA"/>
              </w:rPr>
              <w:t xml:space="preserve"> </w:t>
            </w:r>
          </w:p>
          <w:p w:rsidR="00EB5FC3" w:rsidRPr="001416ED" w:rsidRDefault="00EB5FC3" w:rsidP="00D02151">
            <w:pPr>
              <w:spacing w:line="360" w:lineRule="auto"/>
              <w:jc w:val="center"/>
            </w:pPr>
            <w:r w:rsidRPr="001416ED">
              <w:t>∑=36</w:t>
            </w:r>
          </w:p>
        </w:tc>
        <w:tc>
          <w:tcPr>
            <w:tcW w:w="1842" w:type="dxa"/>
          </w:tcPr>
          <w:p w:rsidR="00EB5FC3" w:rsidRPr="001416ED" w:rsidRDefault="00EB5FC3" w:rsidP="00D02151">
            <w:pPr>
              <w:spacing w:line="360" w:lineRule="auto"/>
              <w:jc w:val="center"/>
            </w:pPr>
            <w:r w:rsidRPr="001416ED">
              <w:t>3</w:t>
            </w:r>
            <w:r w:rsidR="00D4219F" w:rsidRPr="001416ED">
              <w:t xml:space="preserve"> %</w:t>
            </w:r>
            <w:r w:rsidR="00E52DE7" w:rsidRPr="001416ED">
              <w:rPr>
                <w:lang w:val="uk-UA"/>
              </w:rPr>
              <w:t xml:space="preserve"> </w:t>
            </w:r>
          </w:p>
          <w:p w:rsidR="00EB5FC3" w:rsidRPr="001416ED" w:rsidRDefault="00EB5FC3" w:rsidP="00D02151">
            <w:pPr>
              <w:spacing w:line="360" w:lineRule="auto"/>
              <w:jc w:val="center"/>
            </w:pPr>
            <w:r w:rsidRPr="001416ED">
              <w:t>∑=23</w:t>
            </w:r>
          </w:p>
        </w:tc>
        <w:tc>
          <w:tcPr>
            <w:tcW w:w="2092" w:type="dxa"/>
          </w:tcPr>
          <w:p w:rsidR="005C171D" w:rsidRPr="001416ED" w:rsidRDefault="005C171D" w:rsidP="00D02151">
            <w:pPr>
              <w:spacing w:line="360" w:lineRule="auto"/>
              <w:jc w:val="both"/>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00EC3922" w:rsidRPr="001416ED">
              <w:rPr>
                <w:lang w:val="uk-UA"/>
              </w:rPr>
              <w:t>&lt;0,000</w:t>
            </w:r>
            <w:r w:rsidRPr="001416ED">
              <w:rPr>
                <w:lang w:val="uk-UA"/>
              </w:rPr>
              <w:t>1;</w:t>
            </w:r>
          </w:p>
          <w:p w:rsidR="005C171D" w:rsidRPr="001416ED" w:rsidRDefault="005C171D" w:rsidP="00D02151">
            <w:pPr>
              <w:spacing w:line="360" w:lineRule="auto"/>
              <w:jc w:val="both"/>
              <w:rPr>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1</w:t>
            </w:r>
            <w:r w:rsidR="00EC3922" w:rsidRPr="001416ED">
              <w:rPr>
                <w:lang w:val="uk-UA"/>
              </w:rPr>
              <w:t>&lt;0,000</w:t>
            </w:r>
            <w:r w:rsidRPr="001416ED">
              <w:rPr>
                <w:lang w:val="uk-UA"/>
              </w:rPr>
              <w:t>1;</w:t>
            </w:r>
          </w:p>
          <w:p w:rsidR="005C171D" w:rsidRPr="001416ED" w:rsidRDefault="005C171D" w:rsidP="00D02151">
            <w:pPr>
              <w:spacing w:line="360" w:lineRule="auto"/>
              <w:jc w:val="both"/>
              <w:rPr>
                <w:lang w:val="uk-UA"/>
              </w:rPr>
            </w:pPr>
            <w:r w:rsidRPr="001416ED">
              <w:rPr>
                <w:lang w:val="uk-UA"/>
              </w:rPr>
              <w:t>р</w:t>
            </w:r>
            <w:r w:rsidRPr="001416ED">
              <w:rPr>
                <w:vertAlign w:val="subscript"/>
                <w:lang w:val="uk-UA"/>
              </w:rPr>
              <w:t>4</w:t>
            </w:r>
            <w:r w:rsidR="00BC0119" w:rsidRPr="001416ED">
              <w:rPr>
                <w:vertAlign w:val="subscript"/>
                <w:lang w:val="uk-UA"/>
              </w:rPr>
              <w:t>–</w:t>
            </w:r>
            <w:r w:rsidRPr="001416ED">
              <w:rPr>
                <w:vertAlign w:val="subscript"/>
                <w:lang w:val="uk-UA"/>
              </w:rPr>
              <w:t>1</w:t>
            </w:r>
            <w:r w:rsidR="00EC3922" w:rsidRPr="001416ED">
              <w:rPr>
                <w:lang w:val="uk-UA"/>
              </w:rPr>
              <w:t>&lt;0,000</w:t>
            </w:r>
            <w:r w:rsidRPr="001416ED">
              <w:rPr>
                <w:lang w:val="uk-UA"/>
              </w:rPr>
              <w:t>1;</w:t>
            </w:r>
          </w:p>
          <w:p w:rsidR="005C171D" w:rsidRPr="001416ED" w:rsidRDefault="005C171D" w:rsidP="00D02151">
            <w:pPr>
              <w:spacing w:line="360" w:lineRule="auto"/>
              <w:jc w:val="both"/>
              <w:rPr>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2</w:t>
            </w:r>
            <w:r w:rsidR="00EC3922" w:rsidRPr="001416ED">
              <w:rPr>
                <w:lang w:val="uk-UA"/>
              </w:rPr>
              <w:t>&lt;0,000</w:t>
            </w:r>
            <w:r w:rsidRPr="001416ED">
              <w:rPr>
                <w:lang w:val="uk-UA"/>
              </w:rPr>
              <w:t>1;</w:t>
            </w:r>
          </w:p>
          <w:p w:rsidR="005C171D" w:rsidRPr="001416ED" w:rsidRDefault="005C171D" w:rsidP="00D02151">
            <w:pPr>
              <w:spacing w:line="360" w:lineRule="auto"/>
              <w:jc w:val="both"/>
              <w:rPr>
                <w:lang w:val="uk-UA"/>
              </w:rPr>
            </w:pPr>
            <w:r w:rsidRPr="001416ED">
              <w:rPr>
                <w:lang w:val="uk-UA"/>
              </w:rPr>
              <w:t>р</w:t>
            </w:r>
            <w:r w:rsidRPr="001416ED">
              <w:rPr>
                <w:vertAlign w:val="subscript"/>
                <w:lang w:val="uk-UA"/>
              </w:rPr>
              <w:t>4</w:t>
            </w:r>
            <w:r w:rsidR="00BC0119" w:rsidRPr="001416ED">
              <w:rPr>
                <w:vertAlign w:val="subscript"/>
                <w:lang w:val="uk-UA"/>
              </w:rPr>
              <w:t>–</w:t>
            </w:r>
            <w:r w:rsidRPr="001416ED">
              <w:rPr>
                <w:vertAlign w:val="subscript"/>
                <w:lang w:val="uk-UA"/>
              </w:rPr>
              <w:t>2</w:t>
            </w:r>
            <w:r w:rsidR="00EC3922" w:rsidRPr="001416ED">
              <w:rPr>
                <w:lang w:val="uk-UA"/>
              </w:rPr>
              <w:t>&lt;0,000</w:t>
            </w:r>
            <w:r w:rsidRPr="001416ED">
              <w:rPr>
                <w:lang w:val="uk-UA"/>
              </w:rPr>
              <w:t>1;</w:t>
            </w:r>
          </w:p>
          <w:p w:rsidR="00B52CEF" w:rsidRPr="001416ED" w:rsidRDefault="005C171D" w:rsidP="000A683B">
            <w:pPr>
              <w:spacing w:line="360" w:lineRule="auto"/>
              <w:jc w:val="both"/>
              <w:rPr>
                <w:lang w:val="uk-UA"/>
              </w:rPr>
            </w:pPr>
            <w:r w:rsidRPr="001416ED">
              <w:rPr>
                <w:lang w:val="uk-UA"/>
              </w:rPr>
              <w:t>р</w:t>
            </w:r>
            <w:r w:rsidRPr="001416ED">
              <w:rPr>
                <w:vertAlign w:val="subscript"/>
                <w:lang w:val="uk-UA"/>
              </w:rPr>
              <w:t>4</w:t>
            </w:r>
            <w:r w:rsidR="00BC0119" w:rsidRPr="001416ED">
              <w:rPr>
                <w:vertAlign w:val="subscript"/>
                <w:lang w:val="uk-UA"/>
              </w:rPr>
              <w:t>–</w:t>
            </w:r>
            <w:r w:rsidRPr="001416ED">
              <w:rPr>
                <w:vertAlign w:val="subscript"/>
                <w:lang w:val="uk-UA"/>
              </w:rPr>
              <w:t>3</w:t>
            </w:r>
            <w:r w:rsidRPr="001416ED">
              <w:rPr>
                <w:lang w:val="uk-UA"/>
              </w:rPr>
              <w:t>&gt;0,05</w:t>
            </w:r>
          </w:p>
        </w:tc>
      </w:tr>
      <w:tr w:rsidR="00B52CEF" w:rsidRPr="001416ED" w:rsidTr="000A683B">
        <w:tc>
          <w:tcPr>
            <w:tcW w:w="1276" w:type="dxa"/>
          </w:tcPr>
          <w:p w:rsidR="00B52CEF" w:rsidRPr="001416ED" w:rsidRDefault="00B52CEF" w:rsidP="00E5471B">
            <w:pPr>
              <w:spacing w:line="360" w:lineRule="auto"/>
              <w:rPr>
                <w:lang w:val="uk-UA"/>
              </w:rPr>
            </w:pPr>
            <w:r w:rsidRPr="001416ED">
              <w:rPr>
                <w:lang w:val="uk-UA"/>
              </w:rPr>
              <w:t xml:space="preserve">2. </w:t>
            </w:r>
            <w:r w:rsidR="007F0AEB" w:rsidRPr="001416ED">
              <w:rPr>
                <w:lang w:val="uk-UA"/>
              </w:rPr>
              <w:t>ПК</w:t>
            </w:r>
          </w:p>
        </w:tc>
        <w:tc>
          <w:tcPr>
            <w:tcW w:w="1843" w:type="dxa"/>
          </w:tcPr>
          <w:p w:rsidR="00B52CEF" w:rsidRPr="001416ED" w:rsidRDefault="00B52CEF" w:rsidP="00E5471B">
            <w:pPr>
              <w:spacing w:line="360" w:lineRule="auto"/>
              <w:jc w:val="center"/>
            </w:pPr>
            <w:r w:rsidRPr="001416ED">
              <w:t>50,3</w:t>
            </w:r>
            <w:r w:rsidR="00D4219F" w:rsidRPr="001416ED">
              <w:t xml:space="preserve"> %</w:t>
            </w:r>
          </w:p>
          <w:p w:rsidR="00B52CEF" w:rsidRPr="001416ED" w:rsidRDefault="00B52CEF" w:rsidP="00E5471B">
            <w:pPr>
              <w:spacing w:line="360" w:lineRule="auto"/>
              <w:jc w:val="center"/>
            </w:pPr>
            <w:r w:rsidRPr="001416ED">
              <w:t xml:space="preserve">∑=199 </w:t>
            </w:r>
          </w:p>
        </w:tc>
        <w:tc>
          <w:tcPr>
            <w:tcW w:w="1559" w:type="dxa"/>
          </w:tcPr>
          <w:p w:rsidR="00B52CEF" w:rsidRPr="001416ED" w:rsidRDefault="00B52CEF" w:rsidP="00E5471B">
            <w:pPr>
              <w:spacing w:line="360" w:lineRule="auto"/>
              <w:jc w:val="center"/>
            </w:pPr>
            <w:r w:rsidRPr="001416ED">
              <w:t>40,5</w:t>
            </w:r>
            <w:r w:rsidR="00D4219F" w:rsidRPr="001416ED">
              <w:t xml:space="preserve"> %</w:t>
            </w:r>
          </w:p>
          <w:p w:rsidR="00B52CEF" w:rsidRPr="001416ED" w:rsidRDefault="00B52CEF" w:rsidP="00E5471B">
            <w:pPr>
              <w:spacing w:line="360" w:lineRule="auto"/>
              <w:jc w:val="center"/>
            </w:pPr>
            <w:r w:rsidRPr="001416ED">
              <w:t>∑=160</w:t>
            </w:r>
          </w:p>
        </w:tc>
        <w:tc>
          <w:tcPr>
            <w:tcW w:w="1418" w:type="dxa"/>
          </w:tcPr>
          <w:p w:rsidR="00B52CEF" w:rsidRPr="001416ED" w:rsidRDefault="00B52CEF" w:rsidP="00E5471B">
            <w:pPr>
              <w:spacing w:line="360" w:lineRule="auto"/>
              <w:jc w:val="center"/>
            </w:pPr>
            <w:r w:rsidRPr="001416ED">
              <w:t>4,6</w:t>
            </w:r>
            <w:r w:rsidR="00D4219F" w:rsidRPr="001416ED">
              <w:t xml:space="preserve"> %</w:t>
            </w:r>
          </w:p>
          <w:p w:rsidR="00B52CEF" w:rsidRPr="001416ED" w:rsidRDefault="00B52CEF" w:rsidP="00E5471B">
            <w:pPr>
              <w:spacing w:line="360" w:lineRule="auto"/>
              <w:jc w:val="center"/>
            </w:pPr>
            <w:r w:rsidRPr="001416ED">
              <w:t>∑=18</w:t>
            </w:r>
          </w:p>
        </w:tc>
        <w:tc>
          <w:tcPr>
            <w:tcW w:w="1842" w:type="dxa"/>
          </w:tcPr>
          <w:p w:rsidR="00B52CEF" w:rsidRPr="001416ED" w:rsidRDefault="00B52CEF" w:rsidP="00E5471B">
            <w:pPr>
              <w:spacing w:line="360" w:lineRule="auto"/>
              <w:jc w:val="center"/>
            </w:pPr>
            <w:r w:rsidRPr="001416ED">
              <w:t>4,6</w:t>
            </w:r>
            <w:r w:rsidR="00D4219F" w:rsidRPr="001416ED">
              <w:t xml:space="preserve"> %</w:t>
            </w:r>
          </w:p>
          <w:p w:rsidR="00B52CEF" w:rsidRPr="001416ED" w:rsidRDefault="00B52CEF" w:rsidP="00E5471B">
            <w:pPr>
              <w:spacing w:line="360" w:lineRule="auto"/>
              <w:jc w:val="center"/>
            </w:pPr>
            <w:r w:rsidRPr="001416ED">
              <w:t>∑=18</w:t>
            </w:r>
          </w:p>
        </w:tc>
        <w:tc>
          <w:tcPr>
            <w:tcW w:w="2092" w:type="dxa"/>
          </w:tcPr>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2–1</w:t>
            </w:r>
            <w:r w:rsidRPr="001416ED">
              <w:rPr>
                <w:lang w:val="uk-UA"/>
              </w:rPr>
              <w:t>&lt;0,001;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3–1</w:t>
            </w:r>
            <w:r w:rsidRPr="001416ED">
              <w:rPr>
                <w:lang w:val="uk-UA"/>
              </w:rPr>
              <w:t>&lt;0,0001;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4–1</w:t>
            </w:r>
            <w:r w:rsidRPr="001416ED">
              <w:rPr>
                <w:lang w:val="uk-UA"/>
              </w:rPr>
              <w:t>&lt;0,0001;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3–2</w:t>
            </w:r>
            <w:r w:rsidRPr="001416ED">
              <w:rPr>
                <w:lang w:val="uk-UA"/>
              </w:rPr>
              <w:t>&lt;0,01;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4–2</w:t>
            </w:r>
            <w:r w:rsidRPr="001416ED">
              <w:rPr>
                <w:lang w:val="uk-UA"/>
              </w:rPr>
              <w:t>&lt;0,01;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4–3</w:t>
            </w:r>
            <w:r w:rsidRPr="001416ED">
              <w:rPr>
                <w:lang w:val="uk-UA"/>
              </w:rPr>
              <w:t>&gt;0,05</w:t>
            </w:r>
          </w:p>
        </w:tc>
      </w:tr>
      <w:tr w:rsidR="00B52CEF" w:rsidRPr="001416ED" w:rsidTr="000A683B">
        <w:tc>
          <w:tcPr>
            <w:tcW w:w="1276" w:type="dxa"/>
          </w:tcPr>
          <w:p w:rsidR="00B52CEF" w:rsidRPr="001416ED" w:rsidRDefault="00B52CEF" w:rsidP="00E5471B">
            <w:pPr>
              <w:spacing w:line="360" w:lineRule="auto"/>
              <w:rPr>
                <w:lang w:val="uk-UA"/>
              </w:rPr>
            </w:pPr>
            <w:r w:rsidRPr="001416ED">
              <w:rPr>
                <w:lang w:val="uk-UA"/>
              </w:rPr>
              <w:t xml:space="preserve">3. </w:t>
            </w:r>
            <w:r w:rsidR="007F0AEB" w:rsidRPr="001416ED">
              <w:rPr>
                <w:lang w:val="uk-UA"/>
              </w:rPr>
              <w:t>ЛК</w:t>
            </w:r>
          </w:p>
        </w:tc>
        <w:tc>
          <w:tcPr>
            <w:tcW w:w="1843" w:type="dxa"/>
          </w:tcPr>
          <w:p w:rsidR="00B52CEF" w:rsidRPr="001416ED" w:rsidRDefault="00B52CEF" w:rsidP="00E5471B">
            <w:pPr>
              <w:spacing w:line="360" w:lineRule="auto"/>
              <w:jc w:val="center"/>
            </w:pPr>
            <w:r w:rsidRPr="001416ED">
              <w:t>58,5</w:t>
            </w:r>
            <w:r w:rsidR="00D4219F" w:rsidRPr="001416ED">
              <w:t xml:space="preserve"> %</w:t>
            </w:r>
          </w:p>
          <w:p w:rsidR="00B52CEF" w:rsidRPr="001416ED" w:rsidRDefault="00B52CEF" w:rsidP="00E5471B">
            <w:pPr>
              <w:spacing w:line="360" w:lineRule="auto"/>
              <w:jc w:val="center"/>
            </w:pPr>
            <w:r w:rsidRPr="001416ED">
              <w:t xml:space="preserve">∑=231 </w:t>
            </w:r>
          </w:p>
        </w:tc>
        <w:tc>
          <w:tcPr>
            <w:tcW w:w="1559" w:type="dxa"/>
          </w:tcPr>
          <w:p w:rsidR="00B52CEF" w:rsidRPr="001416ED" w:rsidRDefault="00B52CEF" w:rsidP="00E5471B">
            <w:pPr>
              <w:spacing w:line="360" w:lineRule="auto"/>
              <w:jc w:val="center"/>
            </w:pPr>
            <w:r w:rsidRPr="001416ED">
              <w:t>35,7</w:t>
            </w:r>
            <w:r w:rsidR="00D4219F" w:rsidRPr="001416ED">
              <w:t xml:space="preserve"> %</w:t>
            </w:r>
          </w:p>
          <w:p w:rsidR="00B52CEF" w:rsidRPr="001416ED" w:rsidRDefault="00B52CEF" w:rsidP="00E5471B">
            <w:pPr>
              <w:spacing w:line="360" w:lineRule="auto"/>
              <w:jc w:val="center"/>
            </w:pPr>
            <w:r w:rsidRPr="001416ED">
              <w:t>∑=141</w:t>
            </w:r>
          </w:p>
        </w:tc>
        <w:tc>
          <w:tcPr>
            <w:tcW w:w="1418" w:type="dxa"/>
          </w:tcPr>
          <w:p w:rsidR="00B52CEF" w:rsidRPr="001416ED" w:rsidRDefault="00B52CEF" w:rsidP="00E5471B">
            <w:pPr>
              <w:spacing w:line="360" w:lineRule="auto"/>
              <w:jc w:val="center"/>
            </w:pPr>
            <w:r w:rsidRPr="001416ED">
              <w:t>4,5</w:t>
            </w:r>
            <w:r w:rsidR="00D4219F" w:rsidRPr="001416ED">
              <w:t xml:space="preserve"> %</w:t>
            </w:r>
          </w:p>
          <w:p w:rsidR="00B52CEF" w:rsidRPr="001416ED" w:rsidRDefault="00B52CEF" w:rsidP="00E5471B">
            <w:pPr>
              <w:spacing w:line="360" w:lineRule="auto"/>
              <w:jc w:val="center"/>
            </w:pPr>
            <w:r w:rsidRPr="001416ED">
              <w:t>∑=18</w:t>
            </w:r>
          </w:p>
        </w:tc>
        <w:tc>
          <w:tcPr>
            <w:tcW w:w="1842" w:type="dxa"/>
          </w:tcPr>
          <w:p w:rsidR="00B52CEF" w:rsidRPr="001416ED" w:rsidRDefault="00B52CEF" w:rsidP="00E5471B">
            <w:pPr>
              <w:spacing w:line="360" w:lineRule="auto"/>
              <w:jc w:val="center"/>
            </w:pPr>
            <w:r w:rsidRPr="001416ED">
              <w:t>1,3</w:t>
            </w:r>
            <w:r w:rsidR="00D4219F" w:rsidRPr="001416ED">
              <w:t xml:space="preserve"> %</w:t>
            </w:r>
          </w:p>
          <w:p w:rsidR="00B52CEF" w:rsidRPr="001416ED" w:rsidRDefault="00B52CEF" w:rsidP="00E5471B">
            <w:pPr>
              <w:spacing w:line="360" w:lineRule="auto"/>
              <w:jc w:val="center"/>
            </w:pPr>
            <w:r w:rsidRPr="001416ED">
              <w:t>∑=5</w:t>
            </w:r>
          </w:p>
        </w:tc>
        <w:tc>
          <w:tcPr>
            <w:tcW w:w="2092" w:type="dxa"/>
          </w:tcPr>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2–1</w:t>
            </w:r>
            <w:r w:rsidRPr="001416ED">
              <w:rPr>
                <w:lang w:val="uk-UA"/>
              </w:rPr>
              <w:t>&lt;0,0001;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3–1</w:t>
            </w:r>
            <w:r w:rsidRPr="001416ED">
              <w:rPr>
                <w:lang w:val="uk-UA"/>
              </w:rPr>
              <w:t>&lt;0,0001;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4–1</w:t>
            </w:r>
            <w:r w:rsidRPr="001416ED">
              <w:rPr>
                <w:lang w:val="uk-UA"/>
              </w:rPr>
              <w:t>&lt;0,0001;</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3–2</w:t>
            </w:r>
            <w:r w:rsidRPr="001416ED">
              <w:rPr>
                <w:lang w:val="uk-UA"/>
              </w:rPr>
              <w:t>&lt;0,01;р</w:t>
            </w:r>
            <w:r w:rsidRPr="001416ED">
              <w:rPr>
                <w:vertAlign w:val="subscript"/>
                <w:lang w:val="uk-UA"/>
              </w:rPr>
              <w:t>4–2</w:t>
            </w:r>
            <w:r w:rsidRPr="001416ED">
              <w:rPr>
                <w:lang w:val="uk-UA"/>
              </w:rPr>
              <w:t>&gt;0,05;р</w:t>
            </w:r>
            <w:r w:rsidRPr="001416ED">
              <w:rPr>
                <w:vertAlign w:val="subscript"/>
                <w:lang w:val="uk-UA"/>
              </w:rPr>
              <w:t>4–3</w:t>
            </w:r>
            <w:r w:rsidRPr="001416ED">
              <w:rPr>
                <w:lang w:val="uk-UA"/>
              </w:rPr>
              <w:t>&gt;0,05</w:t>
            </w:r>
          </w:p>
        </w:tc>
      </w:tr>
      <w:tr w:rsidR="00B52CEF" w:rsidRPr="001416ED" w:rsidTr="000A683B">
        <w:tc>
          <w:tcPr>
            <w:tcW w:w="1276" w:type="dxa"/>
          </w:tcPr>
          <w:p w:rsidR="00B52CEF" w:rsidRPr="001416ED" w:rsidRDefault="00B52CEF" w:rsidP="00E5471B">
            <w:pPr>
              <w:spacing w:line="360" w:lineRule="auto"/>
              <w:jc w:val="both"/>
              <w:rPr>
                <w:lang w:val="en-US"/>
              </w:rPr>
            </w:pPr>
            <w:r w:rsidRPr="001416ED">
              <w:rPr>
                <w:lang w:val="en-US"/>
              </w:rPr>
              <w:t>p</w:t>
            </w:r>
          </w:p>
        </w:tc>
        <w:tc>
          <w:tcPr>
            <w:tcW w:w="1843" w:type="dxa"/>
          </w:tcPr>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2–1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3–2</w:t>
            </w:r>
            <w:r w:rsidRPr="001416ED">
              <w:rPr>
                <w:lang w:val="uk-UA"/>
              </w:rPr>
              <w:t>&gt;0,05</w:t>
            </w:r>
          </w:p>
        </w:tc>
        <w:tc>
          <w:tcPr>
            <w:tcW w:w="1559" w:type="dxa"/>
          </w:tcPr>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2–1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3–2</w:t>
            </w:r>
            <w:r w:rsidRPr="001416ED">
              <w:rPr>
                <w:lang w:val="uk-UA"/>
              </w:rPr>
              <w:t>&gt;0,05</w:t>
            </w:r>
          </w:p>
        </w:tc>
        <w:tc>
          <w:tcPr>
            <w:tcW w:w="1418" w:type="dxa"/>
          </w:tcPr>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2–1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3–1</w:t>
            </w:r>
            <w:r w:rsidRPr="001416ED">
              <w:rPr>
                <w:lang w:val="uk-UA"/>
              </w:rPr>
              <w:t>&gt;0,05;</w:t>
            </w:r>
          </w:p>
          <w:p w:rsidR="00B52CEF" w:rsidRPr="001416ED" w:rsidRDefault="00B52CEF" w:rsidP="00E5471B">
            <w:pPr>
              <w:spacing w:line="360" w:lineRule="auto"/>
              <w:jc w:val="both"/>
              <w:rPr>
                <w:lang w:val="uk-UA"/>
              </w:rPr>
            </w:pPr>
            <w:r w:rsidRPr="001416ED">
              <w:rPr>
                <w:lang w:val="uk-UA"/>
              </w:rPr>
              <w:t>р</w:t>
            </w:r>
            <w:r w:rsidRPr="001416ED">
              <w:rPr>
                <w:vertAlign w:val="subscript"/>
                <w:lang w:val="uk-UA"/>
              </w:rPr>
              <w:t>3–2</w:t>
            </w:r>
            <w:r w:rsidRPr="001416ED">
              <w:rPr>
                <w:lang w:val="uk-UA"/>
              </w:rPr>
              <w:t>&gt;0,05</w:t>
            </w:r>
          </w:p>
        </w:tc>
        <w:tc>
          <w:tcPr>
            <w:tcW w:w="1842" w:type="dxa"/>
          </w:tcPr>
          <w:p w:rsidR="00B52CEF" w:rsidRPr="001416ED" w:rsidRDefault="00B52CEF" w:rsidP="008F16B9">
            <w:pPr>
              <w:spacing w:line="360" w:lineRule="auto"/>
              <w:jc w:val="center"/>
              <w:rPr>
                <w:lang w:val="uk-UA"/>
              </w:rPr>
            </w:pPr>
            <w:r w:rsidRPr="001416ED">
              <w:rPr>
                <w:lang w:val="uk-UA"/>
              </w:rPr>
              <w:t>р</w:t>
            </w:r>
            <w:r w:rsidRPr="001416ED">
              <w:rPr>
                <w:vertAlign w:val="subscript"/>
                <w:lang w:val="uk-UA"/>
              </w:rPr>
              <w:t>2–1</w:t>
            </w:r>
            <w:r w:rsidRPr="001416ED">
              <w:rPr>
                <w:lang w:val="uk-UA"/>
              </w:rPr>
              <w:t>&gt;0,05;</w:t>
            </w:r>
          </w:p>
          <w:p w:rsidR="00B52CEF" w:rsidRPr="001416ED" w:rsidRDefault="00B52CEF" w:rsidP="008F16B9">
            <w:pPr>
              <w:spacing w:line="360" w:lineRule="auto"/>
              <w:jc w:val="center"/>
              <w:rPr>
                <w:lang w:val="uk-UA"/>
              </w:rPr>
            </w:pPr>
            <w:r w:rsidRPr="001416ED">
              <w:rPr>
                <w:lang w:val="uk-UA"/>
              </w:rPr>
              <w:t>р</w:t>
            </w:r>
            <w:r w:rsidRPr="001416ED">
              <w:rPr>
                <w:vertAlign w:val="subscript"/>
                <w:lang w:val="uk-UA"/>
              </w:rPr>
              <w:t>3–1</w:t>
            </w:r>
            <w:r w:rsidRPr="001416ED">
              <w:rPr>
                <w:lang w:val="uk-UA"/>
              </w:rPr>
              <w:t>&gt;0,05;</w:t>
            </w:r>
          </w:p>
          <w:p w:rsidR="00B52CEF" w:rsidRPr="001416ED" w:rsidRDefault="00B52CEF" w:rsidP="008F16B9">
            <w:pPr>
              <w:spacing w:line="360" w:lineRule="auto"/>
              <w:jc w:val="center"/>
              <w:rPr>
                <w:lang w:val="uk-UA"/>
              </w:rPr>
            </w:pPr>
            <w:r w:rsidRPr="001416ED">
              <w:rPr>
                <w:lang w:val="uk-UA"/>
              </w:rPr>
              <w:t>р</w:t>
            </w:r>
            <w:r w:rsidRPr="001416ED">
              <w:rPr>
                <w:vertAlign w:val="subscript"/>
                <w:lang w:val="uk-UA"/>
              </w:rPr>
              <w:t>3–2</w:t>
            </w:r>
            <w:r w:rsidRPr="001416ED">
              <w:rPr>
                <w:lang w:val="uk-UA"/>
              </w:rPr>
              <w:t>&gt;0,05</w:t>
            </w:r>
          </w:p>
        </w:tc>
        <w:tc>
          <w:tcPr>
            <w:tcW w:w="2092" w:type="dxa"/>
          </w:tcPr>
          <w:p w:rsidR="00B52CEF" w:rsidRPr="001416ED" w:rsidRDefault="00B52CEF" w:rsidP="00E5471B">
            <w:pPr>
              <w:spacing w:line="360" w:lineRule="auto"/>
              <w:jc w:val="both"/>
              <w:rPr>
                <w:lang w:val="uk-UA"/>
              </w:rPr>
            </w:pPr>
          </w:p>
        </w:tc>
      </w:tr>
    </w:tbl>
    <w:p w:rsidR="00227EA1" w:rsidRPr="001416ED" w:rsidRDefault="009F402A" w:rsidP="00475F91">
      <w:pPr>
        <w:spacing w:before="240" w:line="360" w:lineRule="auto"/>
        <w:ind w:firstLine="708"/>
        <w:jc w:val="both"/>
        <w:rPr>
          <w:lang w:val="uk-UA"/>
        </w:rPr>
      </w:pPr>
      <w:r w:rsidRPr="001416ED">
        <w:rPr>
          <w:lang w:val="uk-UA"/>
        </w:rPr>
        <w:lastRenderedPageBreak/>
        <w:t>У чоловіків</w:t>
      </w:r>
      <w:r w:rsidR="00480F48" w:rsidRPr="001416ED">
        <w:rPr>
          <w:lang w:val="uk-UA"/>
        </w:rPr>
        <w:t xml:space="preserve"> групи контролю</w:t>
      </w:r>
      <w:r w:rsidRPr="001416ED">
        <w:rPr>
          <w:lang w:val="uk-UA"/>
        </w:rPr>
        <w:t xml:space="preserve">, </w:t>
      </w:r>
      <w:r w:rsidR="00480F48" w:rsidRPr="001416ED">
        <w:rPr>
          <w:lang w:val="uk-UA"/>
        </w:rPr>
        <w:t xml:space="preserve">частота </w:t>
      </w:r>
      <w:r w:rsidRPr="001416ED">
        <w:rPr>
          <w:lang w:val="uk-UA"/>
        </w:rPr>
        <w:t>пальцевих узорів на обох кистях у порядку зменшення є такою: U&gt;W&gt;A&gt;R (</w:t>
      </w:r>
      <w:r w:rsidR="00480F48" w:rsidRPr="001416ED">
        <w:rPr>
          <w:lang w:val="uk-UA"/>
        </w:rPr>
        <w:t xml:space="preserve">430; 301; 36; 23, відповідно), на </w:t>
      </w:r>
      <w:r w:rsidR="007F0AEB" w:rsidRPr="001416ED">
        <w:rPr>
          <w:lang w:val="uk-UA"/>
        </w:rPr>
        <w:t>ПК</w:t>
      </w:r>
      <w:r w:rsidR="00BC0119" w:rsidRPr="001416ED">
        <w:rPr>
          <w:lang w:val="uk-UA"/>
        </w:rPr>
        <w:t>–</w:t>
      </w:r>
      <w:r w:rsidR="00480F48" w:rsidRPr="001416ED">
        <w:rPr>
          <w:lang w:val="uk-UA"/>
        </w:rPr>
        <w:t xml:space="preserve"> </w:t>
      </w:r>
      <w:r w:rsidRPr="001416ED">
        <w:rPr>
          <w:lang w:val="uk-UA"/>
        </w:rPr>
        <w:t>U&gt;W&gt;A&gt;R (199; 160; 18; 18</w:t>
      </w:r>
      <w:r w:rsidR="00480F48" w:rsidRPr="001416ED">
        <w:rPr>
          <w:lang w:val="uk-UA"/>
        </w:rPr>
        <w:t>,</w:t>
      </w:r>
      <w:r w:rsidRPr="001416ED">
        <w:rPr>
          <w:lang w:val="uk-UA"/>
        </w:rPr>
        <w:t xml:space="preserve"> </w:t>
      </w:r>
      <w:r w:rsidR="00480F48" w:rsidRPr="001416ED">
        <w:rPr>
          <w:lang w:val="uk-UA"/>
        </w:rPr>
        <w:t>відповідно</w:t>
      </w:r>
      <w:r w:rsidRPr="001416ED">
        <w:rPr>
          <w:lang w:val="uk-UA"/>
        </w:rPr>
        <w:t xml:space="preserve">), на </w:t>
      </w:r>
      <w:r w:rsidR="007F0AEB" w:rsidRPr="001416ED">
        <w:rPr>
          <w:lang w:val="uk-UA"/>
        </w:rPr>
        <w:t>ЛК</w:t>
      </w:r>
      <w:r w:rsidR="00352B92">
        <w:rPr>
          <w:lang w:val="uk-UA"/>
        </w:rPr>
        <w:t xml:space="preserve"> </w:t>
      </w:r>
      <w:r w:rsidR="00BC0119" w:rsidRPr="001416ED">
        <w:rPr>
          <w:lang w:val="uk-UA"/>
        </w:rPr>
        <w:t>–</w:t>
      </w:r>
      <w:r w:rsidRPr="001416ED">
        <w:rPr>
          <w:lang w:val="uk-UA"/>
        </w:rPr>
        <w:t xml:space="preserve"> U&gt;W&gt;A&gt;R (231; 141; 18; 5</w:t>
      </w:r>
      <w:r w:rsidR="00480F48" w:rsidRPr="001416ED">
        <w:rPr>
          <w:lang w:val="uk-UA"/>
        </w:rPr>
        <w:t>, відповідно</w:t>
      </w:r>
      <w:r w:rsidRPr="001416ED">
        <w:rPr>
          <w:lang w:val="uk-UA"/>
        </w:rPr>
        <w:t xml:space="preserve">). </w:t>
      </w:r>
      <w:r w:rsidR="00480F48" w:rsidRPr="001416ED">
        <w:rPr>
          <w:lang w:val="uk-UA"/>
        </w:rPr>
        <w:t>Отже,</w:t>
      </w:r>
      <w:r w:rsidR="002B3B7D" w:rsidRPr="001416ED">
        <w:rPr>
          <w:lang w:val="uk-UA"/>
        </w:rPr>
        <w:t xml:space="preserve"> як на </w:t>
      </w:r>
      <w:r w:rsidR="002D3BAC" w:rsidRPr="001416ED">
        <w:rPr>
          <w:lang w:val="uk-UA"/>
        </w:rPr>
        <w:t xml:space="preserve">ЛК </w:t>
      </w:r>
      <w:r w:rsidR="002B3B7D" w:rsidRPr="001416ED">
        <w:rPr>
          <w:lang w:val="uk-UA"/>
        </w:rPr>
        <w:t xml:space="preserve">так і на </w:t>
      </w:r>
      <w:r w:rsidR="002D3BAC" w:rsidRPr="001416ED">
        <w:rPr>
          <w:lang w:val="uk-UA"/>
        </w:rPr>
        <w:t>ПК</w:t>
      </w:r>
      <w:r w:rsidR="00480F48" w:rsidRPr="001416ED">
        <w:rPr>
          <w:lang w:val="uk-UA"/>
        </w:rPr>
        <w:t xml:space="preserve"> достовірно частіше зустрічаєть</w:t>
      </w:r>
      <w:r w:rsidR="00624794" w:rsidRPr="001416ED">
        <w:rPr>
          <w:lang w:val="uk-UA"/>
        </w:rPr>
        <w:t>ся</w:t>
      </w:r>
      <w:r w:rsidR="00480F48" w:rsidRPr="001416ED">
        <w:rPr>
          <w:lang w:val="uk-UA"/>
        </w:rPr>
        <w:t xml:space="preserve"> малюнок ульнарна петля. Однак, слід відмітити відсутність вірогідної різниці у частоті випадків ус</w:t>
      </w:r>
      <w:r w:rsidR="002D3BAC" w:rsidRPr="001416ED">
        <w:rPr>
          <w:lang w:val="uk-UA"/>
        </w:rPr>
        <w:t>іх дермагліфічних малюнків між ПК</w:t>
      </w:r>
      <w:r w:rsidR="00480F48" w:rsidRPr="001416ED">
        <w:rPr>
          <w:lang w:val="uk-UA"/>
        </w:rPr>
        <w:t xml:space="preserve"> та </w:t>
      </w:r>
      <w:r w:rsidR="002D3BAC" w:rsidRPr="001416ED">
        <w:rPr>
          <w:lang w:val="uk-UA"/>
        </w:rPr>
        <w:t>ЛК</w:t>
      </w:r>
      <w:r w:rsidR="00480F48" w:rsidRPr="001416ED">
        <w:rPr>
          <w:lang w:val="uk-UA"/>
        </w:rPr>
        <w:t>.</w:t>
      </w:r>
      <w:r w:rsidR="00475F91" w:rsidRPr="001416ED">
        <w:rPr>
          <w:lang w:val="uk-UA"/>
        </w:rPr>
        <w:t xml:space="preserve"> </w:t>
      </w:r>
      <w:r w:rsidR="00227EA1" w:rsidRPr="001416ED">
        <w:rPr>
          <w:lang w:val="uk-UA"/>
        </w:rPr>
        <w:t xml:space="preserve">Наступним кроком стало визначення </w:t>
      </w:r>
      <w:r w:rsidR="007D4A06" w:rsidRPr="001416ED">
        <w:rPr>
          <w:lang w:val="uk-UA"/>
        </w:rPr>
        <w:t xml:space="preserve">ГР </w:t>
      </w:r>
      <w:r w:rsidR="005F0928" w:rsidRPr="001416ED">
        <w:rPr>
          <w:lang w:val="uk-UA"/>
        </w:rPr>
        <w:t xml:space="preserve">на кожному пальці </w:t>
      </w:r>
      <w:r w:rsidR="002D3BAC" w:rsidRPr="001416ED">
        <w:rPr>
          <w:lang w:val="uk-UA"/>
        </w:rPr>
        <w:t>ПК</w:t>
      </w:r>
      <w:r w:rsidR="005F0928" w:rsidRPr="001416ED">
        <w:rPr>
          <w:lang w:val="uk-UA"/>
        </w:rPr>
        <w:t xml:space="preserve"> і </w:t>
      </w:r>
      <w:r w:rsidR="002D3BAC" w:rsidRPr="001416ED">
        <w:rPr>
          <w:lang w:val="uk-UA"/>
        </w:rPr>
        <w:t>ЛК</w:t>
      </w:r>
      <w:r w:rsidR="005D1AE9" w:rsidRPr="001416ED">
        <w:rPr>
          <w:lang w:val="uk-UA"/>
        </w:rPr>
        <w:t xml:space="preserve"> (табл. 3.</w:t>
      </w:r>
      <w:r w:rsidR="00E3666E" w:rsidRPr="001416ED">
        <w:rPr>
          <w:lang w:val="uk-UA"/>
        </w:rPr>
        <w:t>9</w:t>
      </w:r>
      <w:r w:rsidR="005D1AE9" w:rsidRPr="001416ED">
        <w:rPr>
          <w:lang w:val="uk-UA"/>
        </w:rPr>
        <w:t>).</w:t>
      </w:r>
    </w:p>
    <w:p w:rsidR="00BE5E0D" w:rsidRPr="001416ED" w:rsidRDefault="00BE5E0D" w:rsidP="00BE5E0D">
      <w:pPr>
        <w:spacing w:line="360" w:lineRule="auto"/>
        <w:ind w:firstLine="708"/>
        <w:jc w:val="right"/>
        <w:rPr>
          <w:b/>
          <w:lang w:val="uk-UA"/>
        </w:rPr>
      </w:pPr>
      <w:r w:rsidRPr="001416ED">
        <w:rPr>
          <w:b/>
          <w:lang w:val="uk-UA"/>
        </w:rPr>
        <w:t>Таблиця 3.</w:t>
      </w:r>
      <w:r w:rsidR="00E3666E" w:rsidRPr="001416ED">
        <w:rPr>
          <w:b/>
          <w:lang w:val="uk-UA"/>
        </w:rPr>
        <w:t>9</w:t>
      </w:r>
    </w:p>
    <w:p w:rsidR="00BE5E0D" w:rsidRPr="001416ED" w:rsidRDefault="00BE5E0D" w:rsidP="00BE5E0D">
      <w:pPr>
        <w:spacing w:line="360" w:lineRule="auto"/>
        <w:ind w:firstLine="708"/>
        <w:jc w:val="center"/>
        <w:rPr>
          <w:b/>
          <w:lang w:val="uk-UA"/>
        </w:rPr>
      </w:pPr>
      <w:r w:rsidRPr="001416ED">
        <w:rPr>
          <w:b/>
          <w:lang w:val="uk-UA"/>
        </w:rPr>
        <w:t xml:space="preserve">Гребінцевий рахунок на окремих пальцях </w:t>
      </w:r>
      <w:r w:rsidR="002C5F19" w:rsidRPr="001416ED">
        <w:rPr>
          <w:b/>
          <w:lang w:val="uk-UA"/>
        </w:rPr>
        <w:t>ПК та ЛК</w:t>
      </w:r>
      <w:r w:rsidRPr="001416ED">
        <w:rPr>
          <w:b/>
          <w:lang w:val="uk-UA"/>
        </w:rPr>
        <w:t xml:space="preserve"> у чоловіків групи контролю, </w:t>
      </w:r>
      <w:r w:rsidR="0033647E" w:rsidRPr="001416ED">
        <w:rPr>
          <w:b/>
          <w:lang w:val="uk-UA"/>
        </w:rPr>
        <w:t xml:space="preserve">носіїв </w:t>
      </w:r>
      <w:r w:rsidR="00E6164F">
        <w:rPr>
          <w:b/>
          <w:lang w:val="uk-UA"/>
        </w:rPr>
        <w:t xml:space="preserve">поліморфних варіантів гена </w:t>
      </w:r>
      <w:r w:rsidR="0033647E" w:rsidRPr="001416ED">
        <w:rPr>
          <w:b/>
          <w:lang w:val="uk-UA"/>
        </w:rPr>
        <w:t>ЕТ</w:t>
      </w:r>
      <w:r w:rsidR="00BC0119" w:rsidRPr="001416ED">
        <w:rPr>
          <w:b/>
          <w:lang w:val="uk-UA"/>
        </w:rPr>
        <w:t>–</w:t>
      </w:r>
      <w:r w:rsidR="0033647E" w:rsidRPr="001416ED">
        <w:rPr>
          <w:b/>
          <w:lang w:val="uk-UA"/>
        </w:rPr>
        <w:t xml:space="preserve">1, </w:t>
      </w:r>
      <w:r w:rsidR="00BF017D" w:rsidRPr="001416ED">
        <w:rPr>
          <w:b/>
          <w:lang w:val="uk-UA"/>
        </w:rPr>
        <w:t>(M</w:t>
      </w:r>
      <w:r w:rsidR="007A07A9" w:rsidRPr="001416ED">
        <w:rPr>
          <w:b/>
          <w:lang w:val="uk-UA"/>
        </w:rPr>
        <w:t xml:space="preserve"> ± </w:t>
      </w:r>
      <w:r w:rsidR="00BF017D" w:rsidRPr="001416ED">
        <w:rPr>
          <w:b/>
          <w:lang w:val="uk-UA"/>
        </w:rPr>
        <w:t>m)</w:t>
      </w:r>
    </w:p>
    <w:tbl>
      <w:tblPr>
        <w:tblStyle w:val="af5"/>
        <w:tblW w:w="0" w:type="auto"/>
        <w:tblInd w:w="108" w:type="dxa"/>
        <w:tblLook w:val="04A0" w:firstRow="1" w:lastRow="0" w:firstColumn="1" w:lastColumn="0" w:noHBand="0" w:noVBand="1"/>
      </w:tblPr>
      <w:tblGrid>
        <w:gridCol w:w="3261"/>
        <w:gridCol w:w="2693"/>
        <w:gridCol w:w="2551"/>
        <w:gridCol w:w="1418"/>
      </w:tblGrid>
      <w:tr w:rsidR="00D02151" w:rsidRPr="001416ED" w:rsidTr="00C235EF">
        <w:tc>
          <w:tcPr>
            <w:tcW w:w="3261" w:type="dxa"/>
          </w:tcPr>
          <w:p w:rsidR="00D02151" w:rsidRPr="001416ED" w:rsidRDefault="00866D19" w:rsidP="004B632E">
            <w:pPr>
              <w:spacing w:line="360" w:lineRule="auto"/>
              <w:jc w:val="center"/>
              <w:rPr>
                <w:b/>
                <w:lang w:val="uk-UA"/>
              </w:rPr>
            </w:pPr>
            <w:r w:rsidRPr="001416ED">
              <w:rPr>
                <w:b/>
                <w:lang w:val="uk-UA"/>
              </w:rPr>
              <w:t xml:space="preserve">Пальці </w:t>
            </w:r>
            <w:r w:rsidR="004B632E">
              <w:rPr>
                <w:b/>
                <w:lang w:val="uk-UA"/>
              </w:rPr>
              <w:t>ПК та ЛК</w:t>
            </w:r>
          </w:p>
        </w:tc>
        <w:tc>
          <w:tcPr>
            <w:tcW w:w="2693" w:type="dxa"/>
          </w:tcPr>
          <w:p w:rsidR="00D02151" w:rsidRPr="001416ED" w:rsidRDefault="00D02151" w:rsidP="00D02151">
            <w:pPr>
              <w:spacing w:line="360" w:lineRule="auto"/>
              <w:jc w:val="center"/>
              <w:rPr>
                <w:b/>
                <w:lang w:val="uk-UA"/>
              </w:rPr>
            </w:pPr>
            <w:r w:rsidRPr="001416ED">
              <w:rPr>
                <w:b/>
                <w:lang w:val="uk-UA"/>
              </w:rPr>
              <w:t>Генотип Lys/Lys</w:t>
            </w:r>
          </w:p>
          <w:p w:rsidR="005F607F" w:rsidRPr="001416ED" w:rsidRDefault="005F607F" w:rsidP="00D02151">
            <w:pPr>
              <w:spacing w:line="360" w:lineRule="auto"/>
              <w:jc w:val="center"/>
              <w:rPr>
                <w:b/>
                <w:lang w:val="en-US"/>
              </w:rPr>
            </w:pPr>
            <w:r w:rsidRPr="001416ED">
              <w:rPr>
                <w:b/>
                <w:lang w:val="uk-UA"/>
              </w:rPr>
              <w:t>(</w:t>
            </w:r>
            <w:r w:rsidRPr="001416ED">
              <w:rPr>
                <w:b/>
                <w:lang w:val="en-US"/>
              </w:rPr>
              <w:t>n=52)</w:t>
            </w:r>
          </w:p>
        </w:tc>
        <w:tc>
          <w:tcPr>
            <w:tcW w:w="2551" w:type="dxa"/>
          </w:tcPr>
          <w:p w:rsidR="00D02151" w:rsidRPr="001416ED" w:rsidRDefault="00D02151" w:rsidP="005F607F">
            <w:pPr>
              <w:spacing w:line="360" w:lineRule="auto"/>
              <w:jc w:val="center"/>
              <w:rPr>
                <w:b/>
                <w:lang w:val="uk-UA"/>
              </w:rPr>
            </w:pPr>
            <w:r w:rsidRPr="001416ED">
              <w:rPr>
                <w:b/>
                <w:lang w:val="uk-UA"/>
              </w:rPr>
              <w:t>Носії алелі Asn</w:t>
            </w:r>
            <w:r w:rsidR="005F607F" w:rsidRPr="001416ED">
              <w:rPr>
                <w:b/>
                <w:lang w:val="en-US"/>
              </w:rPr>
              <w:t xml:space="preserve"> </w:t>
            </w:r>
            <w:r w:rsidR="005F607F" w:rsidRPr="001416ED">
              <w:rPr>
                <w:b/>
                <w:lang w:val="uk-UA"/>
              </w:rPr>
              <w:t>(</w:t>
            </w:r>
            <w:r w:rsidR="005F607F" w:rsidRPr="001416ED">
              <w:rPr>
                <w:b/>
                <w:lang w:val="en-US"/>
              </w:rPr>
              <w:t>n=27)</w:t>
            </w:r>
          </w:p>
        </w:tc>
        <w:tc>
          <w:tcPr>
            <w:tcW w:w="1418" w:type="dxa"/>
          </w:tcPr>
          <w:p w:rsidR="00D02151" w:rsidRPr="001416ED" w:rsidRDefault="00D02151" w:rsidP="00D02151">
            <w:pPr>
              <w:spacing w:line="360" w:lineRule="auto"/>
              <w:jc w:val="center"/>
              <w:rPr>
                <w:b/>
                <w:lang w:val="uk-UA"/>
              </w:rPr>
            </w:pPr>
            <w:r w:rsidRPr="001416ED">
              <w:rPr>
                <w:b/>
                <w:lang w:val="uk-UA"/>
              </w:rPr>
              <w:t>р</w:t>
            </w:r>
          </w:p>
        </w:tc>
      </w:tr>
      <w:tr w:rsidR="00D02151" w:rsidRPr="001416ED" w:rsidTr="00C235EF">
        <w:tc>
          <w:tcPr>
            <w:tcW w:w="3261" w:type="dxa"/>
          </w:tcPr>
          <w:p w:rsidR="00D02151" w:rsidRPr="001416ED" w:rsidRDefault="00D02151" w:rsidP="002D3BAC">
            <w:pPr>
              <w:spacing w:line="360" w:lineRule="auto"/>
              <w:ind w:right="-18"/>
              <w:jc w:val="center"/>
              <w:rPr>
                <w:rFonts w:eastAsiaTheme="minorHAnsi"/>
                <w:kern w:val="11"/>
                <w:lang w:val="uk-UA" w:eastAsia="en-US"/>
              </w:rPr>
            </w:pPr>
            <w:r w:rsidRPr="001416ED">
              <w:rPr>
                <w:rFonts w:eastAsiaTheme="minorHAnsi"/>
                <w:kern w:val="11"/>
                <w:lang w:val="uk-UA" w:eastAsia="en-US"/>
              </w:rPr>
              <w:t>1</w:t>
            </w:r>
            <w:r w:rsidR="002D3BAC" w:rsidRPr="001416ED">
              <w:rPr>
                <w:rFonts w:eastAsiaTheme="minorHAnsi"/>
                <w:kern w:val="11"/>
                <w:lang w:val="uk-UA" w:eastAsia="en-US"/>
              </w:rPr>
              <w:t xml:space="preserve"> ПК</w:t>
            </w:r>
          </w:p>
        </w:tc>
        <w:tc>
          <w:tcPr>
            <w:tcW w:w="2693" w:type="dxa"/>
          </w:tcPr>
          <w:p w:rsidR="00D02151" w:rsidRPr="001416ED" w:rsidRDefault="00CA4C63" w:rsidP="000C6AD7">
            <w:pPr>
              <w:spacing w:line="360" w:lineRule="auto"/>
              <w:jc w:val="center"/>
            </w:pPr>
            <w:r w:rsidRPr="001416ED">
              <w:rPr>
                <w:lang w:val="en-US"/>
              </w:rPr>
              <w:t>1</w:t>
            </w:r>
            <w:r w:rsidRPr="001416ED">
              <w:t>9,85</w:t>
            </w:r>
            <w:r w:rsidR="007A07A9" w:rsidRPr="001416ED">
              <w:t xml:space="preserve"> ± </w:t>
            </w:r>
            <w:r w:rsidRPr="001416ED">
              <w:t>0,70</w:t>
            </w:r>
          </w:p>
        </w:tc>
        <w:tc>
          <w:tcPr>
            <w:tcW w:w="2551" w:type="dxa"/>
          </w:tcPr>
          <w:p w:rsidR="00D02151" w:rsidRPr="001416ED" w:rsidRDefault="00D11FB1" w:rsidP="00BE5E0D">
            <w:pPr>
              <w:spacing w:line="360" w:lineRule="auto"/>
              <w:jc w:val="center"/>
              <w:rPr>
                <w:lang w:val="uk-UA"/>
              </w:rPr>
            </w:pPr>
            <w:r w:rsidRPr="001416ED">
              <w:rPr>
                <w:lang w:val="uk-UA"/>
              </w:rPr>
              <w:t>21,26</w:t>
            </w:r>
            <w:r w:rsidR="007A07A9" w:rsidRPr="001416ED">
              <w:t xml:space="preserve"> ± </w:t>
            </w:r>
            <w:r w:rsidRPr="001416ED">
              <w:t>0,90</w:t>
            </w:r>
          </w:p>
        </w:tc>
        <w:tc>
          <w:tcPr>
            <w:tcW w:w="1418" w:type="dxa"/>
          </w:tcPr>
          <w:p w:rsidR="00D02151" w:rsidRPr="001416ED" w:rsidRDefault="002D6DA4"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ind w:right="-18"/>
              <w:jc w:val="center"/>
              <w:rPr>
                <w:rFonts w:eastAsiaTheme="minorHAnsi"/>
                <w:kern w:val="11"/>
                <w:lang w:val="uk-UA" w:eastAsia="en-US"/>
              </w:rPr>
            </w:pPr>
            <w:r w:rsidRPr="001416ED">
              <w:rPr>
                <w:rFonts w:eastAsiaTheme="minorHAnsi"/>
                <w:kern w:val="11"/>
                <w:lang w:val="en-US" w:eastAsia="en-US"/>
              </w:rPr>
              <w:t>2</w:t>
            </w:r>
            <w:r w:rsidR="002D3BAC" w:rsidRPr="001416ED">
              <w:rPr>
                <w:rFonts w:eastAsiaTheme="minorHAnsi"/>
                <w:kern w:val="11"/>
                <w:lang w:val="uk-UA" w:eastAsia="en-US"/>
              </w:rPr>
              <w:t xml:space="preserve"> ПК</w:t>
            </w:r>
          </w:p>
        </w:tc>
        <w:tc>
          <w:tcPr>
            <w:tcW w:w="2693" w:type="dxa"/>
          </w:tcPr>
          <w:p w:rsidR="00D02151" w:rsidRPr="001416ED" w:rsidRDefault="00CA4C63" w:rsidP="000C6AD7">
            <w:pPr>
              <w:spacing w:line="360" w:lineRule="auto"/>
              <w:jc w:val="center"/>
              <w:rPr>
                <w:lang w:val="uk-UA"/>
              </w:rPr>
            </w:pPr>
            <w:r w:rsidRPr="001416ED">
              <w:rPr>
                <w:lang w:val="uk-UA"/>
              </w:rPr>
              <w:t>14,96</w:t>
            </w:r>
            <w:r w:rsidR="007A07A9" w:rsidRPr="001416ED">
              <w:t xml:space="preserve"> ± </w:t>
            </w:r>
            <w:r w:rsidRPr="001416ED">
              <w:t>0,90</w:t>
            </w:r>
          </w:p>
        </w:tc>
        <w:tc>
          <w:tcPr>
            <w:tcW w:w="2551" w:type="dxa"/>
          </w:tcPr>
          <w:p w:rsidR="00D02151" w:rsidRPr="001416ED" w:rsidRDefault="00D11FB1" w:rsidP="00BE5E0D">
            <w:pPr>
              <w:spacing w:line="360" w:lineRule="auto"/>
              <w:jc w:val="center"/>
              <w:rPr>
                <w:lang w:val="uk-UA"/>
              </w:rPr>
            </w:pPr>
            <w:r w:rsidRPr="001416ED">
              <w:rPr>
                <w:lang w:val="uk-UA"/>
              </w:rPr>
              <w:t>15,04</w:t>
            </w:r>
            <w:r w:rsidR="007A07A9" w:rsidRPr="001416ED">
              <w:t xml:space="preserve"> ± </w:t>
            </w:r>
            <w:r w:rsidRPr="001416ED">
              <w:t>1,44</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ind w:right="-18"/>
              <w:jc w:val="center"/>
              <w:rPr>
                <w:rFonts w:eastAsiaTheme="minorHAnsi"/>
                <w:kern w:val="11"/>
                <w:lang w:val="uk-UA" w:eastAsia="en-US"/>
              </w:rPr>
            </w:pPr>
            <w:r w:rsidRPr="001416ED">
              <w:rPr>
                <w:rFonts w:eastAsiaTheme="minorHAnsi"/>
                <w:kern w:val="11"/>
                <w:lang w:val="en-US" w:eastAsia="en-US"/>
              </w:rPr>
              <w:t>3</w:t>
            </w:r>
            <w:r w:rsidR="002D3BAC" w:rsidRPr="001416ED">
              <w:rPr>
                <w:rFonts w:eastAsiaTheme="minorHAnsi"/>
                <w:kern w:val="11"/>
                <w:lang w:val="uk-UA" w:eastAsia="en-US"/>
              </w:rPr>
              <w:t xml:space="preserve"> ПК </w:t>
            </w:r>
          </w:p>
        </w:tc>
        <w:tc>
          <w:tcPr>
            <w:tcW w:w="2693" w:type="dxa"/>
          </w:tcPr>
          <w:p w:rsidR="00D02151" w:rsidRPr="001416ED" w:rsidRDefault="00E37632" w:rsidP="000C6AD7">
            <w:pPr>
              <w:spacing w:line="360" w:lineRule="auto"/>
              <w:jc w:val="center"/>
              <w:rPr>
                <w:lang w:val="uk-UA"/>
              </w:rPr>
            </w:pPr>
            <w:r w:rsidRPr="001416ED">
              <w:rPr>
                <w:lang w:val="uk-UA"/>
              </w:rPr>
              <w:t>13,69</w:t>
            </w:r>
            <w:r w:rsidR="007A07A9" w:rsidRPr="001416ED">
              <w:t xml:space="preserve"> ± </w:t>
            </w:r>
            <w:r w:rsidRPr="001416ED">
              <w:t>0,89</w:t>
            </w:r>
          </w:p>
        </w:tc>
        <w:tc>
          <w:tcPr>
            <w:tcW w:w="2551" w:type="dxa"/>
          </w:tcPr>
          <w:p w:rsidR="00D02151" w:rsidRPr="001416ED" w:rsidRDefault="004F0163" w:rsidP="00BE5E0D">
            <w:pPr>
              <w:spacing w:line="360" w:lineRule="auto"/>
              <w:jc w:val="center"/>
              <w:rPr>
                <w:lang w:val="uk-UA"/>
              </w:rPr>
            </w:pPr>
            <w:r w:rsidRPr="001416ED">
              <w:rPr>
                <w:lang w:val="uk-UA"/>
              </w:rPr>
              <w:t>15,33</w:t>
            </w:r>
            <w:r w:rsidR="007A07A9" w:rsidRPr="001416ED">
              <w:t xml:space="preserve"> ± </w:t>
            </w:r>
            <w:r w:rsidRPr="001416ED">
              <w:t>1,33</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ind w:right="-18"/>
              <w:jc w:val="center"/>
              <w:rPr>
                <w:rFonts w:eastAsiaTheme="minorHAnsi"/>
                <w:kern w:val="11"/>
                <w:lang w:val="uk-UA" w:eastAsia="en-US"/>
              </w:rPr>
            </w:pPr>
            <w:r w:rsidRPr="001416ED">
              <w:rPr>
                <w:rFonts w:eastAsiaTheme="minorHAnsi"/>
                <w:kern w:val="11"/>
                <w:lang w:val="en-US" w:eastAsia="en-US"/>
              </w:rPr>
              <w:t>4</w:t>
            </w:r>
            <w:r w:rsidR="002D3BAC" w:rsidRPr="001416ED">
              <w:rPr>
                <w:rFonts w:eastAsiaTheme="minorHAnsi"/>
                <w:kern w:val="11"/>
                <w:lang w:val="uk-UA" w:eastAsia="en-US"/>
              </w:rPr>
              <w:t xml:space="preserve"> ПК</w:t>
            </w:r>
          </w:p>
        </w:tc>
        <w:tc>
          <w:tcPr>
            <w:tcW w:w="2693" w:type="dxa"/>
          </w:tcPr>
          <w:p w:rsidR="00D02151" w:rsidRPr="001416ED" w:rsidRDefault="00E37632" w:rsidP="000C6AD7">
            <w:pPr>
              <w:spacing w:line="360" w:lineRule="auto"/>
              <w:jc w:val="center"/>
              <w:rPr>
                <w:lang w:val="uk-UA"/>
              </w:rPr>
            </w:pPr>
            <w:r w:rsidRPr="001416ED">
              <w:rPr>
                <w:lang w:val="uk-UA"/>
              </w:rPr>
              <w:t>18,69</w:t>
            </w:r>
            <w:r w:rsidR="007A07A9" w:rsidRPr="001416ED">
              <w:t xml:space="preserve"> ± </w:t>
            </w:r>
            <w:r w:rsidRPr="001416ED">
              <w:t>0,51</w:t>
            </w:r>
          </w:p>
        </w:tc>
        <w:tc>
          <w:tcPr>
            <w:tcW w:w="2551" w:type="dxa"/>
          </w:tcPr>
          <w:p w:rsidR="00D02151" w:rsidRPr="001416ED" w:rsidRDefault="00FE4E9F" w:rsidP="00BE5E0D">
            <w:pPr>
              <w:spacing w:line="360" w:lineRule="auto"/>
              <w:jc w:val="center"/>
              <w:rPr>
                <w:lang w:val="uk-UA"/>
              </w:rPr>
            </w:pPr>
            <w:r w:rsidRPr="001416ED">
              <w:rPr>
                <w:lang w:val="uk-UA"/>
              </w:rPr>
              <w:t>18,70</w:t>
            </w:r>
            <w:r w:rsidR="007A07A9" w:rsidRPr="001416ED">
              <w:t xml:space="preserve"> ± </w:t>
            </w:r>
            <w:r w:rsidRPr="001416ED">
              <w:t>1,16</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ind w:right="-18"/>
              <w:jc w:val="center"/>
              <w:rPr>
                <w:rFonts w:eastAsiaTheme="minorHAnsi"/>
                <w:kern w:val="11"/>
                <w:lang w:val="uk-UA" w:eastAsia="en-US"/>
              </w:rPr>
            </w:pPr>
            <w:r w:rsidRPr="001416ED">
              <w:rPr>
                <w:rFonts w:eastAsiaTheme="minorHAnsi"/>
                <w:kern w:val="11"/>
                <w:lang w:val="en-US" w:eastAsia="en-US"/>
              </w:rPr>
              <w:t>5</w:t>
            </w:r>
            <w:r w:rsidR="002D3BAC" w:rsidRPr="001416ED">
              <w:rPr>
                <w:rFonts w:eastAsiaTheme="minorHAnsi"/>
                <w:kern w:val="11"/>
                <w:lang w:val="uk-UA" w:eastAsia="en-US"/>
              </w:rPr>
              <w:t xml:space="preserve"> ПК</w:t>
            </w:r>
          </w:p>
        </w:tc>
        <w:tc>
          <w:tcPr>
            <w:tcW w:w="2693" w:type="dxa"/>
          </w:tcPr>
          <w:p w:rsidR="00D02151" w:rsidRPr="001416ED" w:rsidRDefault="00E37632" w:rsidP="000C6AD7">
            <w:pPr>
              <w:spacing w:line="360" w:lineRule="auto"/>
              <w:jc w:val="center"/>
              <w:rPr>
                <w:lang w:val="uk-UA"/>
              </w:rPr>
            </w:pPr>
            <w:r w:rsidRPr="001416ED">
              <w:rPr>
                <w:lang w:val="uk-UA"/>
              </w:rPr>
              <w:t>15,89</w:t>
            </w:r>
            <w:r w:rsidR="007A07A9" w:rsidRPr="001416ED">
              <w:t xml:space="preserve"> ± </w:t>
            </w:r>
            <w:r w:rsidRPr="001416ED">
              <w:t>0,65</w:t>
            </w:r>
          </w:p>
        </w:tc>
        <w:tc>
          <w:tcPr>
            <w:tcW w:w="2551" w:type="dxa"/>
          </w:tcPr>
          <w:p w:rsidR="00D02151" w:rsidRPr="001416ED" w:rsidRDefault="00FE4E9F" w:rsidP="00BE5E0D">
            <w:pPr>
              <w:spacing w:line="360" w:lineRule="auto"/>
              <w:jc w:val="center"/>
              <w:rPr>
                <w:lang w:val="uk-UA"/>
              </w:rPr>
            </w:pPr>
            <w:r w:rsidRPr="001416ED">
              <w:rPr>
                <w:lang w:val="uk-UA"/>
              </w:rPr>
              <w:t>15,26</w:t>
            </w:r>
            <w:r w:rsidR="007A07A9" w:rsidRPr="001416ED">
              <w:t xml:space="preserve"> ± </w:t>
            </w:r>
            <w:r w:rsidRPr="001416ED">
              <w:t>0,85</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jc w:val="center"/>
              <w:rPr>
                <w:rFonts w:eastAsiaTheme="minorHAnsi"/>
                <w:kern w:val="11"/>
                <w:lang w:val="uk-UA" w:eastAsia="en-US"/>
              </w:rPr>
            </w:pPr>
            <w:r w:rsidRPr="001416ED">
              <w:rPr>
                <w:rFonts w:eastAsiaTheme="minorHAnsi"/>
                <w:kern w:val="11"/>
                <w:lang w:val="en-US" w:eastAsia="en-US"/>
              </w:rPr>
              <w:t>1</w:t>
            </w:r>
            <w:r w:rsidR="002D3BAC" w:rsidRPr="001416ED">
              <w:rPr>
                <w:rFonts w:eastAsiaTheme="minorHAnsi"/>
                <w:kern w:val="11"/>
                <w:lang w:val="uk-UA" w:eastAsia="en-US"/>
              </w:rPr>
              <w:t xml:space="preserve"> ЛК</w:t>
            </w:r>
          </w:p>
        </w:tc>
        <w:tc>
          <w:tcPr>
            <w:tcW w:w="2693" w:type="dxa"/>
          </w:tcPr>
          <w:p w:rsidR="00D02151" w:rsidRPr="001416ED" w:rsidRDefault="00E37632" w:rsidP="000C6AD7">
            <w:pPr>
              <w:spacing w:line="360" w:lineRule="auto"/>
              <w:jc w:val="center"/>
              <w:rPr>
                <w:lang w:val="uk-UA"/>
              </w:rPr>
            </w:pPr>
            <w:r w:rsidRPr="001416ED">
              <w:rPr>
                <w:lang w:val="uk-UA"/>
              </w:rPr>
              <w:t>18,73</w:t>
            </w:r>
            <w:r w:rsidR="007A07A9" w:rsidRPr="001416ED">
              <w:t xml:space="preserve"> ± </w:t>
            </w:r>
            <w:r w:rsidRPr="001416ED">
              <w:t>0,58</w:t>
            </w:r>
          </w:p>
        </w:tc>
        <w:tc>
          <w:tcPr>
            <w:tcW w:w="2551" w:type="dxa"/>
          </w:tcPr>
          <w:p w:rsidR="00D02151" w:rsidRPr="001416ED" w:rsidRDefault="00FE4E9F" w:rsidP="00BE5E0D">
            <w:pPr>
              <w:spacing w:line="360" w:lineRule="auto"/>
              <w:jc w:val="center"/>
              <w:rPr>
                <w:lang w:val="uk-UA"/>
              </w:rPr>
            </w:pPr>
            <w:r w:rsidRPr="001416ED">
              <w:rPr>
                <w:lang w:val="uk-UA"/>
              </w:rPr>
              <w:t>18,89</w:t>
            </w:r>
            <w:r w:rsidR="007A07A9" w:rsidRPr="001416ED">
              <w:t xml:space="preserve"> ± </w:t>
            </w:r>
            <w:r w:rsidRPr="001416ED">
              <w:t>0,88</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jc w:val="center"/>
              <w:rPr>
                <w:rFonts w:eastAsiaTheme="minorHAnsi"/>
                <w:kern w:val="11"/>
                <w:lang w:val="uk-UA" w:eastAsia="en-US"/>
              </w:rPr>
            </w:pPr>
            <w:r w:rsidRPr="001416ED">
              <w:rPr>
                <w:rFonts w:eastAsiaTheme="minorHAnsi"/>
                <w:kern w:val="11"/>
                <w:lang w:val="en-US" w:eastAsia="en-US"/>
              </w:rPr>
              <w:t>2</w:t>
            </w:r>
            <w:r w:rsidR="002D3BAC" w:rsidRPr="001416ED">
              <w:rPr>
                <w:rFonts w:eastAsiaTheme="minorHAnsi"/>
                <w:kern w:val="11"/>
                <w:lang w:val="uk-UA" w:eastAsia="en-US"/>
              </w:rPr>
              <w:t xml:space="preserve"> ЛК</w:t>
            </w:r>
          </w:p>
        </w:tc>
        <w:tc>
          <w:tcPr>
            <w:tcW w:w="2693" w:type="dxa"/>
          </w:tcPr>
          <w:p w:rsidR="00D02151" w:rsidRPr="001416ED" w:rsidRDefault="00345AFB" w:rsidP="000C6AD7">
            <w:pPr>
              <w:spacing w:line="360" w:lineRule="auto"/>
              <w:jc w:val="center"/>
              <w:rPr>
                <w:lang w:val="uk-UA"/>
              </w:rPr>
            </w:pPr>
            <w:r w:rsidRPr="001416ED">
              <w:rPr>
                <w:lang w:val="uk-UA"/>
              </w:rPr>
              <w:t>12,77</w:t>
            </w:r>
            <w:r w:rsidR="007A07A9" w:rsidRPr="001416ED">
              <w:t xml:space="preserve"> ± </w:t>
            </w:r>
            <w:r w:rsidRPr="001416ED">
              <w:t>1,03</w:t>
            </w:r>
          </w:p>
        </w:tc>
        <w:tc>
          <w:tcPr>
            <w:tcW w:w="2551" w:type="dxa"/>
          </w:tcPr>
          <w:p w:rsidR="00D02151" w:rsidRPr="001416ED" w:rsidRDefault="00FE4E9F" w:rsidP="00BE5E0D">
            <w:pPr>
              <w:spacing w:line="360" w:lineRule="auto"/>
              <w:jc w:val="center"/>
              <w:rPr>
                <w:lang w:val="uk-UA"/>
              </w:rPr>
            </w:pPr>
            <w:r w:rsidRPr="001416ED">
              <w:rPr>
                <w:lang w:val="uk-UA"/>
              </w:rPr>
              <w:t>12,52</w:t>
            </w:r>
            <w:r w:rsidR="007A07A9" w:rsidRPr="001416ED">
              <w:t xml:space="preserve"> ± </w:t>
            </w:r>
            <w:r w:rsidRPr="001416ED">
              <w:t>1,59</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jc w:val="center"/>
              <w:rPr>
                <w:rFonts w:eastAsiaTheme="minorHAnsi"/>
                <w:kern w:val="11"/>
                <w:lang w:val="uk-UA" w:eastAsia="en-US"/>
              </w:rPr>
            </w:pPr>
            <w:r w:rsidRPr="001416ED">
              <w:rPr>
                <w:rFonts w:eastAsiaTheme="minorHAnsi"/>
                <w:kern w:val="11"/>
                <w:lang w:val="en-US" w:eastAsia="en-US"/>
              </w:rPr>
              <w:t>3</w:t>
            </w:r>
            <w:r w:rsidR="002D3BAC" w:rsidRPr="001416ED">
              <w:rPr>
                <w:rFonts w:eastAsiaTheme="minorHAnsi"/>
                <w:kern w:val="11"/>
                <w:lang w:val="uk-UA" w:eastAsia="en-US"/>
              </w:rPr>
              <w:t xml:space="preserve"> ЛК</w:t>
            </w:r>
          </w:p>
        </w:tc>
        <w:tc>
          <w:tcPr>
            <w:tcW w:w="2693" w:type="dxa"/>
          </w:tcPr>
          <w:p w:rsidR="00D02151" w:rsidRPr="001416ED" w:rsidRDefault="00345AFB" w:rsidP="000C6AD7">
            <w:pPr>
              <w:spacing w:line="360" w:lineRule="auto"/>
              <w:jc w:val="center"/>
              <w:rPr>
                <w:lang w:val="uk-UA"/>
              </w:rPr>
            </w:pPr>
            <w:r w:rsidRPr="001416ED">
              <w:rPr>
                <w:lang w:val="uk-UA"/>
              </w:rPr>
              <w:t>15,21</w:t>
            </w:r>
            <w:r w:rsidR="007A07A9" w:rsidRPr="001416ED">
              <w:t xml:space="preserve"> ± </w:t>
            </w:r>
            <w:r w:rsidRPr="001416ED">
              <w:t>0,76</w:t>
            </w:r>
          </w:p>
        </w:tc>
        <w:tc>
          <w:tcPr>
            <w:tcW w:w="2551" w:type="dxa"/>
          </w:tcPr>
          <w:p w:rsidR="00D02151" w:rsidRPr="001416ED" w:rsidRDefault="00FE4E9F" w:rsidP="00BE5E0D">
            <w:pPr>
              <w:spacing w:line="360" w:lineRule="auto"/>
              <w:jc w:val="center"/>
              <w:rPr>
                <w:lang w:val="uk-UA"/>
              </w:rPr>
            </w:pPr>
            <w:r w:rsidRPr="001416ED">
              <w:rPr>
                <w:lang w:val="uk-UA"/>
              </w:rPr>
              <w:t>14,81</w:t>
            </w:r>
            <w:r w:rsidR="007A07A9" w:rsidRPr="001416ED">
              <w:t xml:space="preserve"> ± </w:t>
            </w:r>
            <w:r w:rsidRPr="001416ED">
              <w:t>1,50</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jc w:val="center"/>
              <w:rPr>
                <w:lang w:val="uk-UA"/>
              </w:rPr>
            </w:pPr>
            <w:r w:rsidRPr="001416ED">
              <w:rPr>
                <w:lang w:val="en-US"/>
              </w:rPr>
              <w:t>4</w:t>
            </w:r>
            <w:r w:rsidR="002D3BAC" w:rsidRPr="001416ED">
              <w:rPr>
                <w:rFonts w:eastAsiaTheme="minorHAnsi"/>
                <w:kern w:val="11"/>
                <w:lang w:val="uk-UA" w:eastAsia="en-US"/>
              </w:rPr>
              <w:t xml:space="preserve"> </w:t>
            </w:r>
            <w:r w:rsidR="002D3BAC" w:rsidRPr="001416ED">
              <w:rPr>
                <w:lang w:val="uk-UA"/>
              </w:rPr>
              <w:t>ЛК</w:t>
            </w:r>
          </w:p>
        </w:tc>
        <w:tc>
          <w:tcPr>
            <w:tcW w:w="2693" w:type="dxa"/>
          </w:tcPr>
          <w:p w:rsidR="00D02151" w:rsidRPr="001416ED" w:rsidRDefault="000C6AD7" w:rsidP="00146B0E">
            <w:pPr>
              <w:spacing w:line="360" w:lineRule="auto"/>
              <w:jc w:val="center"/>
              <w:rPr>
                <w:lang w:val="uk-UA"/>
              </w:rPr>
            </w:pPr>
            <w:r w:rsidRPr="001416ED">
              <w:rPr>
                <w:lang w:val="uk-UA"/>
              </w:rPr>
              <w:t>17,54</w:t>
            </w:r>
            <w:r w:rsidR="007A07A9" w:rsidRPr="001416ED">
              <w:t xml:space="preserve"> ± </w:t>
            </w:r>
            <w:r w:rsidRPr="001416ED">
              <w:t>0,63</w:t>
            </w:r>
          </w:p>
        </w:tc>
        <w:tc>
          <w:tcPr>
            <w:tcW w:w="2551" w:type="dxa"/>
          </w:tcPr>
          <w:p w:rsidR="00D02151" w:rsidRPr="001416ED" w:rsidRDefault="00FE4E9F" w:rsidP="00BE5E0D">
            <w:pPr>
              <w:spacing w:line="360" w:lineRule="auto"/>
              <w:jc w:val="center"/>
              <w:rPr>
                <w:lang w:val="uk-UA"/>
              </w:rPr>
            </w:pPr>
            <w:r w:rsidRPr="001416ED">
              <w:rPr>
                <w:lang w:val="uk-UA"/>
              </w:rPr>
              <w:t>19,30</w:t>
            </w:r>
            <w:r w:rsidR="007A07A9" w:rsidRPr="001416ED">
              <w:t xml:space="preserve"> ± </w:t>
            </w:r>
            <w:r w:rsidRPr="001416ED">
              <w:t>1,07</w:t>
            </w:r>
          </w:p>
        </w:tc>
        <w:tc>
          <w:tcPr>
            <w:tcW w:w="1418" w:type="dxa"/>
          </w:tcPr>
          <w:p w:rsidR="00D02151" w:rsidRPr="001416ED" w:rsidRDefault="00146B0E" w:rsidP="00BE5E0D">
            <w:pPr>
              <w:spacing w:line="360" w:lineRule="auto"/>
              <w:jc w:val="center"/>
              <w:rPr>
                <w:lang w:val="uk-UA"/>
              </w:rPr>
            </w:pPr>
            <w:r w:rsidRPr="001416ED">
              <w:rPr>
                <w:lang w:val="uk-UA"/>
              </w:rPr>
              <w:t>р&gt;0,05</w:t>
            </w:r>
          </w:p>
        </w:tc>
      </w:tr>
      <w:tr w:rsidR="00D02151" w:rsidRPr="001416ED" w:rsidTr="00C235EF">
        <w:tc>
          <w:tcPr>
            <w:tcW w:w="3261" w:type="dxa"/>
          </w:tcPr>
          <w:p w:rsidR="00D02151" w:rsidRPr="001416ED" w:rsidRDefault="00D02151" w:rsidP="002D3BAC">
            <w:pPr>
              <w:spacing w:line="360" w:lineRule="auto"/>
              <w:jc w:val="center"/>
              <w:rPr>
                <w:rFonts w:eastAsiaTheme="minorHAnsi"/>
                <w:kern w:val="11"/>
                <w:lang w:val="uk-UA" w:eastAsia="en-US"/>
              </w:rPr>
            </w:pPr>
            <w:r w:rsidRPr="001416ED">
              <w:rPr>
                <w:rFonts w:eastAsiaTheme="minorHAnsi"/>
                <w:kern w:val="11"/>
                <w:lang w:val="en-US" w:eastAsia="en-US"/>
              </w:rPr>
              <w:t>5</w:t>
            </w:r>
            <w:r w:rsidR="002D3BAC" w:rsidRPr="001416ED">
              <w:rPr>
                <w:rFonts w:eastAsiaTheme="minorHAnsi"/>
                <w:kern w:val="11"/>
                <w:lang w:val="uk-UA" w:eastAsia="en-US"/>
              </w:rPr>
              <w:t xml:space="preserve"> ЛК</w:t>
            </w:r>
          </w:p>
        </w:tc>
        <w:tc>
          <w:tcPr>
            <w:tcW w:w="2693" w:type="dxa"/>
          </w:tcPr>
          <w:p w:rsidR="00D02151" w:rsidRPr="001416ED" w:rsidRDefault="000C6AD7" w:rsidP="000C6AD7">
            <w:pPr>
              <w:spacing w:line="360" w:lineRule="auto"/>
              <w:jc w:val="center"/>
              <w:rPr>
                <w:lang w:val="uk-UA"/>
              </w:rPr>
            </w:pPr>
            <w:r w:rsidRPr="001416ED">
              <w:rPr>
                <w:lang w:val="uk-UA"/>
              </w:rPr>
              <w:t>15,98</w:t>
            </w:r>
            <w:r w:rsidR="007A07A9" w:rsidRPr="001416ED">
              <w:t xml:space="preserve"> ± </w:t>
            </w:r>
            <w:r w:rsidRPr="001416ED">
              <w:t>0,43</w:t>
            </w:r>
          </w:p>
        </w:tc>
        <w:tc>
          <w:tcPr>
            <w:tcW w:w="2551" w:type="dxa"/>
          </w:tcPr>
          <w:p w:rsidR="00D02151" w:rsidRPr="001416ED" w:rsidRDefault="005775FA" w:rsidP="00BE5E0D">
            <w:pPr>
              <w:spacing w:line="360" w:lineRule="auto"/>
              <w:jc w:val="center"/>
              <w:rPr>
                <w:lang w:val="uk-UA"/>
              </w:rPr>
            </w:pPr>
            <w:r w:rsidRPr="001416ED">
              <w:rPr>
                <w:lang w:val="uk-UA"/>
              </w:rPr>
              <w:t>15,48</w:t>
            </w:r>
            <w:r w:rsidR="007A07A9" w:rsidRPr="001416ED">
              <w:t xml:space="preserve"> ± </w:t>
            </w:r>
            <w:r w:rsidRPr="001416ED">
              <w:t>0,85</w:t>
            </w:r>
          </w:p>
        </w:tc>
        <w:tc>
          <w:tcPr>
            <w:tcW w:w="1418" w:type="dxa"/>
          </w:tcPr>
          <w:p w:rsidR="00D02151" w:rsidRPr="001416ED" w:rsidRDefault="00146B0E" w:rsidP="00BE5E0D">
            <w:pPr>
              <w:spacing w:line="360" w:lineRule="auto"/>
              <w:jc w:val="center"/>
              <w:rPr>
                <w:lang w:val="uk-UA"/>
              </w:rPr>
            </w:pPr>
            <w:r w:rsidRPr="001416ED">
              <w:rPr>
                <w:lang w:val="uk-UA"/>
              </w:rPr>
              <w:t>р&gt;0,05</w:t>
            </w:r>
          </w:p>
        </w:tc>
      </w:tr>
    </w:tbl>
    <w:p w:rsidR="00D02151" w:rsidRPr="001416ED" w:rsidRDefault="002A6797" w:rsidP="0020394C">
      <w:pPr>
        <w:spacing w:before="240" w:line="360" w:lineRule="auto"/>
        <w:ind w:firstLine="708"/>
        <w:jc w:val="both"/>
        <w:rPr>
          <w:lang w:val="uk-UA"/>
        </w:rPr>
      </w:pPr>
      <w:r w:rsidRPr="001416ED">
        <w:rPr>
          <w:lang w:val="uk-UA"/>
        </w:rPr>
        <w:t xml:space="preserve">Вірогідної різниці у </w:t>
      </w:r>
      <w:r w:rsidR="0020394C" w:rsidRPr="001416ED">
        <w:rPr>
          <w:lang w:val="uk-UA"/>
        </w:rPr>
        <w:t xml:space="preserve">показниках ГР на кожному пальці </w:t>
      </w:r>
      <w:r w:rsidR="002D3BAC" w:rsidRPr="001416ED">
        <w:rPr>
          <w:lang w:val="uk-UA"/>
        </w:rPr>
        <w:t>ПК</w:t>
      </w:r>
      <w:r w:rsidR="0020394C" w:rsidRPr="001416ED">
        <w:rPr>
          <w:lang w:val="uk-UA"/>
        </w:rPr>
        <w:t xml:space="preserve"> та </w:t>
      </w:r>
      <w:r w:rsidR="002D3BAC" w:rsidRPr="001416ED">
        <w:rPr>
          <w:lang w:val="uk-UA"/>
        </w:rPr>
        <w:t xml:space="preserve">ЛК </w:t>
      </w:r>
      <w:r w:rsidR="0020394C" w:rsidRPr="001416ED">
        <w:rPr>
          <w:lang w:val="uk-UA"/>
        </w:rPr>
        <w:t xml:space="preserve">між носіями </w:t>
      </w:r>
      <w:r w:rsidR="00E6164F">
        <w:rPr>
          <w:lang w:val="uk-UA"/>
        </w:rPr>
        <w:t>поліморфних варіантів гена ЕТ–1</w:t>
      </w:r>
      <w:r w:rsidR="0020394C" w:rsidRPr="001416ED">
        <w:rPr>
          <w:lang w:val="uk-UA"/>
        </w:rPr>
        <w:t xml:space="preserve"> не ви</w:t>
      </w:r>
      <w:r w:rsidR="00624794" w:rsidRPr="001416ED">
        <w:rPr>
          <w:lang w:val="uk-UA"/>
        </w:rPr>
        <w:t>я</w:t>
      </w:r>
      <w:r w:rsidR="0020394C" w:rsidRPr="001416ED">
        <w:rPr>
          <w:lang w:val="uk-UA"/>
        </w:rPr>
        <w:t>влено.</w:t>
      </w:r>
    </w:p>
    <w:p w:rsidR="002C427B" w:rsidRPr="001416ED" w:rsidRDefault="002C427B" w:rsidP="002C427B">
      <w:pPr>
        <w:spacing w:line="360" w:lineRule="auto"/>
        <w:ind w:firstLine="708"/>
        <w:jc w:val="both"/>
        <w:rPr>
          <w:lang w:val="uk-UA"/>
        </w:rPr>
      </w:pPr>
      <w:r w:rsidRPr="001416ED">
        <w:rPr>
          <w:lang w:val="uk-UA"/>
        </w:rPr>
        <w:t xml:space="preserve">При вивчені </w:t>
      </w:r>
      <w:r w:rsidR="007D4A06" w:rsidRPr="001416ED">
        <w:rPr>
          <w:lang w:val="uk-UA"/>
        </w:rPr>
        <w:t>ЗГР</w:t>
      </w:r>
      <w:r w:rsidRPr="001416ED">
        <w:rPr>
          <w:lang w:val="uk-UA"/>
        </w:rPr>
        <w:t xml:space="preserve"> на </w:t>
      </w:r>
      <w:r w:rsidR="002D3BAC" w:rsidRPr="001416ED">
        <w:rPr>
          <w:lang w:val="uk-UA"/>
        </w:rPr>
        <w:t>ПК</w:t>
      </w:r>
      <w:r w:rsidRPr="001416ED">
        <w:rPr>
          <w:lang w:val="uk-UA"/>
        </w:rPr>
        <w:t xml:space="preserve"> і </w:t>
      </w:r>
      <w:r w:rsidR="002D3BAC" w:rsidRPr="001416ED">
        <w:rPr>
          <w:lang w:val="uk-UA"/>
        </w:rPr>
        <w:t>ЛК</w:t>
      </w:r>
      <w:r w:rsidR="00B31BED" w:rsidRPr="001416ED">
        <w:rPr>
          <w:lang w:val="uk-UA"/>
        </w:rPr>
        <w:t xml:space="preserve"> результати теж</w:t>
      </w:r>
      <w:r w:rsidRPr="001416ED">
        <w:rPr>
          <w:lang w:val="uk-UA"/>
        </w:rPr>
        <w:t xml:space="preserve"> були</w:t>
      </w:r>
      <w:r w:rsidR="00B31BED" w:rsidRPr="001416ED">
        <w:rPr>
          <w:lang w:val="uk-UA"/>
        </w:rPr>
        <w:t xml:space="preserve"> негативними, тобто ЗГР на </w:t>
      </w:r>
      <w:r w:rsidR="002D3BAC" w:rsidRPr="001416ED">
        <w:rPr>
          <w:lang w:val="uk-UA"/>
        </w:rPr>
        <w:t>ПК і ЛК</w:t>
      </w:r>
      <w:r w:rsidR="00B31BED" w:rsidRPr="001416ED">
        <w:rPr>
          <w:lang w:val="uk-UA"/>
        </w:rPr>
        <w:t xml:space="preserve"> суттєво не відрізня</w:t>
      </w:r>
      <w:r w:rsidR="007D4A06" w:rsidRPr="001416ED">
        <w:rPr>
          <w:lang w:val="uk-UA"/>
        </w:rPr>
        <w:t>вся</w:t>
      </w:r>
      <w:r w:rsidRPr="001416ED">
        <w:rPr>
          <w:lang w:val="uk-UA"/>
        </w:rPr>
        <w:t xml:space="preserve"> (табл. 3.1</w:t>
      </w:r>
      <w:r w:rsidR="00E3666E" w:rsidRPr="001416ED">
        <w:rPr>
          <w:lang w:val="uk-UA"/>
        </w:rPr>
        <w:t>0</w:t>
      </w:r>
      <w:r w:rsidRPr="001416ED">
        <w:rPr>
          <w:lang w:val="uk-UA"/>
        </w:rPr>
        <w:t>).</w:t>
      </w:r>
    </w:p>
    <w:p w:rsidR="002D3BAC" w:rsidRPr="001416ED" w:rsidRDefault="002D3BAC" w:rsidP="006245CA">
      <w:pPr>
        <w:spacing w:line="360" w:lineRule="auto"/>
        <w:ind w:firstLine="708"/>
        <w:jc w:val="right"/>
        <w:rPr>
          <w:b/>
          <w:lang w:val="uk-UA"/>
        </w:rPr>
      </w:pPr>
    </w:p>
    <w:p w:rsidR="002D3BAC" w:rsidRPr="001416ED" w:rsidRDefault="002D3BAC" w:rsidP="006245CA">
      <w:pPr>
        <w:spacing w:line="360" w:lineRule="auto"/>
        <w:ind w:firstLine="708"/>
        <w:jc w:val="right"/>
        <w:rPr>
          <w:b/>
          <w:lang w:val="uk-UA"/>
        </w:rPr>
      </w:pPr>
    </w:p>
    <w:p w:rsidR="002D3BAC" w:rsidRPr="001416ED" w:rsidRDefault="002D3BAC" w:rsidP="006245CA">
      <w:pPr>
        <w:spacing w:line="360" w:lineRule="auto"/>
        <w:ind w:firstLine="708"/>
        <w:jc w:val="right"/>
        <w:rPr>
          <w:b/>
          <w:lang w:val="uk-UA"/>
        </w:rPr>
      </w:pPr>
    </w:p>
    <w:p w:rsidR="006245CA" w:rsidRPr="001416ED" w:rsidRDefault="006245CA" w:rsidP="006245CA">
      <w:pPr>
        <w:spacing w:line="360" w:lineRule="auto"/>
        <w:ind w:firstLine="708"/>
        <w:jc w:val="right"/>
        <w:rPr>
          <w:b/>
          <w:lang w:val="uk-UA"/>
        </w:rPr>
      </w:pPr>
      <w:r w:rsidRPr="001416ED">
        <w:rPr>
          <w:b/>
          <w:lang w:val="uk-UA"/>
        </w:rPr>
        <w:lastRenderedPageBreak/>
        <w:t>Таблиця 3.1</w:t>
      </w:r>
      <w:r w:rsidR="00E3666E" w:rsidRPr="001416ED">
        <w:rPr>
          <w:b/>
          <w:lang w:val="uk-UA"/>
        </w:rPr>
        <w:t>0</w:t>
      </w:r>
    </w:p>
    <w:p w:rsidR="006245CA" w:rsidRPr="001416ED" w:rsidRDefault="006245CA" w:rsidP="00F30AA1">
      <w:pPr>
        <w:spacing w:line="360" w:lineRule="auto"/>
        <w:ind w:firstLine="708"/>
        <w:jc w:val="center"/>
        <w:rPr>
          <w:b/>
          <w:lang w:val="uk-UA"/>
        </w:rPr>
      </w:pPr>
      <w:r w:rsidRPr="001416ED">
        <w:rPr>
          <w:b/>
          <w:lang w:val="uk-UA"/>
        </w:rPr>
        <w:t xml:space="preserve">Загальний гребінцевий рахунок на </w:t>
      </w:r>
      <w:r w:rsidR="002D3BAC" w:rsidRPr="001416ED">
        <w:rPr>
          <w:b/>
          <w:lang w:val="uk-UA"/>
        </w:rPr>
        <w:t>ПК і ЛК</w:t>
      </w:r>
      <w:r w:rsidRPr="001416ED">
        <w:rPr>
          <w:b/>
          <w:lang w:val="uk-UA"/>
        </w:rPr>
        <w:t xml:space="preserve"> у чоловіків групи контролю, носіїв </w:t>
      </w:r>
      <w:r w:rsidR="00E6164F">
        <w:rPr>
          <w:b/>
          <w:lang w:val="uk-UA"/>
        </w:rPr>
        <w:t>поліморфних варіантів гена ЕТ–1</w:t>
      </w:r>
      <w:r w:rsidRPr="001416ED">
        <w:rPr>
          <w:b/>
          <w:lang w:val="uk-UA"/>
        </w:rPr>
        <w:t>, (M</w:t>
      </w:r>
      <w:r w:rsidR="007A07A9" w:rsidRPr="001416ED">
        <w:rPr>
          <w:b/>
          <w:lang w:val="uk-UA"/>
        </w:rPr>
        <w:t xml:space="preserve"> ± </w:t>
      </w:r>
      <w:r w:rsidRPr="001416ED">
        <w:rPr>
          <w:b/>
          <w:lang w:val="uk-UA"/>
        </w:rPr>
        <w:t>m)</w:t>
      </w:r>
    </w:p>
    <w:tbl>
      <w:tblPr>
        <w:tblStyle w:val="af5"/>
        <w:tblW w:w="0" w:type="auto"/>
        <w:tblInd w:w="108" w:type="dxa"/>
        <w:tblLook w:val="04A0" w:firstRow="1" w:lastRow="0" w:firstColumn="1" w:lastColumn="0" w:noHBand="0" w:noVBand="1"/>
      </w:tblPr>
      <w:tblGrid>
        <w:gridCol w:w="2694"/>
        <w:gridCol w:w="3260"/>
        <w:gridCol w:w="2693"/>
        <w:gridCol w:w="1276"/>
      </w:tblGrid>
      <w:tr w:rsidR="00BC47DB" w:rsidRPr="001416ED" w:rsidTr="00BC47DB">
        <w:tc>
          <w:tcPr>
            <w:tcW w:w="2694" w:type="dxa"/>
          </w:tcPr>
          <w:p w:rsidR="00BC47DB" w:rsidRPr="001416ED" w:rsidRDefault="00BC47DB" w:rsidP="006245CA">
            <w:pPr>
              <w:spacing w:line="360" w:lineRule="auto"/>
              <w:jc w:val="center"/>
              <w:rPr>
                <w:b/>
                <w:lang w:val="uk-UA"/>
              </w:rPr>
            </w:pPr>
            <w:r w:rsidRPr="001416ED">
              <w:rPr>
                <w:b/>
                <w:lang w:val="uk-UA"/>
              </w:rPr>
              <w:t>ЗГР</w:t>
            </w:r>
          </w:p>
        </w:tc>
        <w:tc>
          <w:tcPr>
            <w:tcW w:w="3260" w:type="dxa"/>
          </w:tcPr>
          <w:p w:rsidR="00BC47DB" w:rsidRPr="001416ED" w:rsidRDefault="00BC47DB" w:rsidP="00803F07">
            <w:pPr>
              <w:spacing w:line="360" w:lineRule="auto"/>
              <w:jc w:val="center"/>
              <w:rPr>
                <w:b/>
                <w:lang w:val="uk-UA"/>
              </w:rPr>
            </w:pPr>
            <w:r w:rsidRPr="001416ED">
              <w:rPr>
                <w:b/>
                <w:lang w:val="uk-UA"/>
              </w:rPr>
              <w:t>Генотип Lys/Lys</w:t>
            </w:r>
          </w:p>
          <w:p w:rsidR="00BC47DB" w:rsidRPr="001416ED" w:rsidRDefault="00BC47DB" w:rsidP="00803F07">
            <w:pPr>
              <w:spacing w:line="360" w:lineRule="auto"/>
              <w:jc w:val="center"/>
              <w:rPr>
                <w:b/>
                <w:lang w:val="en-US"/>
              </w:rPr>
            </w:pPr>
            <w:r w:rsidRPr="001416ED">
              <w:rPr>
                <w:b/>
                <w:lang w:val="uk-UA"/>
              </w:rPr>
              <w:t>(</w:t>
            </w:r>
            <w:r w:rsidRPr="001416ED">
              <w:rPr>
                <w:b/>
                <w:lang w:val="en-US"/>
              </w:rPr>
              <w:t>n=52)</w:t>
            </w:r>
          </w:p>
        </w:tc>
        <w:tc>
          <w:tcPr>
            <w:tcW w:w="2693" w:type="dxa"/>
          </w:tcPr>
          <w:p w:rsidR="00BC47DB" w:rsidRPr="001416ED" w:rsidRDefault="00BC47DB" w:rsidP="00803F07">
            <w:pPr>
              <w:spacing w:line="360" w:lineRule="auto"/>
              <w:jc w:val="center"/>
              <w:rPr>
                <w:b/>
                <w:lang w:val="uk-UA"/>
              </w:rPr>
            </w:pPr>
            <w:r w:rsidRPr="001416ED">
              <w:rPr>
                <w:b/>
                <w:lang w:val="uk-UA"/>
              </w:rPr>
              <w:t>Носії алелі Asn</w:t>
            </w:r>
            <w:r w:rsidRPr="001416ED">
              <w:rPr>
                <w:b/>
                <w:lang w:val="en-US"/>
              </w:rPr>
              <w:t xml:space="preserve"> </w:t>
            </w:r>
            <w:r w:rsidRPr="001416ED">
              <w:rPr>
                <w:b/>
                <w:lang w:val="uk-UA"/>
              </w:rPr>
              <w:t>(</w:t>
            </w:r>
            <w:r w:rsidRPr="001416ED">
              <w:rPr>
                <w:b/>
                <w:lang w:val="en-US"/>
              </w:rPr>
              <w:t>n=27)</w:t>
            </w:r>
          </w:p>
        </w:tc>
        <w:tc>
          <w:tcPr>
            <w:tcW w:w="1276" w:type="dxa"/>
          </w:tcPr>
          <w:p w:rsidR="00BC47DB" w:rsidRPr="001416ED" w:rsidRDefault="00BC47DB" w:rsidP="006245CA">
            <w:pPr>
              <w:spacing w:line="360" w:lineRule="auto"/>
              <w:jc w:val="center"/>
              <w:rPr>
                <w:b/>
                <w:lang w:val="uk-UA"/>
              </w:rPr>
            </w:pPr>
            <w:r w:rsidRPr="001416ED">
              <w:rPr>
                <w:b/>
                <w:lang w:val="uk-UA"/>
              </w:rPr>
              <w:t>р</w:t>
            </w:r>
          </w:p>
        </w:tc>
      </w:tr>
      <w:tr w:rsidR="006245CA" w:rsidRPr="001416ED" w:rsidTr="00BC47DB">
        <w:tc>
          <w:tcPr>
            <w:tcW w:w="2694" w:type="dxa"/>
          </w:tcPr>
          <w:p w:rsidR="006245CA" w:rsidRPr="001416ED" w:rsidRDefault="006245CA" w:rsidP="002D3BAC">
            <w:pPr>
              <w:spacing w:line="360" w:lineRule="auto"/>
              <w:jc w:val="both"/>
              <w:rPr>
                <w:lang w:val="uk-UA"/>
              </w:rPr>
            </w:pPr>
            <w:r w:rsidRPr="001416ED">
              <w:rPr>
                <w:lang w:val="uk-UA"/>
              </w:rPr>
              <w:t xml:space="preserve">ЗГР для </w:t>
            </w:r>
            <w:r w:rsidR="002D3BAC" w:rsidRPr="001416ED">
              <w:rPr>
                <w:lang w:val="uk-UA"/>
              </w:rPr>
              <w:t>ПК</w:t>
            </w:r>
          </w:p>
        </w:tc>
        <w:tc>
          <w:tcPr>
            <w:tcW w:w="3260" w:type="dxa"/>
          </w:tcPr>
          <w:p w:rsidR="006245CA" w:rsidRPr="001416ED" w:rsidRDefault="006245CA" w:rsidP="006245CA">
            <w:pPr>
              <w:spacing w:line="360" w:lineRule="auto"/>
              <w:jc w:val="center"/>
              <w:rPr>
                <w:lang w:val="uk-UA"/>
              </w:rPr>
            </w:pPr>
            <w:r w:rsidRPr="001416ED">
              <w:rPr>
                <w:lang w:val="uk-UA"/>
              </w:rPr>
              <w:t>83,08</w:t>
            </w:r>
            <w:r w:rsidR="007A07A9" w:rsidRPr="001416ED">
              <w:t xml:space="preserve"> ± </w:t>
            </w:r>
            <w:r w:rsidRPr="001416ED">
              <w:rPr>
                <w:lang w:val="uk-UA"/>
              </w:rPr>
              <w:t>2,37</w:t>
            </w:r>
          </w:p>
        </w:tc>
        <w:tc>
          <w:tcPr>
            <w:tcW w:w="2693" w:type="dxa"/>
          </w:tcPr>
          <w:p w:rsidR="006245CA" w:rsidRPr="001416ED" w:rsidRDefault="006245CA" w:rsidP="006245CA">
            <w:pPr>
              <w:spacing w:line="360" w:lineRule="auto"/>
              <w:jc w:val="center"/>
              <w:rPr>
                <w:lang w:val="uk-UA"/>
              </w:rPr>
            </w:pPr>
            <w:r w:rsidRPr="001416ED">
              <w:rPr>
                <w:lang w:val="uk-UA"/>
              </w:rPr>
              <w:t>85,59</w:t>
            </w:r>
            <w:r w:rsidR="007A07A9" w:rsidRPr="001416ED">
              <w:t xml:space="preserve"> ± </w:t>
            </w:r>
            <w:r w:rsidRPr="001416ED">
              <w:rPr>
                <w:lang w:val="uk-UA"/>
              </w:rPr>
              <w:t>2,29</w:t>
            </w:r>
          </w:p>
        </w:tc>
        <w:tc>
          <w:tcPr>
            <w:tcW w:w="1276" w:type="dxa"/>
          </w:tcPr>
          <w:p w:rsidR="006245CA" w:rsidRPr="001416ED" w:rsidRDefault="006245CA" w:rsidP="006245CA">
            <w:pPr>
              <w:spacing w:line="360" w:lineRule="auto"/>
              <w:jc w:val="center"/>
              <w:rPr>
                <w:lang w:val="uk-UA"/>
              </w:rPr>
            </w:pPr>
            <w:r w:rsidRPr="001416ED">
              <w:rPr>
                <w:lang w:val="uk-UA"/>
              </w:rPr>
              <w:t>р&gt;0,05</w:t>
            </w:r>
          </w:p>
        </w:tc>
      </w:tr>
      <w:tr w:rsidR="006245CA" w:rsidRPr="001416ED" w:rsidTr="00BC47DB">
        <w:tc>
          <w:tcPr>
            <w:tcW w:w="2694" w:type="dxa"/>
          </w:tcPr>
          <w:p w:rsidR="006245CA" w:rsidRPr="001416ED" w:rsidRDefault="006245CA" w:rsidP="002D3BAC">
            <w:pPr>
              <w:spacing w:line="360" w:lineRule="auto"/>
              <w:jc w:val="both"/>
              <w:rPr>
                <w:lang w:val="uk-UA"/>
              </w:rPr>
            </w:pPr>
            <w:r w:rsidRPr="001416ED">
              <w:rPr>
                <w:lang w:val="uk-UA"/>
              </w:rPr>
              <w:t xml:space="preserve">ЗГР для </w:t>
            </w:r>
            <w:r w:rsidR="002D3BAC" w:rsidRPr="001416ED">
              <w:rPr>
                <w:lang w:val="uk-UA"/>
              </w:rPr>
              <w:t>ЛК</w:t>
            </w:r>
          </w:p>
        </w:tc>
        <w:tc>
          <w:tcPr>
            <w:tcW w:w="3260" w:type="dxa"/>
          </w:tcPr>
          <w:p w:rsidR="006245CA" w:rsidRPr="001416ED" w:rsidRDefault="006245CA" w:rsidP="006245CA">
            <w:pPr>
              <w:spacing w:line="360" w:lineRule="auto"/>
              <w:jc w:val="center"/>
              <w:rPr>
                <w:lang w:val="uk-UA"/>
              </w:rPr>
            </w:pPr>
            <w:r w:rsidRPr="001416ED">
              <w:rPr>
                <w:lang w:val="uk-UA"/>
              </w:rPr>
              <w:t>80,23</w:t>
            </w:r>
            <w:r w:rsidR="007A07A9" w:rsidRPr="001416ED">
              <w:t xml:space="preserve"> ± </w:t>
            </w:r>
            <w:r w:rsidRPr="001416ED">
              <w:rPr>
                <w:lang w:val="uk-UA"/>
              </w:rPr>
              <w:t>2,29</w:t>
            </w:r>
          </w:p>
        </w:tc>
        <w:tc>
          <w:tcPr>
            <w:tcW w:w="2693" w:type="dxa"/>
          </w:tcPr>
          <w:p w:rsidR="006245CA" w:rsidRPr="001416ED" w:rsidRDefault="006245CA" w:rsidP="006245CA">
            <w:pPr>
              <w:spacing w:line="360" w:lineRule="auto"/>
              <w:jc w:val="center"/>
              <w:rPr>
                <w:lang w:val="uk-UA"/>
              </w:rPr>
            </w:pPr>
            <w:r w:rsidRPr="001416ED">
              <w:rPr>
                <w:lang w:val="uk-UA"/>
              </w:rPr>
              <w:t>81,00</w:t>
            </w:r>
            <w:r w:rsidR="007A07A9" w:rsidRPr="001416ED">
              <w:t xml:space="preserve"> ± </w:t>
            </w:r>
            <w:r w:rsidRPr="001416ED">
              <w:rPr>
                <w:lang w:val="uk-UA"/>
              </w:rPr>
              <w:t>4,73</w:t>
            </w:r>
          </w:p>
        </w:tc>
        <w:tc>
          <w:tcPr>
            <w:tcW w:w="1276" w:type="dxa"/>
          </w:tcPr>
          <w:p w:rsidR="006245CA" w:rsidRPr="001416ED" w:rsidRDefault="006245CA" w:rsidP="006245CA">
            <w:pPr>
              <w:spacing w:line="360" w:lineRule="auto"/>
              <w:jc w:val="center"/>
              <w:rPr>
                <w:lang w:val="uk-UA"/>
              </w:rPr>
            </w:pPr>
            <w:r w:rsidRPr="001416ED">
              <w:rPr>
                <w:lang w:val="uk-UA"/>
              </w:rPr>
              <w:t>р&gt;0,05</w:t>
            </w:r>
          </w:p>
        </w:tc>
      </w:tr>
      <w:tr w:rsidR="006245CA" w:rsidRPr="001416ED" w:rsidTr="00BC47DB">
        <w:tc>
          <w:tcPr>
            <w:tcW w:w="2694" w:type="dxa"/>
          </w:tcPr>
          <w:p w:rsidR="006245CA" w:rsidRPr="001416ED" w:rsidRDefault="006245CA" w:rsidP="006245CA">
            <w:pPr>
              <w:spacing w:line="360" w:lineRule="auto"/>
              <w:jc w:val="both"/>
              <w:rPr>
                <w:lang w:val="uk-UA"/>
              </w:rPr>
            </w:pPr>
            <w:r w:rsidRPr="001416ED">
              <w:rPr>
                <w:lang w:val="uk-UA"/>
              </w:rPr>
              <w:t>р</w:t>
            </w:r>
          </w:p>
        </w:tc>
        <w:tc>
          <w:tcPr>
            <w:tcW w:w="3260" w:type="dxa"/>
          </w:tcPr>
          <w:p w:rsidR="006245CA" w:rsidRPr="001416ED" w:rsidRDefault="006245CA" w:rsidP="006245CA">
            <w:pPr>
              <w:spacing w:line="360" w:lineRule="auto"/>
              <w:jc w:val="center"/>
              <w:rPr>
                <w:lang w:val="uk-UA"/>
              </w:rPr>
            </w:pPr>
            <w:r w:rsidRPr="001416ED">
              <w:rPr>
                <w:lang w:val="uk-UA"/>
              </w:rPr>
              <w:t>р&gt;0,05</w:t>
            </w:r>
          </w:p>
        </w:tc>
        <w:tc>
          <w:tcPr>
            <w:tcW w:w="2693" w:type="dxa"/>
          </w:tcPr>
          <w:p w:rsidR="006245CA" w:rsidRPr="001416ED" w:rsidRDefault="006245CA" w:rsidP="006245CA">
            <w:pPr>
              <w:spacing w:line="360" w:lineRule="auto"/>
              <w:jc w:val="center"/>
              <w:rPr>
                <w:lang w:val="uk-UA"/>
              </w:rPr>
            </w:pPr>
            <w:r w:rsidRPr="001416ED">
              <w:rPr>
                <w:lang w:val="uk-UA"/>
              </w:rPr>
              <w:t>р&gt;0,05</w:t>
            </w:r>
          </w:p>
        </w:tc>
        <w:tc>
          <w:tcPr>
            <w:tcW w:w="1276" w:type="dxa"/>
          </w:tcPr>
          <w:p w:rsidR="006245CA" w:rsidRPr="001416ED" w:rsidRDefault="006245CA" w:rsidP="006245CA">
            <w:pPr>
              <w:spacing w:line="360" w:lineRule="auto"/>
              <w:jc w:val="center"/>
              <w:rPr>
                <w:lang w:val="uk-UA"/>
              </w:rPr>
            </w:pPr>
          </w:p>
        </w:tc>
      </w:tr>
    </w:tbl>
    <w:p w:rsidR="002928CC" w:rsidRPr="001416ED" w:rsidRDefault="0020394C" w:rsidP="00B31BED">
      <w:pPr>
        <w:spacing w:before="240" w:line="360" w:lineRule="auto"/>
        <w:ind w:firstLine="708"/>
        <w:jc w:val="both"/>
        <w:rPr>
          <w:lang w:val="uk-UA"/>
        </w:rPr>
      </w:pPr>
      <w:r w:rsidRPr="001416ED">
        <w:rPr>
          <w:lang w:val="uk-UA"/>
        </w:rPr>
        <w:t xml:space="preserve">Наступним кроком стало визначення </w:t>
      </w:r>
      <w:r w:rsidR="007D4A06" w:rsidRPr="001416ED">
        <w:rPr>
          <w:lang w:val="uk-UA"/>
        </w:rPr>
        <w:t>СГР</w:t>
      </w:r>
      <w:r w:rsidR="00B31BED" w:rsidRPr="001416ED">
        <w:rPr>
          <w:lang w:val="uk-UA"/>
        </w:rPr>
        <w:t xml:space="preserve"> у носіїв різних </w:t>
      </w:r>
      <w:r w:rsidR="00F40216">
        <w:rPr>
          <w:lang w:val="uk-UA"/>
        </w:rPr>
        <w:t>варіантів гена</w:t>
      </w:r>
      <w:r w:rsidR="00B31BED" w:rsidRPr="001416ED">
        <w:rPr>
          <w:lang w:val="uk-UA"/>
        </w:rPr>
        <w:t xml:space="preserve"> ЕТ</w:t>
      </w:r>
      <w:r w:rsidR="00BC0119" w:rsidRPr="001416ED">
        <w:rPr>
          <w:lang w:val="uk-UA"/>
        </w:rPr>
        <w:t>–</w:t>
      </w:r>
      <w:r w:rsidR="00B31BED" w:rsidRPr="001416ED">
        <w:rPr>
          <w:lang w:val="uk-UA"/>
        </w:rPr>
        <w:t>1. Рі</w:t>
      </w:r>
      <w:r w:rsidR="002928CC" w:rsidRPr="001416ED">
        <w:rPr>
          <w:lang w:val="uk-UA"/>
        </w:rPr>
        <w:t>зниці у СГР між носіями генотипу Lys/Lys (163,30</w:t>
      </w:r>
      <w:r w:rsidR="007A07A9" w:rsidRPr="001416ED">
        <w:rPr>
          <w:lang w:val="uk-UA"/>
        </w:rPr>
        <w:t xml:space="preserve"> ± </w:t>
      </w:r>
      <w:r w:rsidR="002928CC" w:rsidRPr="001416ED">
        <w:rPr>
          <w:lang w:val="uk-UA"/>
        </w:rPr>
        <w:t xml:space="preserve">4,28) та алелі </w:t>
      </w:r>
      <w:r w:rsidR="002928CC" w:rsidRPr="001416ED">
        <w:rPr>
          <w:lang w:val="en-US"/>
        </w:rPr>
        <w:t>Asn</w:t>
      </w:r>
      <w:r w:rsidR="002928CC" w:rsidRPr="001416ED">
        <w:rPr>
          <w:lang w:val="uk-UA"/>
        </w:rPr>
        <w:t xml:space="preserve"> (166,59</w:t>
      </w:r>
      <w:r w:rsidR="007A07A9" w:rsidRPr="001416ED">
        <w:rPr>
          <w:lang w:val="uk-UA"/>
        </w:rPr>
        <w:t xml:space="preserve"> ± </w:t>
      </w:r>
      <w:r w:rsidR="002928CC" w:rsidRPr="001416ED">
        <w:rPr>
          <w:lang w:val="uk-UA"/>
        </w:rPr>
        <w:t xml:space="preserve">8,63) </w:t>
      </w:r>
      <w:r w:rsidR="00B31BED" w:rsidRPr="001416ED">
        <w:rPr>
          <w:lang w:val="uk-UA"/>
        </w:rPr>
        <w:t xml:space="preserve">теж </w:t>
      </w:r>
      <w:r w:rsidR="002928CC" w:rsidRPr="001416ED">
        <w:rPr>
          <w:lang w:val="uk-UA"/>
        </w:rPr>
        <w:t>не знайдено (р&gt;0,05).</w:t>
      </w:r>
    </w:p>
    <w:p w:rsidR="009D22B7" w:rsidRPr="001416ED" w:rsidRDefault="00494719" w:rsidP="002928CC">
      <w:pPr>
        <w:spacing w:line="360" w:lineRule="auto"/>
        <w:ind w:firstLine="708"/>
        <w:jc w:val="both"/>
        <w:rPr>
          <w:lang w:val="uk-UA"/>
        </w:rPr>
      </w:pPr>
      <w:r w:rsidRPr="001416ED">
        <w:rPr>
          <w:lang w:val="uk-UA"/>
        </w:rPr>
        <w:t>П</w:t>
      </w:r>
      <w:r w:rsidR="009D22B7" w:rsidRPr="001416ED">
        <w:rPr>
          <w:lang w:val="uk-UA"/>
        </w:rPr>
        <w:t>роведений кореляційний аналіз по Спірмену для виявлення зв’язків між носійством</w:t>
      </w:r>
      <w:r w:rsidR="00E6164F">
        <w:rPr>
          <w:lang w:val="uk-UA"/>
        </w:rPr>
        <w:t xml:space="preserve"> варіанту гена</w:t>
      </w:r>
      <w:r w:rsidR="009D22B7" w:rsidRPr="001416ED">
        <w:rPr>
          <w:lang w:val="uk-UA"/>
        </w:rPr>
        <w:t xml:space="preserve"> ЕТ</w:t>
      </w:r>
      <w:r w:rsidR="00BC0119" w:rsidRPr="001416ED">
        <w:rPr>
          <w:lang w:val="uk-UA"/>
        </w:rPr>
        <w:t>–</w:t>
      </w:r>
      <w:r w:rsidR="009D22B7" w:rsidRPr="001416ED">
        <w:rPr>
          <w:lang w:val="uk-UA"/>
        </w:rPr>
        <w:t xml:space="preserve">1 та </w:t>
      </w:r>
      <w:r w:rsidR="00475F91" w:rsidRPr="001416ED">
        <w:rPr>
          <w:lang w:val="uk-UA"/>
        </w:rPr>
        <w:t>дерматогліфами</w:t>
      </w:r>
      <w:r w:rsidR="000B319F" w:rsidRPr="001416ED">
        <w:rPr>
          <w:lang w:val="uk-UA"/>
        </w:rPr>
        <w:t xml:space="preserve"> обох кистей (табл.</w:t>
      </w:r>
      <w:r w:rsidR="00E15635" w:rsidRPr="001416ED">
        <w:rPr>
          <w:lang w:val="uk-UA"/>
        </w:rPr>
        <w:t xml:space="preserve"> </w:t>
      </w:r>
      <w:r w:rsidR="000B319F" w:rsidRPr="001416ED">
        <w:rPr>
          <w:lang w:val="uk-UA"/>
        </w:rPr>
        <w:t>3.1</w:t>
      </w:r>
      <w:r w:rsidR="00E3666E" w:rsidRPr="001416ED">
        <w:rPr>
          <w:lang w:val="uk-UA"/>
        </w:rPr>
        <w:t>1</w:t>
      </w:r>
      <w:r w:rsidR="000B319F" w:rsidRPr="001416ED">
        <w:rPr>
          <w:lang w:val="uk-UA"/>
        </w:rPr>
        <w:t>)</w:t>
      </w:r>
      <w:r w:rsidR="00F30AA1" w:rsidRPr="001416ED">
        <w:rPr>
          <w:lang w:val="uk-UA"/>
        </w:rPr>
        <w:t>.</w:t>
      </w:r>
    </w:p>
    <w:p w:rsidR="000B319F" w:rsidRPr="001416ED" w:rsidRDefault="000B319F" w:rsidP="00866751">
      <w:pPr>
        <w:spacing w:line="360" w:lineRule="auto"/>
        <w:ind w:firstLine="708"/>
        <w:jc w:val="right"/>
        <w:rPr>
          <w:b/>
          <w:lang w:val="uk-UA"/>
        </w:rPr>
      </w:pPr>
      <w:r w:rsidRPr="001416ED">
        <w:rPr>
          <w:b/>
          <w:lang w:val="uk-UA"/>
        </w:rPr>
        <w:t>Таблиця 3.1</w:t>
      </w:r>
      <w:r w:rsidR="00E3666E" w:rsidRPr="001416ED">
        <w:rPr>
          <w:b/>
          <w:lang w:val="uk-UA"/>
        </w:rPr>
        <w:t>1</w:t>
      </w:r>
    </w:p>
    <w:p w:rsidR="000B319F" w:rsidRPr="001416ED" w:rsidRDefault="00B83C2C" w:rsidP="004156AB">
      <w:pPr>
        <w:spacing w:line="360" w:lineRule="auto"/>
        <w:ind w:firstLine="708"/>
        <w:jc w:val="center"/>
        <w:rPr>
          <w:b/>
          <w:lang w:val="uk-UA"/>
        </w:rPr>
      </w:pPr>
      <w:r w:rsidRPr="001416ED">
        <w:rPr>
          <w:b/>
          <w:lang w:val="uk-UA"/>
        </w:rPr>
        <w:t>Показники к</w:t>
      </w:r>
      <w:r w:rsidR="000B319F" w:rsidRPr="001416ED">
        <w:rPr>
          <w:b/>
          <w:lang w:val="uk-UA"/>
        </w:rPr>
        <w:t>ореляці</w:t>
      </w:r>
      <w:r w:rsidRPr="001416ED">
        <w:rPr>
          <w:b/>
          <w:lang w:val="uk-UA"/>
        </w:rPr>
        <w:t>ї</w:t>
      </w:r>
      <w:r w:rsidR="000B319F" w:rsidRPr="001416ED">
        <w:rPr>
          <w:b/>
          <w:lang w:val="uk-UA"/>
        </w:rPr>
        <w:t xml:space="preserve"> </w:t>
      </w:r>
      <w:r w:rsidR="00F40216">
        <w:rPr>
          <w:b/>
          <w:lang w:val="uk-UA"/>
        </w:rPr>
        <w:t xml:space="preserve"> варіантів гена</w:t>
      </w:r>
      <w:r w:rsidR="000B319F" w:rsidRPr="001416ED">
        <w:rPr>
          <w:b/>
          <w:lang w:val="uk-UA"/>
        </w:rPr>
        <w:t xml:space="preserve"> ЕТ</w:t>
      </w:r>
      <w:r w:rsidR="00BC0119" w:rsidRPr="001416ED">
        <w:rPr>
          <w:b/>
          <w:lang w:val="uk-UA"/>
        </w:rPr>
        <w:t>–</w:t>
      </w:r>
      <w:r w:rsidR="000B319F" w:rsidRPr="001416ED">
        <w:rPr>
          <w:b/>
          <w:lang w:val="uk-UA"/>
        </w:rPr>
        <w:t>1 та окремих пальцевих узорів на обох кистях у чоловіків групи контролю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544"/>
      </w:tblGrid>
      <w:tr w:rsidR="000B319F" w:rsidRPr="001416ED" w:rsidTr="00465A7B">
        <w:tc>
          <w:tcPr>
            <w:tcW w:w="2943" w:type="dxa"/>
            <w:vMerge w:val="restart"/>
          </w:tcPr>
          <w:p w:rsidR="000B319F" w:rsidRPr="001416ED" w:rsidRDefault="000B319F" w:rsidP="00B83C2C">
            <w:pPr>
              <w:autoSpaceDE w:val="0"/>
              <w:autoSpaceDN w:val="0"/>
              <w:adjustRightInd w:val="0"/>
              <w:spacing w:line="360" w:lineRule="auto"/>
              <w:jc w:val="center"/>
              <w:rPr>
                <w:rFonts w:eastAsiaTheme="minorHAnsi"/>
                <w:b/>
                <w:kern w:val="11"/>
                <w:lang w:val="uk-UA" w:eastAsia="en-US"/>
              </w:rPr>
            </w:pPr>
            <w:r w:rsidRPr="001416ED">
              <w:rPr>
                <w:rFonts w:eastAsiaTheme="minorHAnsi"/>
                <w:b/>
                <w:kern w:val="11"/>
                <w:lang w:val="uk-UA" w:eastAsia="en-US"/>
              </w:rPr>
              <w:t>Пальцеві узори</w:t>
            </w:r>
            <w:r w:rsidR="00637BCC" w:rsidRPr="001416ED">
              <w:rPr>
                <w:rFonts w:eastAsiaTheme="minorHAnsi"/>
                <w:b/>
                <w:kern w:val="11"/>
                <w:lang w:val="uk-UA" w:eastAsia="en-US"/>
              </w:rPr>
              <w:t xml:space="preserve"> на обох кистях</w:t>
            </w:r>
          </w:p>
        </w:tc>
        <w:tc>
          <w:tcPr>
            <w:tcW w:w="7088" w:type="dxa"/>
            <w:gridSpan w:val="2"/>
          </w:tcPr>
          <w:p w:rsidR="000B319F" w:rsidRPr="001416ED" w:rsidRDefault="000B319F" w:rsidP="00475F91">
            <w:pPr>
              <w:spacing w:line="360" w:lineRule="auto"/>
              <w:jc w:val="center"/>
              <w:rPr>
                <w:rFonts w:eastAsiaTheme="minorHAnsi"/>
                <w:b/>
                <w:kern w:val="11"/>
                <w:lang w:val="uk-UA" w:eastAsia="en-US"/>
              </w:rPr>
            </w:pPr>
            <w:r w:rsidRPr="001416ED">
              <w:rPr>
                <w:rFonts w:eastAsiaTheme="minorHAnsi"/>
                <w:b/>
                <w:kern w:val="11"/>
                <w:lang w:val="en-US" w:eastAsia="en-US"/>
              </w:rPr>
              <w:t>Група контролю</w:t>
            </w:r>
            <w:r w:rsidRPr="001416ED">
              <w:rPr>
                <w:rFonts w:eastAsiaTheme="minorHAnsi"/>
                <w:b/>
                <w:kern w:val="11"/>
                <w:lang w:val="uk-UA" w:eastAsia="en-US"/>
              </w:rPr>
              <w:t xml:space="preserve"> (</w:t>
            </w:r>
            <w:r w:rsidRPr="001416ED">
              <w:rPr>
                <w:rFonts w:eastAsiaTheme="minorHAnsi"/>
                <w:b/>
                <w:kern w:val="11"/>
                <w:lang w:val="en-US" w:eastAsia="en-US"/>
              </w:rPr>
              <w:t>n</w:t>
            </w:r>
            <w:r w:rsidRPr="001416ED">
              <w:rPr>
                <w:rFonts w:eastAsiaTheme="minorHAnsi"/>
                <w:b/>
                <w:kern w:val="11"/>
                <w:lang w:val="uk-UA" w:eastAsia="en-US"/>
              </w:rPr>
              <w:t>=79</w:t>
            </w:r>
            <w:r w:rsidRPr="001416ED">
              <w:rPr>
                <w:rFonts w:eastAsiaTheme="minorHAnsi"/>
                <w:b/>
                <w:kern w:val="11"/>
                <w:lang w:val="en-US" w:eastAsia="en-US"/>
              </w:rPr>
              <w:t>)</w:t>
            </w:r>
          </w:p>
        </w:tc>
      </w:tr>
      <w:tr w:rsidR="000B319F" w:rsidRPr="001416ED" w:rsidTr="00465A7B">
        <w:trPr>
          <w:trHeight w:val="447"/>
        </w:trPr>
        <w:tc>
          <w:tcPr>
            <w:tcW w:w="2943" w:type="dxa"/>
            <w:vMerge/>
          </w:tcPr>
          <w:p w:rsidR="000B319F" w:rsidRPr="001416ED" w:rsidRDefault="000B319F" w:rsidP="00B83C2C">
            <w:pPr>
              <w:spacing w:line="360" w:lineRule="auto"/>
              <w:ind w:right="-18"/>
              <w:jc w:val="center"/>
              <w:rPr>
                <w:rFonts w:eastAsiaTheme="minorHAnsi"/>
                <w:b/>
                <w:kern w:val="11"/>
                <w:lang w:val="uk-UA" w:eastAsia="en-US"/>
              </w:rPr>
            </w:pPr>
          </w:p>
        </w:tc>
        <w:tc>
          <w:tcPr>
            <w:tcW w:w="3544" w:type="dxa"/>
          </w:tcPr>
          <w:p w:rsidR="000B319F" w:rsidRPr="001416ED" w:rsidRDefault="000B319F" w:rsidP="00B83C2C">
            <w:pPr>
              <w:autoSpaceDE w:val="0"/>
              <w:autoSpaceDN w:val="0"/>
              <w:adjustRightInd w:val="0"/>
              <w:spacing w:line="360" w:lineRule="auto"/>
              <w:jc w:val="center"/>
              <w:rPr>
                <w:rFonts w:eastAsiaTheme="minorHAnsi"/>
                <w:b/>
                <w:kern w:val="11"/>
                <w:lang w:val="en-US" w:eastAsia="en-US"/>
              </w:rPr>
            </w:pPr>
            <w:r w:rsidRPr="001416ED">
              <w:rPr>
                <w:rFonts w:eastAsiaTheme="minorHAnsi"/>
                <w:b/>
                <w:kern w:val="11"/>
                <w:lang w:val="en-US" w:eastAsia="en-US"/>
              </w:rPr>
              <w:t>R</w:t>
            </w:r>
          </w:p>
        </w:tc>
        <w:tc>
          <w:tcPr>
            <w:tcW w:w="3544" w:type="dxa"/>
          </w:tcPr>
          <w:p w:rsidR="000B319F" w:rsidRPr="001416ED" w:rsidRDefault="000B319F" w:rsidP="00B83C2C">
            <w:pPr>
              <w:autoSpaceDE w:val="0"/>
              <w:autoSpaceDN w:val="0"/>
              <w:adjustRightInd w:val="0"/>
              <w:spacing w:line="360" w:lineRule="auto"/>
              <w:jc w:val="center"/>
              <w:rPr>
                <w:rFonts w:eastAsiaTheme="minorHAnsi"/>
                <w:b/>
                <w:kern w:val="11"/>
                <w:lang w:val="en-US" w:eastAsia="en-US"/>
              </w:rPr>
            </w:pPr>
            <w:r w:rsidRPr="001416ED">
              <w:rPr>
                <w:rFonts w:eastAsiaTheme="minorHAnsi"/>
                <w:b/>
                <w:kern w:val="11"/>
                <w:lang w:val="en-US" w:eastAsia="en-US"/>
              </w:rPr>
              <w:t>p</w:t>
            </w:r>
          </w:p>
        </w:tc>
      </w:tr>
      <w:tr w:rsidR="000B319F" w:rsidRPr="001416ED" w:rsidTr="00465A7B">
        <w:tc>
          <w:tcPr>
            <w:tcW w:w="2943" w:type="dxa"/>
          </w:tcPr>
          <w:p w:rsidR="000B319F" w:rsidRPr="001416ED" w:rsidRDefault="000B319F" w:rsidP="002D3BAC">
            <w:pPr>
              <w:spacing w:line="360" w:lineRule="auto"/>
              <w:ind w:right="-18"/>
              <w:jc w:val="center"/>
              <w:rPr>
                <w:rFonts w:eastAsiaTheme="minorHAnsi"/>
                <w:kern w:val="11"/>
                <w:lang w:val="uk-UA" w:eastAsia="en-US"/>
              </w:rPr>
            </w:pPr>
            <w:r w:rsidRPr="001416ED">
              <w:rPr>
                <w:rFonts w:eastAsiaTheme="minorHAnsi"/>
                <w:kern w:val="11"/>
                <w:lang w:val="uk-UA" w:eastAsia="en-US"/>
              </w:rPr>
              <w:t>1</w:t>
            </w:r>
            <w:r w:rsidR="002D3BAC" w:rsidRPr="001416ED">
              <w:rPr>
                <w:rFonts w:eastAsiaTheme="minorHAnsi"/>
                <w:kern w:val="11"/>
                <w:lang w:val="uk-UA" w:eastAsia="en-US"/>
              </w:rPr>
              <w:t xml:space="preserve"> ПК</w:t>
            </w:r>
          </w:p>
        </w:tc>
        <w:tc>
          <w:tcPr>
            <w:tcW w:w="3544" w:type="dxa"/>
            <w:vAlign w:val="center"/>
          </w:tcPr>
          <w:p w:rsidR="000B319F" w:rsidRPr="001416ED" w:rsidRDefault="000B319F" w:rsidP="00B83C2C">
            <w:pPr>
              <w:spacing w:line="360" w:lineRule="auto"/>
              <w:jc w:val="center"/>
              <w:rPr>
                <w:rFonts w:eastAsiaTheme="minorHAnsi"/>
                <w:kern w:val="11"/>
                <w:lang w:val="uk-UA" w:eastAsia="en-US"/>
              </w:rPr>
            </w:pPr>
            <w:r w:rsidRPr="001416ED">
              <w:rPr>
                <w:rFonts w:eastAsiaTheme="minorHAnsi"/>
                <w:kern w:val="11"/>
                <w:lang w:val="uk-UA" w:eastAsia="en-US"/>
              </w:rPr>
              <w:t>0,069866</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c>
          <w:tcPr>
            <w:tcW w:w="2943" w:type="dxa"/>
          </w:tcPr>
          <w:p w:rsidR="000B319F" w:rsidRPr="001416ED" w:rsidRDefault="000B319F" w:rsidP="00B83C2C">
            <w:pPr>
              <w:spacing w:line="360" w:lineRule="auto"/>
              <w:ind w:right="-18"/>
              <w:jc w:val="center"/>
              <w:rPr>
                <w:rFonts w:eastAsiaTheme="minorHAnsi"/>
                <w:kern w:val="11"/>
                <w:lang w:val="en-US" w:eastAsia="en-US"/>
              </w:rPr>
            </w:pPr>
            <w:r w:rsidRPr="001416ED">
              <w:rPr>
                <w:rFonts w:eastAsiaTheme="minorHAnsi"/>
                <w:kern w:val="11"/>
                <w:lang w:val="en-US" w:eastAsia="en-US"/>
              </w:rPr>
              <w:t>2</w:t>
            </w:r>
            <w:r w:rsidR="002D3BAC" w:rsidRPr="001416ED">
              <w:rPr>
                <w:rFonts w:eastAsiaTheme="minorHAnsi"/>
                <w:kern w:val="11"/>
                <w:lang w:val="uk-UA" w:eastAsia="en-US"/>
              </w:rPr>
              <w:t xml:space="preserve"> ПК</w:t>
            </w:r>
          </w:p>
        </w:tc>
        <w:tc>
          <w:tcPr>
            <w:tcW w:w="3544" w:type="dxa"/>
            <w:vAlign w:val="center"/>
          </w:tcPr>
          <w:p w:rsidR="000B319F" w:rsidRPr="001416ED" w:rsidRDefault="00BC0119" w:rsidP="00B83C2C">
            <w:pPr>
              <w:spacing w:line="360" w:lineRule="auto"/>
              <w:jc w:val="center"/>
              <w:rPr>
                <w:rFonts w:eastAsiaTheme="minorHAnsi"/>
                <w:kern w:val="11"/>
                <w:lang w:val="uk-UA" w:eastAsia="en-US"/>
              </w:rPr>
            </w:pPr>
            <w:r w:rsidRPr="001416ED">
              <w:rPr>
                <w:rFonts w:eastAsiaTheme="minorHAnsi"/>
                <w:kern w:val="11"/>
                <w:lang w:val="uk-UA" w:eastAsia="en-US"/>
              </w:rPr>
              <w:t>–</w:t>
            </w:r>
            <w:r w:rsidR="000B319F" w:rsidRPr="001416ED">
              <w:rPr>
                <w:rFonts w:eastAsiaTheme="minorHAnsi"/>
                <w:kern w:val="11"/>
                <w:lang w:val="uk-UA" w:eastAsia="en-US"/>
              </w:rPr>
              <w:t>0,053951</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c>
          <w:tcPr>
            <w:tcW w:w="2943" w:type="dxa"/>
          </w:tcPr>
          <w:p w:rsidR="000B319F" w:rsidRPr="001416ED" w:rsidRDefault="000B319F" w:rsidP="00B83C2C">
            <w:pPr>
              <w:spacing w:line="360" w:lineRule="auto"/>
              <w:ind w:right="-18"/>
              <w:jc w:val="center"/>
              <w:rPr>
                <w:rFonts w:eastAsiaTheme="minorHAnsi"/>
                <w:kern w:val="11"/>
                <w:lang w:val="en-US" w:eastAsia="en-US"/>
              </w:rPr>
            </w:pPr>
            <w:r w:rsidRPr="001416ED">
              <w:rPr>
                <w:rFonts w:eastAsiaTheme="minorHAnsi"/>
                <w:kern w:val="11"/>
                <w:lang w:val="en-US" w:eastAsia="en-US"/>
              </w:rPr>
              <w:t>3</w:t>
            </w:r>
            <w:r w:rsidR="002D3BAC" w:rsidRPr="001416ED">
              <w:rPr>
                <w:rFonts w:eastAsiaTheme="minorHAnsi"/>
                <w:kern w:val="11"/>
                <w:lang w:val="uk-UA" w:eastAsia="en-US"/>
              </w:rPr>
              <w:t xml:space="preserve"> ПК</w:t>
            </w:r>
          </w:p>
        </w:tc>
        <w:tc>
          <w:tcPr>
            <w:tcW w:w="3544" w:type="dxa"/>
            <w:vAlign w:val="center"/>
          </w:tcPr>
          <w:p w:rsidR="000B319F" w:rsidRPr="001416ED" w:rsidRDefault="00BC0119" w:rsidP="00B83C2C">
            <w:pPr>
              <w:spacing w:line="360" w:lineRule="auto"/>
              <w:jc w:val="center"/>
              <w:rPr>
                <w:rFonts w:eastAsiaTheme="minorHAnsi"/>
                <w:kern w:val="11"/>
                <w:lang w:val="uk-UA" w:eastAsia="en-US"/>
              </w:rPr>
            </w:pPr>
            <w:r w:rsidRPr="001416ED">
              <w:rPr>
                <w:rFonts w:eastAsiaTheme="minorHAnsi"/>
                <w:kern w:val="11"/>
                <w:lang w:val="uk-UA" w:eastAsia="en-US"/>
              </w:rPr>
              <w:t>–</w:t>
            </w:r>
            <w:r w:rsidR="000B319F" w:rsidRPr="001416ED">
              <w:rPr>
                <w:rFonts w:eastAsiaTheme="minorHAnsi"/>
                <w:kern w:val="11"/>
                <w:lang w:val="uk-UA" w:eastAsia="en-US"/>
              </w:rPr>
              <w:t>0,006683</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c>
          <w:tcPr>
            <w:tcW w:w="2943" w:type="dxa"/>
          </w:tcPr>
          <w:p w:rsidR="000B319F" w:rsidRPr="001416ED" w:rsidRDefault="000B319F" w:rsidP="00B83C2C">
            <w:pPr>
              <w:spacing w:line="360" w:lineRule="auto"/>
              <w:ind w:right="-18"/>
              <w:jc w:val="center"/>
              <w:rPr>
                <w:rFonts w:eastAsiaTheme="minorHAnsi"/>
                <w:kern w:val="11"/>
                <w:lang w:val="en-US" w:eastAsia="en-US"/>
              </w:rPr>
            </w:pPr>
            <w:r w:rsidRPr="001416ED">
              <w:rPr>
                <w:rFonts w:eastAsiaTheme="minorHAnsi"/>
                <w:kern w:val="11"/>
                <w:lang w:val="en-US" w:eastAsia="en-US"/>
              </w:rPr>
              <w:t>4</w:t>
            </w:r>
            <w:r w:rsidR="002D3BAC" w:rsidRPr="001416ED">
              <w:rPr>
                <w:rFonts w:eastAsiaTheme="minorHAnsi"/>
                <w:kern w:val="11"/>
                <w:lang w:val="uk-UA" w:eastAsia="en-US"/>
              </w:rPr>
              <w:t xml:space="preserve"> ПК</w:t>
            </w:r>
          </w:p>
        </w:tc>
        <w:tc>
          <w:tcPr>
            <w:tcW w:w="3544" w:type="dxa"/>
            <w:vAlign w:val="center"/>
          </w:tcPr>
          <w:p w:rsidR="000B319F" w:rsidRPr="001416ED" w:rsidRDefault="00BC0119" w:rsidP="00B83C2C">
            <w:pPr>
              <w:spacing w:line="360" w:lineRule="auto"/>
              <w:jc w:val="center"/>
              <w:rPr>
                <w:rFonts w:eastAsiaTheme="minorHAnsi"/>
                <w:kern w:val="11"/>
                <w:lang w:val="uk-UA" w:eastAsia="en-US"/>
              </w:rPr>
            </w:pPr>
            <w:r w:rsidRPr="001416ED">
              <w:rPr>
                <w:rFonts w:eastAsiaTheme="minorHAnsi"/>
                <w:kern w:val="11"/>
                <w:lang w:val="uk-UA" w:eastAsia="en-US"/>
              </w:rPr>
              <w:t>–</w:t>
            </w:r>
            <w:r w:rsidR="000B319F" w:rsidRPr="001416ED">
              <w:rPr>
                <w:rFonts w:eastAsiaTheme="minorHAnsi"/>
                <w:kern w:val="11"/>
                <w:lang w:val="uk-UA" w:eastAsia="en-US"/>
              </w:rPr>
              <w:t>0,017458</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B83C2C">
            <w:pPr>
              <w:spacing w:line="360" w:lineRule="auto"/>
              <w:ind w:right="-18"/>
              <w:jc w:val="center"/>
              <w:rPr>
                <w:rFonts w:eastAsiaTheme="minorHAnsi"/>
                <w:kern w:val="11"/>
                <w:lang w:val="en-US" w:eastAsia="en-US"/>
              </w:rPr>
            </w:pPr>
            <w:r w:rsidRPr="001416ED">
              <w:rPr>
                <w:rFonts w:eastAsiaTheme="minorHAnsi"/>
                <w:kern w:val="11"/>
                <w:lang w:val="en-US" w:eastAsia="en-US"/>
              </w:rPr>
              <w:t>5</w:t>
            </w:r>
            <w:r w:rsidR="002D3BAC" w:rsidRPr="001416ED">
              <w:rPr>
                <w:rFonts w:eastAsiaTheme="minorHAnsi"/>
                <w:kern w:val="11"/>
                <w:lang w:val="uk-UA" w:eastAsia="en-US"/>
              </w:rPr>
              <w:t xml:space="preserve"> ПК</w:t>
            </w:r>
          </w:p>
        </w:tc>
        <w:tc>
          <w:tcPr>
            <w:tcW w:w="3544" w:type="dxa"/>
            <w:vAlign w:val="center"/>
          </w:tcPr>
          <w:p w:rsidR="000B319F" w:rsidRPr="001416ED" w:rsidRDefault="000B319F" w:rsidP="00B83C2C">
            <w:pPr>
              <w:spacing w:line="360" w:lineRule="auto"/>
              <w:jc w:val="center"/>
              <w:rPr>
                <w:rFonts w:eastAsiaTheme="minorHAnsi"/>
                <w:kern w:val="11"/>
                <w:lang w:val="uk-UA" w:eastAsia="en-US"/>
              </w:rPr>
            </w:pPr>
            <w:r w:rsidRPr="001416ED">
              <w:rPr>
                <w:rFonts w:eastAsiaTheme="minorHAnsi"/>
                <w:kern w:val="11"/>
                <w:lang w:val="uk-UA" w:eastAsia="en-US"/>
              </w:rPr>
              <w:t>0,127480</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2D3BAC">
            <w:pPr>
              <w:spacing w:line="360" w:lineRule="auto"/>
              <w:jc w:val="center"/>
              <w:rPr>
                <w:rFonts w:eastAsiaTheme="minorHAnsi"/>
                <w:kern w:val="11"/>
                <w:lang w:val="uk-UA" w:eastAsia="en-US"/>
              </w:rPr>
            </w:pPr>
            <w:r w:rsidRPr="001416ED">
              <w:rPr>
                <w:rFonts w:eastAsiaTheme="minorHAnsi"/>
                <w:kern w:val="11"/>
                <w:lang w:val="en-US" w:eastAsia="en-US"/>
              </w:rPr>
              <w:t>1</w:t>
            </w:r>
            <w:r w:rsidR="002D3BAC" w:rsidRPr="001416ED">
              <w:rPr>
                <w:rFonts w:eastAsiaTheme="minorHAnsi"/>
                <w:kern w:val="11"/>
                <w:lang w:val="uk-UA" w:eastAsia="en-US"/>
              </w:rPr>
              <w:t xml:space="preserve"> ЛК</w:t>
            </w:r>
          </w:p>
        </w:tc>
        <w:tc>
          <w:tcPr>
            <w:tcW w:w="3544" w:type="dxa"/>
            <w:vAlign w:val="center"/>
          </w:tcPr>
          <w:p w:rsidR="000B319F" w:rsidRPr="001416ED" w:rsidRDefault="000B319F" w:rsidP="00B83C2C">
            <w:pPr>
              <w:spacing w:line="360" w:lineRule="auto"/>
              <w:jc w:val="center"/>
              <w:rPr>
                <w:rFonts w:eastAsiaTheme="minorHAnsi"/>
                <w:kern w:val="11"/>
                <w:lang w:val="uk-UA" w:eastAsia="en-US"/>
              </w:rPr>
            </w:pPr>
            <w:r w:rsidRPr="001416ED">
              <w:rPr>
                <w:rFonts w:eastAsiaTheme="minorHAnsi"/>
                <w:kern w:val="11"/>
                <w:lang w:val="uk-UA" w:eastAsia="en-US"/>
              </w:rPr>
              <w:t>0,018956</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B83C2C">
            <w:pPr>
              <w:spacing w:line="360" w:lineRule="auto"/>
              <w:jc w:val="center"/>
              <w:rPr>
                <w:rFonts w:eastAsiaTheme="minorHAnsi"/>
                <w:kern w:val="11"/>
                <w:lang w:val="en-US" w:eastAsia="en-US"/>
              </w:rPr>
            </w:pPr>
            <w:r w:rsidRPr="001416ED">
              <w:rPr>
                <w:rFonts w:eastAsiaTheme="minorHAnsi"/>
                <w:kern w:val="11"/>
                <w:lang w:val="en-US" w:eastAsia="en-US"/>
              </w:rPr>
              <w:t>2</w:t>
            </w:r>
            <w:r w:rsidR="002D3BAC" w:rsidRPr="001416ED">
              <w:rPr>
                <w:rFonts w:eastAsiaTheme="minorHAnsi"/>
                <w:kern w:val="11"/>
                <w:lang w:val="uk-UA" w:eastAsia="en-US"/>
              </w:rPr>
              <w:t xml:space="preserve"> ЛК</w:t>
            </w:r>
          </w:p>
        </w:tc>
        <w:tc>
          <w:tcPr>
            <w:tcW w:w="3544" w:type="dxa"/>
            <w:vAlign w:val="center"/>
          </w:tcPr>
          <w:p w:rsidR="000B319F" w:rsidRPr="001416ED" w:rsidRDefault="00BC0119" w:rsidP="00B83C2C">
            <w:pPr>
              <w:spacing w:line="360" w:lineRule="auto"/>
              <w:jc w:val="center"/>
              <w:rPr>
                <w:rFonts w:eastAsiaTheme="minorHAnsi"/>
                <w:kern w:val="11"/>
                <w:lang w:val="uk-UA" w:eastAsia="en-US"/>
              </w:rPr>
            </w:pPr>
            <w:r w:rsidRPr="001416ED">
              <w:rPr>
                <w:rFonts w:eastAsiaTheme="minorHAnsi"/>
                <w:kern w:val="11"/>
                <w:lang w:val="uk-UA" w:eastAsia="en-US"/>
              </w:rPr>
              <w:t>–</w:t>
            </w:r>
            <w:r w:rsidR="000B319F" w:rsidRPr="001416ED">
              <w:rPr>
                <w:rFonts w:eastAsiaTheme="minorHAnsi"/>
                <w:kern w:val="11"/>
                <w:lang w:val="uk-UA" w:eastAsia="en-US"/>
              </w:rPr>
              <w:t>0,015620</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B83C2C">
            <w:pPr>
              <w:spacing w:line="360" w:lineRule="auto"/>
              <w:jc w:val="center"/>
              <w:rPr>
                <w:rFonts w:eastAsiaTheme="minorHAnsi"/>
                <w:kern w:val="11"/>
                <w:lang w:val="en-US" w:eastAsia="en-US"/>
              </w:rPr>
            </w:pPr>
            <w:r w:rsidRPr="001416ED">
              <w:rPr>
                <w:rFonts w:eastAsiaTheme="minorHAnsi"/>
                <w:kern w:val="11"/>
                <w:lang w:val="en-US" w:eastAsia="en-US"/>
              </w:rPr>
              <w:t>3</w:t>
            </w:r>
            <w:r w:rsidR="002D3BAC" w:rsidRPr="001416ED">
              <w:rPr>
                <w:rFonts w:eastAsiaTheme="minorHAnsi"/>
                <w:kern w:val="11"/>
                <w:lang w:val="uk-UA" w:eastAsia="en-US"/>
              </w:rPr>
              <w:t xml:space="preserve"> ЛК</w:t>
            </w:r>
          </w:p>
        </w:tc>
        <w:tc>
          <w:tcPr>
            <w:tcW w:w="3544" w:type="dxa"/>
            <w:vAlign w:val="center"/>
          </w:tcPr>
          <w:p w:rsidR="000B319F" w:rsidRPr="001416ED" w:rsidRDefault="000B319F" w:rsidP="00B83C2C">
            <w:pPr>
              <w:spacing w:line="360" w:lineRule="auto"/>
              <w:jc w:val="center"/>
              <w:rPr>
                <w:rFonts w:eastAsiaTheme="minorHAnsi"/>
                <w:kern w:val="11"/>
                <w:lang w:val="uk-UA" w:eastAsia="en-US"/>
              </w:rPr>
            </w:pPr>
            <w:r w:rsidRPr="001416ED">
              <w:rPr>
                <w:rFonts w:eastAsiaTheme="minorHAnsi"/>
                <w:kern w:val="11"/>
                <w:lang w:val="uk-UA" w:eastAsia="en-US"/>
              </w:rPr>
              <w:t>0,098885</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B83C2C">
            <w:pPr>
              <w:spacing w:line="360" w:lineRule="auto"/>
              <w:jc w:val="center"/>
              <w:rPr>
                <w:lang w:val="en-US"/>
              </w:rPr>
            </w:pPr>
            <w:r w:rsidRPr="001416ED">
              <w:rPr>
                <w:lang w:val="en-US"/>
              </w:rPr>
              <w:t>4</w:t>
            </w:r>
            <w:r w:rsidR="002D3BAC" w:rsidRPr="001416ED">
              <w:rPr>
                <w:lang w:val="uk-UA"/>
              </w:rPr>
              <w:t xml:space="preserve"> ЛК</w:t>
            </w:r>
          </w:p>
        </w:tc>
        <w:tc>
          <w:tcPr>
            <w:tcW w:w="3544" w:type="dxa"/>
            <w:vAlign w:val="center"/>
          </w:tcPr>
          <w:p w:rsidR="000B319F" w:rsidRPr="001416ED" w:rsidRDefault="000B319F" w:rsidP="00B83C2C">
            <w:pPr>
              <w:spacing w:line="360" w:lineRule="auto"/>
              <w:jc w:val="center"/>
              <w:rPr>
                <w:rFonts w:eastAsiaTheme="minorHAnsi"/>
                <w:kern w:val="11"/>
                <w:lang w:val="uk-UA" w:eastAsia="en-US"/>
              </w:rPr>
            </w:pPr>
            <w:r w:rsidRPr="001416ED">
              <w:rPr>
                <w:rFonts w:eastAsiaTheme="minorHAnsi"/>
                <w:kern w:val="11"/>
                <w:lang w:val="uk-UA" w:eastAsia="en-US"/>
              </w:rPr>
              <w:t>0,071272</w:t>
            </w:r>
          </w:p>
        </w:tc>
        <w:tc>
          <w:tcPr>
            <w:tcW w:w="3544" w:type="dxa"/>
          </w:tcPr>
          <w:p w:rsidR="000B319F" w:rsidRPr="001416ED" w:rsidRDefault="000B319F" w:rsidP="00B83C2C">
            <w:pPr>
              <w:spacing w:line="360" w:lineRule="auto"/>
              <w:ind w:right="-18"/>
              <w:jc w:val="center"/>
              <w:rPr>
                <w:rFonts w:eastAsiaTheme="minorHAnsi"/>
                <w:kern w:val="11"/>
                <w:lang w:val="uk-UA" w:eastAsia="en-US"/>
              </w:rPr>
            </w:pPr>
            <w:r w:rsidRPr="001416ED">
              <w:rPr>
                <w:rFonts w:eastAsiaTheme="minorHAnsi"/>
                <w:kern w:val="11"/>
                <w:lang w:val="uk-UA" w:eastAsia="en-US"/>
              </w:rPr>
              <w:t>&gt;0,0</w:t>
            </w:r>
            <w:r w:rsidRPr="001416ED">
              <w:rPr>
                <w:rFonts w:eastAsiaTheme="minorHAnsi"/>
                <w:kern w:val="11"/>
                <w:lang w:val="en-US" w:eastAsia="en-US"/>
              </w:rPr>
              <w:t>5</w:t>
            </w:r>
          </w:p>
        </w:tc>
      </w:tr>
      <w:tr w:rsidR="000B319F" w:rsidRPr="001416ED" w:rsidTr="00465A7B">
        <w:trPr>
          <w:trHeight w:val="459"/>
        </w:trPr>
        <w:tc>
          <w:tcPr>
            <w:tcW w:w="2943" w:type="dxa"/>
          </w:tcPr>
          <w:p w:rsidR="000B319F" w:rsidRPr="001416ED" w:rsidRDefault="000B319F" w:rsidP="00B83C2C">
            <w:pPr>
              <w:spacing w:line="360" w:lineRule="auto"/>
              <w:jc w:val="center"/>
              <w:rPr>
                <w:rFonts w:eastAsiaTheme="minorHAnsi"/>
                <w:kern w:val="11"/>
                <w:lang w:val="en-US" w:eastAsia="en-US"/>
              </w:rPr>
            </w:pPr>
            <w:r w:rsidRPr="001416ED">
              <w:rPr>
                <w:rFonts w:eastAsiaTheme="minorHAnsi"/>
                <w:kern w:val="11"/>
                <w:lang w:val="en-US" w:eastAsia="en-US"/>
              </w:rPr>
              <w:t>5</w:t>
            </w:r>
            <w:r w:rsidR="002D3BAC" w:rsidRPr="001416ED">
              <w:rPr>
                <w:rFonts w:eastAsiaTheme="minorHAnsi"/>
                <w:kern w:val="11"/>
                <w:lang w:val="uk-UA" w:eastAsia="en-US"/>
              </w:rPr>
              <w:t xml:space="preserve"> ЛК</w:t>
            </w:r>
          </w:p>
        </w:tc>
        <w:tc>
          <w:tcPr>
            <w:tcW w:w="3544" w:type="dxa"/>
            <w:vAlign w:val="center"/>
          </w:tcPr>
          <w:p w:rsidR="000B319F" w:rsidRPr="001416ED" w:rsidRDefault="000B319F" w:rsidP="00B83C2C">
            <w:pPr>
              <w:spacing w:line="360" w:lineRule="auto"/>
              <w:jc w:val="center"/>
              <w:rPr>
                <w:rFonts w:eastAsiaTheme="minorHAnsi"/>
                <w:b/>
                <w:kern w:val="11"/>
                <w:u w:val="single"/>
                <w:lang w:val="uk-UA" w:eastAsia="en-US"/>
              </w:rPr>
            </w:pPr>
            <w:r w:rsidRPr="001416ED">
              <w:rPr>
                <w:rFonts w:eastAsiaTheme="minorHAnsi"/>
                <w:b/>
                <w:kern w:val="11"/>
                <w:u w:val="single"/>
                <w:lang w:val="uk-UA" w:eastAsia="en-US"/>
              </w:rPr>
              <w:t>0,245617</w:t>
            </w:r>
          </w:p>
        </w:tc>
        <w:tc>
          <w:tcPr>
            <w:tcW w:w="3544" w:type="dxa"/>
          </w:tcPr>
          <w:p w:rsidR="000B319F" w:rsidRPr="001416ED" w:rsidRDefault="000B319F" w:rsidP="00B83C2C">
            <w:pPr>
              <w:spacing w:line="360" w:lineRule="auto"/>
              <w:ind w:right="-18"/>
              <w:jc w:val="center"/>
              <w:rPr>
                <w:rFonts w:eastAsiaTheme="minorHAnsi"/>
                <w:b/>
                <w:kern w:val="11"/>
                <w:u w:val="single"/>
                <w:lang w:val="en-US" w:eastAsia="en-US"/>
              </w:rPr>
            </w:pPr>
            <w:r w:rsidRPr="001416ED">
              <w:rPr>
                <w:rFonts w:eastAsiaTheme="minorHAnsi"/>
                <w:b/>
                <w:kern w:val="11"/>
                <w:u w:val="single"/>
                <w:lang w:val="uk-UA" w:eastAsia="en-US"/>
              </w:rPr>
              <w:t>&lt;0,0</w:t>
            </w:r>
            <w:r w:rsidRPr="001416ED">
              <w:rPr>
                <w:rFonts w:eastAsiaTheme="minorHAnsi"/>
                <w:b/>
                <w:kern w:val="11"/>
                <w:u w:val="single"/>
                <w:lang w:val="en-US" w:eastAsia="en-US"/>
              </w:rPr>
              <w:t>5</w:t>
            </w:r>
          </w:p>
        </w:tc>
      </w:tr>
    </w:tbl>
    <w:p w:rsidR="000B319F" w:rsidRPr="001416ED" w:rsidRDefault="006772AD" w:rsidP="00637BCC">
      <w:pPr>
        <w:spacing w:before="240" w:line="360" w:lineRule="auto"/>
        <w:ind w:firstLine="708"/>
        <w:jc w:val="both"/>
        <w:rPr>
          <w:lang w:val="uk-UA"/>
        </w:rPr>
      </w:pPr>
      <w:r w:rsidRPr="001416ED">
        <w:rPr>
          <w:lang w:val="uk-UA"/>
        </w:rPr>
        <w:lastRenderedPageBreak/>
        <w:t>Примітка: R – кореляційний коефіцієнт Спірмена</w:t>
      </w:r>
    </w:p>
    <w:p w:rsidR="00500772" w:rsidRPr="001416ED" w:rsidRDefault="006772AD" w:rsidP="00D27181">
      <w:pPr>
        <w:spacing w:before="240" w:line="360" w:lineRule="auto"/>
        <w:ind w:firstLine="708"/>
        <w:jc w:val="both"/>
        <w:rPr>
          <w:lang w:val="uk-UA"/>
        </w:rPr>
      </w:pPr>
      <w:r w:rsidRPr="001416ED">
        <w:rPr>
          <w:lang w:val="uk-UA"/>
        </w:rPr>
        <w:t xml:space="preserve">Виявлений позитивний кореляційний зв'язок між носійством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та малюнком на п’ятому пальці </w:t>
      </w:r>
      <w:r w:rsidR="002D3BAC" w:rsidRPr="001416ED">
        <w:rPr>
          <w:lang w:val="uk-UA"/>
        </w:rPr>
        <w:t>ЛК</w:t>
      </w:r>
      <w:r w:rsidRPr="001416ED">
        <w:rPr>
          <w:lang w:val="uk-UA"/>
        </w:rPr>
        <w:t>. Тому</w:t>
      </w:r>
      <w:r w:rsidR="00A2109C" w:rsidRPr="001416ED">
        <w:rPr>
          <w:lang w:val="uk-UA"/>
        </w:rPr>
        <w:t>,</w:t>
      </w:r>
      <w:r w:rsidRPr="001416ED">
        <w:rPr>
          <w:lang w:val="uk-UA"/>
        </w:rPr>
        <w:t xml:space="preserve"> цікавим стало, який малюнок достовірно частіше зустрічається</w:t>
      </w:r>
      <w:r w:rsidR="00A2109C" w:rsidRPr="001416ED">
        <w:rPr>
          <w:lang w:val="uk-UA"/>
        </w:rPr>
        <w:t xml:space="preserve"> на 5-му пальці </w:t>
      </w:r>
      <w:r w:rsidR="002D3BAC" w:rsidRPr="001416ED">
        <w:rPr>
          <w:lang w:val="uk-UA"/>
        </w:rPr>
        <w:t>ЛК</w:t>
      </w:r>
      <w:r w:rsidRPr="001416ED">
        <w:rPr>
          <w:lang w:val="uk-UA"/>
        </w:rPr>
        <w:t xml:space="preserve"> у носі</w:t>
      </w:r>
      <w:r w:rsidR="00A2109C" w:rsidRPr="001416ED">
        <w:rPr>
          <w:lang w:val="uk-UA"/>
        </w:rPr>
        <w:t>ї</w:t>
      </w:r>
      <w:r w:rsidRPr="001416ED">
        <w:rPr>
          <w:lang w:val="uk-UA"/>
        </w:rPr>
        <w:t xml:space="preserve">в </w:t>
      </w:r>
      <w:r w:rsidR="00E6164F">
        <w:rPr>
          <w:lang w:val="uk-UA"/>
        </w:rPr>
        <w:t>поліморфних варіантів гена ЕТ–1</w:t>
      </w:r>
      <w:r w:rsidRPr="001416ED">
        <w:rPr>
          <w:lang w:val="uk-UA"/>
        </w:rPr>
        <w:t xml:space="preserve"> (рис.</w:t>
      </w:r>
      <w:r w:rsidR="001A431C" w:rsidRPr="001416ED">
        <w:rPr>
          <w:lang w:val="uk-UA"/>
        </w:rPr>
        <w:t xml:space="preserve"> </w:t>
      </w:r>
      <w:r w:rsidRPr="001416ED">
        <w:rPr>
          <w:lang w:val="uk-UA"/>
        </w:rPr>
        <w:t>3.6)</w:t>
      </w:r>
      <w:r w:rsidR="00623ED7" w:rsidRPr="001416ED">
        <w:rPr>
          <w:lang w:val="uk-UA"/>
        </w:rPr>
        <w:t>.</w:t>
      </w:r>
    </w:p>
    <w:p w:rsidR="006772AD" w:rsidRPr="001416ED" w:rsidRDefault="00A9327B" w:rsidP="00F04D94">
      <w:pPr>
        <w:spacing w:line="360" w:lineRule="auto"/>
        <w:ind w:firstLine="708"/>
        <w:jc w:val="center"/>
        <w:rPr>
          <w:lang w:val="uk-UA"/>
        </w:rPr>
      </w:pPr>
      <w:r>
        <w:rPr>
          <w:noProof/>
          <w:lang w:val="uk-UA" w:eastAsia="uk-UA"/>
        </w:rPr>
        <w:pict>
          <v:rect id="_x0000_s1040" style="position:absolute;left:0;text-align:left;margin-left:109.7pt;margin-top:102pt;width:22.6pt;height:18.3pt;z-index:251670528;mso-position-horizontal:absolute" stroked="f">
            <v:textbox style="mso-next-textbox:#_x0000_s1040">
              <w:txbxContent>
                <w:p w:rsidR="00A9327B" w:rsidRPr="00890A89" w:rsidRDefault="00A9327B">
                  <w:pPr>
                    <w:rPr>
                      <w:sz w:val="16"/>
                      <w:szCs w:val="16"/>
                      <w:lang w:val="en-US"/>
                    </w:rPr>
                  </w:pPr>
                  <w:r w:rsidRPr="00890A89">
                    <w:rPr>
                      <w:sz w:val="16"/>
                      <w:szCs w:val="16"/>
                      <w:lang w:val="en-US"/>
                    </w:rPr>
                    <w:t>%</w:t>
                  </w:r>
                </w:p>
              </w:txbxContent>
            </v:textbox>
          </v:rect>
        </w:pict>
      </w:r>
      <w:r w:rsidR="0084111C" w:rsidRPr="001416ED">
        <w:rPr>
          <w:noProof/>
          <w:lang w:val="uk-UA" w:eastAsia="uk-UA"/>
        </w:rPr>
        <w:drawing>
          <wp:inline distT="0" distB="0" distL="0" distR="0" wp14:anchorId="6E3633C4" wp14:editId="306CEA9A">
            <wp:extent cx="4235501" cy="1704441"/>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72AD" w:rsidRPr="001416ED" w:rsidRDefault="00F223DB" w:rsidP="00500772">
      <w:pPr>
        <w:spacing w:line="360" w:lineRule="auto"/>
        <w:ind w:firstLine="708"/>
        <w:jc w:val="both"/>
        <w:rPr>
          <w:b/>
          <w:lang w:val="uk-UA"/>
        </w:rPr>
      </w:pPr>
      <w:r w:rsidRPr="001416ED">
        <w:rPr>
          <w:b/>
          <w:lang w:val="uk-UA"/>
        </w:rPr>
        <w:t xml:space="preserve">Рис. 3.6 Частота  окремих типів малюнків на п’ятому пальці </w:t>
      </w:r>
      <w:r w:rsidR="002D3BAC" w:rsidRPr="001416ED">
        <w:rPr>
          <w:b/>
          <w:lang w:val="uk-UA"/>
        </w:rPr>
        <w:t>ЛК</w:t>
      </w:r>
      <w:r w:rsidR="00A2109C" w:rsidRPr="001416ED">
        <w:rPr>
          <w:b/>
          <w:lang w:val="uk-UA"/>
        </w:rPr>
        <w:t xml:space="preserve"> </w:t>
      </w:r>
      <w:r w:rsidRPr="001416ED">
        <w:rPr>
          <w:b/>
          <w:lang w:val="uk-UA"/>
        </w:rPr>
        <w:t xml:space="preserve">у чоловіків групи контролю, </w:t>
      </w:r>
      <w:r w:rsidR="00D4219F" w:rsidRPr="001416ED">
        <w:rPr>
          <w:b/>
          <w:lang w:val="uk-UA"/>
        </w:rPr>
        <w:t xml:space="preserve"> %</w:t>
      </w:r>
    </w:p>
    <w:p w:rsidR="00DA6054" w:rsidRPr="001416ED" w:rsidRDefault="00E22FD7" w:rsidP="00A2109C">
      <w:pPr>
        <w:spacing w:line="360" w:lineRule="auto"/>
        <w:ind w:firstLine="708"/>
        <w:jc w:val="both"/>
        <w:rPr>
          <w:lang w:val="uk-UA"/>
        </w:rPr>
      </w:pPr>
      <w:r w:rsidRPr="001416ED">
        <w:rPr>
          <w:lang w:val="uk-UA"/>
        </w:rPr>
        <w:t xml:space="preserve">Примітка: різниця показників достовірна при порівнянні з: * </w:t>
      </w:r>
      <w:r w:rsidR="00BC0119" w:rsidRPr="001416ED">
        <w:rPr>
          <w:lang w:val="uk-UA"/>
        </w:rPr>
        <w:t>–</w:t>
      </w:r>
      <w:r w:rsidR="00636A18">
        <w:rPr>
          <w:lang w:val="uk-UA"/>
        </w:rPr>
        <w:t xml:space="preserve"> ульнарною петльою (р˂</w:t>
      </w:r>
      <w:r w:rsidRPr="001416ED">
        <w:rPr>
          <w:lang w:val="uk-UA"/>
        </w:rPr>
        <w:t xml:space="preserve">0,0001), # </w:t>
      </w:r>
      <w:r w:rsidR="00BC0119" w:rsidRPr="001416ED">
        <w:rPr>
          <w:lang w:val="uk-UA"/>
        </w:rPr>
        <w:t>–</w:t>
      </w:r>
      <w:r w:rsidRPr="001416ED">
        <w:rPr>
          <w:lang w:val="uk-UA"/>
        </w:rPr>
        <w:t xml:space="preserve"> носіями генотипу </w:t>
      </w:r>
      <w:r w:rsidRPr="001416ED">
        <w:rPr>
          <w:lang w:val="en-US"/>
        </w:rPr>
        <w:t>Lys</w:t>
      </w:r>
      <w:r w:rsidRPr="001416ED">
        <w:rPr>
          <w:lang w:val="uk-UA"/>
        </w:rPr>
        <w:t>/</w:t>
      </w:r>
      <w:r w:rsidRPr="001416ED">
        <w:rPr>
          <w:lang w:val="en-US"/>
        </w:rPr>
        <w:t>Lys</w:t>
      </w:r>
      <w:r w:rsidRPr="001416ED">
        <w:rPr>
          <w:lang w:val="uk-UA"/>
        </w:rPr>
        <w:t xml:space="preserve"> </w:t>
      </w:r>
      <w:r w:rsidR="00F04D94" w:rsidRPr="001416ED">
        <w:rPr>
          <w:lang w:val="uk-UA"/>
        </w:rPr>
        <w:t>(р</w:t>
      </w:r>
      <w:r w:rsidR="00636A18">
        <w:rPr>
          <w:lang w:val="uk-UA"/>
        </w:rPr>
        <w:t>˂</w:t>
      </w:r>
      <w:r w:rsidRPr="001416ED">
        <w:rPr>
          <w:lang w:val="uk-UA"/>
        </w:rPr>
        <w:t>0,05)</w:t>
      </w:r>
      <w:r w:rsidR="00A144F2" w:rsidRPr="001416ED">
        <w:rPr>
          <w:lang w:val="uk-UA"/>
        </w:rPr>
        <w:t>.</w:t>
      </w:r>
    </w:p>
    <w:p w:rsidR="00A144F2" w:rsidRPr="001416ED" w:rsidRDefault="00B31BED" w:rsidP="0020394C">
      <w:pPr>
        <w:spacing w:before="240" w:line="360" w:lineRule="auto"/>
        <w:ind w:firstLine="708"/>
        <w:jc w:val="both"/>
        <w:rPr>
          <w:lang w:val="uk-UA"/>
        </w:rPr>
      </w:pPr>
      <w:r w:rsidRPr="001416ED">
        <w:rPr>
          <w:lang w:val="uk-UA"/>
        </w:rPr>
        <w:t>У</w:t>
      </w:r>
      <w:r w:rsidR="00A144F2" w:rsidRPr="001416ED">
        <w:rPr>
          <w:lang w:val="uk-UA"/>
        </w:rPr>
        <w:t xml:space="preserve"> чоловіків групи контрол</w:t>
      </w:r>
      <w:r w:rsidR="00516E94" w:rsidRPr="001416ED">
        <w:rPr>
          <w:lang w:val="uk-UA"/>
        </w:rPr>
        <w:t>ю</w:t>
      </w:r>
      <w:r w:rsidR="00A144F2" w:rsidRPr="001416ED">
        <w:rPr>
          <w:lang w:val="uk-UA"/>
        </w:rPr>
        <w:t xml:space="preserve"> на </w:t>
      </w:r>
      <w:r w:rsidR="00FB2CD1" w:rsidRPr="001416ED">
        <w:rPr>
          <w:lang w:val="uk-UA"/>
        </w:rPr>
        <w:t>п’ятому</w:t>
      </w:r>
      <w:r w:rsidR="00A144F2" w:rsidRPr="001416ED">
        <w:rPr>
          <w:lang w:val="uk-UA"/>
        </w:rPr>
        <w:t xml:space="preserve"> пальці </w:t>
      </w:r>
      <w:r w:rsidR="002D3BAC" w:rsidRPr="001416ED">
        <w:rPr>
          <w:lang w:val="uk-UA"/>
        </w:rPr>
        <w:t>ЛК</w:t>
      </w:r>
      <w:r w:rsidR="00A144F2" w:rsidRPr="001416ED">
        <w:rPr>
          <w:lang w:val="uk-UA"/>
        </w:rPr>
        <w:t xml:space="preserve"> у носіїв як генотипу </w:t>
      </w:r>
      <w:r w:rsidR="00A144F2" w:rsidRPr="001416ED">
        <w:rPr>
          <w:lang w:val="en-US"/>
        </w:rPr>
        <w:t>Lys</w:t>
      </w:r>
      <w:r w:rsidR="00A144F2" w:rsidRPr="001416ED">
        <w:rPr>
          <w:lang w:val="uk-UA"/>
        </w:rPr>
        <w:t>/</w:t>
      </w:r>
      <w:r w:rsidR="00A144F2" w:rsidRPr="001416ED">
        <w:rPr>
          <w:lang w:val="en-US"/>
        </w:rPr>
        <w:t>Lys</w:t>
      </w:r>
      <w:r w:rsidR="00B20333" w:rsidRPr="001416ED">
        <w:rPr>
          <w:lang w:val="uk-UA"/>
        </w:rPr>
        <w:t>,</w:t>
      </w:r>
      <w:r w:rsidR="00A144F2" w:rsidRPr="001416ED">
        <w:rPr>
          <w:lang w:val="uk-UA"/>
        </w:rPr>
        <w:t xml:space="preserve"> так і алелі </w:t>
      </w:r>
      <w:r w:rsidR="00A144F2" w:rsidRPr="001416ED">
        <w:rPr>
          <w:lang w:val="en-US"/>
        </w:rPr>
        <w:t>Asn</w:t>
      </w:r>
      <w:r w:rsidR="00A144F2" w:rsidRPr="001416ED">
        <w:rPr>
          <w:lang w:val="uk-UA"/>
        </w:rPr>
        <w:t xml:space="preserve"> достовірно частіше</w:t>
      </w:r>
      <w:r w:rsidRPr="001416ED">
        <w:rPr>
          <w:lang w:val="uk-UA"/>
        </w:rPr>
        <w:t xml:space="preserve"> зустрічається ульнарна петля. </w:t>
      </w:r>
      <w:r w:rsidR="00890A89" w:rsidRPr="001416ED">
        <w:rPr>
          <w:lang w:val="uk-UA"/>
        </w:rPr>
        <w:t>Слід відмітити</w:t>
      </w:r>
      <w:r w:rsidR="00516E94" w:rsidRPr="001416ED">
        <w:rPr>
          <w:lang w:val="uk-UA"/>
        </w:rPr>
        <w:t>,</w:t>
      </w:r>
      <w:r w:rsidR="00A144F2" w:rsidRPr="001416ED">
        <w:rPr>
          <w:lang w:val="uk-UA"/>
        </w:rPr>
        <w:t xml:space="preserve"> </w:t>
      </w:r>
      <w:r w:rsidR="00890A89" w:rsidRPr="001416ED">
        <w:rPr>
          <w:lang w:val="uk-UA"/>
        </w:rPr>
        <w:t xml:space="preserve">що </w:t>
      </w:r>
      <w:r w:rsidR="00A144F2" w:rsidRPr="001416ED">
        <w:rPr>
          <w:lang w:val="uk-UA"/>
        </w:rPr>
        <w:t xml:space="preserve">у носіїв алелі </w:t>
      </w:r>
      <w:r w:rsidR="00A144F2" w:rsidRPr="001416ED">
        <w:rPr>
          <w:lang w:val="en-US"/>
        </w:rPr>
        <w:t>Asn</w:t>
      </w:r>
      <w:r w:rsidR="00A144F2" w:rsidRPr="001416ED">
        <w:rPr>
          <w:lang w:val="uk-UA"/>
        </w:rPr>
        <w:t xml:space="preserve"> завиток </w:t>
      </w:r>
      <w:r w:rsidRPr="001416ED">
        <w:rPr>
          <w:lang w:val="uk-UA"/>
        </w:rPr>
        <w:t>був більш частим</w:t>
      </w:r>
      <w:r w:rsidR="00A144F2" w:rsidRPr="001416ED">
        <w:rPr>
          <w:lang w:val="uk-UA"/>
        </w:rPr>
        <w:t xml:space="preserve"> ніж у носіїв генотипу  </w:t>
      </w:r>
      <w:r w:rsidR="00A144F2" w:rsidRPr="001416ED">
        <w:rPr>
          <w:lang w:val="en-US"/>
        </w:rPr>
        <w:t>Lys</w:t>
      </w:r>
      <w:r w:rsidR="00A144F2" w:rsidRPr="001416ED">
        <w:rPr>
          <w:lang w:val="uk-UA"/>
        </w:rPr>
        <w:t>/</w:t>
      </w:r>
      <w:r w:rsidR="00A144F2" w:rsidRPr="001416ED">
        <w:rPr>
          <w:lang w:val="en-US"/>
        </w:rPr>
        <w:t>Lys</w:t>
      </w:r>
      <w:r w:rsidR="00B20333" w:rsidRPr="001416ED">
        <w:rPr>
          <w:lang w:val="uk-UA"/>
        </w:rPr>
        <w:t>.</w:t>
      </w:r>
    </w:p>
    <w:p w:rsidR="00B20333" w:rsidRPr="001416ED" w:rsidRDefault="00B20333" w:rsidP="00A144F2">
      <w:pPr>
        <w:spacing w:line="360" w:lineRule="auto"/>
        <w:ind w:firstLine="708"/>
        <w:jc w:val="both"/>
        <w:rPr>
          <w:lang w:val="uk-UA"/>
        </w:rPr>
      </w:pPr>
      <w:r w:rsidRPr="001416ED">
        <w:rPr>
          <w:lang w:val="uk-UA"/>
        </w:rPr>
        <w:t xml:space="preserve">За допомогою дискримінантного </w:t>
      </w:r>
      <w:r w:rsidR="00624794" w:rsidRPr="001416ED">
        <w:rPr>
          <w:lang w:val="uk-UA"/>
        </w:rPr>
        <w:t>аналізу</w:t>
      </w:r>
      <w:r w:rsidRPr="001416ED">
        <w:rPr>
          <w:lang w:val="uk-UA"/>
        </w:rPr>
        <w:t xml:space="preserve"> була розрахована формула</w:t>
      </w:r>
      <w:r w:rsidRPr="001416ED">
        <w:t xml:space="preserve"> </w:t>
      </w:r>
      <w:r w:rsidRPr="001416ED">
        <w:rPr>
          <w:lang w:val="uk-UA"/>
        </w:rPr>
        <w:t xml:space="preserve">вірогідного носійства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у осіб чоловічої статі, що не</w:t>
      </w:r>
      <w:r w:rsidR="004841A9" w:rsidRPr="001416ED">
        <w:rPr>
          <w:lang w:val="uk-UA"/>
        </w:rPr>
        <w:t xml:space="preserve"> </w:t>
      </w:r>
      <w:r w:rsidRPr="001416ED">
        <w:rPr>
          <w:lang w:val="uk-UA"/>
        </w:rPr>
        <w:t>мають серцево</w:t>
      </w:r>
      <w:r w:rsidR="00BC0119" w:rsidRPr="001416ED">
        <w:rPr>
          <w:lang w:val="uk-UA"/>
        </w:rPr>
        <w:t>–</w:t>
      </w:r>
      <w:r w:rsidRPr="001416ED">
        <w:rPr>
          <w:lang w:val="uk-UA"/>
        </w:rPr>
        <w:t>судинних захворювань. Формула має наступний вигляд:</w:t>
      </w:r>
    </w:p>
    <w:p w:rsidR="00DD28BC" w:rsidRPr="001416ED" w:rsidRDefault="00DD28BC" w:rsidP="00DD28BC">
      <w:pPr>
        <w:spacing w:line="360" w:lineRule="auto"/>
        <w:ind w:firstLine="708"/>
        <w:jc w:val="both"/>
        <w:rPr>
          <w:lang w:val="uk-UA"/>
        </w:rPr>
      </w:pPr>
      <w:r w:rsidRPr="001416ED">
        <w:rPr>
          <w:lang w:val="uk-UA"/>
        </w:rPr>
        <w:t>1)</w:t>
      </w:r>
      <w:r w:rsidRPr="001416ED">
        <w:rPr>
          <w:lang w:val="uk-UA"/>
        </w:rPr>
        <w:tab/>
        <w:t xml:space="preserve">Носії генотипу Lys/Lys = </w:t>
      </w:r>
      <w:r w:rsidR="00BC0119" w:rsidRPr="001416ED">
        <w:rPr>
          <w:lang w:val="uk-UA"/>
        </w:rPr>
        <w:t>–</w:t>
      </w:r>
      <w:r w:rsidRPr="001416ED">
        <w:rPr>
          <w:lang w:val="uk-UA"/>
        </w:rPr>
        <w:t>7,72+10,87*5s+2,21*3s</w:t>
      </w:r>
    </w:p>
    <w:p w:rsidR="00DD28BC" w:rsidRPr="001416ED" w:rsidRDefault="00DD28BC" w:rsidP="00DD28BC">
      <w:pPr>
        <w:spacing w:line="360" w:lineRule="auto"/>
        <w:ind w:firstLine="708"/>
        <w:jc w:val="both"/>
        <w:rPr>
          <w:lang w:val="uk-UA"/>
        </w:rPr>
      </w:pPr>
      <w:r w:rsidRPr="001416ED">
        <w:rPr>
          <w:lang w:val="uk-UA"/>
        </w:rPr>
        <w:t>2)</w:t>
      </w:r>
      <w:r w:rsidRPr="001416ED">
        <w:rPr>
          <w:lang w:val="uk-UA"/>
        </w:rPr>
        <w:tab/>
        <w:t>Носії алелі Asn =</w:t>
      </w:r>
      <w:r w:rsidR="007C28C6" w:rsidRPr="001416ED">
        <w:rPr>
          <w:lang w:val="uk-UA"/>
        </w:rPr>
        <w:t xml:space="preserve"> </w:t>
      </w:r>
      <w:r w:rsidR="00BC0119" w:rsidRPr="001416ED">
        <w:rPr>
          <w:lang w:val="uk-UA"/>
        </w:rPr>
        <w:t>–</w:t>
      </w:r>
      <w:r w:rsidRPr="001416ED">
        <w:rPr>
          <w:lang w:val="uk-UA"/>
        </w:rPr>
        <w:t>10,84+12,56*5s+2,57*3s</w:t>
      </w:r>
      <w:r w:rsidR="00A77BB8" w:rsidRPr="001416ED">
        <w:rPr>
          <w:lang w:val="uk-UA"/>
        </w:rPr>
        <w:t>,</w:t>
      </w:r>
    </w:p>
    <w:p w:rsidR="00A77BB8" w:rsidRPr="001416ED" w:rsidRDefault="00A77BB8" w:rsidP="00A77BB8">
      <w:pPr>
        <w:spacing w:after="200" w:line="360" w:lineRule="auto"/>
        <w:ind w:left="720"/>
        <w:contextualSpacing/>
        <w:jc w:val="both"/>
        <w:rPr>
          <w:rFonts w:eastAsiaTheme="minorHAnsi"/>
          <w:kern w:val="11"/>
          <w:lang w:val="uk-UA" w:eastAsia="en-US"/>
        </w:rPr>
      </w:pPr>
      <w:r w:rsidRPr="001416ED">
        <w:rPr>
          <w:rFonts w:eastAsiaTheme="minorHAnsi"/>
          <w:kern w:val="11"/>
          <w:lang w:val="uk-UA" w:eastAsia="en-US"/>
        </w:rPr>
        <w:t xml:space="preserve">де </w:t>
      </w:r>
      <w:r w:rsidRPr="001416ED">
        <w:rPr>
          <w:rFonts w:eastAsiaTheme="minorHAnsi"/>
          <w:kern w:val="11"/>
          <w:lang w:eastAsia="en-US"/>
        </w:rPr>
        <w:t>5</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5</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2D3BAC" w:rsidRPr="001416ED">
        <w:rPr>
          <w:rFonts w:eastAsiaTheme="minorHAnsi"/>
          <w:kern w:val="11"/>
          <w:lang w:val="uk-UA" w:eastAsia="en-US"/>
        </w:rPr>
        <w:t>ЛК</w:t>
      </w:r>
    </w:p>
    <w:p w:rsidR="00A77BB8" w:rsidRPr="001416ED" w:rsidRDefault="00A77BB8" w:rsidP="00A77BB8">
      <w:pPr>
        <w:spacing w:after="200" w:line="360" w:lineRule="auto"/>
        <w:ind w:left="720"/>
        <w:contextualSpacing/>
        <w:jc w:val="both"/>
        <w:rPr>
          <w:rFonts w:eastAsiaTheme="minorHAnsi"/>
          <w:kern w:val="11"/>
          <w:lang w:val="uk-UA" w:eastAsia="en-US"/>
        </w:rPr>
      </w:pPr>
      <w:r w:rsidRPr="001416ED">
        <w:rPr>
          <w:rFonts w:eastAsiaTheme="minorHAnsi"/>
          <w:kern w:val="11"/>
          <w:lang w:eastAsia="en-US"/>
        </w:rPr>
        <w:t>3</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3</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2D3BAC" w:rsidRPr="001416ED">
        <w:rPr>
          <w:rFonts w:eastAsiaTheme="minorHAnsi"/>
          <w:kern w:val="11"/>
          <w:lang w:val="uk-UA" w:eastAsia="en-US"/>
        </w:rPr>
        <w:t>ЛК</w:t>
      </w:r>
    </w:p>
    <w:p w:rsidR="00A77BB8" w:rsidRPr="001416ED" w:rsidRDefault="00A77BB8" w:rsidP="00A77BB8">
      <w:pPr>
        <w:spacing w:after="200" w:line="360" w:lineRule="auto"/>
        <w:ind w:firstLine="720"/>
        <w:contextualSpacing/>
        <w:jc w:val="both"/>
        <w:rPr>
          <w:rFonts w:eastAsiaTheme="minorHAnsi"/>
          <w:kern w:val="11"/>
          <w:lang w:val="uk-UA" w:eastAsia="en-US"/>
        </w:rPr>
      </w:pPr>
      <w:r w:rsidRPr="001416ED">
        <w:rPr>
          <w:rFonts w:eastAsiaTheme="minorHAnsi"/>
          <w:kern w:val="11"/>
          <w:lang w:val="uk-UA" w:eastAsia="en-US"/>
        </w:rPr>
        <w:t>Якщо на будь</w:t>
      </w:r>
      <w:r w:rsidR="00BC0119" w:rsidRPr="001416ED">
        <w:rPr>
          <w:rFonts w:eastAsiaTheme="minorHAnsi"/>
          <w:kern w:val="11"/>
          <w:lang w:val="uk-UA" w:eastAsia="en-US"/>
        </w:rPr>
        <w:t>–</w:t>
      </w:r>
      <w:r w:rsidRPr="001416ED">
        <w:rPr>
          <w:rFonts w:eastAsiaTheme="minorHAnsi"/>
          <w:kern w:val="11"/>
          <w:lang w:val="uk-UA" w:eastAsia="en-US"/>
        </w:rPr>
        <w:t>якому з указаних пальців присутній дерматогліфічний малюнок ульнарна петля, то підставляємо замість комплексу 3</w:t>
      </w:r>
      <w:r w:rsidRPr="001416ED">
        <w:rPr>
          <w:rFonts w:eastAsiaTheme="minorHAnsi"/>
          <w:kern w:val="11"/>
          <w:lang w:val="en-US" w:eastAsia="en-US"/>
        </w:rPr>
        <w:t>s</w:t>
      </w:r>
      <w:r w:rsidRPr="001416ED">
        <w:rPr>
          <w:rFonts w:eastAsiaTheme="minorHAnsi"/>
          <w:kern w:val="11"/>
          <w:lang w:val="uk-UA" w:eastAsia="en-US"/>
        </w:rPr>
        <w:t>, 5</w:t>
      </w:r>
      <w:r w:rsidRPr="001416ED">
        <w:rPr>
          <w:rFonts w:eastAsiaTheme="minorHAnsi"/>
          <w:kern w:val="11"/>
          <w:lang w:val="en-US" w:eastAsia="en-US"/>
        </w:rPr>
        <w:t>s</w:t>
      </w:r>
      <w:r w:rsidRPr="001416ED">
        <w:rPr>
          <w:rFonts w:eastAsiaTheme="minorHAnsi"/>
          <w:kern w:val="11"/>
          <w:lang w:val="uk-UA" w:eastAsia="en-US"/>
        </w:rPr>
        <w:t xml:space="preserve"> – 1, якщо завиток – 2,  радіальна петля – 3, дуга – 4.</w:t>
      </w:r>
    </w:p>
    <w:p w:rsidR="00B20333" w:rsidRPr="001416ED" w:rsidRDefault="00DD28BC" w:rsidP="00DD28BC">
      <w:pPr>
        <w:spacing w:line="360" w:lineRule="auto"/>
        <w:ind w:firstLine="708"/>
        <w:jc w:val="both"/>
        <w:rPr>
          <w:lang w:val="uk-UA"/>
        </w:rPr>
      </w:pPr>
      <w:r w:rsidRPr="001416ED">
        <w:rPr>
          <w:lang w:val="uk-UA"/>
        </w:rPr>
        <w:lastRenderedPageBreak/>
        <w:t>Якщо сума більша у формулі 1 – це говорить про те, що даний чоловік з ймовірністю 94,2</w:t>
      </w:r>
      <w:r w:rsidR="00D4219F" w:rsidRPr="001416ED">
        <w:rPr>
          <w:lang w:val="uk-UA"/>
        </w:rPr>
        <w:t xml:space="preserve"> %</w:t>
      </w:r>
      <w:r w:rsidRPr="001416ED">
        <w:rPr>
          <w:lang w:val="uk-UA"/>
        </w:rPr>
        <w:t xml:space="preserve"> носій генотипу Lys/Lys гена ЕТ</w:t>
      </w:r>
      <w:r w:rsidR="00BC0119" w:rsidRPr="001416ED">
        <w:rPr>
          <w:lang w:val="uk-UA"/>
        </w:rPr>
        <w:t>–</w:t>
      </w:r>
      <w:r w:rsidRPr="001416ED">
        <w:rPr>
          <w:lang w:val="uk-UA"/>
        </w:rPr>
        <w:t>1, якщо у формулі  2 –  обстежуваний з ймовірністю 82,2</w:t>
      </w:r>
      <w:r w:rsidR="00D4219F" w:rsidRPr="001416ED">
        <w:rPr>
          <w:lang w:val="uk-UA"/>
        </w:rPr>
        <w:t xml:space="preserve"> %</w:t>
      </w:r>
      <w:r w:rsidRPr="001416ED">
        <w:rPr>
          <w:lang w:val="uk-UA"/>
        </w:rPr>
        <w:t xml:space="preserve"> носій алелі</w:t>
      </w:r>
      <w:r w:rsidR="002D3BAC" w:rsidRPr="001416ED">
        <w:rPr>
          <w:lang w:val="uk-UA"/>
        </w:rPr>
        <w:t xml:space="preserve"> Asn</w:t>
      </w:r>
      <w:r w:rsidR="00590099">
        <w:rPr>
          <w:lang w:val="uk-UA"/>
        </w:rPr>
        <w:t xml:space="preserve"> (генотипи </w:t>
      </w:r>
      <w:r w:rsidR="00590099">
        <w:rPr>
          <w:lang w:val="en-US"/>
        </w:rPr>
        <w:t>Lys/Asn, Asn/Asn)</w:t>
      </w:r>
      <w:r w:rsidRPr="001416ED">
        <w:rPr>
          <w:lang w:val="uk-UA"/>
        </w:rPr>
        <w:t>.</w:t>
      </w:r>
      <w:r w:rsidR="00890A89" w:rsidRPr="001416ED">
        <w:rPr>
          <w:lang w:val="uk-UA"/>
        </w:rPr>
        <w:t xml:space="preserve"> Дана формула дасть можливість визначити носіїв</w:t>
      </w:r>
      <w:r w:rsidR="00877824" w:rsidRPr="001416ED">
        <w:rPr>
          <w:lang w:val="uk-UA"/>
        </w:rPr>
        <w:t xml:space="preserve"> алелі Asn гена ЕТ–1, які потребуватимуть заходів первинної профілактики, щодо розвитку ГХ та її ускладнень, адже володарі саме цієї але мають гірший прогноз щодо перебігу ЕГ.</w:t>
      </w:r>
    </w:p>
    <w:p w:rsidR="00F92B23" w:rsidRPr="001416ED" w:rsidRDefault="00166528" w:rsidP="00F92B23">
      <w:pPr>
        <w:spacing w:line="360" w:lineRule="auto"/>
        <w:ind w:firstLine="720"/>
        <w:contextualSpacing/>
        <w:jc w:val="both"/>
        <w:rPr>
          <w:lang w:val="uk-UA"/>
        </w:rPr>
      </w:pPr>
      <w:r w:rsidRPr="001416ED">
        <w:rPr>
          <w:lang w:val="uk-UA"/>
        </w:rPr>
        <w:t xml:space="preserve">Підводячи підсумок </w:t>
      </w:r>
      <w:r w:rsidR="00434450" w:rsidRPr="001416ED">
        <w:rPr>
          <w:lang w:val="uk-UA"/>
        </w:rPr>
        <w:t>о</w:t>
      </w:r>
      <w:r w:rsidRPr="001416ED">
        <w:rPr>
          <w:lang w:val="uk-UA"/>
        </w:rPr>
        <w:t xml:space="preserve">бстежених чоловіків групи </w:t>
      </w:r>
      <w:r w:rsidR="00472F94" w:rsidRPr="001416ED">
        <w:rPr>
          <w:lang w:val="uk-UA"/>
        </w:rPr>
        <w:t>контролю</w:t>
      </w:r>
      <w:r w:rsidRPr="001416ED">
        <w:rPr>
          <w:lang w:val="uk-UA"/>
        </w:rPr>
        <w:t xml:space="preserve">, </w:t>
      </w:r>
      <w:r w:rsidR="00434450" w:rsidRPr="001416ED">
        <w:rPr>
          <w:lang w:val="uk-UA"/>
        </w:rPr>
        <w:t>можна зробити висновок</w:t>
      </w:r>
      <w:r w:rsidR="00431EF4" w:rsidRPr="001416ED">
        <w:rPr>
          <w:lang w:val="uk-UA"/>
        </w:rPr>
        <w:t xml:space="preserve">, що у </w:t>
      </w:r>
      <w:r w:rsidR="00FB479C" w:rsidRPr="001416ED">
        <w:rPr>
          <w:lang w:val="uk-UA"/>
        </w:rPr>
        <w:t>них</w:t>
      </w:r>
      <w:r w:rsidR="00431EF4" w:rsidRPr="001416ED">
        <w:rPr>
          <w:lang w:val="uk-UA"/>
        </w:rPr>
        <w:t xml:space="preserve"> переважає генотип Lys/Lys та алель Lys гена ЕТ</w:t>
      </w:r>
      <w:r w:rsidR="00BC0119" w:rsidRPr="001416ED">
        <w:rPr>
          <w:lang w:val="uk-UA"/>
        </w:rPr>
        <w:t>–</w:t>
      </w:r>
      <w:r w:rsidR="00431EF4" w:rsidRPr="001416ED">
        <w:rPr>
          <w:lang w:val="uk-UA"/>
        </w:rPr>
        <w:t xml:space="preserve">1. </w:t>
      </w:r>
      <w:r w:rsidR="00470E1A" w:rsidRPr="001416ED">
        <w:rPr>
          <w:lang w:val="uk-UA"/>
        </w:rPr>
        <w:t>У</w:t>
      </w:r>
      <w:r w:rsidR="00431EF4" w:rsidRPr="001416ED">
        <w:rPr>
          <w:lang w:val="uk-UA"/>
        </w:rPr>
        <w:t xml:space="preserve"> носіїв алелі Asn гена ЕТ</w:t>
      </w:r>
      <w:r w:rsidR="00BC0119" w:rsidRPr="001416ED">
        <w:rPr>
          <w:lang w:val="uk-UA"/>
        </w:rPr>
        <w:t>–</w:t>
      </w:r>
      <w:r w:rsidR="00431EF4" w:rsidRPr="001416ED">
        <w:rPr>
          <w:lang w:val="uk-UA"/>
        </w:rPr>
        <w:t>1 достовірно частіше зустрічається генотип АА гена АТ1</w:t>
      </w:r>
      <w:r w:rsidR="00BC0119" w:rsidRPr="001416ED">
        <w:rPr>
          <w:lang w:val="uk-UA"/>
        </w:rPr>
        <w:t>–</w:t>
      </w:r>
      <w:r w:rsidR="00431EF4" w:rsidRPr="001416ED">
        <w:rPr>
          <w:lang w:val="uk-UA"/>
        </w:rPr>
        <w:t>Р</w:t>
      </w:r>
      <w:r w:rsidR="00470E1A" w:rsidRPr="001416ED">
        <w:rPr>
          <w:lang w:val="uk-UA"/>
        </w:rPr>
        <w:t xml:space="preserve">, проте у чоловіків з генотипом Lys/Lys частота носійства </w:t>
      </w:r>
      <w:r w:rsidR="00F40216">
        <w:rPr>
          <w:lang w:val="uk-UA"/>
        </w:rPr>
        <w:t xml:space="preserve"> варіантів гена</w:t>
      </w:r>
      <w:r w:rsidR="00470E1A" w:rsidRPr="001416ED">
        <w:rPr>
          <w:lang w:val="uk-UA"/>
        </w:rPr>
        <w:t xml:space="preserve"> АТ1-Р не відрізняється</w:t>
      </w:r>
      <w:r w:rsidR="00431EF4" w:rsidRPr="001416ED">
        <w:rPr>
          <w:lang w:val="uk-UA"/>
        </w:rPr>
        <w:t xml:space="preserve">. </w:t>
      </w:r>
      <w:r w:rsidR="00F92B23" w:rsidRPr="001416ED">
        <w:rPr>
          <w:lang w:val="uk-UA"/>
        </w:rPr>
        <w:t xml:space="preserve">У чоловіків групи контролю не встановлено різниці у частоті носійства </w:t>
      </w:r>
      <w:r w:rsidR="00F40216">
        <w:rPr>
          <w:lang w:val="uk-UA"/>
        </w:rPr>
        <w:t xml:space="preserve"> варіантів гена</w:t>
      </w:r>
      <w:r w:rsidR="00F92B23" w:rsidRPr="001416ED">
        <w:rPr>
          <w:lang w:val="uk-UA"/>
        </w:rPr>
        <w:t xml:space="preserve"> ЕТ–1 у чоловіків - носіїв </w:t>
      </w:r>
      <w:r w:rsidR="00E6164F">
        <w:rPr>
          <w:lang w:val="uk-UA"/>
        </w:rPr>
        <w:t>поліморфних варіантів гена АТ1–Р</w:t>
      </w:r>
      <w:r w:rsidR="00F92B23" w:rsidRPr="001416ED">
        <w:rPr>
          <w:lang w:val="uk-UA"/>
        </w:rPr>
        <w:t>.</w:t>
      </w:r>
    </w:p>
    <w:p w:rsidR="00431EF4" w:rsidRPr="001416ED" w:rsidRDefault="00431EF4" w:rsidP="00DD28BC">
      <w:pPr>
        <w:spacing w:line="360" w:lineRule="auto"/>
        <w:ind w:firstLine="708"/>
        <w:jc w:val="both"/>
        <w:rPr>
          <w:lang w:val="uk-UA"/>
        </w:rPr>
      </w:pPr>
      <w:r w:rsidRPr="001416ED">
        <w:rPr>
          <w:lang w:val="uk-UA"/>
        </w:rPr>
        <w:t>У носіїв генотипу Lys/Lys та алелі Asn достовірно частіше виявлена необтяжена спадковість по ЕГ та нормальна маса тіла.</w:t>
      </w:r>
      <w:r w:rsidRPr="001416ED">
        <w:t xml:space="preserve"> </w:t>
      </w:r>
      <w:r w:rsidRPr="001416ED">
        <w:rPr>
          <w:lang w:val="uk-UA"/>
        </w:rPr>
        <w:t xml:space="preserve">При досліджені </w:t>
      </w:r>
      <w:r w:rsidR="00FB479C" w:rsidRPr="001416ED">
        <w:rPr>
          <w:lang w:val="uk-UA"/>
        </w:rPr>
        <w:t xml:space="preserve">спектру </w:t>
      </w:r>
      <w:r w:rsidRPr="001416ED">
        <w:rPr>
          <w:lang w:val="uk-UA"/>
        </w:rPr>
        <w:t xml:space="preserve">ліпідів і </w:t>
      </w:r>
      <w:r w:rsidR="00FB479C" w:rsidRPr="001416ED">
        <w:rPr>
          <w:lang w:val="uk-UA"/>
        </w:rPr>
        <w:t xml:space="preserve">рівня </w:t>
      </w:r>
      <w:r w:rsidRPr="001416ED">
        <w:rPr>
          <w:lang w:val="uk-UA"/>
        </w:rPr>
        <w:t>глюкози крові у осіб чоловічої статі</w:t>
      </w:r>
      <w:r w:rsidR="008E586C" w:rsidRPr="001416ED">
        <w:rPr>
          <w:lang w:val="uk-UA"/>
        </w:rPr>
        <w:t xml:space="preserve"> </w:t>
      </w:r>
      <w:r w:rsidR="00BC0119" w:rsidRPr="001416ED">
        <w:rPr>
          <w:lang w:val="uk-UA"/>
        </w:rPr>
        <w:t>–</w:t>
      </w:r>
      <w:r w:rsidR="008E586C" w:rsidRPr="001416ED">
        <w:rPr>
          <w:lang w:val="uk-UA"/>
        </w:rPr>
        <w:t xml:space="preserve"> </w:t>
      </w:r>
      <w:r w:rsidRPr="001416ED">
        <w:rPr>
          <w:lang w:val="uk-UA"/>
        </w:rPr>
        <w:t xml:space="preserve">носіїв </w:t>
      </w:r>
      <w:r w:rsidR="00E6164F">
        <w:rPr>
          <w:lang w:val="uk-UA"/>
        </w:rPr>
        <w:t>поліморфних варіантів гена ЕТ–1</w:t>
      </w:r>
      <w:r w:rsidRPr="001416ED">
        <w:rPr>
          <w:lang w:val="uk-UA"/>
        </w:rPr>
        <w:t xml:space="preserve"> встановлено, що їх середні рівні знаходяться в межах вікової норми. У носіїв алелі Asn рівні </w:t>
      </w:r>
      <w:r w:rsidR="0052499F" w:rsidRPr="001416ED">
        <w:rPr>
          <w:lang w:val="uk-UA"/>
        </w:rPr>
        <w:t>проатерогенних показників ліпідограми (</w:t>
      </w:r>
      <w:r w:rsidR="006F216F" w:rsidRPr="001416ED">
        <w:rPr>
          <w:lang w:val="uk-UA"/>
        </w:rPr>
        <w:t>ХС, ХСЛПДНЩ, ХСЛПНЩ та ТГ</w:t>
      </w:r>
      <w:r w:rsidR="0052499F" w:rsidRPr="001416ED">
        <w:rPr>
          <w:lang w:val="uk-UA"/>
        </w:rPr>
        <w:t>)</w:t>
      </w:r>
      <w:r w:rsidRPr="001416ED">
        <w:rPr>
          <w:lang w:val="uk-UA"/>
        </w:rPr>
        <w:t xml:space="preserve"> крові </w:t>
      </w:r>
      <w:r w:rsidR="008E586C" w:rsidRPr="001416ED">
        <w:rPr>
          <w:lang w:val="uk-UA"/>
        </w:rPr>
        <w:t>вірогідно</w:t>
      </w:r>
      <w:r w:rsidRPr="001416ED">
        <w:rPr>
          <w:lang w:val="uk-UA"/>
        </w:rPr>
        <w:t xml:space="preserve"> вищі, </w:t>
      </w:r>
      <w:r w:rsidR="006F216F" w:rsidRPr="001416ED">
        <w:rPr>
          <w:lang w:val="uk-UA"/>
        </w:rPr>
        <w:t>а ХСЛПВЩ нижч</w:t>
      </w:r>
      <w:r w:rsidR="009A404C">
        <w:rPr>
          <w:lang w:val="uk-UA"/>
        </w:rPr>
        <w:t>ий</w:t>
      </w:r>
      <w:r w:rsidR="006F216F" w:rsidRPr="001416ED">
        <w:rPr>
          <w:lang w:val="uk-UA"/>
        </w:rPr>
        <w:t xml:space="preserve">, </w:t>
      </w:r>
      <w:r w:rsidRPr="001416ED">
        <w:rPr>
          <w:lang w:val="uk-UA"/>
        </w:rPr>
        <w:t>ніж у носіїв генотипу Lys/Lys, однак такої різниці у рівнях глюкози не виявлено.</w:t>
      </w:r>
    </w:p>
    <w:p w:rsidR="00431EF4" w:rsidRPr="001416ED" w:rsidRDefault="008E586C" w:rsidP="00DD28BC">
      <w:pPr>
        <w:spacing w:line="360" w:lineRule="auto"/>
        <w:ind w:firstLine="708"/>
        <w:jc w:val="both"/>
        <w:rPr>
          <w:lang w:val="uk-UA"/>
        </w:rPr>
      </w:pPr>
      <w:r w:rsidRPr="001416ED">
        <w:rPr>
          <w:lang w:val="uk-UA"/>
        </w:rPr>
        <w:t>При визначенні рівня ЕТ</w:t>
      </w:r>
      <w:r w:rsidR="00BC0119" w:rsidRPr="001416ED">
        <w:rPr>
          <w:lang w:val="uk-UA"/>
        </w:rPr>
        <w:t>–</w:t>
      </w:r>
      <w:r w:rsidRPr="001416ED">
        <w:rPr>
          <w:lang w:val="uk-UA"/>
        </w:rPr>
        <w:t>1 в плазмі крові, в</w:t>
      </w:r>
      <w:r w:rsidR="00431EF4" w:rsidRPr="001416ED">
        <w:rPr>
          <w:lang w:val="uk-UA"/>
        </w:rPr>
        <w:t xml:space="preserve">становлено, що у чоловіків </w:t>
      </w:r>
      <w:r w:rsidR="00BC0119" w:rsidRPr="001416ED">
        <w:rPr>
          <w:lang w:val="uk-UA"/>
        </w:rPr>
        <w:t>–</w:t>
      </w:r>
      <w:r w:rsidR="00431EF4" w:rsidRPr="001416ED">
        <w:rPr>
          <w:lang w:val="uk-UA"/>
        </w:rPr>
        <w:t xml:space="preserve"> носіїв </w:t>
      </w:r>
      <w:r w:rsidR="009B5013" w:rsidRPr="001416ED">
        <w:rPr>
          <w:lang w:val="uk-UA"/>
        </w:rPr>
        <w:t xml:space="preserve">алелі Asn рівень пептиду достовірно вище, ніж у носіїв </w:t>
      </w:r>
      <w:r w:rsidR="00431EF4" w:rsidRPr="001416ED">
        <w:rPr>
          <w:lang w:val="uk-UA"/>
        </w:rPr>
        <w:t>генотипу Lys/Lys</w:t>
      </w:r>
      <w:r w:rsidR="009B5013" w:rsidRPr="001416ED">
        <w:rPr>
          <w:lang w:val="uk-UA"/>
        </w:rPr>
        <w:t xml:space="preserve">, що може вказувати на схильність </w:t>
      </w:r>
      <w:r w:rsidR="00FB2CD1" w:rsidRPr="001416ED">
        <w:rPr>
          <w:lang w:val="uk-UA"/>
        </w:rPr>
        <w:t xml:space="preserve">у </w:t>
      </w:r>
      <w:r w:rsidR="0052499F" w:rsidRPr="001416ED">
        <w:rPr>
          <w:lang w:val="uk-UA"/>
        </w:rPr>
        <w:t>перших</w:t>
      </w:r>
      <w:r w:rsidR="00FB2CD1" w:rsidRPr="001416ED">
        <w:rPr>
          <w:lang w:val="uk-UA"/>
        </w:rPr>
        <w:t xml:space="preserve"> </w:t>
      </w:r>
      <w:r w:rsidR="009B5013" w:rsidRPr="001416ED">
        <w:rPr>
          <w:lang w:val="uk-UA"/>
        </w:rPr>
        <w:t>до вазоконстрикції</w:t>
      </w:r>
      <w:r w:rsidRPr="001416ED">
        <w:rPr>
          <w:lang w:val="uk-UA"/>
        </w:rPr>
        <w:t>.</w:t>
      </w:r>
    </w:p>
    <w:p w:rsidR="00B55D76" w:rsidRPr="001416ED" w:rsidRDefault="00431EF4" w:rsidP="00B96BD9">
      <w:pPr>
        <w:spacing w:line="360" w:lineRule="auto"/>
        <w:ind w:firstLine="708"/>
        <w:jc w:val="both"/>
        <w:rPr>
          <w:lang w:val="uk-UA"/>
        </w:rPr>
      </w:pPr>
      <w:r w:rsidRPr="001416ED">
        <w:rPr>
          <w:lang w:val="uk-UA"/>
        </w:rPr>
        <w:t>У чоловіків, що є носіями генотипу Lys/Lys достовірно част</w:t>
      </w:r>
      <w:r w:rsidR="00845C80" w:rsidRPr="001416ED">
        <w:rPr>
          <w:lang w:val="uk-UA"/>
        </w:rPr>
        <w:t>іше зустрічається нормальний АТ. У</w:t>
      </w:r>
      <w:r w:rsidRPr="001416ED">
        <w:rPr>
          <w:lang w:val="uk-UA"/>
        </w:rPr>
        <w:t xml:space="preserve"> носіїв алелі Asn </w:t>
      </w:r>
      <w:r w:rsidR="00845C80" w:rsidRPr="001416ED">
        <w:rPr>
          <w:lang w:val="uk-UA"/>
        </w:rPr>
        <w:t xml:space="preserve">дещо інша ситуація </w:t>
      </w:r>
      <w:r w:rsidR="00BC0119" w:rsidRPr="001416ED">
        <w:rPr>
          <w:lang w:val="uk-UA"/>
        </w:rPr>
        <w:t>–</w:t>
      </w:r>
      <w:r w:rsidRPr="001416ED">
        <w:rPr>
          <w:lang w:val="uk-UA"/>
        </w:rPr>
        <w:t xml:space="preserve"> високий нормальний АТ спостерігається достовір</w:t>
      </w:r>
      <w:r w:rsidR="00B55D76" w:rsidRPr="001416ED">
        <w:rPr>
          <w:lang w:val="uk-UA"/>
        </w:rPr>
        <w:t>но частіше, ніж оптимальний АТ.</w:t>
      </w:r>
    </w:p>
    <w:p w:rsidR="00431EF4" w:rsidRPr="001416ED" w:rsidRDefault="00B96BD9" w:rsidP="00B96BD9">
      <w:pPr>
        <w:spacing w:line="360" w:lineRule="auto"/>
        <w:ind w:firstLine="708"/>
        <w:jc w:val="both"/>
        <w:rPr>
          <w:lang w:val="uk-UA"/>
        </w:rPr>
      </w:pPr>
      <w:r w:rsidRPr="001416ED">
        <w:rPr>
          <w:lang w:val="uk-UA"/>
        </w:rPr>
        <w:t>Р</w:t>
      </w:r>
      <w:r w:rsidR="00431EF4" w:rsidRPr="001416ED">
        <w:rPr>
          <w:lang w:val="uk-UA"/>
        </w:rPr>
        <w:t>івень ЕТ</w:t>
      </w:r>
      <w:r w:rsidR="00BC0119" w:rsidRPr="001416ED">
        <w:rPr>
          <w:lang w:val="uk-UA"/>
        </w:rPr>
        <w:t>–</w:t>
      </w:r>
      <w:r w:rsidR="00431EF4" w:rsidRPr="001416ED">
        <w:rPr>
          <w:lang w:val="uk-UA"/>
        </w:rPr>
        <w:t xml:space="preserve">1 </w:t>
      </w:r>
      <w:r w:rsidR="00B55D76" w:rsidRPr="001416ED">
        <w:rPr>
          <w:lang w:val="uk-UA"/>
        </w:rPr>
        <w:t xml:space="preserve">та СНП </w:t>
      </w:r>
      <w:r w:rsidR="00431EF4" w:rsidRPr="001416ED">
        <w:rPr>
          <w:lang w:val="uk-UA"/>
        </w:rPr>
        <w:t xml:space="preserve">у чоловіків групи контролю при різних категоріях </w:t>
      </w:r>
      <w:r w:rsidRPr="001416ED">
        <w:rPr>
          <w:lang w:val="uk-UA"/>
        </w:rPr>
        <w:t xml:space="preserve">нормального </w:t>
      </w:r>
      <w:r w:rsidR="00431EF4" w:rsidRPr="001416ED">
        <w:rPr>
          <w:lang w:val="uk-UA"/>
        </w:rPr>
        <w:t xml:space="preserve">АТ </w:t>
      </w:r>
      <w:r w:rsidRPr="001416ED">
        <w:rPr>
          <w:lang w:val="uk-UA"/>
        </w:rPr>
        <w:t>та</w:t>
      </w:r>
      <w:r w:rsidR="00431EF4" w:rsidRPr="001416ED">
        <w:rPr>
          <w:lang w:val="uk-UA"/>
        </w:rPr>
        <w:t xml:space="preserve"> при різному ІМТ не </w:t>
      </w:r>
      <w:r w:rsidRPr="001416ED">
        <w:rPr>
          <w:lang w:val="uk-UA"/>
        </w:rPr>
        <w:t>відрізняється.</w:t>
      </w:r>
      <w:r w:rsidR="00B55D76" w:rsidRPr="001416ED">
        <w:rPr>
          <w:lang w:val="uk-UA"/>
        </w:rPr>
        <w:t xml:space="preserve"> Однак, співвідношення СНП/ЕТ</w:t>
      </w:r>
      <w:r w:rsidR="00BC0119" w:rsidRPr="001416ED">
        <w:rPr>
          <w:lang w:val="uk-UA"/>
        </w:rPr>
        <w:t>–</w:t>
      </w:r>
      <w:r w:rsidR="00B55D76" w:rsidRPr="001416ED">
        <w:rPr>
          <w:lang w:val="uk-UA"/>
        </w:rPr>
        <w:t>1 у чоловіків з високим нормальним АТ та нормальним АТ вірогідно нижче, ніж в осіб з оптимальним АТ.</w:t>
      </w:r>
    </w:p>
    <w:p w:rsidR="00431EF4" w:rsidRPr="001416ED" w:rsidRDefault="00431EF4" w:rsidP="00DD28BC">
      <w:pPr>
        <w:spacing w:line="360" w:lineRule="auto"/>
        <w:ind w:firstLine="708"/>
        <w:jc w:val="both"/>
        <w:rPr>
          <w:lang w:val="uk-UA"/>
        </w:rPr>
      </w:pPr>
      <w:r w:rsidRPr="001416ED">
        <w:rPr>
          <w:lang w:val="uk-UA"/>
        </w:rPr>
        <w:lastRenderedPageBreak/>
        <w:t xml:space="preserve"> У </w:t>
      </w:r>
      <w:r w:rsidR="00B96BD9" w:rsidRPr="001416ED">
        <w:rPr>
          <w:lang w:val="uk-UA"/>
        </w:rPr>
        <w:t xml:space="preserve">чоловіків групи контролю </w:t>
      </w:r>
      <w:r w:rsidR="00BC0119" w:rsidRPr="001416ED">
        <w:rPr>
          <w:lang w:val="uk-UA"/>
        </w:rPr>
        <w:t>–</w:t>
      </w:r>
      <w:r w:rsidR="00B96BD9" w:rsidRPr="001416ED">
        <w:rPr>
          <w:lang w:val="uk-UA"/>
        </w:rPr>
        <w:t xml:space="preserve"> </w:t>
      </w:r>
      <w:r w:rsidRPr="001416ED">
        <w:rPr>
          <w:lang w:val="uk-UA"/>
        </w:rPr>
        <w:t xml:space="preserve">носіїв </w:t>
      </w:r>
      <w:r w:rsidR="00B96BD9" w:rsidRPr="001416ED">
        <w:rPr>
          <w:lang w:val="uk-UA"/>
        </w:rPr>
        <w:t xml:space="preserve">алелі Asn рівень СНП </w:t>
      </w:r>
      <w:r w:rsidRPr="001416ED">
        <w:rPr>
          <w:lang w:val="uk-UA"/>
        </w:rPr>
        <w:t>як і ЕТ</w:t>
      </w:r>
      <w:r w:rsidR="00BC0119" w:rsidRPr="001416ED">
        <w:rPr>
          <w:lang w:val="uk-UA"/>
        </w:rPr>
        <w:t>–</w:t>
      </w:r>
      <w:r w:rsidRPr="001416ED">
        <w:rPr>
          <w:lang w:val="uk-UA"/>
        </w:rPr>
        <w:t xml:space="preserve">1, виявився достовірно вище, ніж у носіїв генотипу Lys/Lys. </w:t>
      </w:r>
      <w:r w:rsidR="006D6BA5" w:rsidRPr="001416ED">
        <w:rPr>
          <w:lang w:val="uk-UA"/>
        </w:rPr>
        <w:t xml:space="preserve">Для оцінки балансу концентрацій вазодилятатор/вазоконстриктор, був </w:t>
      </w:r>
      <w:r w:rsidR="00500F85" w:rsidRPr="001416ED">
        <w:rPr>
          <w:lang w:val="uk-UA"/>
        </w:rPr>
        <w:t>розрахований коефіцієнт СНП/ЕТ</w:t>
      </w:r>
      <w:r w:rsidR="00BC0119" w:rsidRPr="001416ED">
        <w:rPr>
          <w:lang w:val="uk-UA"/>
        </w:rPr>
        <w:t>–</w:t>
      </w:r>
      <w:r w:rsidR="00500F85" w:rsidRPr="001416ED">
        <w:rPr>
          <w:lang w:val="uk-UA"/>
        </w:rPr>
        <w:t xml:space="preserve">1 у чоловіків групи </w:t>
      </w:r>
      <w:r w:rsidR="00472F94" w:rsidRPr="001416ED">
        <w:rPr>
          <w:lang w:val="uk-UA"/>
        </w:rPr>
        <w:t>контролю</w:t>
      </w:r>
      <w:r w:rsidR="00500F85" w:rsidRPr="001416ED">
        <w:rPr>
          <w:lang w:val="uk-UA"/>
        </w:rPr>
        <w:t>.</w:t>
      </w:r>
      <w:r w:rsidRPr="001416ED">
        <w:rPr>
          <w:lang w:val="uk-UA"/>
        </w:rPr>
        <w:t xml:space="preserve"> Так, у носіїв генотипу Lys/Lys він достовірно </w:t>
      </w:r>
      <w:r w:rsidR="005E3AB5" w:rsidRPr="001416ED">
        <w:rPr>
          <w:lang w:val="uk-UA"/>
        </w:rPr>
        <w:t>вищий</w:t>
      </w:r>
      <w:r w:rsidR="00500F85" w:rsidRPr="001416ED">
        <w:rPr>
          <w:lang w:val="uk-UA"/>
        </w:rPr>
        <w:t>, ніж у носіїв алелі Asn.</w:t>
      </w:r>
    </w:p>
    <w:p w:rsidR="00290F14" w:rsidRPr="001416ED" w:rsidRDefault="00290F14" w:rsidP="00DD28BC">
      <w:pPr>
        <w:spacing w:line="360" w:lineRule="auto"/>
        <w:ind w:firstLine="708"/>
        <w:jc w:val="both"/>
        <w:rPr>
          <w:lang w:val="uk-UA"/>
        </w:rPr>
      </w:pPr>
      <w:r w:rsidRPr="001416ED">
        <w:rPr>
          <w:lang w:val="uk-UA"/>
        </w:rPr>
        <w:t>Встановлений межовий рівень ЕТ-1 в плазмі крові для виявлення осіб-носіїв алелі Asn</w:t>
      </w:r>
      <w:r w:rsidR="009A404C">
        <w:rPr>
          <w:lang w:val="uk-UA"/>
        </w:rPr>
        <w:t xml:space="preserve"> </w:t>
      </w:r>
      <w:r w:rsidR="009A404C" w:rsidRPr="009A404C">
        <w:rPr>
          <w:lang w:val="uk-UA"/>
        </w:rPr>
        <w:t xml:space="preserve">(генотипи </w:t>
      </w:r>
      <w:r w:rsidR="009A404C" w:rsidRPr="009A404C">
        <w:rPr>
          <w:lang w:val="en-US"/>
        </w:rPr>
        <w:t>Lys/Asn, Asn/Asn)</w:t>
      </w:r>
      <w:r w:rsidRPr="001416ED">
        <w:rPr>
          <w:lang w:val="uk-UA"/>
        </w:rPr>
        <w:t>, яким в майбутньому потребуватиметься первинна профілактика щодо розвитку ГХ.</w:t>
      </w:r>
    </w:p>
    <w:p w:rsidR="00431EF4" w:rsidRPr="001416ED" w:rsidRDefault="003F5E9D" w:rsidP="00431EF4">
      <w:pPr>
        <w:spacing w:line="360" w:lineRule="auto"/>
        <w:ind w:firstLine="708"/>
        <w:jc w:val="both"/>
        <w:rPr>
          <w:lang w:val="uk-UA"/>
        </w:rPr>
      </w:pPr>
      <w:r w:rsidRPr="001416ED">
        <w:rPr>
          <w:lang w:val="uk-UA"/>
        </w:rPr>
        <w:t>При оцінці дерматогліфічних показників у чоловіків групи контролю визначено, що н</w:t>
      </w:r>
      <w:r w:rsidR="00431EF4" w:rsidRPr="001416ED">
        <w:rPr>
          <w:lang w:val="uk-UA"/>
        </w:rPr>
        <w:t xml:space="preserve">а </w:t>
      </w:r>
      <w:r w:rsidR="007F0AEB" w:rsidRPr="001416ED">
        <w:rPr>
          <w:lang w:val="uk-UA"/>
        </w:rPr>
        <w:t>ЛК</w:t>
      </w:r>
      <w:r w:rsidR="00431EF4" w:rsidRPr="001416ED">
        <w:rPr>
          <w:lang w:val="uk-UA"/>
        </w:rPr>
        <w:t xml:space="preserve"> і на</w:t>
      </w:r>
      <w:r w:rsidRPr="001416ED">
        <w:rPr>
          <w:lang w:val="uk-UA"/>
        </w:rPr>
        <w:t xml:space="preserve"> </w:t>
      </w:r>
      <w:r w:rsidR="007F0AEB" w:rsidRPr="001416ED">
        <w:rPr>
          <w:lang w:val="uk-UA"/>
        </w:rPr>
        <w:t>ПК</w:t>
      </w:r>
      <w:r w:rsidR="00431EF4" w:rsidRPr="001416ED">
        <w:rPr>
          <w:lang w:val="uk-UA"/>
        </w:rPr>
        <w:t xml:space="preserve"> достовірно частіше зустрічаєть</w:t>
      </w:r>
      <w:r w:rsidRPr="001416ED">
        <w:rPr>
          <w:lang w:val="uk-UA"/>
        </w:rPr>
        <w:t>ся</w:t>
      </w:r>
      <w:r w:rsidR="00431EF4" w:rsidRPr="001416ED">
        <w:rPr>
          <w:lang w:val="uk-UA"/>
        </w:rPr>
        <w:t xml:space="preserve"> малю</w:t>
      </w:r>
      <w:r w:rsidRPr="001416ED">
        <w:rPr>
          <w:lang w:val="uk-UA"/>
        </w:rPr>
        <w:t xml:space="preserve">нок ульнарна петля. Однак, немає </w:t>
      </w:r>
      <w:r w:rsidR="00431EF4" w:rsidRPr="001416ED">
        <w:rPr>
          <w:lang w:val="uk-UA"/>
        </w:rPr>
        <w:t>вірогідної різниці у частоті випадків усіх дермагліфічних малюнків між</w:t>
      </w:r>
      <w:r w:rsidR="007F0AEB" w:rsidRPr="001416ED">
        <w:rPr>
          <w:lang w:val="uk-UA"/>
        </w:rPr>
        <w:t xml:space="preserve"> ПК</w:t>
      </w:r>
      <w:r w:rsidR="00431EF4" w:rsidRPr="001416ED">
        <w:rPr>
          <w:lang w:val="uk-UA"/>
        </w:rPr>
        <w:t xml:space="preserve"> та </w:t>
      </w:r>
      <w:r w:rsidR="007F0AEB" w:rsidRPr="001416ED">
        <w:rPr>
          <w:lang w:val="uk-UA"/>
        </w:rPr>
        <w:t>ЛК</w:t>
      </w:r>
      <w:r w:rsidR="00431EF4" w:rsidRPr="001416ED">
        <w:rPr>
          <w:lang w:val="uk-UA"/>
        </w:rPr>
        <w:t>.</w:t>
      </w:r>
      <w:r w:rsidRPr="001416ED">
        <w:rPr>
          <w:lang w:val="uk-UA"/>
        </w:rPr>
        <w:t xml:space="preserve"> Різниці у</w:t>
      </w:r>
      <w:r w:rsidR="001A4F83" w:rsidRPr="001416ED">
        <w:rPr>
          <w:lang w:val="uk-UA"/>
        </w:rPr>
        <w:t xml:space="preserve"> ЗГР та у</w:t>
      </w:r>
      <w:r w:rsidRPr="001416ED">
        <w:rPr>
          <w:lang w:val="uk-UA"/>
        </w:rPr>
        <w:t xml:space="preserve"> СГР між носіями генотипу Lys/Lys та алелі Asn не знайдено. </w:t>
      </w:r>
      <w:r w:rsidR="00431EF4" w:rsidRPr="001416ED">
        <w:rPr>
          <w:lang w:val="uk-UA"/>
        </w:rPr>
        <w:t xml:space="preserve">Виявлений позитивний кореляційний зв'язок між носійством </w:t>
      </w:r>
      <w:r w:rsidR="00E6164F">
        <w:rPr>
          <w:lang w:val="uk-UA"/>
        </w:rPr>
        <w:t>поліморфного варіанту гена</w:t>
      </w:r>
      <w:r w:rsidR="00431EF4" w:rsidRPr="001416ED">
        <w:rPr>
          <w:lang w:val="uk-UA"/>
        </w:rPr>
        <w:t xml:space="preserve"> ЕТ</w:t>
      </w:r>
      <w:r w:rsidR="00BC0119" w:rsidRPr="001416ED">
        <w:rPr>
          <w:lang w:val="uk-UA"/>
        </w:rPr>
        <w:t>–</w:t>
      </w:r>
      <w:r w:rsidR="00431EF4" w:rsidRPr="001416ED">
        <w:rPr>
          <w:lang w:val="uk-UA"/>
        </w:rPr>
        <w:t xml:space="preserve">1 та малюнком на п’ятому пальці </w:t>
      </w:r>
      <w:r w:rsidR="007F0AEB" w:rsidRPr="001416ED">
        <w:rPr>
          <w:lang w:val="uk-UA"/>
        </w:rPr>
        <w:t>ЛК</w:t>
      </w:r>
      <w:r w:rsidR="00431EF4" w:rsidRPr="001416ED">
        <w:rPr>
          <w:lang w:val="uk-UA"/>
        </w:rPr>
        <w:t>.</w:t>
      </w:r>
      <w:r w:rsidRPr="001416ED">
        <w:rPr>
          <w:lang w:val="uk-UA"/>
        </w:rPr>
        <w:t xml:space="preserve"> У</w:t>
      </w:r>
      <w:r w:rsidR="00431EF4" w:rsidRPr="001416ED">
        <w:rPr>
          <w:lang w:val="uk-UA"/>
        </w:rPr>
        <w:t xml:space="preserve"> </w:t>
      </w:r>
      <w:r w:rsidRPr="001416ED">
        <w:rPr>
          <w:lang w:val="uk-UA"/>
        </w:rPr>
        <w:t xml:space="preserve">осіб чоловічої статі </w:t>
      </w:r>
      <w:r w:rsidR="00431EF4" w:rsidRPr="001416ED">
        <w:rPr>
          <w:lang w:val="uk-UA"/>
        </w:rPr>
        <w:t xml:space="preserve">групи </w:t>
      </w:r>
      <w:r w:rsidR="00624794" w:rsidRPr="001416ED">
        <w:rPr>
          <w:lang w:val="uk-UA"/>
        </w:rPr>
        <w:t>контролю</w:t>
      </w:r>
      <w:r w:rsidR="00431EF4" w:rsidRPr="001416ED">
        <w:rPr>
          <w:lang w:val="uk-UA"/>
        </w:rPr>
        <w:t xml:space="preserve"> на </w:t>
      </w:r>
      <w:r w:rsidR="00FB2CD1" w:rsidRPr="001416ED">
        <w:rPr>
          <w:lang w:val="uk-UA"/>
        </w:rPr>
        <w:t xml:space="preserve">п’ятому </w:t>
      </w:r>
      <w:r w:rsidR="00431EF4" w:rsidRPr="001416ED">
        <w:rPr>
          <w:lang w:val="uk-UA"/>
        </w:rPr>
        <w:t xml:space="preserve">пальці </w:t>
      </w:r>
      <w:r w:rsidR="007F0AEB" w:rsidRPr="001416ED">
        <w:rPr>
          <w:lang w:val="uk-UA"/>
        </w:rPr>
        <w:t>ЛК</w:t>
      </w:r>
      <w:r w:rsidR="00431EF4" w:rsidRPr="001416ED">
        <w:rPr>
          <w:lang w:val="uk-UA"/>
        </w:rPr>
        <w:t xml:space="preserve"> </w:t>
      </w:r>
      <w:r w:rsidR="00240398" w:rsidRPr="001416ED">
        <w:rPr>
          <w:lang w:val="uk-UA"/>
        </w:rPr>
        <w:t xml:space="preserve">як в </w:t>
      </w:r>
      <w:r w:rsidR="00431EF4" w:rsidRPr="001416ED">
        <w:rPr>
          <w:lang w:val="uk-UA"/>
        </w:rPr>
        <w:t>носіїв генотипу Lys/Lys, так і алелі Asn достовірно частіше зустрічається ульнарна петля, однак у носіїв алелі Asn завиток зустріча</w:t>
      </w:r>
      <w:r w:rsidR="005E3AB5" w:rsidRPr="001416ED">
        <w:rPr>
          <w:lang w:val="uk-UA"/>
        </w:rPr>
        <w:t>ється</w:t>
      </w:r>
      <w:r w:rsidR="00431EF4" w:rsidRPr="001416ED">
        <w:rPr>
          <w:lang w:val="uk-UA"/>
        </w:rPr>
        <w:t xml:space="preserve"> вірогід</w:t>
      </w:r>
      <w:r w:rsidR="005E3AB5" w:rsidRPr="001416ED">
        <w:rPr>
          <w:lang w:val="uk-UA"/>
        </w:rPr>
        <w:t>но більше ніж у носіїв генотипу</w:t>
      </w:r>
      <w:r w:rsidR="00431EF4" w:rsidRPr="001416ED">
        <w:rPr>
          <w:lang w:val="uk-UA"/>
        </w:rPr>
        <w:t xml:space="preserve"> Lys/Lys.</w:t>
      </w:r>
      <w:r w:rsidRPr="001416ED">
        <w:rPr>
          <w:lang w:val="uk-UA"/>
        </w:rPr>
        <w:t xml:space="preserve"> </w:t>
      </w:r>
      <w:r w:rsidR="00431EF4" w:rsidRPr="001416ED">
        <w:rPr>
          <w:lang w:val="uk-UA"/>
        </w:rPr>
        <w:t xml:space="preserve">За допомогою дискримінантного </w:t>
      </w:r>
      <w:r w:rsidR="00624794" w:rsidRPr="001416ED">
        <w:rPr>
          <w:lang w:val="uk-UA"/>
        </w:rPr>
        <w:t>аналізу</w:t>
      </w:r>
      <w:r w:rsidR="00431EF4" w:rsidRPr="001416ED">
        <w:rPr>
          <w:lang w:val="uk-UA"/>
        </w:rPr>
        <w:t xml:space="preserve"> була розрахована формула </w:t>
      </w:r>
      <w:r w:rsidRPr="001416ED">
        <w:rPr>
          <w:lang w:val="uk-UA"/>
        </w:rPr>
        <w:t>можливого</w:t>
      </w:r>
      <w:r w:rsidR="00431EF4" w:rsidRPr="001416ED">
        <w:rPr>
          <w:lang w:val="uk-UA"/>
        </w:rPr>
        <w:t xml:space="preserve"> носійства </w:t>
      </w:r>
      <w:r w:rsidRPr="001416ED">
        <w:rPr>
          <w:lang w:val="uk-UA"/>
        </w:rPr>
        <w:t xml:space="preserve">певного </w:t>
      </w:r>
      <w:r w:rsidR="00E6164F">
        <w:rPr>
          <w:lang w:val="uk-UA"/>
        </w:rPr>
        <w:t>поліморфного варіанту гена</w:t>
      </w:r>
      <w:r w:rsidR="00431EF4" w:rsidRPr="001416ED">
        <w:rPr>
          <w:lang w:val="uk-UA"/>
        </w:rPr>
        <w:t xml:space="preserve"> ЕТ</w:t>
      </w:r>
      <w:r w:rsidR="00BC0119" w:rsidRPr="001416ED">
        <w:rPr>
          <w:lang w:val="uk-UA"/>
        </w:rPr>
        <w:t>–</w:t>
      </w:r>
      <w:r w:rsidR="00431EF4" w:rsidRPr="001416ED">
        <w:rPr>
          <w:lang w:val="uk-UA"/>
        </w:rPr>
        <w:t>1 у осіб чоловічої статі, що не</w:t>
      </w:r>
      <w:r w:rsidR="005E3AB5" w:rsidRPr="001416ED">
        <w:rPr>
          <w:lang w:val="uk-UA"/>
        </w:rPr>
        <w:t xml:space="preserve"> </w:t>
      </w:r>
      <w:r w:rsidR="00431EF4" w:rsidRPr="001416ED">
        <w:rPr>
          <w:lang w:val="uk-UA"/>
        </w:rPr>
        <w:t>мають серцево</w:t>
      </w:r>
      <w:r w:rsidR="00BC0119" w:rsidRPr="001416ED">
        <w:rPr>
          <w:lang w:val="uk-UA"/>
        </w:rPr>
        <w:t>–</w:t>
      </w:r>
      <w:r w:rsidR="00431EF4" w:rsidRPr="001416ED">
        <w:rPr>
          <w:lang w:val="uk-UA"/>
        </w:rPr>
        <w:t>судинних захворювань</w:t>
      </w:r>
      <w:r w:rsidR="00FB2CD1" w:rsidRPr="001416ED">
        <w:rPr>
          <w:lang w:val="uk-UA"/>
        </w:rPr>
        <w:t>, яку можна використовувати для скринінгової діагностики великих контингентів людей, наприклад при профілактичних оглядах, для виявлення носіїв алелі Asn, які потребуватимуть первинної профілактики щодо розвитку ГХ</w:t>
      </w:r>
      <w:r w:rsidRPr="001416ED">
        <w:rPr>
          <w:lang w:val="uk-UA"/>
        </w:rPr>
        <w:t>.</w:t>
      </w:r>
    </w:p>
    <w:p w:rsidR="00494719" w:rsidRPr="001416ED" w:rsidRDefault="00494719" w:rsidP="00431EF4">
      <w:pPr>
        <w:spacing w:line="360" w:lineRule="auto"/>
        <w:ind w:firstLine="708"/>
        <w:jc w:val="both"/>
        <w:rPr>
          <w:lang w:val="uk-UA"/>
        </w:rPr>
      </w:pPr>
    </w:p>
    <w:p w:rsidR="00494719" w:rsidRPr="001416ED" w:rsidRDefault="00494719" w:rsidP="00431EF4">
      <w:pPr>
        <w:spacing w:line="360" w:lineRule="auto"/>
        <w:ind w:firstLine="708"/>
        <w:jc w:val="both"/>
        <w:rPr>
          <w:lang w:val="uk-UA"/>
        </w:rPr>
      </w:pPr>
    </w:p>
    <w:p w:rsidR="00494719" w:rsidRDefault="00494719" w:rsidP="00431EF4">
      <w:pPr>
        <w:spacing w:line="360" w:lineRule="auto"/>
        <w:ind w:firstLine="708"/>
        <w:jc w:val="both"/>
        <w:rPr>
          <w:lang w:val="uk-UA"/>
        </w:rPr>
      </w:pPr>
    </w:p>
    <w:p w:rsidR="0068290B" w:rsidRDefault="0068290B" w:rsidP="00431EF4">
      <w:pPr>
        <w:spacing w:line="360" w:lineRule="auto"/>
        <w:ind w:firstLine="708"/>
        <w:jc w:val="both"/>
        <w:rPr>
          <w:lang w:val="uk-UA"/>
        </w:rPr>
      </w:pPr>
    </w:p>
    <w:p w:rsidR="0068290B" w:rsidRDefault="0068290B" w:rsidP="00431EF4">
      <w:pPr>
        <w:spacing w:line="360" w:lineRule="auto"/>
        <w:ind w:firstLine="708"/>
        <w:jc w:val="both"/>
        <w:rPr>
          <w:lang w:val="uk-UA"/>
        </w:rPr>
      </w:pPr>
    </w:p>
    <w:p w:rsidR="0068290B" w:rsidRPr="001416ED" w:rsidRDefault="0068290B" w:rsidP="00431EF4">
      <w:pPr>
        <w:spacing w:line="360" w:lineRule="auto"/>
        <w:ind w:firstLine="708"/>
        <w:jc w:val="both"/>
        <w:rPr>
          <w:lang w:val="uk-UA"/>
        </w:rPr>
      </w:pPr>
    </w:p>
    <w:p w:rsidR="00820531" w:rsidRPr="001416ED" w:rsidRDefault="00820531" w:rsidP="00820531">
      <w:pPr>
        <w:spacing w:before="240" w:after="240" w:line="360" w:lineRule="auto"/>
        <w:ind w:firstLine="708"/>
        <w:jc w:val="both"/>
        <w:rPr>
          <w:b/>
          <w:lang w:val="uk-UA"/>
        </w:rPr>
      </w:pPr>
      <w:r w:rsidRPr="001416ED">
        <w:rPr>
          <w:b/>
          <w:lang w:val="uk-UA"/>
        </w:rPr>
        <w:lastRenderedPageBreak/>
        <w:t>Основні положення розділу відображені у публікаціях:</w:t>
      </w:r>
    </w:p>
    <w:p w:rsidR="00264618" w:rsidRPr="001416ED" w:rsidRDefault="00AA36EB" w:rsidP="0012229A">
      <w:pPr>
        <w:pStyle w:val="ae"/>
        <w:numPr>
          <w:ilvl w:val="0"/>
          <w:numId w:val="13"/>
        </w:numPr>
        <w:spacing w:line="360" w:lineRule="auto"/>
        <w:jc w:val="both"/>
        <w:rPr>
          <w:color w:val="auto"/>
          <w:sz w:val="28"/>
          <w:szCs w:val="28"/>
          <w:lang w:val="uk-UA"/>
        </w:rPr>
      </w:pPr>
      <w:r w:rsidRPr="001416ED">
        <w:rPr>
          <w:color w:val="auto"/>
          <w:sz w:val="28"/>
          <w:szCs w:val="28"/>
          <w:lang w:val="ru-RU"/>
        </w:rPr>
        <w:t>Палагнюк Г. О. Показники артеріального тиску при поліморфізмі гена ЕТ–1 (</w:t>
      </w:r>
      <w:r w:rsidRPr="001416ED">
        <w:rPr>
          <w:color w:val="auto"/>
          <w:sz w:val="28"/>
          <w:szCs w:val="28"/>
        </w:rPr>
        <w:t>Lys</w:t>
      </w:r>
      <w:r w:rsidRPr="001416ED">
        <w:rPr>
          <w:color w:val="auto"/>
          <w:sz w:val="28"/>
          <w:szCs w:val="28"/>
          <w:lang w:val="ru-RU"/>
        </w:rPr>
        <w:t>198</w:t>
      </w:r>
      <w:r w:rsidRPr="001416ED">
        <w:rPr>
          <w:color w:val="auto"/>
          <w:sz w:val="28"/>
          <w:szCs w:val="28"/>
        </w:rPr>
        <w:t>Asn</w:t>
      </w:r>
      <w:r w:rsidRPr="001416ED">
        <w:rPr>
          <w:color w:val="auto"/>
          <w:sz w:val="28"/>
          <w:szCs w:val="28"/>
          <w:lang w:val="ru-RU"/>
        </w:rPr>
        <w:t>) у чоловіків без серцево–судинної патології / Г. О. Палагнюк, Ю. П. Пашкова, Н. В. Жебель // Матеріали ХІІІ Міжнародної наукової конференції молодих вчених «Перший крок в науку – 2016». –</w:t>
      </w:r>
      <w:r w:rsidR="0061411F" w:rsidRPr="001416ED">
        <w:rPr>
          <w:color w:val="auto"/>
          <w:sz w:val="28"/>
          <w:szCs w:val="28"/>
          <w:lang w:val="ru-RU"/>
        </w:rPr>
        <w:t xml:space="preserve"> </w:t>
      </w:r>
      <w:r w:rsidRPr="001416ED">
        <w:rPr>
          <w:color w:val="auto"/>
          <w:sz w:val="28"/>
          <w:szCs w:val="28"/>
          <w:lang w:val="ru-RU"/>
        </w:rPr>
        <w:t xml:space="preserve">Вінниця, 7–8 квітня 2016. – С. 262. </w:t>
      </w:r>
    </w:p>
    <w:p w:rsidR="00264618" w:rsidRPr="001416ED" w:rsidRDefault="00264618" w:rsidP="00264618">
      <w:pPr>
        <w:pStyle w:val="ae"/>
        <w:spacing w:line="360" w:lineRule="auto"/>
        <w:jc w:val="both"/>
        <w:rPr>
          <w:color w:val="auto"/>
          <w:sz w:val="28"/>
          <w:szCs w:val="28"/>
          <w:lang w:val="uk-UA"/>
        </w:rPr>
      </w:pPr>
    </w:p>
    <w:p w:rsidR="00B52A56" w:rsidRPr="001416ED" w:rsidRDefault="00B52A56"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1A2D48" w:rsidRPr="001416ED" w:rsidRDefault="001A2D48" w:rsidP="00264618">
      <w:pPr>
        <w:pStyle w:val="ae"/>
        <w:spacing w:line="360" w:lineRule="auto"/>
        <w:jc w:val="both"/>
        <w:rPr>
          <w:color w:val="auto"/>
          <w:sz w:val="28"/>
          <w:szCs w:val="28"/>
          <w:lang w:val="uk-UA"/>
        </w:rPr>
      </w:pPr>
    </w:p>
    <w:p w:rsidR="00B52A56" w:rsidRPr="001416ED" w:rsidRDefault="00B52A56" w:rsidP="00264618">
      <w:pPr>
        <w:pStyle w:val="ae"/>
        <w:spacing w:line="360" w:lineRule="auto"/>
        <w:jc w:val="both"/>
        <w:rPr>
          <w:color w:val="auto"/>
          <w:sz w:val="28"/>
          <w:szCs w:val="28"/>
          <w:lang w:val="uk-UA"/>
        </w:rPr>
      </w:pPr>
    </w:p>
    <w:p w:rsidR="007F0AEB" w:rsidRPr="001416ED" w:rsidRDefault="007F0AEB" w:rsidP="00C26BBB">
      <w:pPr>
        <w:spacing w:before="240" w:after="240" w:line="360" w:lineRule="auto"/>
        <w:jc w:val="center"/>
        <w:rPr>
          <w:b/>
          <w:lang w:val="uk-UA"/>
        </w:rPr>
      </w:pPr>
    </w:p>
    <w:p w:rsidR="007F0AEB" w:rsidRPr="001416ED" w:rsidRDefault="007F0AEB" w:rsidP="00C26BBB">
      <w:pPr>
        <w:spacing w:before="240" w:after="240" w:line="360" w:lineRule="auto"/>
        <w:jc w:val="center"/>
        <w:rPr>
          <w:b/>
          <w:lang w:val="uk-UA"/>
        </w:rPr>
      </w:pPr>
    </w:p>
    <w:p w:rsidR="007F0AEB" w:rsidRPr="001416ED" w:rsidRDefault="007F0AEB" w:rsidP="00C26BBB">
      <w:pPr>
        <w:spacing w:before="240" w:after="240" w:line="360" w:lineRule="auto"/>
        <w:jc w:val="center"/>
        <w:rPr>
          <w:b/>
          <w:lang w:val="uk-UA"/>
        </w:rPr>
      </w:pPr>
    </w:p>
    <w:p w:rsidR="00E23C39" w:rsidRPr="001416ED" w:rsidRDefault="000750AF" w:rsidP="00C26BBB">
      <w:pPr>
        <w:spacing w:before="240" w:after="240" w:line="360" w:lineRule="auto"/>
        <w:jc w:val="center"/>
        <w:rPr>
          <w:b/>
          <w:lang w:val="uk-UA"/>
        </w:rPr>
      </w:pPr>
      <w:r w:rsidRPr="001416ED">
        <w:rPr>
          <w:b/>
          <w:lang w:val="uk-UA"/>
        </w:rPr>
        <w:lastRenderedPageBreak/>
        <w:t>РО</w:t>
      </w:r>
      <w:r w:rsidR="00E23C39" w:rsidRPr="001416ED">
        <w:rPr>
          <w:b/>
          <w:lang w:val="uk-UA"/>
        </w:rPr>
        <w:t>ЗДІЛ 4</w:t>
      </w:r>
    </w:p>
    <w:p w:rsidR="00E23C39" w:rsidRPr="001416ED" w:rsidRDefault="00992C5E" w:rsidP="00E23C39">
      <w:pPr>
        <w:spacing w:before="240" w:after="240" w:line="360" w:lineRule="auto"/>
        <w:jc w:val="center"/>
        <w:rPr>
          <w:b/>
          <w:lang w:val="uk-UA"/>
        </w:rPr>
      </w:pPr>
      <w:r>
        <w:rPr>
          <w:b/>
          <w:lang w:val="uk-UA"/>
        </w:rPr>
        <w:t>ПОЛІМОРФНІ ВАРІАНТИ</w:t>
      </w:r>
      <w:r w:rsidR="00745D04" w:rsidRPr="001416ED">
        <w:rPr>
          <w:b/>
          <w:lang w:val="uk-UA"/>
        </w:rPr>
        <w:t xml:space="preserve"> ГЕНА ЕНДОТЕЛІНУ</w:t>
      </w:r>
      <w:r w:rsidR="00BC0119" w:rsidRPr="001416ED">
        <w:rPr>
          <w:b/>
          <w:lang w:val="uk-UA"/>
        </w:rPr>
        <w:t>–</w:t>
      </w:r>
      <w:r w:rsidR="00745D04" w:rsidRPr="001416ED">
        <w:rPr>
          <w:b/>
          <w:lang w:val="uk-UA"/>
        </w:rPr>
        <w:t>1 ТА ПЛАЗМОВІ КОНЦЕНТРАЦІЇ ЕНДОТЕЛІНУ</w:t>
      </w:r>
      <w:r w:rsidR="00BC0119" w:rsidRPr="001416ED">
        <w:rPr>
          <w:b/>
          <w:lang w:val="uk-UA"/>
        </w:rPr>
        <w:t>–</w:t>
      </w:r>
      <w:r w:rsidR="00745D04" w:rsidRPr="001416ED">
        <w:rPr>
          <w:b/>
          <w:lang w:val="uk-UA"/>
        </w:rPr>
        <w:t>1 І СУДИННОГО НАТРІЙУРЕТИЧНОГО ПЕПТИДУ У ЧОЛОВІКІВ</w:t>
      </w:r>
      <w:r w:rsidR="00E23C39" w:rsidRPr="001416ED">
        <w:rPr>
          <w:b/>
          <w:lang w:val="uk-UA"/>
        </w:rPr>
        <w:t xml:space="preserve">, ХВОРИХ НА ГІПЕРТОНІЧНУ ХВОРОБУ РІЗНОЇ </w:t>
      </w:r>
      <w:r w:rsidR="00046A18" w:rsidRPr="001416ED">
        <w:rPr>
          <w:b/>
          <w:lang w:val="uk-UA"/>
        </w:rPr>
        <w:t>СТАДІЇ</w:t>
      </w:r>
    </w:p>
    <w:p w:rsidR="00A366B6" w:rsidRPr="001416ED" w:rsidRDefault="00A366B6" w:rsidP="00A366B6">
      <w:pPr>
        <w:spacing w:before="240" w:line="360" w:lineRule="auto"/>
        <w:ind w:firstLine="709"/>
        <w:jc w:val="both"/>
        <w:rPr>
          <w:lang w:val="uk-UA"/>
        </w:rPr>
      </w:pPr>
      <w:r w:rsidRPr="001416ED">
        <w:rPr>
          <w:lang w:val="uk-UA"/>
        </w:rPr>
        <w:t>Одним із нових напрямків вивчення ЕГ на сьогоднішній день є дослідження генетичних механізмів підвищення АТ. Спроб</w:t>
      </w:r>
      <w:r w:rsidR="007F0AEB" w:rsidRPr="001416ED">
        <w:rPr>
          <w:lang w:val="uk-UA"/>
        </w:rPr>
        <w:t>и</w:t>
      </w:r>
      <w:r w:rsidRPr="001416ED">
        <w:rPr>
          <w:lang w:val="uk-UA"/>
        </w:rPr>
        <w:t xml:space="preserve"> зв'язати розвиток ГХ з мутацією унікального гена або групи генів не увінчалися успіхом. Вчені підтверджують полігенній характер ЕГ. В останній час все більшу увагу до себе привертає поліморфізм гена ЕТ</w:t>
      </w:r>
      <w:r w:rsidR="00BC0119" w:rsidRPr="001416ED">
        <w:rPr>
          <w:lang w:val="uk-UA"/>
        </w:rPr>
        <w:t>–</w:t>
      </w:r>
      <w:r w:rsidRPr="001416ED">
        <w:rPr>
          <w:lang w:val="uk-UA"/>
        </w:rPr>
        <w:t xml:space="preserve">1, який регулює синтез </w:t>
      </w:r>
      <w:r w:rsidR="004446A4" w:rsidRPr="001416ED">
        <w:rPr>
          <w:lang w:val="uk-UA"/>
        </w:rPr>
        <w:t>пептиду</w:t>
      </w:r>
      <w:r w:rsidRPr="001416ED">
        <w:rPr>
          <w:lang w:val="uk-UA"/>
        </w:rPr>
        <w:t xml:space="preserve"> ЕТ</w:t>
      </w:r>
      <w:r w:rsidR="00BC0119" w:rsidRPr="001416ED">
        <w:rPr>
          <w:lang w:val="uk-UA"/>
        </w:rPr>
        <w:t>–</w:t>
      </w:r>
      <w:r w:rsidRPr="001416ED">
        <w:rPr>
          <w:lang w:val="uk-UA"/>
        </w:rPr>
        <w:t>1. Зазначений пептид, окрім вазоконстрикторної ролі опосередковано діє на систему РААС через АТ1</w:t>
      </w:r>
      <w:r w:rsidR="00BC0119" w:rsidRPr="001416ED">
        <w:rPr>
          <w:lang w:val="uk-UA"/>
        </w:rPr>
        <w:t>–</w:t>
      </w:r>
      <w:r w:rsidRPr="001416ED">
        <w:rPr>
          <w:lang w:val="uk-UA"/>
        </w:rPr>
        <w:t xml:space="preserve">Р, а також на системну та внутрішньосерцеву гемодинаміку, ліпідний спектр крові, сприяє прогресуванню ХСН. Однак, в Україні </w:t>
      </w:r>
      <w:r w:rsidR="00773197" w:rsidRPr="001416ED">
        <w:rPr>
          <w:lang w:val="uk-UA"/>
        </w:rPr>
        <w:t>ЕТ</w:t>
      </w:r>
      <w:r w:rsidR="00BC0119" w:rsidRPr="001416ED">
        <w:rPr>
          <w:lang w:val="uk-UA"/>
        </w:rPr>
        <w:t>–</w:t>
      </w:r>
      <w:r w:rsidR="00773197" w:rsidRPr="001416ED">
        <w:rPr>
          <w:lang w:val="uk-UA"/>
        </w:rPr>
        <w:t>1</w:t>
      </w:r>
      <w:r w:rsidRPr="001416ED">
        <w:rPr>
          <w:lang w:val="uk-UA"/>
        </w:rPr>
        <w:t xml:space="preserve"> серед осіб з ГХ різної </w:t>
      </w:r>
      <w:r w:rsidR="00046A18" w:rsidRPr="001416ED">
        <w:rPr>
          <w:lang w:val="uk-UA"/>
        </w:rPr>
        <w:t>стадії</w:t>
      </w:r>
      <w:r w:rsidRPr="001416ED">
        <w:rPr>
          <w:lang w:val="uk-UA"/>
        </w:rPr>
        <w:t xml:space="preserve"> вивчався </w:t>
      </w:r>
      <w:r w:rsidR="00773197" w:rsidRPr="001416ED">
        <w:rPr>
          <w:lang w:val="uk-UA"/>
        </w:rPr>
        <w:t>лише в поодиноких дослідженнях, що</w:t>
      </w:r>
      <w:r w:rsidRPr="001416ED">
        <w:rPr>
          <w:lang w:val="uk-UA"/>
        </w:rPr>
        <w:t xml:space="preserve">, </w:t>
      </w:r>
      <w:r w:rsidR="00773197" w:rsidRPr="001416ED">
        <w:rPr>
          <w:lang w:val="uk-UA"/>
        </w:rPr>
        <w:t>проводили в різних регіонах країни, а зв'язок його концентрації з поліморфізмом гена ЕТ</w:t>
      </w:r>
      <w:r w:rsidR="00BC0119" w:rsidRPr="001416ED">
        <w:rPr>
          <w:lang w:val="uk-UA"/>
        </w:rPr>
        <w:t>–</w:t>
      </w:r>
      <w:r w:rsidR="00773197" w:rsidRPr="001416ED">
        <w:rPr>
          <w:lang w:val="uk-UA"/>
        </w:rPr>
        <w:t xml:space="preserve">1 раніше не розглядався, </w:t>
      </w:r>
      <w:r w:rsidRPr="001416ED">
        <w:rPr>
          <w:lang w:val="uk-UA"/>
        </w:rPr>
        <w:t>що і стало одним із завдань в даній роботі.</w:t>
      </w:r>
    </w:p>
    <w:p w:rsidR="00A366B6" w:rsidRPr="001416ED" w:rsidRDefault="00A366B6" w:rsidP="00A366B6">
      <w:pPr>
        <w:spacing w:line="360" w:lineRule="auto"/>
        <w:ind w:firstLine="709"/>
        <w:jc w:val="both"/>
        <w:rPr>
          <w:lang w:val="uk-UA"/>
        </w:rPr>
      </w:pPr>
      <w:r w:rsidRPr="001416ED">
        <w:rPr>
          <w:lang w:val="uk-UA"/>
        </w:rPr>
        <w:t xml:space="preserve">Не менш цікавим є його антагоніст </w:t>
      </w:r>
      <w:r w:rsidR="00BC0119" w:rsidRPr="001416ED">
        <w:rPr>
          <w:lang w:val="uk-UA"/>
        </w:rPr>
        <w:t>–</w:t>
      </w:r>
      <w:r w:rsidRPr="001416ED">
        <w:rPr>
          <w:lang w:val="uk-UA"/>
        </w:rPr>
        <w:t xml:space="preserve"> С</w:t>
      </w:r>
      <w:r w:rsidR="00BC0119" w:rsidRPr="001416ED">
        <w:rPr>
          <w:lang w:val="uk-UA"/>
        </w:rPr>
        <w:t>–</w:t>
      </w:r>
      <w:r w:rsidRPr="001416ED">
        <w:rPr>
          <w:lang w:val="uk-UA"/>
        </w:rPr>
        <w:t xml:space="preserve">натрійуретичний пептид, рівень якого змінюється при розвитку ЕД в осіб з ЕГ. </w:t>
      </w:r>
      <w:r w:rsidR="000F6A9F" w:rsidRPr="001416ED">
        <w:rPr>
          <w:lang w:val="uk-UA"/>
        </w:rPr>
        <w:t>Проте</w:t>
      </w:r>
      <w:r w:rsidR="00A94EA0" w:rsidRPr="001416ED">
        <w:rPr>
          <w:lang w:val="uk-UA"/>
        </w:rPr>
        <w:t>,</w:t>
      </w:r>
      <w:r w:rsidR="000F6A9F" w:rsidRPr="001416ED">
        <w:rPr>
          <w:lang w:val="uk-UA"/>
        </w:rPr>
        <w:t xml:space="preserve"> рівень його плазмової концентрації у осіб з ГХ при поліморфізмі гена ЕТ</w:t>
      </w:r>
      <w:r w:rsidR="00BC0119" w:rsidRPr="001416ED">
        <w:rPr>
          <w:lang w:val="uk-UA"/>
        </w:rPr>
        <w:t>–</w:t>
      </w:r>
      <w:r w:rsidR="000F6A9F" w:rsidRPr="001416ED">
        <w:rPr>
          <w:lang w:val="uk-UA"/>
        </w:rPr>
        <w:t>1 теж не вивчений.</w:t>
      </w:r>
    </w:p>
    <w:p w:rsidR="00FC6A65" w:rsidRPr="001416ED" w:rsidRDefault="00FC6A65" w:rsidP="00FC6A65">
      <w:pPr>
        <w:spacing w:before="240" w:line="360" w:lineRule="auto"/>
        <w:ind w:firstLine="709"/>
        <w:jc w:val="both"/>
        <w:rPr>
          <w:b/>
          <w:lang w:val="uk-UA"/>
        </w:rPr>
      </w:pPr>
      <w:r w:rsidRPr="001416ED">
        <w:rPr>
          <w:b/>
          <w:lang w:val="uk-UA"/>
        </w:rPr>
        <w:t xml:space="preserve">4.1. Розподіл частот генотипів та алелей гена </w:t>
      </w:r>
      <w:r w:rsidR="007F0AEB" w:rsidRPr="001416ED">
        <w:rPr>
          <w:b/>
          <w:lang w:val="uk-UA"/>
        </w:rPr>
        <w:t>ендотеліну</w:t>
      </w:r>
      <w:r w:rsidR="00BC0119" w:rsidRPr="001416ED">
        <w:rPr>
          <w:b/>
          <w:lang w:val="uk-UA"/>
        </w:rPr>
        <w:t>–</w:t>
      </w:r>
      <w:r w:rsidRPr="001416ED">
        <w:rPr>
          <w:b/>
          <w:lang w:val="uk-UA"/>
        </w:rPr>
        <w:t xml:space="preserve">1 серед чоловіків </w:t>
      </w:r>
      <w:r w:rsidR="00D71598" w:rsidRPr="001416ED">
        <w:rPr>
          <w:b/>
          <w:lang w:val="uk-UA"/>
        </w:rPr>
        <w:t xml:space="preserve">з гіпертонічною хворобою різної </w:t>
      </w:r>
      <w:r w:rsidR="00046A18" w:rsidRPr="001416ED">
        <w:rPr>
          <w:b/>
          <w:lang w:val="uk-UA"/>
        </w:rPr>
        <w:t>стадії</w:t>
      </w:r>
      <w:r w:rsidR="00D71598" w:rsidRPr="001416ED">
        <w:rPr>
          <w:b/>
          <w:lang w:val="uk-UA"/>
        </w:rPr>
        <w:t xml:space="preserve">, </w:t>
      </w:r>
      <w:r w:rsidRPr="001416ED">
        <w:rPr>
          <w:b/>
          <w:lang w:val="uk-UA"/>
        </w:rPr>
        <w:t xml:space="preserve">мешканців Подільського регіону України </w:t>
      </w:r>
    </w:p>
    <w:p w:rsidR="000609A1" w:rsidRPr="001416ED" w:rsidRDefault="00885005" w:rsidP="000609A1">
      <w:pPr>
        <w:spacing w:before="240" w:line="360" w:lineRule="auto"/>
        <w:ind w:firstLine="709"/>
        <w:jc w:val="both"/>
        <w:rPr>
          <w:lang w:val="uk-UA"/>
        </w:rPr>
      </w:pPr>
      <w:r w:rsidRPr="001416ED">
        <w:rPr>
          <w:lang w:val="uk-UA"/>
        </w:rPr>
        <w:t xml:space="preserve">Розподіл частот </w:t>
      </w:r>
      <w:r w:rsidR="00072B28">
        <w:rPr>
          <w:lang w:val="uk-UA"/>
        </w:rPr>
        <w:t>поліморфних</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серед чоловіків, хворих на ГХ, відповідав рівновазі Харді</w:t>
      </w:r>
      <w:r w:rsidR="00BC0119" w:rsidRPr="001416ED">
        <w:rPr>
          <w:lang w:val="uk-UA"/>
        </w:rPr>
        <w:t>–</w:t>
      </w:r>
      <w:r w:rsidRPr="001416ED">
        <w:rPr>
          <w:lang w:val="uk-UA"/>
        </w:rPr>
        <w:t>Вайнберга.</w:t>
      </w:r>
    </w:p>
    <w:p w:rsidR="000609A1" w:rsidRPr="001416ED" w:rsidRDefault="000609A1" w:rsidP="000609A1">
      <w:pPr>
        <w:spacing w:line="360" w:lineRule="auto"/>
        <w:ind w:firstLine="709"/>
        <w:jc w:val="both"/>
        <w:rPr>
          <w:lang w:val="uk-UA"/>
        </w:rPr>
      </w:pPr>
      <w:r w:rsidRPr="001416ED">
        <w:rPr>
          <w:lang w:val="uk-UA"/>
        </w:rPr>
        <w:t>Встановлено, що у чоловіків з ГХ ІІ ст</w:t>
      </w:r>
      <w:r w:rsidR="006D08B0" w:rsidRPr="001416ED">
        <w:rPr>
          <w:lang w:val="uk-UA"/>
        </w:rPr>
        <w:t>.</w:t>
      </w:r>
      <w:r w:rsidRPr="001416ED">
        <w:rPr>
          <w:lang w:val="uk-UA"/>
        </w:rPr>
        <w:t xml:space="preserve"> генотип Lys/Lys гена ЕТ</w:t>
      </w:r>
      <w:r w:rsidR="00BC0119" w:rsidRPr="001416ED">
        <w:rPr>
          <w:lang w:val="uk-UA"/>
        </w:rPr>
        <w:t>–</w:t>
      </w:r>
      <w:r w:rsidRPr="001416ED">
        <w:rPr>
          <w:lang w:val="uk-UA"/>
        </w:rPr>
        <w:t>1 зустрічається у 35 чоловіків (56,45</w:t>
      </w:r>
      <w:r w:rsidR="00D4219F" w:rsidRPr="001416ED">
        <w:rPr>
          <w:lang w:val="uk-UA"/>
        </w:rPr>
        <w:t xml:space="preserve"> %</w:t>
      </w:r>
      <w:r w:rsidRPr="001416ED">
        <w:rPr>
          <w:lang w:val="uk-UA"/>
        </w:rPr>
        <w:t>), генотип Lys/Asn у 21 особи чоловічої статі (33,87</w:t>
      </w:r>
      <w:r w:rsidR="00D4219F" w:rsidRPr="001416ED">
        <w:rPr>
          <w:lang w:val="uk-UA"/>
        </w:rPr>
        <w:t xml:space="preserve"> %</w:t>
      </w:r>
      <w:r w:rsidRPr="001416ED">
        <w:rPr>
          <w:lang w:val="uk-UA"/>
        </w:rPr>
        <w:t>) та генотип Asn/Asn у 5 (9,68</w:t>
      </w:r>
      <w:r w:rsidR="00D4219F" w:rsidRPr="001416ED">
        <w:rPr>
          <w:lang w:val="uk-UA"/>
        </w:rPr>
        <w:t xml:space="preserve"> %</w:t>
      </w:r>
      <w:r w:rsidRPr="001416ED">
        <w:rPr>
          <w:lang w:val="uk-UA"/>
        </w:rPr>
        <w:t>)</w:t>
      </w:r>
      <w:r w:rsidR="000D5691" w:rsidRPr="001416ED">
        <w:rPr>
          <w:lang w:val="uk-UA"/>
        </w:rPr>
        <w:t xml:space="preserve"> (р</w:t>
      </w:r>
      <w:r w:rsidR="000D5691" w:rsidRPr="001416ED">
        <w:rPr>
          <w:vertAlign w:val="subscript"/>
          <w:lang w:val="uk-UA"/>
        </w:rPr>
        <w:t>Lys/Asn</w:t>
      </w:r>
      <w:r w:rsidR="00BC0119" w:rsidRPr="001416ED">
        <w:rPr>
          <w:vertAlign w:val="subscript"/>
          <w:lang w:val="uk-UA"/>
        </w:rPr>
        <w:t>–</w:t>
      </w:r>
      <w:r w:rsidR="000D5691" w:rsidRPr="001416ED">
        <w:rPr>
          <w:vertAlign w:val="subscript"/>
          <w:lang w:val="uk-UA"/>
        </w:rPr>
        <w:t>Lys/Lys</w:t>
      </w:r>
      <w:r w:rsidR="00EE7A73" w:rsidRPr="001416ED">
        <w:rPr>
          <w:lang w:val="uk-UA"/>
        </w:rPr>
        <w:t>&lt;0,0</w:t>
      </w:r>
      <w:r w:rsidR="000D5691" w:rsidRPr="001416ED">
        <w:rPr>
          <w:lang w:val="uk-UA"/>
        </w:rPr>
        <w:t>1; р</w:t>
      </w:r>
      <w:r w:rsidR="000D5691" w:rsidRPr="001416ED">
        <w:rPr>
          <w:vertAlign w:val="subscript"/>
          <w:lang w:val="uk-UA"/>
        </w:rPr>
        <w:t>Asn/Asn</w:t>
      </w:r>
      <w:r w:rsidR="00BC0119" w:rsidRPr="001416ED">
        <w:rPr>
          <w:vertAlign w:val="subscript"/>
          <w:lang w:val="uk-UA"/>
        </w:rPr>
        <w:t>–</w:t>
      </w:r>
      <w:r w:rsidR="000D5691" w:rsidRPr="001416ED">
        <w:rPr>
          <w:vertAlign w:val="subscript"/>
          <w:lang w:val="uk-UA"/>
        </w:rPr>
        <w:t>Lys/Lys</w:t>
      </w:r>
      <w:r w:rsidR="00866751" w:rsidRPr="001416ED">
        <w:rPr>
          <w:lang w:val="uk-UA"/>
        </w:rPr>
        <w:t>&lt;0,000</w:t>
      </w:r>
      <w:r w:rsidR="000D5691" w:rsidRPr="001416ED">
        <w:rPr>
          <w:lang w:val="uk-UA"/>
        </w:rPr>
        <w:t>1; р</w:t>
      </w:r>
      <w:r w:rsidR="000D5691" w:rsidRPr="001416ED">
        <w:rPr>
          <w:vertAlign w:val="subscript"/>
          <w:lang w:val="uk-UA"/>
        </w:rPr>
        <w:t>Asn/Asn</w:t>
      </w:r>
      <w:r w:rsidR="00BC0119" w:rsidRPr="001416ED">
        <w:rPr>
          <w:vertAlign w:val="subscript"/>
          <w:lang w:val="uk-UA"/>
        </w:rPr>
        <w:t>–</w:t>
      </w:r>
      <w:r w:rsidR="000D5691" w:rsidRPr="001416ED">
        <w:rPr>
          <w:vertAlign w:val="subscript"/>
          <w:lang w:val="uk-UA"/>
        </w:rPr>
        <w:t>Lys/Asn</w:t>
      </w:r>
      <w:r w:rsidR="000D5691" w:rsidRPr="001416ED">
        <w:rPr>
          <w:lang w:val="uk-UA"/>
        </w:rPr>
        <w:t>&lt;0,001)</w:t>
      </w:r>
      <w:r w:rsidR="00EC598A" w:rsidRPr="001416ED">
        <w:rPr>
          <w:lang w:val="uk-UA"/>
        </w:rPr>
        <w:t>.</w:t>
      </w:r>
      <w:r w:rsidR="000D5691" w:rsidRPr="001416ED">
        <w:rPr>
          <w:lang w:val="uk-UA"/>
        </w:rPr>
        <w:t xml:space="preserve"> </w:t>
      </w:r>
    </w:p>
    <w:p w:rsidR="00F90D51" w:rsidRPr="001416ED" w:rsidRDefault="00647B26" w:rsidP="000609A1">
      <w:pPr>
        <w:spacing w:line="360" w:lineRule="auto"/>
        <w:ind w:firstLine="709"/>
        <w:jc w:val="both"/>
        <w:rPr>
          <w:lang w:val="uk-UA"/>
        </w:rPr>
      </w:pPr>
      <w:r w:rsidRPr="001416ED">
        <w:rPr>
          <w:lang w:val="uk-UA"/>
        </w:rPr>
        <w:lastRenderedPageBreak/>
        <w:t>У осіб ч</w:t>
      </w:r>
      <w:r w:rsidR="00F90D51" w:rsidRPr="001416ED">
        <w:rPr>
          <w:lang w:val="uk-UA"/>
        </w:rPr>
        <w:t xml:space="preserve">оловічої статі з </w:t>
      </w:r>
      <w:r w:rsidR="00D66AFA" w:rsidRPr="001416ED">
        <w:rPr>
          <w:lang w:val="uk-UA"/>
        </w:rPr>
        <w:t>ГХ ІІІ ст.</w:t>
      </w:r>
      <w:r w:rsidRPr="001416ED">
        <w:rPr>
          <w:lang w:val="uk-UA"/>
        </w:rPr>
        <w:t xml:space="preserve"> генотип Lys/Lys гена ЕТ</w:t>
      </w:r>
      <w:r w:rsidR="00BC0119" w:rsidRPr="001416ED">
        <w:rPr>
          <w:lang w:val="uk-UA"/>
        </w:rPr>
        <w:t>–</w:t>
      </w:r>
      <w:r w:rsidRPr="001416ED">
        <w:rPr>
          <w:lang w:val="uk-UA"/>
        </w:rPr>
        <w:t xml:space="preserve">1 виявлений у 33 </w:t>
      </w:r>
      <w:r w:rsidR="00560F75" w:rsidRPr="001416ED">
        <w:rPr>
          <w:lang w:val="uk-UA"/>
        </w:rPr>
        <w:t>пацієнтів</w:t>
      </w:r>
      <w:r w:rsidRPr="001416ED">
        <w:rPr>
          <w:lang w:val="uk-UA"/>
        </w:rPr>
        <w:t xml:space="preserve"> (</w:t>
      </w:r>
      <w:r w:rsidR="00560F75" w:rsidRPr="001416ED">
        <w:rPr>
          <w:lang w:val="uk-UA"/>
        </w:rPr>
        <w:t>66,00</w:t>
      </w:r>
      <w:r w:rsidR="00D4219F" w:rsidRPr="001416ED">
        <w:rPr>
          <w:lang w:val="uk-UA"/>
        </w:rPr>
        <w:t xml:space="preserve"> %</w:t>
      </w:r>
      <w:r w:rsidRPr="001416ED">
        <w:rPr>
          <w:lang w:val="uk-UA"/>
        </w:rPr>
        <w:t xml:space="preserve">), генотип Lys/Asn у 21 </w:t>
      </w:r>
      <w:r w:rsidR="00560F75" w:rsidRPr="001416ED">
        <w:rPr>
          <w:lang w:val="uk-UA"/>
        </w:rPr>
        <w:t>чоловік</w:t>
      </w:r>
      <w:r w:rsidR="00D66AFA" w:rsidRPr="001416ED">
        <w:rPr>
          <w:lang w:val="uk-UA"/>
        </w:rPr>
        <w:t>а</w:t>
      </w:r>
      <w:r w:rsidRPr="001416ED">
        <w:rPr>
          <w:lang w:val="uk-UA"/>
        </w:rPr>
        <w:t xml:space="preserve"> (</w:t>
      </w:r>
      <w:r w:rsidR="00560F75" w:rsidRPr="001416ED">
        <w:rPr>
          <w:lang w:val="uk-UA"/>
        </w:rPr>
        <w:t>28,00</w:t>
      </w:r>
      <w:r w:rsidR="00D4219F" w:rsidRPr="001416ED">
        <w:rPr>
          <w:lang w:val="uk-UA"/>
        </w:rPr>
        <w:t xml:space="preserve"> %</w:t>
      </w:r>
      <w:r w:rsidRPr="001416ED">
        <w:rPr>
          <w:lang w:val="uk-UA"/>
        </w:rPr>
        <w:t xml:space="preserve">) та генотип Asn/Asn у </w:t>
      </w:r>
      <w:r w:rsidR="00560F75" w:rsidRPr="001416ED">
        <w:rPr>
          <w:lang w:val="uk-UA"/>
        </w:rPr>
        <w:t>3</w:t>
      </w:r>
      <w:r w:rsidRPr="001416ED">
        <w:rPr>
          <w:lang w:val="uk-UA"/>
        </w:rPr>
        <w:t xml:space="preserve"> </w:t>
      </w:r>
      <w:r w:rsidR="005A1644" w:rsidRPr="001416ED">
        <w:rPr>
          <w:lang w:val="uk-UA"/>
        </w:rPr>
        <w:t xml:space="preserve">осіб </w:t>
      </w:r>
      <w:r w:rsidRPr="001416ED">
        <w:rPr>
          <w:lang w:val="uk-UA"/>
        </w:rPr>
        <w:t>(</w:t>
      </w:r>
      <w:r w:rsidR="00560F75" w:rsidRPr="001416ED">
        <w:rPr>
          <w:lang w:val="uk-UA"/>
        </w:rPr>
        <w:t>6,00</w:t>
      </w:r>
      <w:r w:rsidR="00D4219F" w:rsidRPr="001416ED">
        <w:rPr>
          <w:lang w:val="uk-UA"/>
        </w:rPr>
        <w:t xml:space="preserve"> %</w:t>
      </w:r>
      <w:r w:rsidRPr="001416ED">
        <w:rPr>
          <w:lang w:val="uk-UA"/>
        </w:rPr>
        <w:t>) (р</w:t>
      </w:r>
      <w:r w:rsidRPr="001416ED">
        <w:rPr>
          <w:vertAlign w:val="subscript"/>
          <w:lang w:val="uk-UA"/>
        </w:rPr>
        <w:t>Lys/Asn</w:t>
      </w:r>
      <w:r w:rsidR="00BC0119" w:rsidRPr="001416ED">
        <w:rPr>
          <w:vertAlign w:val="subscript"/>
          <w:lang w:val="uk-UA"/>
        </w:rPr>
        <w:t>–</w:t>
      </w:r>
      <w:r w:rsidRPr="001416ED">
        <w:rPr>
          <w:vertAlign w:val="subscript"/>
          <w:lang w:val="uk-UA"/>
        </w:rPr>
        <w:t>Lys/Lys</w:t>
      </w:r>
      <w:r w:rsidRPr="001416ED">
        <w:rPr>
          <w:lang w:val="uk-UA"/>
        </w:rPr>
        <w:t>&lt;0,0</w:t>
      </w:r>
      <w:r w:rsidR="006734A6" w:rsidRPr="001416ED">
        <w:rPr>
          <w:lang w:val="uk-UA"/>
        </w:rPr>
        <w:t>00</w:t>
      </w:r>
      <w:r w:rsidRPr="001416ED">
        <w:rPr>
          <w:lang w:val="uk-UA"/>
        </w:rPr>
        <w:t xml:space="preserve">1; </w:t>
      </w:r>
      <w:r w:rsidRPr="001416ED">
        <w:rPr>
          <w:vertAlign w:val="subscript"/>
          <w:lang w:val="uk-UA"/>
        </w:rPr>
        <w:t>рAsn/Asn</w:t>
      </w:r>
      <w:r w:rsidR="00BC0119" w:rsidRPr="001416ED">
        <w:rPr>
          <w:vertAlign w:val="subscript"/>
          <w:lang w:val="uk-UA"/>
        </w:rPr>
        <w:t>–</w:t>
      </w:r>
      <w:r w:rsidRPr="001416ED">
        <w:rPr>
          <w:vertAlign w:val="subscript"/>
          <w:lang w:val="uk-UA"/>
        </w:rPr>
        <w:t>Lys/Lys</w:t>
      </w:r>
      <w:r w:rsidR="00866751" w:rsidRPr="001416ED">
        <w:rPr>
          <w:lang w:val="uk-UA"/>
        </w:rPr>
        <w:t>&lt;0,000</w:t>
      </w:r>
      <w:r w:rsidRPr="001416ED">
        <w:rPr>
          <w:lang w:val="uk-UA"/>
        </w:rPr>
        <w:t>1; р</w:t>
      </w:r>
      <w:r w:rsidRPr="001416ED">
        <w:rPr>
          <w:vertAlign w:val="subscript"/>
          <w:lang w:val="uk-UA"/>
        </w:rPr>
        <w:t>Asn/Asn</w:t>
      </w:r>
      <w:r w:rsidR="00BC0119" w:rsidRPr="001416ED">
        <w:rPr>
          <w:vertAlign w:val="subscript"/>
          <w:lang w:val="uk-UA"/>
        </w:rPr>
        <w:t>–</w:t>
      </w:r>
      <w:r w:rsidRPr="001416ED">
        <w:rPr>
          <w:vertAlign w:val="subscript"/>
          <w:lang w:val="uk-UA"/>
        </w:rPr>
        <w:t>Lys/Asn</w:t>
      </w:r>
      <w:r w:rsidR="006734A6" w:rsidRPr="001416ED">
        <w:rPr>
          <w:lang w:val="uk-UA"/>
        </w:rPr>
        <w:t>&lt;0,0</w:t>
      </w:r>
      <w:r w:rsidRPr="001416ED">
        <w:rPr>
          <w:lang w:val="uk-UA"/>
        </w:rPr>
        <w:t>1).</w:t>
      </w:r>
      <w:r w:rsidR="00F90D51" w:rsidRPr="001416ED">
        <w:rPr>
          <w:lang w:val="uk-UA"/>
        </w:rPr>
        <w:t xml:space="preserve"> </w:t>
      </w:r>
    </w:p>
    <w:p w:rsidR="005F5E1F" w:rsidRPr="001416ED" w:rsidRDefault="005F5E1F" w:rsidP="000609A1">
      <w:pPr>
        <w:spacing w:line="360" w:lineRule="auto"/>
        <w:ind w:firstLine="709"/>
        <w:jc w:val="both"/>
        <w:rPr>
          <w:b/>
          <w:lang w:val="uk-UA"/>
        </w:rPr>
      </w:pPr>
      <w:r w:rsidRPr="001416ED">
        <w:rPr>
          <w:lang w:val="uk-UA"/>
        </w:rPr>
        <w:t>У зв’язку з низькою частотою носійства генотипу Asn/Asn, чоловіки з генотипами Lys/Asn та Asn/Asn були об’єднані як носії алелі Asn</w:t>
      </w:r>
      <w:r w:rsidR="003D541D" w:rsidRPr="001416ED">
        <w:rPr>
          <w:lang w:val="uk-UA"/>
        </w:rPr>
        <w:t xml:space="preserve"> в кожній </w:t>
      </w:r>
      <w:r w:rsidRPr="001416ED">
        <w:rPr>
          <w:lang w:val="uk-UA"/>
        </w:rPr>
        <w:t>г</w:t>
      </w:r>
      <w:r w:rsidR="00F90D51" w:rsidRPr="001416ED">
        <w:rPr>
          <w:lang w:val="uk-UA"/>
        </w:rPr>
        <w:t>р</w:t>
      </w:r>
      <w:r w:rsidRPr="001416ED">
        <w:rPr>
          <w:lang w:val="uk-UA"/>
        </w:rPr>
        <w:t>упі хворих з ГХ (табл. 4.1).</w:t>
      </w:r>
    </w:p>
    <w:p w:rsidR="005F5E1F" w:rsidRPr="001416ED" w:rsidRDefault="005F5E1F" w:rsidP="005F5E1F">
      <w:pPr>
        <w:spacing w:line="360" w:lineRule="auto"/>
        <w:ind w:firstLine="709"/>
        <w:jc w:val="right"/>
        <w:rPr>
          <w:b/>
          <w:lang w:val="uk-UA"/>
        </w:rPr>
      </w:pPr>
      <w:r w:rsidRPr="001416ED">
        <w:rPr>
          <w:b/>
          <w:lang w:val="uk-UA"/>
        </w:rPr>
        <w:t>Таблиця 4.1</w:t>
      </w:r>
    </w:p>
    <w:p w:rsidR="005F5E1F" w:rsidRPr="001416ED" w:rsidRDefault="005F5E1F" w:rsidP="004156AB">
      <w:pPr>
        <w:spacing w:line="360" w:lineRule="auto"/>
        <w:ind w:firstLine="709"/>
        <w:jc w:val="center"/>
        <w:rPr>
          <w:b/>
          <w:lang w:val="uk-UA"/>
        </w:rPr>
      </w:pPr>
      <w:r w:rsidRPr="001416ED">
        <w:rPr>
          <w:b/>
          <w:lang w:val="uk-UA"/>
        </w:rPr>
        <w:t xml:space="preserve">Частота </w:t>
      </w:r>
      <w:r w:rsidR="00F40216">
        <w:rPr>
          <w:b/>
          <w:lang w:val="uk-UA"/>
        </w:rPr>
        <w:t xml:space="preserve"> варіантів гена</w:t>
      </w:r>
      <w:r w:rsidRPr="001416ED">
        <w:rPr>
          <w:b/>
          <w:lang w:val="uk-UA"/>
        </w:rPr>
        <w:t xml:space="preserve"> ЕТ</w:t>
      </w:r>
      <w:r w:rsidR="00BC0119" w:rsidRPr="001416ED">
        <w:rPr>
          <w:b/>
          <w:lang w:val="uk-UA"/>
        </w:rPr>
        <w:t>–</w:t>
      </w:r>
      <w:r w:rsidRPr="001416ED">
        <w:rPr>
          <w:b/>
          <w:lang w:val="uk-UA"/>
        </w:rPr>
        <w:t>1 у чоловіків</w:t>
      </w:r>
      <w:r w:rsidR="00AE460F">
        <w:rPr>
          <w:b/>
          <w:lang w:val="uk-UA"/>
        </w:rPr>
        <w:t xml:space="preserve"> групи контролю та</w:t>
      </w:r>
      <w:r w:rsidRPr="001416ED">
        <w:rPr>
          <w:b/>
          <w:lang w:val="uk-UA"/>
        </w:rPr>
        <w:t xml:space="preserve"> </w:t>
      </w:r>
      <w:r w:rsidR="00072B28">
        <w:rPr>
          <w:b/>
          <w:lang w:val="uk-UA"/>
        </w:rPr>
        <w:t xml:space="preserve">у </w:t>
      </w:r>
      <w:r w:rsidRPr="001416ED">
        <w:rPr>
          <w:b/>
          <w:lang w:val="uk-UA"/>
        </w:rPr>
        <w:t>хворих на ГХ ІІ ст</w:t>
      </w:r>
      <w:r w:rsidR="00D16145" w:rsidRPr="001416ED">
        <w:rPr>
          <w:b/>
          <w:lang w:val="uk-UA"/>
        </w:rPr>
        <w:t>.</w:t>
      </w:r>
      <w:r w:rsidRPr="001416ED">
        <w:rPr>
          <w:b/>
          <w:lang w:val="uk-UA"/>
        </w:rPr>
        <w:t xml:space="preserve"> </w:t>
      </w:r>
      <w:r w:rsidR="00865ECF" w:rsidRPr="001416ED">
        <w:rPr>
          <w:b/>
          <w:lang w:val="uk-UA"/>
        </w:rPr>
        <w:t xml:space="preserve">та </w:t>
      </w:r>
      <w:r w:rsidR="00D66AFA" w:rsidRPr="001416ED">
        <w:rPr>
          <w:b/>
          <w:lang w:val="uk-UA"/>
        </w:rPr>
        <w:t>ГХ ІІІ ст.</w:t>
      </w:r>
      <w:r w:rsidR="004156AB" w:rsidRPr="001416ED">
        <w:rPr>
          <w:b/>
          <w:lang w:val="uk-UA"/>
        </w:rPr>
        <w:t xml:space="preserve"> (</w:t>
      </w:r>
      <w:r w:rsidR="00D4219F" w:rsidRPr="001416ED">
        <w:rPr>
          <w:b/>
          <w:lang w:val="uk-UA"/>
        </w:rPr>
        <w:t>%</w:t>
      </w:r>
      <w:r w:rsidR="004156AB" w:rsidRPr="001416ED">
        <w:rPr>
          <w:b/>
          <w:lang w:val="uk-UA"/>
        </w:rPr>
        <w:t>)</w:t>
      </w:r>
    </w:p>
    <w:tbl>
      <w:tblPr>
        <w:tblStyle w:val="af5"/>
        <w:tblW w:w="0" w:type="auto"/>
        <w:tblLook w:val="04A0" w:firstRow="1" w:lastRow="0" w:firstColumn="1" w:lastColumn="0" w:noHBand="0" w:noVBand="1"/>
      </w:tblPr>
      <w:tblGrid>
        <w:gridCol w:w="3510"/>
        <w:gridCol w:w="2552"/>
        <w:gridCol w:w="2693"/>
        <w:gridCol w:w="1383"/>
      </w:tblGrid>
      <w:tr w:rsidR="005F5E1F" w:rsidRPr="001416ED" w:rsidTr="00371F09">
        <w:tc>
          <w:tcPr>
            <w:tcW w:w="3510" w:type="dxa"/>
          </w:tcPr>
          <w:p w:rsidR="005F5E1F" w:rsidRPr="001416ED" w:rsidRDefault="005F5E1F" w:rsidP="009000B1">
            <w:pPr>
              <w:spacing w:line="360" w:lineRule="auto"/>
              <w:jc w:val="center"/>
              <w:rPr>
                <w:b/>
                <w:lang w:val="uk-UA"/>
              </w:rPr>
            </w:pPr>
            <w:r w:rsidRPr="001416ED">
              <w:rPr>
                <w:b/>
                <w:lang w:val="uk-UA"/>
              </w:rPr>
              <w:t>Група</w:t>
            </w:r>
          </w:p>
        </w:tc>
        <w:tc>
          <w:tcPr>
            <w:tcW w:w="2552" w:type="dxa"/>
          </w:tcPr>
          <w:p w:rsidR="005F5E1F" w:rsidRPr="001416ED" w:rsidRDefault="005F5E1F" w:rsidP="009000B1">
            <w:pPr>
              <w:spacing w:line="360" w:lineRule="auto"/>
              <w:jc w:val="center"/>
              <w:rPr>
                <w:b/>
                <w:lang w:val="en-US"/>
              </w:rPr>
            </w:pPr>
            <w:r w:rsidRPr="001416ED">
              <w:rPr>
                <w:b/>
                <w:lang w:val="uk-UA"/>
              </w:rPr>
              <w:t xml:space="preserve">Носії генотипу </w:t>
            </w:r>
            <w:r w:rsidRPr="001416ED">
              <w:rPr>
                <w:b/>
                <w:lang w:val="en-US"/>
              </w:rPr>
              <w:t>Lys</w:t>
            </w:r>
            <w:r w:rsidRPr="001416ED">
              <w:rPr>
                <w:b/>
                <w:lang w:val="uk-UA"/>
              </w:rPr>
              <w:t>/</w:t>
            </w:r>
            <w:r w:rsidRPr="001416ED">
              <w:rPr>
                <w:b/>
                <w:lang w:val="en-US"/>
              </w:rPr>
              <w:t>Lys</w:t>
            </w:r>
            <w:r w:rsidR="00FB51E5" w:rsidRPr="001416ED">
              <w:rPr>
                <w:b/>
                <w:lang w:val="uk-UA"/>
              </w:rPr>
              <w:t xml:space="preserve"> </w:t>
            </w:r>
          </w:p>
        </w:tc>
        <w:tc>
          <w:tcPr>
            <w:tcW w:w="2693" w:type="dxa"/>
          </w:tcPr>
          <w:p w:rsidR="005F5E1F" w:rsidRPr="001416ED" w:rsidRDefault="005F5E1F" w:rsidP="009000B1">
            <w:pPr>
              <w:spacing w:line="360" w:lineRule="auto"/>
              <w:jc w:val="center"/>
              <w:rPr>
                <w:b/>
                <w:lang w:val="uk-UA"/>
              </w:rPr>
            </w:pPr>
            <w:r w:rsidRPr="001416ED">
              <w:rPr>
                <w:b/>
                <w:lang w:val="uk-UA"/>
              </w:rPr>
              <w:t xml:space="preserve">Носії алелі </w:t>
            </w:r>
            <w:r w:rsidRPr="001416ED">
              <w:rPr>
                <w:b/>
                <w:lang w:val="en-US"/>
              </w:rPr>
              <w:t>Asn</w:t>
            </w:r>
          </w:p>
        </w:tc>
        <w:tc>
          <w:tcPr>
            <w:tcW w:w="1383" w:type="dxa"/>
          </w:tcPr>
          <w:p w:rsidR="005F5E1F" w:rsidRPr="001416ED" w:rsidRDefault="005F5E1F" w:rsidP="009000B1">
            <w:pPr>
              <w:spacing w:line="360" w:lineRule="auto"/>
              <w:jc w:val="center"/>
              <w:rPr>
                <w:b/>
                <w:lang w:val="uk-UA"/>
              </w:rPr>
            </w:pPr>
            <w:r w:rsidRPr="001416ED">
              <w:rPr>
                <w:b/>
                <w:lang w:val="uk-UA"/>
              </w:rPr>
              <w:t>р</w:t>
            </w:r>
          </w:p>
        </w:tc>
      </w:tr>
      <w:tr w:rsidR="005F5E1F" w:rsidRPr="001416ED" w:rsidTr="00371F09">
        <w:trPr>
          <w:trHeight w:val="393"/>
        </w:trPr>
        <w:tc>
          <w:tcPr>
            <w:tcW w:w="3510" w:type="dxa"/>
          </w:tcPr>
          <w:p w:rsidR="005F5E1F" w:rsidRPr="001416ED" w:rsidRDefault="005F5E1F" w:rsidP="001A1D3F">
            <w:pPr>
              <w:spacing w:line="360" w:lineRule="auto"/>
              <w:rPr>
                <w:lang w:val="uk-UA"/>
              </w:rPr>
            </w:pPr>
            <w:r w:rsidRPr="001416ED">
              <w:rPr>
                <w:lang w:val="uk-UA"/>
              </w:rPr>
              <w:t>Група контролю (</w:t>
            </w:r>
            <w:r w:rsidRPr="001416ED">
              <w:rPr>
                <w:lang w:val="en-US"/>
              </w:rPr>
              <w:t>n</w:t>
            </w:r>
            <w:r w:rsidRPr="001416ED">
              <w:rPr>
                <w:lang w:val="uk-UA"/>
              </w:rPr>
              <w:t>=79)</w:t>
            </w:r>
          </w:p>
        </w:tc>
        <w:tc>
          <w:tcPr>
            <w:tcW w:w="2552" w:type="dxa"/>
          </w:tcPr>
          <w:p w:rsidR="005F5E1F" w:rsidRPr="001416ED" w:rsidRDefault="005F5E1F" w:rsidP="00371F09">
            <w:pPr>
              <w:spacing w:line="360" w:lineRule="auto"/>
              <w:jc w:val="center"/>
              <w:rPr>
                <w:lang w:val="uk-UA"/>
              </w:rPr>
            </w:pPr>
            <w:r w:rsidRPr="001416ED">
              <w:rPr>
                <w:lang w:val="uk-UA"/>
              </w:rPr>
              <w:t>65,82</w:t>
            </w:r>
            <w:r w:rsidR="001A28CC" w:rsidRPr="001416ED">
              <w:rPr>
                <w:lang w:val="uk-UA"/>
              </w:rPr>
              <w:t xml:space="preserve"> </w:t>
            </w:r>
            <w:r w:rsidR="00D4219F" w:rsidRPr="001416ED">
              <w:rPr>
                <w:lang w:val="uk-UA"/>
              </w:rPr>
              <w:t xml:space="preserve"> %</w:t>
            </w:r>
            <w:r w:rsidRPr="001416ED">
              <w:rPr>
                <w:lang w:val="uk-UA"/>
              </w:rPr>
              <w:t xml:space="preserve"> (</w:t>
            </w:r>
            <w:r w:rsidRPr="001416ED">
              <w:rPr>
                <w:lang w:val="en-US"/>
              </w:rPr>
              <w:t>n</w:t>
            </w:r>
            <w:r w:rsidRPr="001416ED">
              <w:rPr>
                <w:lang w:val="uk-UA"/>
              </w:rPr>
              <w:t>=52)</w:t>
            </w:r>
            <w:r w:rsidR="00371F09" w:rsidRPr="001416ED">
              <w:rPr>
                <w:lang w:val="uk-UA"/>
              </w:rPr>
              <w:t xml:space="preserve"> </w:t>
            </w:r>
            <w:r w:rsidRPr="001416ED">
              <w:rPr>
                <w:lang w:val="uk-UA"/>
              </w:rPr>
              <w:t>(1)</w:t>
            </w:r>
          </w:p>
        </w:tc>
        <w:tc>
          <w:tcPr>
            <w:tcW w:w="2693" w:type="dxa"/>
          </w:tcPr>
          <w:p w:rsidR="005F5E1F" w:rsidRPr="001416ED" w:rsidRDefault="005F5E1F" w:rsidP="00371F09">
            <w:pPr>
              <w:spacing w:line="360" w:lineRule="auto"/>
              <w:jc w:val="center"/>
              <w:rPr>
                <w:lang w:val="uk-UA"/>
              </w:rPr>
            </w:pPr>
            <w:r w:rsidRPr="001416ED">
              <w:rPr>
                <w:lang w:val="uk-UA"/>
              </w:rPr>
              <w:t xml:space="preserve"> 34,18</w:t>
            </w:r>
            <w:r w:rsidR="001A28CC" w:rsidRPr="001416ED">
              <w:rPr>
                <w:lang w:val="uk-UA"/>
              </w:rPr>
              <w:t xml:space="preserve"> </w:t>
            </w:r>
            <w:r w:rsidR="00D4219F" w:rsidRPr="001416ED">
              <w:rPr>
                <w:lang w:val="uk-UA"/>
              </w:rPr>
              <w:t xml:space="preserve"> %</w:t>
            </w:r>
            <w:r w:rsidRPr="001416ED">
              <w:rPr>
                <w:lang w:val="uk-UA"/>
              </w:rPr>
              <w:t xml:space="preserve"> (</w:t>
            </w:r>
            <w:r w:rsidRPr="001416ED">
              <w:rPr>
                <w:lang w:val="en-US"/>
              </w:rPr>
              <w:t>n</w:t>
            </w:r>
            <w:r w:rsidRPr="001416ED">
              <w:rPr>
                <w:lang w:val="uk-UA"/>
              </w:rPr>
              <w:t>=27)</w:t>
            </w:r>
            <w:r w:rsidR="00371F09" w:rsidRPr="001416ED">
              <w:rPr>
                <w:lang w:val="uk-UA"/>
              </w:rPr>
              <w:t xml:space="preserve"> </w:t>
            </w:r>
            <w:r w:rsidRPr="001416ED">
              <w:rPr>
                <w:lang w:val="uk-UA"/>
              </w:rPr>
              <w:t>(4)</w:t>
            </w:r>
          </w:p>
        </w:tc>
        <w:tc>
          <w:tcPr>
            <w:tcW w:w="1383" w:type="dxa"/>
          </w:tcPr>
          <w:p w:rsidR="005F5E1F" w:rsidRPr="001416ED" w:rsidRDefault="005F5E1F" w:rsidP="00371F09">
            <w:pPr>
              <w:spacing w:line="360" w:lineRule="auto"/>
              <w:jc w:val="center"/>
              <w:rPr>
                <w:lang w:val="uk-UA"/>
              </w:rPr>
            </w:pPr>
            <w:r w:rsidRPr="001416ED">
              <w:rPr>
                <w:lang w:val="uk-UA"/>
              </w:rPr>
              <w:t>р</w:t>
            </w:r>
            <w:r w:rsidR="00866751" w:rsidRPr="001416ED">
              <w:rPr>
                <w:lang w:val="uk-UA"/>
              </w:rPr>
              <w:t>&lt;0,000</w:t>
            </w:r>
            <w:r w:rsidRPr="001416ED">
              <w:rPr>
                <w:lang w:val="uk-UA"/>
              </w:rPr>
              <w:t>1</w:t>
            </w:r>
          </w:p>
        </w:tc>
      </w:tr>
      <w:tr w:rsidR="005F5E1F" w:rsidRPr="001416ED" w:rsidTr="00371F09">
        <w:tc>
          <w:tcPr>
            <w:tcW w:w="3510" w:type="dxa"/>
          </w:tcPr>
          <w:p w:rsidR="005F5E1F" w:rsidRPr="001416ED" w:rsidRDefault="00AE460F" w:rsidP="009000B1">
            <w:pPr>
              <w:spacing w:line="360" w:lineRule="auto"/>
            </w:pPr>
            <w:r>
              <w:rPr>
                <w:lang w:val="uk-UA"/>
              </w:rPr>
              <w:t xml:space="preserve">Чоловіки </w:t>
            </w:r>
            <w:r w:rsidR="005F5E1F" w:rsidRPr="001416ED">
              <w:rPr>
                <w:lang w:val="uk-UA"/>
              </w:rPr>
              <w:t xml:space="preserve">з ГХ ІІ ст. </w:t>
            </w:r>
            <w:r w:rsidR="005F5E1F" w:rsidRPr="001416ED">
              <w:t>(</w:t>
            </w:r>
            <w:r w:rsidR="005F5E1F" w:rsidRPr="001416ED">
              <w:rPr>
                <w:lang w:val="en-US"/>
              </w:rPr>
              <w:t>n</w:t>
            </w:r>
            <w:r w:rsidR="005F5E1F" w:rsidRPr="001416ED">
              <w:t>=62)</w:t>
            </w:r>
          </w:p>
        </w:tc>
        <w:tc>
          <w:tcPr>
            <w:tcW w:w="2552" w:type="dxa"/>
          </w:tcPr>
          <w:p w:rsidR="005F5E1F" w:rsidRPr="001416ED" w:rsidRDefault="005F5E1F" w:rsidP="00371F09">
            <w:pPr>
              <w:spacing w:line="360" w:lineRule="auto"/>
              <w:jc w:val="center"/>
            </w:pPr>
            <w:r w:rsidRPr="001416ED">
              <w:t>56,45</w:t>
            </w:r>
            <w:r w:rsidR="001A28CC" w:rsidRPr="001416ED">
              <w:rPr>
                <w:lang w:val="uk-UA"/>
              </w:rPr>
              <w:t xml:space="preserve"> </w:t>
            </w:r>
            <w:r w:rsidR="00D4219F" w:rsidRPr="001416ED">
              <w:t xml:space="preserve"> %</w:t>
            </w:r>
            <w:r w:rsidRPr="001416ED">
              <w:t xml:space="preserve"> (</w:t>
            </w:r>
            <w:r w:rsidRPr="001416ED">
              <w:rPr>
                <w:lang w:val="en-US"/>
              </w:rPr>
              <w:t>n</w:t>
            </w:r>
            <w:r w:rsidRPr="001416ED">
              <w:t>=</w:t>
            </w:r>
            <w:r w:rsidRPr="001416ED">
              <w:rPr>
                <w:lang w:val="en-US"/>
              </w:rPr>
              <w:t>35)</w:t>
            </w:r>
            <w:r w:rsidR="00371F09" w:rsidRPr="001416ED">
              <w:rPr>
                <w:lang w:val="uk-UA"/>
              </w:rPr>
              <w:t xml:space="preserve"> </w:t>
            </w:r>
            <w:r w:rsidRPr="001416ED">
              <w:t>(2)</w:t>
            </w:r>
          </w:p>
        </w:tc>
        <w:tc>
          <w:tcPr>
            <w:tcW w:w="2693" w:type="dxa"/>
          </w:tcPr>
          <w:p w:rsidR="005F5E1F" w:rsidRPr="001416ED" w:rsidRDefault="005F5E1F" w:rsidP="00371F09">
            <w:pPr>
              <w:spacing w:line="360" w:lineRule="auto"/>
              <w:jc w:val="center"/>
            </w:pPr>
            <w:r w:rsidRPr="001416ED">
              <w:t>43,55</w:t>
            </w:r>
            <w:r w:rsidR="001A28CC" w:rsidRPr="001416ED">
              <w:rPr>
                <w:lang w:val="uk-UA"/>
              </w:rPr>
              <w:t xml:space="preserve"> </w:t>
            </w:r>
            <w:r w:rsidR="00D4219F" w:rsidRPr="001416ED">
              <w:rPr>
                <w:lang w:val="uk-UA"/>
              </w:rPr>
              <w:t xml:space="preserve"> %</w:t>
            </w:r>
            <w:r w:rsidRPr="001416ED">
              <w:t xml:space="preserve"> (</w:t>
            </w:r>
            <w:r w:rsidRPr="001416ED">
              <w:rPr>
                <w:lang w:val="en-US"/>
              </w:rPr>
              <w:t>n</w:t>
            </w:r>
            <w:r w:rsidRPr="001416ED">
              <w:t>=</w:t>
            </w:r>
            <w:r w:rsidRPr="001416ED">
              <w:rPr>
                <w:lang w:val="en-US"/>
              </w:rPr>
              <w:t>2</w:t>
            </w:r>
            <w:r w:rsidRPr="001416ED">
              <w:t>7</w:t>
            </w:r>
            <w:r w:rsidRPr="001416ED">
              <w:rPr>
                <w:lang w:val="en-US"/>
              </w:rPr>
              <w:t>)</w:t>
            </w:r>
            <w:r w:rsidR="00371F09" w:rsidRPr="001416ED">
              <w:rPr>
                <w:lang w:val="uk-UA"/>
              </w:rPr>
              <w:t xml:space="preserve"> </w:t>
            </w:r>
            <w:r w:rsidRPr="001416ED">
              <w:t>(5)</w:t>
            </w:r>
          </w:p>
        </w:tc>
        <w:tc>
          <w:tcPr>
            <w:tcW w:w="1383" w:type="dxa"/>
          </w:tcPr>
          <w:p w:rsidR="005F5E1F" w:rsidRPr="001416ED" w:rsidRDefault="005F5E1F" w:rsidP="00371F09">
            <w:pPr>
              <w:spacing w:line="360" w:lineRule="auto"/>
              <w:jc w:val="center"/>
            </w:pPr>
            <w:r w:rsidRPr="001416ED">
              <w:t>р&gt;0,05</w:t>
            </w:r>
          </w:p>
        </w:tc>
      </w:tr>
      <w:tr w:rsidR="005F5E1F" w:rsidRPr="001416ED" w:rsidTr="00371F09">
        <w:tc>
          <w:tcPr>
            <w:tcW w:w="3510" w:type="dxa"/>
          </w:tcPr>
          <w:p w:rsidR="005F5E1F" w:rsidRPr="001416ED" w:rsidRDefault="00AE460F" w:rsidP="009000B1">
            <w:pPr>
              <w:spacing w:line="360" w:lineRule="auto"/>
              <w:rPr>
                <w:lang w:val="uk-UA"/>
              </w:rPr>
            </w:pPr>
            <w:r>
              <w:rPr>
                <w:lang w:val="uk-UA"/>
              </w:rPr>
              <w:t>Чоловіки</w:t>
            </w:r>
            <w:r w:rsidR="00FB51E5" w:rsidRPr="001416ED">
              <w:rPr>
                <w:lang w:val="uk-UA"/>
              </w:rPr>
              <w:t xml:space="preserve"> з ГХ ІІІ ст.</w:t>
            </w:r>
            <w:r w:rsidR="00371F09" w:rsidRPr="001416ED">
              <w:rPr>
                <w:lang w:val="uk-UA"/>
              </w:rPr>
              <w:t xml:space="preserve"> </w:t>
            </w:r>
            <w:r w:rsidR="005F5E1F" w:rsidRPr="001416ED">
              <w:rPr>
                <w:lang w:val="uk-UA"/>
              </w:rPr>
              <w:t>(</w:t>
            </w:r>
            <w:r w:rsidR="005F5E1F" w:rsidRPr="001416ED">
              <w:rPr>
                <w:lang w:val="en-US"/>
              </w:rPr>
              <w:t>n</w:t>
            </w:r>
            <w:r w:rsidR="005F5E1F" w:rsidRPr="001416ED">
              <w:rPr>
                <w:lang w:val="uk-UA"/>
              </w:rPr>
              <w:t>=50)</w:t>
            </w:r>
          </w:p>
        </w:tc>
        <w:tc>
          <w:tcPr>
            <w:tcW w:w="2552" w:type="dxa"/>
          </w:tcPr>
          <w:p w:rsidR="005F5E1F" w:rsidRPr="001416ED" w:rsidRDefault="005F5E1F" w:rsidP="00371F09">
            <w:pPr>
              <w:spacing w:line="360" w:lineRule="auto"/>
              <w:jc w:val="center"/>
            </w:pPr>
            <w:r w:rsidRPr="001416ED">
              <w:rPr>
                <w:lang w:val="uk-UA"/>
              </w:rPr>
              <w:t xml:space="preserve"> </w:t>
            </w:r>
            <w:r w:rsidRPr="001416ED">
              <w:t>66,00</w:t>
            </w:r>
            <w:r w:rsidR="001A28CC" w:rsidRPr="001416ED">
              <w:rPr>
                <w:lang w:val="uk-UA"/>
              </w:rPr>
              <w:t xml:space="preserve"> </w:t>
            </w:r>
            <w:r w:rsidR="00D4219F" w:rsidRPr="001416ED">
              <w:t xml:space="preserve"> %</w:t>
            </w:r>
            <w:r w:rsidRPr="001416ED">
              <w:t xml:space="preserve"> (</w:t>
            </w:r>
            <w:r w:rsidRPr="001416ED">
              <w:rPr>
                <w:lang w:val="en-US"/>
              </w:rPr>
              <w:t>n</w:t>
            </w:r>
            <w:r w:rsidRPr="001416ED">
              <w:t>=</w:t>
            </w:r>
            <w:r w:rsidRPr="001416ED">
              <w:rPr>
                <w:lang w:val="en-US"/>
              </w:rPr>
              <w:t>3</w:t>
            </w:r>
            <w:r w:rsidRPr="001416ED">
              <w:t>3</w:t>
            </w:r>
            <w:r w:rsidRPr="001416ED">
              <w:rPr>
                <w:lang w:val="en-US"/>
              </w:rPr>
              <w:t>)</w:t>
            </w:r>
            <w:r w:rsidR="00371F09" w:rsidRPr="001416ED">
              <w:rPr>
                <w:lang w:val="uk-UA"/>
              </w:rPr>
              <w:t xml:space="preserve"> </w:t>
            </w:r>
            <w:r w:rsidRPr="001416ED">
              <w:t>(3)</w:t>
            </w:r>
          </w:p>
        </w:tc>
        <w:tc>
          <w:tcPr>
            <w:tcW w:w="2693" w:type="dxa"/>
          </w:tcPr>
          <w:p w:rsidR="005F5E1F" w:rsidRPr="001416ED" w:rsidRDefault="005F5E1F" w:rsidP="00371F09">
            <w:pPr>
              <w:spacing w:line="360" w:lineRule="auto"/>
              <w:jc w:val="center"/>
            </w:pPr>
            <w:r w:rsidRPr="001416ED">
              <w:t>34,00</w:t>
            </w:r>
            <w:r w:rsidR="001A28CC" w:rsidRPr="001416ED">
              <w:rPr>
                <w:lang w:val="uk-UA"/>
              </w:rPr>
              <w:t xml:space="preserve"> </w:t>
            </w:r>
            <w:r w:rsidR="00D4219F" w:rsidRPr="001416ED">
              <w:t xml:space="preserve"> %</w:t>
            </w:r>
            <w:r w:rsidRPr="001416ED">
              <w:t xml:space="preserve"> (</w:t>
            </w:r>
            <w:r w:rsidRPr="001416ED">
              <w:rPr>
                <w:lang w:val="en-US"/>
              </w:rPr>
              <w:t>n</w:t>
            </w:r>
            <w:r w:rsidRPr="001416ED">
              <w:t>=</w:t>
            </w:r>
            <w:r w:rsidRPr="001416ED">
              <w:rPr>
                <w:lang w:val="en-US"/>
              </w:rPr>
              <w:t>1</w:t>
            </w:r>
            <w:r w:rsidRPr="001416ED">
              <w:t>7</w:t>
            </w:r>
            <w:r w:rsidRPr="001416ED">
              <w:rPr>
                <w:lang w:val="en-US"/>
              </w:rPr>
              <w:t>)</w:t>
            </w:r>
            <w:r w:rsidR="00371F09" w:rsidRPr="001416ED">
              <w:rPr>
                <w:lang w:val="uk-UA"/>
              </w:rPr>
              <w:t xml:space="preserve"> </w:t>
            </w:r>
            <w:r w:rsidRPr="001416ED">
              <w:t>(6)</w:t>
            </w:r>
          </w:p>
        </w:tc>
        <w:tc>
          <w:tcPr>
            <w:tcW w:w="1383" w:type="dxa"/>
          </w:tcPr>
          <w:p w:rsidR="005F5E1F" w:rsidRPr="001416ED" w:rsidRDefault="005F5E1F" w:rsidP="00371F09">
            <w:pPr>
              <w:spacing w:line="360" w:lineRule="auto"/>
              <w:jc w:val="center"/>
            </w:pPr>
            <w:r w:rsidRPr="001416ED">
              <w:t>р&lt;0,001</w:t>
            </w:r>
          </w:p>
        </w:tc>
      </w:tr>
      <w:tr w:rsidR="005F5E1F" w:rsidRPr="001416ED" w:rsidTr="00371F09">
        <w:tc>
          <w:tcPr>
            <w:tcW w:w="3510" w:type="dxa"/>
          </w:tcPr>
          <w:p w:rsidR="005F5E1F" w:rsidRPr="001416ED" w:rsidRDefault="005F5E1F" w:rsidP="009000B1">
            <w:pPr>
              <w:spacing w:line="360" w:lineRule="auto"/>
              <w:rPr>
                <w:lang w:val="uk-UA"/>
              </w:rPr>
            </w:pPr>
            <w:r w:rsidRPr="001416ED">
              <w:rPr>
                <w:lang w:val="uk-UA"/>
              </w:rPr>
              <w:t>р</w:t>
            </w:r>
          </w:p>
        </w:tc>
        <w:tc>
          <w:tcPr>
            <w:tcW w:w="2552" w:type="dxa"/>
          </w:tcPr>
          <w:p w:rsidR="005F5E1F" w:rsidRPr="001416ED" w:rsidRDefault="005F5E1F" w:rsidP="009000B1">
            <w:pPr>
              <w:spacing w:line="360" w:lineRule="auto"/>
              <w:jc w:val="center"/>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Pr="001416ED">
              <w:rPr>
                <w:lang w:val="uk-UA"/>
              </w:rPr>
              <w:t>&gt;0,05</w:t>
            </w:r>
            <w:r w:rsidR="00FB51E5" w:rsidRPr="001416ED">
              <w:rPr>
                <w:lang w:val="uk-UA"/>
              </w:rPr>
              <w:t>;</w:t>
            </w:r>
            <w:r w:rsidR="00865ECF" w:rsidRPr="001416ED">
              <w:rPr>
                <w:lang w:val="uk-UA"/>
              </w:rPr>
              <w:t xml:space="preserve"> </w:t>
            </w: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1</w:t>
            </w:r>
            <w:r w:rsidRPr="001416ED">
              <w:rPr>
                <w:lang w:val="uk-UA"/>
              </w:rPr>
              <w:t>&gt;0,05</w:t>
            </w:r>
          </w:p>
          <w:p w:rsidR="005F5E1F" w:rsidRPr="001416ED" w:rsidRDefault="005F5E1F" w:rsidP="009000B1">
            <w:pPr>
              <w:spacing w:line="360" w:lineRule="auto"/>
              <w:jc w:val="center"/>
              <w:rPr>
                <w:lang w:val="uk-UA"/>
              </w:rPr>
            </w:pPr>
            <w:r w:rsidRPr="001416ED">
              <w:rPr>
                <w:lang w:val="uk-UA"/>
              </w:rPr>
              <w:t>р</w:t>
            </w:r>
            <w:r w:rsidRPr="001416ED">
              <w:rPr>
                <w:vertAlign w:val="subscript"/>
                <w:lang w:val="uk-UA"/>
              </w:rPr>
              <w:t>3</w:t>
            </w:r>
            <w:r w:rsidR="00BC0119" w:rsidRPr="001416ED">
              <w:rPr>
                <w:vertAlign w:val="subscript"/>
                <w:lang w:val="uk-UA"/>
              </w:rPr>
              <w:t>–</w:t>
            </w:r>
            <w:r w:rsidRPr="001416ED">
              <w:rPr>
                <w:vertAlign w:val="subscript"/>
                <w:lang w:val="uk-UA"/>
              </w:rPr>
              <w:t>2</w:t>
            </w:r>
            <w:r w:rsidRPr="001416ED">
              <w:rPr>
                <w:lang w:val="uk-UA"/>
              </w:rPr>
              <w:t>&gt;0,05</w:t>
            </w:r>
          </w:p>
        </w:tc>
        <w:tc>
          <w:tcPr>
            <w:tcW w:w="2693" w:type="dxa"/>
          </w:tcPr>
          <w:p w:rsidR="005F5E1F" w:rsidRPr="001416ED" w:rsidRDefault="005F5E1F" w:rsidP="009000B1">
            <w:pPr>
              <w:spacing w:line="360" w:lineRule="auto"/>
              <w:jc w:val="center"/>
              <w:rPr>
                <w:lang w:val="uk-UA"/>
              </w:rPr>
            </w:pPr>
            <w:r w:rsidRPr="001416ED">
              <w:rPr>
                <w:lang w:val="uk-UA"/>
              </w:rPr>
              <w:t>р</w:t>
            </w:r>
            <w:r w:rsidRPr="001416ED">
              <w:rPr>
                <w:vertAlign w:val="subscript"/>
                <w:lang w:val="uk-UA"/>
              </w:rPr>
              <w:t>5</w:t>
            </w:r>
            <w:r w:rsidR="00BC0119" w:rsidRPr="001416ED">
              <w:rPr>
                <w:vertAlign w:val="subscript"/>
                <w:lang w:val="uk-UA"/>
              </w:rPr>
              <w:t>–</w:t>
            </w:r>
            <w:r w:rsidRPr="001416ED">
              <w:rPr>
                <w:vertAlign w:val="subscript"/>
                <w:lang w:val="uk-UA"/>
              </w:rPr>
              <w:t>4</w:t>
            </w:r>
            <w:r w:rsidRPr="001416ED">
              <w:rPr>
                <w:lang w:val="uk-UA"/>
              </w:rPr>
              <w:t>&gt;0,05</w:t>
            </w:r>
            <w:r w:rsidR="00FB51E5" w:rsidRPr="001416ED">
              <w:rPr>
                <w:lang w:val="uk-UA"/>
              </w:rPr>
              <w:t>;</w:t>
            </w:r>
            <w:r w:rsidR="00865ECF" w:rsidRPr="001416ED">
              <w:rPr>
                <w:lang w:val="uk-UA"/>
              </w:rPr>
              <w:t xml:space="preserve"> </w:t>
            </w: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4</w:t>
            </w:r>
            <w:r w:rsidRPr="001416ED">
              <w:rPr>
                <w:lang w:val="uk-UA"/>
              </w:rPr>
              <w:t>&gt;0,05</w:t>
            </w:r>
          </w:p>
          <w:p w:rsidR="005F5E1F" w:rsidRPr="001416ED" w:rsidRDefault="005F5E1F" w:rsidP="009000B1">
            <w:pPr>
              <w:spacing w:line="360" w:lineRule="auto"/>
              <w:jc w:val="center"/>
              <w:rPr>
                <w:lang w:val="uk-UA"/>
              </w:rPr>
            </w:pP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5</w:t>
            </w:r>
            <w:r w:rsidRPr="001416ED">
              <w:rPr>
                <w:lang w:val="uk-UA"/>
              </w:rPr>
              <w:t>&gt;0,05</w:t>
            </w:r>
          </w:p>
        </w:tc>
        <w:tc>
          <w:tcPr>
            <w:tcW w:w="1383" w:type="dxa"/>
          </w:tcPr>
          <w:p w:rsidR="005F5E1F" w:rsidRPr="001416ED" w:rsidRDefault="005F5E1F" w:rsidP="009000B1">
            <w:pPr>
              <w:spacing w:line="360" w:lineRule="auto"/>
              <w:jc w:val="center"/>
              <w:rPr>
                <w:lang w:val="uk-UA"/>
              </w:rPr>
            </w:pPr>
          </w:p>
        </w:tc>
      </w:tr>
    </w:tbl>
    <w:p w:rsidR="0080440E" w:rsidRPr="001416ED" w:rsidRDefault="006D08B0" w:rsidP="006D08B0">
      <w:pPr>
        <w:spacing w:before="240" w:line="360" w:lineRule="auto"/>
        <w:ind w:firstLine="709"/>
        <w:jc w:val="both"/>
        <w:rPr>
          <w:lang w:val="uk-UA"/>
        </w:rPr>
      </w:pPr>
      <w:r w:rsidRPr="001416ED">
        <w:rPr>
          <w:lang w:val="uk-UA"/>
        </w:rPr>
        <w:t xml:space="preserve">При аналізі отриманих даних встановлено, що у пацієнтів з ГХ ІІ ст. та </w:t>
      </w:r>
      <w:r w:rsidR="00081C6E" w:rsidRPr="001416ED">
        <w:rPr>
          <w:lang w:val="uk-UA"/>
        </w:rPr>
        <w:t>ГХ ІІІ ст.</w:t>
      </w:r>
      <w:r w:rsidRPr="001416ED">
        <w:rPr>
          <w:lang w:val="uk-UA"/>
        </w:rPr>
        <w:t xml:space="preserve"> як і у осіб групи контролю, переважає генотип Lys/Lys гена ЕТ</w:t>
      </w:r>
      <w:r w:rsidR="00BC0119" w:rsidRPr="001416ED">
        <w:rPr>
          <w:lang w:val="uk-UA"/>
        </w:rPr>
        <w:t>–</w:t>
      </w:r>
      <w:r w:rsidRPr="001416ED">
        <w:rPr>
          <w:lang w:val="uk-UA"/>
        </w:rPr>
        <w:t xml:space="preserve">1. </w:t>
      </w:r>
      <w:r w:rsidR="00081C6E" w:rsidRPr="001416ED">
        <w:rPr>
          <w:lang w:val="uk-UA"/>
        </w:rPr>
        <w:t xml:space="preserve">Достовірної різниці у </w:t>
      </w:r>
      <w:r w:rsidR="0080440E" w:rsidRPr="001416ED">
        <w:rPr>
          <w:lang w:val="uk-UA"/>
        </w:rPr>
        <w:t>частот</w:t>
      </w:r>
      <w:r w:rsidR="00081C6E" w:rsidRPr="001416ED">
        <w:rPr>
          <w:lang w:val="uk-UA"/>
        </w:rPr>
        <w:t>і</w:t>
      </w:r>
      <w:r w:rsidR="0080440E" w:rsidRPr="001416ED">
        <w:rPr>
          <w:lang w:val="uk-UA"/>
        </w:rPr>
        <w:t xml:space="preserve"> </w:t>
      </w:r>
      <w:r w:rsidR="00F40216">
        <w:rPr>
          <w:lang w:val="uk-UA"/>
        </w:rPr>
        <w:t xml:space="preserve"> варіантів гена</w:t>
      </w:r>
      <w:r w:rsidR="0080440E" w:rsidRPr="001416ED">
        <w:rPr>
          <w:lang w:val="uk-UA"/>
        </w:rPr>
        <w:t xml:space="preserve"> ЕТ</w:t>
      </w:r>
      <w:r w:rsidR="00BC0119" w:rsidRPr="001416ED">
        <w:rPr>
          <w:lang w:val="uk-UA"/>
        </w:rPr>
        <w:t>–</w:t>
      </w:r>
      <w:r w:rsidR="0080440E" w:rsidRPr="001416ED">
        <w:rPr>
          <w:lang w:val="uk-UA"/>
        </w:rPr>
        <w:t xml:space="preserve">1 </w:t>
      </w:r>
      <w:r w:rsidR="00081C6E" w:rsidRPr="001416ED">
        <w:rPr>
          <w:lang w:val="uk-UA"/>
        </w:rPr>
        <w:t>в</w:t>
      </w:r>
      <w:r w:rsidR="0080440E" w:rsidRPr="001416ED">
        <w:rPr>
          <w:lang w:val="uk-UA"/>
        </w:rPr>
        <w:t xml:space="preserve"> групі контролю і серед хворих з ЕГ різної </w:t>
      </w:r>
      <w:r w:rsidR="00046A18" w:rsidRPr="001416ED">
        <w:rPr>
          <w:lang w:val="uk-UA"/>
        </w:rPr>
        <w:t>стадії</w:t>
      </w:r>
      <w:r w:rsidR="00081C6E" w:rsidRPr="001416ED">
        <w:rPr>
          <w:lang w:val="uk-UA"/>
        </w:rPr>
        <w:t xml:space="preserve"> </w:t>
      </w:r>
      <w:r w:rsidR="0080440E" w:rsidRPr="001416ED">
        <w:rPr>
          <w:lang w:val="uk-UA"/>
        </w:rPr>
        <w:t>не виявлено (р&gt;0,05)</w:t>
      </w:r>
      <w:r w:rsidR="00E367A4" w:rsidRPr="001416ED">
        <w:rPr>
          <w:lang w:val="uk-UA"/>
        </w:rPr>
        <w:t>.</w:t>
      </w:r>
    </w:p>
    <w:p w:rsidR="009000B1" w:rsidRPr="001416ED" w:rsidRDefault="009000B1" w:rsidP="00F937D3">
      <w:pPr>
        <w:spacing w:line="360" w:lineRule="auto"/>
        <w:ind w:firstLine="709"/>
        <w:jc w:val="both"/>
        <w:rPr>
          <w:lang w:val="uk-UA"/>
        </w:rPr>
      </w:pPr>
      <w:r w:rsidRPr="001416ED">
        <w:rPr>
          <w:lang w:val="uk-UA"/>
        </w:rPr>
        <w:t xml:space="preserve">Наступним кроком стало визначення частоти алелей гена </w:t>
      </w:r>
      <w:r w:rsidR="007C1C6A" w:rsidRPr="001416ED">
        <w:rPr>
          <w:lang w:val="uk-UA"/>
        </w:rPr>
        <w:t xml:space="preserve"> </w:t>
      </w:r>
      <w:r w:rsidRPr="001416ED">
        <w:rPr>
          <w:lang w:val="uk-UA"/>
        </w:rPr>
        <w:t>ЕТ</w:t>
      </w:r>
      <w:r w:rsidR="00BC0119" w:rsidRPr="001416ED">
        <w:rPr>
          <w:lang w:val="uk-UA"/>
        </w:rPr>
        <w:t>–</w:t>
      </w:r>
      <w:r w:rsidRPr="001416ED">
        <w:rPr>
          <w:lang w:val="uk-UA"/>
        </w:rPr>
        <w:t xml:space="preserve">1 у осіб з ГХ різної </w:t>
      </w:r>
      <w:r w:rsidR="00046A18" w:rsidRPr="001416ED">
        <w:rPr>
          <w:lang w:val="uk-UA"/>
        </w:rPr>
        <w:t>стадії</w:t>
      </w:r>
      <w:r w:rsidRPr="001416ED">
        <w:rPr>
          <w:lang w:val="uk-UA"/>
        </w:rPr>
        <w:t xml:space="preserve"> (табл. 4.</w:t>
      </w:r>
      <w:r w:rsidR="00CA1A0F" w:rsidRPr="001416ED">
        <w:rPr>
          <w:lang w:val="uk-UA"/>
        </w:rPr>
        <w:t>2</w:t>
      </w:r>
      <w:r w:rsidRPr="001416ED">
        <w:rPr>
          <w:lang w:val="uk-UA"/>
        </w:rPr>
        <w:t>)</w:t>
      </w:r>
    </w:p>
    <w:p w:rsidR="009000B1" w:rsidRPr="001416ED" w:rsidRDefault="009000B1" w:rsidP="007A2086">
      <w:pPr>
        <w:spacing w:line="360" w:lineRule="auto"/>
        <w:jc w:val="right"/>
        <w:rPr>
          <w:rFonts w:eastAsiaTheme="minorHAnsi"/>
          <w:b/>
          <w:kern w:val="11"/>
          <w:lang w:val="uk-UA" w:eastAsia="en-US"/>
        </w:rPr>
      </w:pPr>
      <w:r w:rsidRPr="001416ED">
        <w:rPr>
          <w:rFonts w:eastAsiaTheme="minorHAnsi"/>
          <w:b/>
          <w:kern w:val="11"/>
          <w:lang w:val="uk-UA" w:eastAsia="en-US"/>
        </w:rPr>
        <w:t>Таблиця 4.</w:t>
      </w:r>
      <w:r w:rsidR="00CA1A0F" w:rsidRPr="001416ED">
        <w:rPr>
          <w:rFonts w:eastAsiaTheme="minorHAnsi"/>
          <w:b/>
          <w:kern w:val="11"/>
          <w:lang w:val="uk-UA" w:eastAsia="en-US"/>
        </w:rPr>
        <w:t>2</w:t>
      </w:r>
    </w:p>
    <w:p w:rsidR="009000B1" w:rsidRPr="001416ED" w:rsidRDefault="009000B1" w:rsidP="004156AB">
      <w:pPr>
        <w:spacing w:line="360" w:lineRule="auto"/>
        <w:jc w:val="center"/>
        <w:rPr>
          <w:rFonts w:eastAsiaTheme="minorHAnsi"/>
          <w:b/>
          <w:kern w:val="11"/>
          <w:lang w:val="uk-UA" w:eastAsia="en-US"/>
        </w:rPr>
      </w:pPr>
      <w:r w:rsidRPr="001416ED">
        <w:rPr>
          <w:rFonts w:eastAsiaTheme="minorHAnsi"/>
          <w:b/>
          <w:kern w:val="11"/>
          <w:lang w:val="uk-UA" w:eastAsia="en-US"/>
        </w:rPr>
        <w:t>Частота алелей гена ЕТ</w:t>
      </w:r>
      <w:r w:rsidR="00BC0119" w:rsidRPr="001416ED">
        <w:rPr>
          <w:rFonts w:eastAsiaTheme="minorHAnsi"/>
          <w:b/>
          <w:kern w:val="11"/>
          <w:lang w:val="uk-UA" w:eastAsia="en-US"/>
        </w:rPr>
        <w:t>–</w:t>
      </w:r>
      <w:r w:rsidRPr="001416ED">
        <w:rPr>
          <w:rFonts w:eastAsiaTheme="minorHAnsi"/>
          <w:b/>
          <w:kern w:val="11"/>
          <w:lang w:val="uk-UA" w:eastAsia="en-US"/>
        </w:rPr>
        <w:t>1 у чоловіків хворих на ГХ ІІ ст</w:t>
      </w:r>
      <w:r w:rsidR="00D16145" w:rsidRPr="001416ED">
        <w:rPr>
          <w:rFonts w:eastAsiaTheme="minorHAnsi"/>
          <w:b/>
          <w:kern w:val="11"/>
          <w:lang w:val="uk-UA" w:eastAsia="en-US"/>
        </w:rPr>
        <w:t xml:space="preserve">. </w:t>
      </w:r>
      <w:r w:rsidRPr="001416ED">
        <w:rPr>
          <w:rFonts w:eastAsiaTheme="minorHAnsi"/>
          <w:b/>
          <w:kern w:val="11"/>
          <w:lang w:val="uk-UA" w:eastAsia="en-US"/>
        </w:rPr>
        <w:t xml:space="preserve">та </w:t>
      </w:r>
      <w:r w:rsidR="00D66AFA" w:rsidRPr="001416ED">
        <w:rPr>
          <w:rFonts w:eastAsiaTheme="minorHAnsi"/>
          <w:b/>
          <w:kern w:val="11"/>
          <w:lang w:val="uk-UA" w:eastAsia="en-US"/>
        </w:rPr>
        <w:t>ГХ ІІІ ст.</w:t>
      </w:r>
      <w:r w:rsidR="004156AB" w:rsidRPr="001416ED">
        <w:rPr>
          <w:rFonts w:eastAsiaTheme="minorHAnsi"/>
          <w:b/>
          <w:kern w:val="11"/>
          <w:lang w:val="uk-UA" w:eastAsia="en-US"/>
        </w:rPr>
        <w:t xml:space="preserve"> (</w:t>
      </w:r>
      <w:r w:rsidR="00D4219F" w:rsidRPr="001416ED">
        <w:rPr>
          <w:rFonts w:eastAsiaTheme="minorHAnsi"/>
          <w:b/>
          <w:kern w:val="11"/>
          <w:lang w:val="uk-UA" w:eastAsia="en-US"/>
        </w:rPr>
        <w:t>%</w:t>
      </w:r>
      <w:r w:rsidR="004156AB" w:rsidRPr="001416ED">
        <w:rPr>
          <w:rFonts w:eastAsiaTheme="minorHAnsi"/>
          <w:b/>
          <w:kern w:val="11"/>
          <w:lang w:val="uk-UA" w:eastAsia="en-US"/>
        </w:rPr>
        <w:t>)</w:t>
      </w:r>
    </w:p>
    <w:tbl>
      <w:tblPr>
        <w:tblStyle w:val="af5"/>
        <w:tblW w:w="0" w:type="auto"/>
        <w:tblLook w:val="04A0" w:firstRow="1" w:lastRow="0" w:firstColumn="1" w:lastColumn="0" w:noHBand="0" w:noVBand="1"/>
      </w:tblPr>
      <w:tblGrid>
        <w:gridCol w:w="3652"/>
        <w:gridCol w:w="2410"/>
        <w:gridCol w:w="2410"/>
        <w:gridCol w:w="1667"/>
      </w:tblGrid>
      <w:tr w:rsidR="009000B1" w:rsidRPr="001416ED" w:rsidTr="00865ECF">
        <w:tc>
          <w:tcPr>
            <w:tcW w:w="3652" w:type="dxa"/>
          </w:tcPr>
          <w:p w:rsidR="009000B1" w:rsidRPr="001416ED" w:rsidRDefault="009000B1" w:rsidP="006D5F31">
            <w:pPr>
              <w:spacing w:line="360" w:lineRule="auto"/>
              <w:jc w:val="center"/>
              <w:rPr>
                <w:b/>
              </w:rPr>
            </w:pPr>
            <w:r w:rsidRPr="001416ED">
              <w:rPr>
                <w:b/>
              </w:rPr>
              <w:t>Група</w:t>
            </w:r>
          </w:p>
        </w:tc>
        <w:tc>
          <w:tcPr>
            <w:tcW w:w="2410" w:type="dxa"/>
          </w:tcPr>
          <w:p w:rsidR="009000B1" w:rsidRPr="001416ED" w:rsidRDefault="009000B1" w:rsidP="006D5F31">
            <w:pPr>
              <w:spacing w:line="360" w:lineRule="auto"/>
              <w:jc w:val="center"/>
              <w:rPr>
                <w:b/>
                <w:lang w:val="en-US"/>
              </w:rPr>
            </w:pPr>
            <w:r w:rsidRPr="001416ED">
              <w:rPr>
                <w:b/>
              </w:rPr>
              <w:t xml:space="preserve">Носії алелі </w:t>
            </w:r>
            <w:r w:rsidRPr="001416ED">
              <w:rPr>
                <w:b/>
                <w:lang w:val="en-US"/>
              </w:rPr>
              <w:t>Lys</w:t>
            </w:r>
          </w:p>
        </w:tc>
        <w:tc>
          <w:tcPr>
            <w:tcW w:w="2410" w:type="dxa"/>
          </w:tcPr>
          <w:p w:rsidR="009000B1" w:rsidRPr="001416ED" w:rsidRDefault="009000B1" w:rsidP="006D5F31">
            <w:pPr>
              <w:spacing w:line="360" w:lineRule="auto"/>
              <w:jc w:val="center"/>
              <w:rPr>
                <w:b/>
                <w:lang w:val="en-US"/>
              </w:rPr>
            </w:pPr>
            <w:r w:rsidRPr="001416ED">
              <w:rPr>
                <w:b/>
              </w:rPr>
              <w:t xml:space="preserve">Носії алелі </w:t>
            </w:r>
            <w:r w:rsidRPr="001416ED">
              <w:rPr>
                <w:b/>
                <w:lang w:val="en-US"/>
              </w:rPr>
              <w:t>Asn</w:t>
            </w:r>
          </w:p>
        </w:tc>
        <w:tc>
          <w:tcPr>
            <w:tcW w:w="1667" w:type="dxa"/>
          </w:tcPr>
          <w:p w:rsidR="009000B1" w:rsidRPr="001416ED" w:rsidRDefault="009000B1" w:rsidP="006D5F31">
            <w:pPr>
              <w:spacing w:line="360" w:lineRule="auto"/>
              <w:jc w:val="center"/>
              <w:rPr>
                <w:b/>
              </w:rPr>
            </w:pPr>
            <w:r w:rsidRPr="001416ED">
              <w:rPr>
                <w:b/>
              </w:rPr>
              <w:t>р</w:t>
            </w:r>
          </w:p>
        </w:tc>
      </w:tr>
      <w:tr w:rsidR="009000B1" w:rsidRPr="001416ED" w:rsidTr="00865ECF">
        <w:trPr>
          <w:trHeight w:val="373"/>
        </w:trPr>
        <w:tc>
          <w:tcPr>
            <w:tcW w:w="3652" w:type="dxa"/>
          </w:tcPr>
          <w:p w:rsidR="009000B1" w:rsidRPr="001416ED" w:rsidRDefault="003C0C20" w:rsidP="006D5F31">
            <w:pPr>
              <w:spacing w:line="360" w:lineRule="auto"/>
              <w:jc w:val="both"/>
            </w:pPr>
            <w:r w:rsidRPr="001416ED">
              <w:rPr>
                <w:lang w:val="uk-UA"/>
              </w:rPr>
              <w:t>Група контролю</w:t>
            </w:r>
            <w:r w:rsidR="009000B1" w:rsidRPr="001416ED">
              <w:t xml:space="preserve"> (</w:t>
            </w:r>
            <w:r w:rsidR="009000B1" w:rsidRPr="001416ED">
              <w:rPr>
                <w:lang w:val="en-US"/>
              </w:rPr>
              <w:t>n</w:t>
            </w:r>
            <w:r w:rsidR="009000B1" w:rsidRPr="001416ED">
              <w:t>=79</w:t>
            </w:r>
            <w:r w:rsidR="009000B1" w:rsidRPr="001416ED">
              <w:rPr>
                <w:lang w:val="en-US"/>
              </w:rPr>
              <w:t>)</w:t>
            </w:r>
          </w:p>
        </w:tc>
        <w:tc>
          <w:tcPr>
            <w:tcW w:w="2410" w:type="dxa"/>
          </w:tcPr>
          <w:p w:rsidR="009000B1" w:rsidRPr="001416ED" w:rsidRDefault="009000B1" w:rsidP="006D5F31">
            <w:pPr>
              <w:spacing w:line="360" w:lineRule="auto"/>
              <w:jc w:val="center"/>
            </w:pPr>
            <w:r w:rsidRPr="001416ED">
              <w:t>79,75</w:t>
            </w:r>
            <w:r w:rsidR="00D4219F" w:rsidRPr="001416ED">
              <w:t xml:space="preserve"> %</w:t>
            </w:r>
            <w:r w:rsidRPr="001416ED">
              <w:rPr>
                <w:lang w:val="en-US"/>
              </w:rPr>
              <w:t xml:space="preserve"> </w:t>
            </w:r>
            <w:r w:rsidRPr="001416ED">
              <w:t>(1)</w:t>
            </w:r>
          </w:p>
        </w:tc>
        <w:tc>
          <w:tcPr>
            <w:tcW w:w="2410" w:type="dxa"/>
          </w:tcPr>
          <w:p w:rsidR="009000B1" w:rsidRPr="001416ED" w:rsidRDefault="009000B1" w:rsidP="006D5F31">
            <w:pPr>
              <w:spacing w:line="360" w:lineRule="auto"/>
              <w:jc w:val="center"/>
            </w:pPr>
            <w:r w:rsidRPr="001416ED">
              <w:t>20,25</w:t>
            </w:r>
            <w:r w:rsidR="00D4219F" w:rsidRPr="001416ED">
              <w:t xml:space="preserve"> %</w:t>
            </w:r>
            <w:r w:rsidRPr="001416ED">
              <w:t xml:space="preserve"> (4)</w:t>
            </w:r>
          </w:p>
        </w:tc>
        <w:tc>
          <w:tcPr>
            <w:tcW w:w="1667" w:type="dxa"/>
          </w:tcPr>
          <w:p w:rsidR="009000B1" w:rsidRPr="001416ED" w:rsidRDefault="009000B1" w:rsidP="006D5F31">
            <w:pPr>
              <w:spacing w:line="360" w:lineRule="auto"/>
              <w:jc w:val="center"/>
            </w:pPr>
            <w:r w:rsidRPr="001416ED">
              <w:t>р</w:t>
            </w:r>
            <w:r w:rsidR="00866751" w:rsidRPr="001416ED">
              <w:t>&lt;0,000</w:t>
            </w:r>
            <w:r w:rsidRPr="001416ED">
              <w:t>1</w:t>
            </w:r>
          </w:p>
        </w:tc>
      </w:tr>
      <w:tr w:rsidR="009000B1" w:rsidRPr="001416ED" w:rsidTr="00865ECF">
        <w:tc>
          <w:tcPr>
            <w:tcW w:w="3652" w:type="dxa"/>
          </w:tcPr>
          <w:p w:rsidR="009000B1" w:rsidRPr="001416ED" w:rsidRDefault="00AE460F" w:rsidP="006D5F31">
            <w:pPr>
              <w:spacing w:line="360" w:lineRule="auto"/>
            </w:pPr>
            <w:r>
              <w:rPr>
                <w:lang w:val="uk-UA"/>
              </w:rPr>
              <w:t>Чоловіки</w:t>
            </w:r>
            <w:r w:rsidR="009000B1" w:rsidRPr="001416ED">
              <w:rPr>
                <w:lang w:val="uk-UA"/>
              </w:rPr>
              <w:t xml:space="preserve"> з ГХ ІІ ст. </w:t>
            </w:r>
            <w:r w:rsidR="009000B1" w:rsidRPr="001416ED">
              <w:t>(</w:t>
            </w:r>
            <w:r w:rsidR="009000B1" w:rsidRPr="001416ED">
              <w:rPr>
                <w:lang w:val="en-US"/>
              </w:rPr>
              <w:t>n</w:t>
            </w:r>
            <w:r w:rsidR="009000B1" w:rsidRPr="001416ED">
              <w:t>=62)</w:t>
            </w:r>
          </w:p>
        </w:tc>
        <w:tc>
          <w:tcPr>
            <w:tcW w:w="2410" w:type="dxa"/>
          </w:tcPr>
          <w:p w:rsidR="009000B1" w:rsidRPr="001416ED" w:rsidRDefault="009000B1" w:rsidP="006D5F31">
            <w:pPr>
              <w:spacing w:line="360" w:lineRule="auto"/>
              <w:jc w:val="center"/>
            </w:pPr>
            <w:r w:rsidRPr="001416ED">
              <w:t>73,39</w:t>
            </w:r>
            <w:r w:rsidR="00D4219F" w:rsidRPr="001416ED">
              <w:t xml:space="preserve"> %</w:t>
            </w:r>
            <w:r w:rsidRPr="001416ED">
              <w:t xml:space="preserve"> (2)</w:t>
            </w:r>
          </w:p>
        </w:tc>
        <w:tc>
          <w:tcPr>
            <w:tcW w:w="2410" w:type="dxa"/>
          </w:tcPr>
          <w:p w:rsidR="009000B1" w:rsidRPr="001416ED" w:rsidRDefault="009000B1" w:rsidP="006D5F31">
            <w:pPr>
              <w:spacing w:line="360" w:lineRule="auto"/>
              <w:jc w:val="center"/>
            </w:pPr>
            <w:r w:rsidRPr="001416ED">
              <w:t>26,61</w:t>
            </w:r>
            <w:r w:rsidR="00D4219F" w:rsidRPr="001416ED">
              <w:t xml:space="preserve"> %</w:t>
            </w:r>
            <w:r w:rsidR="00544194" w:rsidRPr="001416ED">
              <w:rPr>
                <w:lang w:val="uk-UA"/>
              </w:rPr>
              <w:t xml:space="preserve"> </w:t>
            </w:r>
            <w:r w:rsidRPr="001416ED">
              <w:t>(5)</w:t>
            </w:r>
          </w:p>
        </w:tc>
        <w:tc>
          <w:tcPr>
            <w:tcW w:w="1667" w:type="dxa"/>
          </w:tcPr>
          <w:p w:rsidR="009000B1" w:rsidRPr="001416ED" w:rsidRDefault="009000B1" w:rsidP="006D5F31">
            <w:pPr>
              <w:spacing w:line="360" w:lineRule="auto"/>
              <w:jc w:val="center"/>
            </w:pPr>
            <w:r w:rsidRPr="001416ED">
              <w:t>р</w:t>
            </w:r>
            <w:r w:rsidR="00866751" w:rsidRPr="001416ED">
              <w:t>&lt;0,000</w:t>
            </w:r>
            <w:r w:rsidRPr="001416ED">
              <w:t>1</w:t>
            </w:r>
          </w:p>
        </w:tc>
      </w:tr>
      <w:tr w:rsidR="00C44C83" w:rsidRPr="001416ED" w:rsidTr="00C44C83">
        <w:tc>
          <w:tcPr>
            <w:tcW w:w="3652" w:type="dxa"/>
          </w:tcPr>
          <w:p w:rsidR="00C44C83" w:rsidRPr="001416ED" w:rsidRDefault="00AE460F" w:rsidP="00803F07">
            <w:pPr>
              <w:spacing w:line="360" w:lineRule="auto"/>
            </w:pPr>
            <w:r>
              <w:rPr>
                <w:lang w:val="uk-UA"/>
              </w:rPr>
              <w:t>Чоловіки</w:t>
            </w:r>
            <w:r w:rsidR="00C44C83" w:rsidRPr="001416ED">
              <w:rPr>
                <w:lang w:val="uk-UA"/>
              </w:rPr>
              <w:t xml:space="preserve"> з ГХ ІІІ ст. </w:t>
            </w:r>
            <w:r w:rsidR="00C44C83" w:rsidRPr="001416ED">
              <w:t>(</w:t>
            </w:r>
            <w:r w:rsidR="00C44C83" w:rsidRPr="001416ED">
              <w:rPr>
                <w:lang w:val="en-US"/>
              </w:rPr>
              <w:t>n</w:t>
            </w:r>
            <w:r w:rsidR="00C44C83" w:rsidRPr="001416ED">
              <w:t>=50)</w:t>
            </w:r>
          </w:p>
        </w:tc>
        <w:tc>
          <w:tcPr>
            <w:tcW w:w="2410" w:type="dxa"/>
          </w:tcPr>
          <w:p w:rsidR="00C44C83" w:rsidRPr="001416ED" w:rsidRDefault="00C44C83" w:rsidP="00803F07">
            <w:pPr>
              <w:spacing w:line="360" w:lineRule="auto"/>
              <w:jc w:val="center"/>
            </w:pPr>
            <w:r w:rsidRPr="001416ED">
              <w:t>80,00 %</w:t>
            </w:r>
            <w:r w:rsidRPr="001416ED">
              <w:rPr>
                <w:lang w:val="uk-UA"/>
              </w:rPr>
              <w:t xml:space="preserve"> </w:t>
            </w:r>
            <w:r w:rsidRPr="001416ED">
              <w:t>(3)</w:t>
            </w:r>
          </w:p>
        </w:tc>
        <w:tc>
          <w:tcPr>
            <w:tcW w:w="2410" w:type="dxa"/>
          </w:tcPr>
          <w:p w:rsidR="00C44C83" w:rsidRPr="001416ED" w:rsidRDefault="00C44C83" w:rsidP="00803F07">
            <w:pPr>
              <w:spacing w:line="360" w:lineRule="auto"/>
              <w:jc w:val="center"/>
            </w:pPr>
            <w:r w:rsidRPr="001416ED">
              <w:t>20,00 % (6)</w:t>
            </w:r>
          </w:p>
        </w:tc>
        <w:tc>
          <w:tcPr>
            <w:tcW w:w="1667" w:type="dxa"/>
          </w:tcPr>
          <w:p w:rsidR="00C44C83" w:rsidRPr="001416ED" w:rsidRDefault="00C44C83" w:rsidP="00803F07">
            <w:pPr>
              <w:spacing w:line="360" w:lineRule="auto"/>
              <w:jc w:val="center"/>
            </w:pPr>
            <w:r w:rsidRPr="001416ED">
              <w:t>р&lt;0,0001</w:t>
            </w:r>
          </w:p>
        </w:tc>
      </w:tr>
    </w:tbl>
    <w:p w:rsidR="00865ECF" w:rsidRPr="001416ED" w:rsidRDefault="00865ECF" w:rsidP="00865ECF">
      <w:pPr>
        <w:spacing w:before="240" w:line="360" w:lineRule="auto"/>
        <w:ind w:firstLine="709"/>
        <w:jc w:val="right"/>
        <w:rPr>
          <w:rFonts w:eastAsiaTheme="minorHAnsi"/>
          <w:kern w:val="11"/>
          <w:lang w:val="uk-UA" w:eastAsia="en-US"/>
        </w:rPr>
      </w:pPr>
      <w:r w:rsidRPr="001416ED">
        <w:rPr>
          <w:rFonts w:eastAsiaTheme="minorHAnsi"/>
          <w:i/>
          <w:kern w:val="11"/>
          <w:lang w:val="uk-UA" w:eastAsia="en-US"/>
        </w:rPr>
        <w:lastRenderedPageBreak/>
        <w:t>Продовження табл. 4.2</w:t>
      </w:r>
    </w:p>
    <w:tbl>
      <w:tblPr>
        <w:tblStyle w:val="af5"/>
        <w:tblW w:w="0" w:type="auto"/>
        <w:tblLook w:val="04A0" w:firstRow="1" w:lastRow="0" w:firstColumn="1" w:lastColumn="0" w:noHBand="0" w:noVBand="1"/>
      </w:tblPr>
      <w:tblGrid>
        <w:gridCol w:w="2534"/>
        <w:gridCol w:w="2535"/>
        <w:gridCol w:w="2535"/>
        <w:gridCol w:w="2535"/>
      </w:tblGrid>
      <w:tr w:rsidR="00865ECF" w:rsidRPr="001416ED" w:rsidTr="00865ECF">
        <w:tc>
          <w:tcPr>
            <w:tcW w:w="2534" w:type="dxa"/>
          </w:tcPr>
          <w:p w:rsidR="00865ECF" w:rsidRPr="001416ED" w:rsidRDefault="00865ECF" w:rsidP="00B86142">
            <w:pPr>
              <w:spacing w:line="360" w:lineRule="auto"/>
            </w:pPr>
            <w:r w:rsidRPr="001416ED">
              <w:t>р</w:t>
            </w:r>
          </w:p>
        </w:tc>
        <w:tc>
          <w:tcPr>
            <w:tcW w:w="2535" w:type="dxa"/>
          </w:tcPr>
          <w:p w:rsidR="00865ECF" w:rsidRPr="001416ED" w:rsidRDefault="00865ECF" w:rsidP="00B86142">
            <w:pPr>
              <w:spacing w:line="360" w:lineRule="auto"/>
              <w:jc w:val="center"/>
            </w:pPr>
            <w:r w:rsidRPr="001416ED">
              <w:t>р</w:t>
            </w:r>
            <w:r w:rsidRPr="001416ED">
              <w:rPr>
                <w:vertAlign w:val="subscript"/>
              </w:rPr>
              <w:t>2–1</w:t>
            </w:r>
            <w:r w:rsidRPr="001416ED">
              <w:t>&gt;0,05</w:t>
            </w:r>
            <w:r w:rsidRPr="001416ED">
              <w:rPr>
                <w:lang w:val="uk-UA"/>
              </w:rPr>
              <w:t xml:space="preserve">; </w:t>
            </w:r>
            <w:r w:rsidRPr="001416ED">
              <w:t>р</w:t>
            </w:r>
            <w:r w:rsidRPr="001416ED">
              <w:rPr>
                <w:vertAlign w:val="subscript"/>
              </w:rPr>
              <w:t>3–1</w:t>
            </w:r>
            <w:r w:rsidRPr="001416ED">
              <w:t>&gt;0,05</w:t>
            </w:r>
          </w:p>
          <w:p w:rsidR="00865ECF" w:rsidRPr="001416ED" w:rsidRDefault="00865ECF" w:rsidP="00B86142">
            <w:pPr>
              <w:spacing w:line="360" w:lineRule="auto"/>
              <w:jc w:val="center"/>
            </w:pPr>
            <w:r w:rsidRPr="001416ED">
              <w:t>р</w:t>
            </w:r>
            <w:r w:rsidRPr="001416ED">
              <w:rPr>
                <w:vertAlign w:val="subscript"/>
              </w:rPr>
              <w:t>3–2</w:t>
            </w:r>
            <w:r w:rsidRPr="001416ED">
              <w:t>&gt;0,05</w:t>
            </w:r>
          </w:p>
        </w:tc>
        <w:tc>
          <w:tcPr>
            <w:tcW w:w="2535" w:type="dxa"/>
          </w:tcPr>
          <w:p w:rsidR="00865ECF" w:rsidRPr="001416ED" w:rsidRDefault="00865ECF" w:rsidP="00B86142">
            <w:pPr>
              <w:spacing w:line="360" w:lineRule="auto"/>
              <w:jc w:val="center"/>
            </w:pPr>
            <w:r w:rsidRPr="001416ED">
              <w:t>р</w:t>
            </w:r>
            <w:r w:rsidRPr="001416ED">
              <w:rPr>
                <w:vertAlign w:val="subscript"/>
              </w:rPr>
              <w:t>5–4</w:t>
            </w:r>
            <w:r w:rsidRPr="001416ED">
              <w:t>&gt;0,05</w:t>
            </w:r>
            <w:r w:rsidRPr="001416ED">
              <w:rPr>
                <w:lang w:val="uk-UA"/>
              </w:rPr>
              <w:t xml:space="preserve">; </w:t>
            </w:r>
            <w:r w:rsidRPr="001416ED">
              <w:t>р</w:t>
            </w:r>
            <w:r w:rsidRPr="001416ED">
              <w:rPr>
                <w:vertAlign w:val="subscript"/>
              </w:rPr>
              <w:t>6–4</w:t>
            </w:r>
            <w:r w:rsidRPr="001416ED">
              <w:t>&gt;0,05</w:t>
            </w:r>
          </w:p>
          <w:p w:rsidR="00865ECF" w:rsidRPr="001416ED" w:rsidRDefault="00865ECF" w:rsidP="00B86142">
            <w:pPr>
              <w:spacing w:line="360" w:lineRule="auto"/>
              <w:jc w:val="center"/>
            </w:pPr>
            <w:r w:rsidRPr="001416ED">
              <w:t>р</w:t>
            </w:r>
            <w:r w:rsidRPr="001416ED">
              <w:rPr>
                <w:vertAlign w:val="subscript"/>
              </w:rPr>
              <w:t>6–5</w:t>
            </w:r>
            <w:r w:rsidRPr="001416ED">
              <w:t>&gt;0,05</w:t>
            </w:r>
          </w:p>
        </w:tc>
        <w:tc>
          <w:tcPr>
            <w:tcW w:w="2535" w:type="dxa"/>
          </w:tcPr>
          <w:p w:rsidR="00865ECF" w:rsidRPr="001416ED" w:rsidRDefault="00865ECF" w:rsidP="00B86142">
            <w:pPr>
              <w:spacing w:line="360" w:lineRule="auto"/>
              <w:jc w:val="center"/>
            </w:pPr>
          </w:p>
        </w:tc>
      </w:tr>
    </w:tbl>
    <w:p w:rsidR="009000B1" w:rsidRPr="001416ED" w:rsidRDefault="002310D7" w:rsidP="00A87515">
      <w:pPr>
        <w:spacing w:before="240" w:line="360" w:lineRule="auto"/>
        <w:ind w:firstLine="709"/>
        <w:jc w:val="both"/>
        <w:rPr>
          <w:lang w:val="uk-UA"/>
        </w:rPr>
      </w:pPr>
      <w:r w:rsidRPr="001416ED">
        <w:rPr>
          <w:rFonts w:eastAsiaTheme="minorHAnsi"/>
          <w:kern w:val="11"/>
          <w:lang w:val="uk-UA" w:eastAsia="en-US"/>
        </w:rPr>
        <w:t>У чоловіків з ГХ ІІ ст</w:t>
      </w:r>
      <w:r w:rsidR="004B1C12" w:rsidRPr="001416ED">
        <w:rPr>
          <w:rFonts w:eastAsiaTheme="minorHAnsi"/>
          <w:kern w:val="11"/>
          <w:lang w:val="uk-UA" w:eastAsia="en-US"/>
        </w:rPr>
        <w:t>.</w:t>
      </w:r>
      <w:r w:rsidRPr="001416ED">
        <w:rPr>
          <w:rFonts w:eastAsiaTheme="minorHAnsi"/>
          <w:kern w:val="11"/>
          <w:lang w:val="uk-UA" w:eastAsia="en-US"/>
        </w:rPr>
        <w:t xml:space="preserve"> та </w:t>
      </w:r>
      <w:r w:rsidR="004B1C12" w:rsidRPr="001416ED">
        <w:rPr>
          <w:rFonts w:eastAsiaTheme="minorHAnsi"/>
          <w:kern w:val="11"/>
          <w:lang w:val="uk-UA" w:eastAsia="en-US"/>
        </w:rPr>
        <w:t xml:space="preserve">ГХ ІІІ ст. </w:t>
      </w:r>
      <w:r w:rsidRPr="001416ED">
        <w:rPr>
          <w:rFonts w:eastAsiaTheme="minorHAnsi"/>
          <w:kern w:val="11"/>
          <w:lang w:val="uk-UA" w:eastAsia="en-US"/>
        </w:rPr>
        <w:t>як і у осіб групи контролю достовірно домінує алель</w:t>
      </w:r>
      <w:r w:rsidRPr="001416ED">
        <w:rPr>
          <w:b/>
          <w:lang w:val="uk-UA"/>
        </w:rPr>
        <w:t xml:space="preserve"> </w:t>
      </w:r>
      <w:r w:rsidRPr="001416ED">
        <w:rPr>
          <w:lang w:val="en-US"/>
        </w:rPr>
        <w:t>Lys</w:t>
      </w:r>
      <w:r w:rsidR="0080440E" w:rsidRPr="001416ED">
        <w:rPr>
          <w:lang w:val="uk-UA"/>
        </w:rPr>
        <w:t>, однак не виявлено вірогідної різниці у частоті алелей гена ЕТ</w:t>
      </w:r>
      <w:r w:rsidR="00BC0119" w:rsidRPr="001416ED">
        <w:rPr>
          <w:lang w:val="uk-UA"/>
        </w:rPr>
        <w:t>–</w:t>
      </w:r>
      <w:r w:rsidR="007C1C6A" w:rsidRPr="001416ED">
        <w:rPr>
          <w:lang w:val="uk-UA"/>
        </w:rPr>
        <w:t>1</w:t>
      </w:r>
      <w:r w:rsidR="0080440E" w:rsidRPr="001416ED">
        <w:rPr>
          <w:lang w:val="uk-UA"/>
        </w:rPr>
        <w:t xml:space="preserve"> між групою </w:t>
      </w:r>
      <w:r w:rsidR="00472F94" w:rsidRPr="001416ED">
        <w:rPr>
          <w:lang w:val="uk-UA"/>
        </w:rPr>
        <w:t>контролю</w:t>
      </w:r>
      <w:r w:rsidR="0080440E" w:rsidRPr="001416ED">
        <w:rPr>
          <w:lang w:val="uk-UA"/>
        </w:rPr>
        <w:t xml:space="preserve"> та особами, що мають ГХ </w:t>
      </w:r>
      <w:r w:rsidR="005B4AEE" w:rsidRPr="001416ED">
        <w:rPr>
          <w:lang w:val="uk-UA"/>
        </w:rPr>
        <w:t xml:space="preserve">різної </w:t>
      </w:r>
      <w:r w:rsidR="00046A18" w:rsidRPr="001416ED">
        <w:rPr>
          <w:lang w:val="uk-UA"/>
        </w:rPr>
        <w:t>стадії</w:t>
      </w:r>
      <w:r w:rsidRPr="001416ED">
        <w:rPr>
          <w:lang w:val="uk-UA"/>
        </w:rPr>
        <w:t>.</w:t>
      </w:r>
      <w:r w:rsidR="0080440E" w:rsidRPr="001416ED">
        <w:rPr>
          <w:lang w:val="uk-UA"/>
        </w:rPr>
        <w:t xml:space="preserve"> </w:t>
      </w:r>
    </w:p>
    <w:p w:rsidR="00A87515" w:rsidRPr="001416ED" w:rsidRDefault="00A87515" w:rsidP="00073F7F">
      <w:pPr>
        <w:spacing w:line="360" w:lineRule="auto"/>
        <w:ind w:firstLine="709"/>
        <w:jc w:val="both"/>
        <w:rPr>
          <w:rFonts w:eastAsiaTheme="minorHAnsi"/>
          <w:kern w:val="11"/>
          <w:lang w:val="uk-UA" w:eastAsia="en-US"/>
        </w:rPr>
      </w:pPr>
      <w:r w:rsidRPr="001416ED">
        <w:rPr>
          <w:rFonts w:eastAsiaTheme="minorHAnsi"/>
          <w:kern w:val="11"/>
          <w:lang w:val="uk-UA" w:eastAsia="en-US"/>
        </w:rPr>
        <w:t>За допомогою калькулятора «випадок</w:t>
      </w:r>
      <w:r w:rsidR="00BC0119" w:rsidRPr="001416ED">
        <w:rPr>
          <w:rFonts w:eastAsiaTheme="minorHAnsi"/>
          <w:kern w:val="11"/>
          <w:lang w:val="uk-UA" w:eastAsia="en-US"/>
        </w:rPr>
        <w:t>–</w:t>
      </w:r>
      <w:r w:rsidRPr="001416ED">
        <w:rPr>
          <w:rFonts w:eastAsiaTheme="minorHAnsi"/>
          <w:kern w:val="11"/>
          <w:lang w:val="uk-UA" w:eastAsia="en-US"/>
        </w:rPr>
        <w:t>контроль» бул</w:t>
      </w:r>
      <w:r w:rsidR="00A15DDB" w:rsidRPr="001416ED">
        <w:rPr>
          <w:rFonts w:eastAsiaTheme="minorHAnsi"/>
          <w:kern w:val="11"/>
          <w:lang w:val="uk-UA" w:eastAsia="en-US"/>
        </w:rPr>
        <w:t xml:space="preserve">а зроблена спроба </w:t>
      </w:r>
      <w:r w:rsidRPr="001416ED">
        <w:rPr>
          <w:rFonts w:eastAsiaTheme="minorHAnsi"/>
          <w:kern w:val="11"/>
          <w:lang w:val="uk-UA" w:eastAsia="en-US"/>
        </w:rPr>
        <w:t>визнач</w:t>
      </w:r>
      <w:r w:rsidR="00A15DDB" w:rsidRPr="001416ED">
        <w:rPr>
          <w:rFonts w:eastAsiaTheme="minorHAnsi"/>
          <w:kern w:val="11"/>
          <w:lang w:val="uk-UA" w:eastAsia="en-US"/>
        </w:rPr>
        <w:t>ити</w:t>
      </w:r>
      <w:r w:rsidRPr="001416ED">
        <w:rPr>
          <w:rFonts w:eastAsiaTheme="minorHAnsi"/>
          <w:kern w:val="11"/>
          <w:lang w:val="uk-UA" w:eastAsia="en-US"/>
        </w:rPr>
        <w:t xml:space="preserve"> можливість захворіти на ГХ серед чоловіків</w:t>
      </w:r>
      <w:r w:rsidR="00BC0119" w:rsidRPr="001416ED">
        <w:rPr>
          <w:rFonts w:eastAsiaTheme="minorHAnsi"/>
          <w:kern w:val="11"/>
          <w:lang w:val="uk-UA" w:eastAsia="en-US"/>
        </w:rPr>
        <w:t>–</w:t>
      </w:r>
      <w:r w:rsidRPr="001416ED">
        <w:rPr>
          <w:rFonts w:eastAsiaTheme="minorHAnsi"/>
          <w:kern w:val="11"/>
          <w:lang w:val="uk-UA" w:eastAsia="en-US"/>
        </w:rPr>
        <w:t xml:space="preserve">носіїв </w:t>
      </w:r>
      <w:r w:rsidR="00E6164F">
        <w:rPr>
          <w:rFonts w:eastAsiaTheme="minorHAnsi"/>
          <w:kern w:val="11"/>
          <w:lang w:val="uk-UA" w:eastAsia="en-US"/>
        </w:rPr>
        <w:t>поліморфних варіантів гена ЕТ–1</w:t>
      </w:r>
      <w:r w:rsidR="00B66484" w:rsidRPr="001416ED">
        <w:rPr>
          <w:rFonts w:eastAsiaTheme="minorHAnsi"/>
          <w:kern w:val="11"/>
          <w:lang w:val="uk-UA" w:eastAsia="en-US"/>
        </w:rPr>
        <w:t xml:space="preserve"> (http://gen</w:t>
      </w:r>
      <w:r w:rsidR="00BC0119" w:rsidRPr="001416ED">
        <w:rPr>
          <w:rFonts w:eastAsiaTheme="minorHAnsi"/>
          <w:kern w:val="11"/>
          <w:lang w:val="uk-UA" w:eastAsia="en-US"/>
        </w:rPr>
        <w:t>–</w:t>
      </w:r>
      <w:r w:rsidR="00B66484" w:rsidRPr="001416ED">
        <w:rPr>
          <w:rFonts w:eastAsiaTheme="minorHAnsi"/>
          <w:kern w:val="11"/>
          <w:lang w:val="uk-UA" w:eastAsia="en-US"/>
        </w:rPr>
        <w:t>exp.ru/calculator_or.php)</w:t>
      </w:r>
      <w:r w:rsidRPr="001416ED">
        <w:rPr>
          <w:rFonts w:eastAsiaTheme="minorHAnsi"/>
          <w:kern w:val="11"/>
          <w:lang w:val="uk-UA" w:eastAsia="en-US"/>
        </w:rPr>
        <w:t>.</w:t>
      </w:r>
      <w:r w:rsidR="00602690" w:rsidRPr="001416ED">
        <w:rPr>
          <w:lang w:val="uk-UA"/>
        </w:rPr>
        <w:t xml:space="preserve"> </w:t>
      </w:r>
      <w:r w:rsidR="00397F97" w:rsidRPr="001416ED">
        <w:rPr>
          <w:lang w:val="uk-UA"/>
        </w:rPr>
        <w:t>Виявилось, що носійство будь</w:t>
      </w:r>
      <w:r w:rsidR="00BC0119" w:rsidRPr="001416ED">
        <w:rPr>
          <w:lang w:val="uk-UA"/>
        </w:rPr>
        <w:t>–</w:t>
      </w:r>
      <w:r w:rsidR="00397F97" w:rsidRPr="001416ED">
        <w:rPr>
          <w:lang w:val="uk-UA"/>
        </w:rPr>
        <w:t>якого</w:t>
      </w:r>
      <w:r w:rsidR="00147CF5" w:rsidRPr="001416ED">
        <w:rPr>
          <w:lang w:val="uk-UA"/>
        </w:rPr>
        <w:t xml:space="preserve"> </w:t>
      </w:r>
      <w:r w:rsidR="00E6164F">
        <w:rPr>
          <w:lang w:val="uk-UA"/>
        </w:rPr>
        <w:t>поліморфного варіанту гена</w:t>
      </w:r>
      <w:r w:rsidR="00602690" w:rsidRPr="001416ED">
        <w:rPr>
          <w:rFonts w:eastAsiaTheme="minorHAnsi"/>
          <w:kern w:val="11"/>
          <w:lang w:val="uk-UA" w:eastAsia="en-US"/>
        </w:rPr>
        <w:t xml:space="preserve"> ЕТ</w:t>
      </w:r>
      <w:r w:rsidR="00BC0119" w:rsidRPr="001416ED">
        <w:rPr>
          <w:rFonts w:eastAsiaTheme="minorHAnsi"/>
          <w:kern w:val="11"/>
          <w:lang w:val="uk-UA" w:eastAsia="en-US"/>
        </w:rPr>
        <w:t>–</w:t>
      </w:r>
      <w:r w:rsidR="00602690" w:rsidRPr="001416ED">
        <w:rPr>
          <w:rFonts w:eastAsiaTheme="minorHAnsi"/>
          <w:kern w:val="11"/>
          <w:lang w:val="uk-UA" w:eastAsia="en-US"/>
        </w:rPr>
        <w:t>1 не асоціюється з ризиком розвитку ГХ ІІ ст</w:t>
      </w:r>
      <w:r w:rsidR="00B66484" w:rsidRPr="001416ED">
        <w:rPr>
          <w:rFonts w:eastAsiaTheme="minorHAnsi"/>
          <w:kern w:val="11"/>
          <w:lang w:val="uk-UA" w:eastAsia="en-US"/>
        </w:rPr>
        <w:t>.</w:t>
      </w:r>
      <w:r w:rsidR="00602690" w:rsidRPr="001416ED">
        <w:rPr>
          <w:rFonts w:eastAsiaTheme="minorHAnsi"/>
          <w:kern w:val="11"/>
          <w:lang w:val="uk-UA" w:eastAsia="en-US"/>
        </w:rPr>
        <w:t xml:space="preserve"> (для генотипів загальна модель наслідування не достовірна χ2=2,40; р=0,3; відношення шансів OR&lt;1; для алелей мультиплікативна модель наслідування не достовірна χ2=2,73; р=0,1; відношення шансів OR&lt;1)</w:t>
      </w:r>
      <w:r w:rsidR="00D201D1" w:rsidRPr="001416ED">
        <w:rPr>
          <w:rFonts w:eastAsiaTheme="minorHAnsi"/>
          <w:kern w:val="11"/>
          <w:lang w:val="uk-UA" w:eastAsia="en-US"/>
        </w:rPr>
        <w:t xml:space="preserve"> та ХСН </w:t>
      </w:r>
      <w:r w:rsidR="004A4E68" w:rsidRPr="001416ED">
        <w:rPr>
          <w:rFonts w:eastAsiaTheme="minorHAnsi"/>
          <w:kern w:val="11"/>
          <w:lang w:val="uk-UA" w:eastAsia="en-US"/>
        </w:rPr>
        <w:t>ІІ А</w:t>
      </w:r>
      <w:r w:rsidR="00D201D1" w:rsidRPr="001416ED">
        <w:rPr>
          <w:rFonts w:eastAsiaTheme="minorHAnsi"/>
          <w:kern w:val="11"/>
          <w:lang w:val="uk-UA" w:eastAsia="en-US"/>
        </w:rPr>
        <w:t xml:space="preserve"> ст</w:t>
      </w:r>
      <w:r w:rsidR="00B66484" w:rsidRPr="001416ED">
        <w:rPr>
          <w:rFonts w:eastAsiaTheme="minorHAnsi"/>
          <w:kern w:val="11"/>
          <w:lang w:val="uk-UA" w:eastAsia="en-US"/>
        </w:rPr>
        <w:t>.</w:t>
      </w:r>
      <w:r w:rsidR="00EF39DC" w:rsidRPr="001416ED">
        <w:rPr>
          <w:rFonts w:eastAsiaTheme="minorHAnsi"/>
          <w:kern w:val="11"/>
          <w:lang w:val="uk-UA" w:eastAsia="en-US"/>
        </w:rPr>
        <w:t xml:space="preserve"> на тлі ГХ</w:t>
      </w:r>
      <w:r w:rsidR="009C0DD3" w:rsidRPr="001416ED">
        <w:rPr>
          <w:rFonts w:eastAsiaTheme="minorHAnsi"/>
          <w:kern w:val="11"/>
          <w:lang w:val="uk-UA" w:eastAsia="en-US"/>
        </w:rPr>
        <w:t xml:space="preserve"> </w:t>
      </w:r>
      <w:r w:rsidR="008A0CC2" w:rsidRPr="001416ED">
        <w:rPr>
          <w:rFonts w:eastAsiaTheme="minorHAnsi"/>
          <w:kern w:val="11"/>
          <w:lang w:val="uk-UA" w:eastAsia="en-US"/>
        </w:rPr>
        <w:t>(</w:t>
      </w:r>
      <w:r w:rsidR="009C0DD3" w:rsidRPr="001416ED">
        <w:rPr>
          <w:rFonts w:eastAsiaTheme="minorHAnsi"/>
          <w:kern w:val="11"/>
          <w:lang w:val="uk-UA" w:eastAsia="en-US"/>
        </w:rPr>
        <w:t xml:space="preserve">для генотипів загальна модель наслідування не достовірна </w:t>
      </w:r>
      <w:r w:rsidR="008A0CC2" w:rsidRPr="001416ED">
        <w:rPr>
          <w:rFonts w:eastAsiaTheme="minorHAnsi"/>
          <w:kern w:val="11"/>
          <w:lang w:val="uk-UA" w:eastAsia="en-US"/>
        </w:rPr>
        <w:t xml:space="preserve">χ2=0,01; р=1; </w:t>
      </w:r>
      <w:r w:rsidR="009C0DD3" w:rsidRPr="001416ED">
        <w:rPr>
          <w:rFonts w:eastAsiaTheme="minorHAnsi"/>
          <w:kern w:val="11"/>
          <w:lang w:val="uk-UA" w:eastAsia="en-US"/>
        </w:rPr>
        <w:t xml:space="preserve">відношення шансів </w:t>
      </w:r>
      <w:r w:rsidR="008A0CC2" w:rsidRPr="001416ED">
        <w:rPr>
          <w:rFonts w:eastAsiaTheme="minorHAnsi"/>
          <w:kern w:val="11"/>
          <w:lang w:val="uk-UA" w:eastAsia="en-US"/>
        </w:rPr>
        <w:t xml:space="preserve">OR&lt;1, </w:t>
      </w:r>
      <w:r w:rsidR="009C0DD3" w:rsidRPr="001416ED">
        <w:rPr>
          <w:rFonts w:eastAsiaTheme="minorHAnsi"/>
          <w:kern w:val="11"/>
          <w:lang w:val="uk-UA" w:eastAsia="en-US"/>
        </w:rPr>
        <w:t xml:space="preserve">для алелей мультиплікативна модель наслідування не достовірна </w:t>
      </w:r>
      <w:r w:rsidR="008A0CC2" w:rsidRPr="001416ED">
        <w:rPr>
          <w:rFonts w:eastAsiaTheme="minorHAnsi"/>
          <w:kern w:val="11"/>
          <w:lang w:val="uk-UA" w:eastAsia="en-US"/>
        </w:rPr>
        <w:t xml:space="preserve">χ2=0,00, р=0,98; </w:t>
      </w:r>
      <w:r w:rsidR="009C0DD3" w:rsidRPr="001416ED">
        <w:rPr>
          <w:rFonts w:eastAsiaTheme="minorHAnsi"/>
          <w:kern w:val="11"/>
          <w:lang w:val="uk-UA" w:eastAsia="en-US"/>
        </w:rPr>
        <w:t xml:space="preserve">відношення шансів </w:t>
      </w:r>
      <w:r w:rsidR="008A0CC2" w:rsidRPr="001416ED">
        <w:rPr>
          <w:rFonts w:eastAsiaTheme="minorHAnsi"/>
          <w:kern w:val="11"/>
          <w:lang w:val="uk-UA" w:eastAsia="en-US"/>
        </w:rPr>
        <w:t>OR&lt;1).</w:t>
      </w:r>
    </w:p>
    <w:p w:rsidR="00073F7F" w:rsidRPr="001416ED" w:rsidRDefault="00073F7F" w:rsidP="006534E3">
      <w:pPr>
        <w:spacing w:after="240" w:line="360" w:lineRule="auto"/>
        <w:ind w:firstLine="709"/>
        <w:jc w:val="both"/>
        <w:rPr>
          <w:rFonts w:eastAsiaTheme="minorHAnsi"/>
          <w:kern w:val="11"/>
          <w:lang w:val="uk-UA" w:eastAsia="en-US"/>
        </w:rPr>
      </w:pPr>
      <w:r w:rsidRPr="001416ED">
        <w:rPr>
          <w:rFonts w:eastAsiaTheme="minorHAnsi"/>
          <w:kern w:val="11"/>
          <w:lang w:val="uk-UA" w:eastAsia="en-US"/>
        </w:rPr>
        <w:t xml:space="preserve">Враховуючи той факт, що </w:t>
      </w:r>
      <w:r w:rsidR="005B4AEE" w:rsidRPr="001416ED">
        <w:rPr>
          <w:rFonts w:eastAsiaTheme="minorHAnsi"/>
          <w:kern w:val="11"/>
          <w:lang w:val="uk-UA" w:eastAsia="en-US"/>
        </w:rPr>
        <w:t xml:space="preserve">активність </w:t>
      </w:r>
      <w:r w:rsidRPr="001416ED">
        <w:rPr>
          <w:rFonts w:eastAsiaTheme="minorHAnsi"/>
          <w:kern w:val="11"/>
          <w:lang w:val="uk-UA" w:eastAsia="en-US"/>
        </w:rPr>
        <w:t>ЕТ</w:t>
      </w:r>
      <w:r w:rsidR="00BC0119" w:rsidRPr="001416ED">
        <w:rPr>
          <w:rFonts w:eastAsiaTheme="minorHAnsi"/>
          <w:kern w:val="11"/>
          <w:lang w:val="uk-UA" w:eastAsia="en-US"/>
        </w:rPr>
        <w:t>–</w:t>
      </w:r>
      <w:r w:rsidRPr="001416ED">
        <w:rPr>
          <w:rFonts w:eastAsiaTheme="minorHAnsi"/>
          <w:kern w:val="11"/>
          <w:lang w:val="uk-UA" w:eastAsia="en-US"/>
        </w:rPr>
        <w:t xml:space="preserve">1 </w:t>
      </w:r>
      <w:r w:rsidR="005B4AEE" w:rsidRPr="001416ED">
        <w:rPr>
          <w:rFonts w:eastAsiaTheme="minorHAnsi"/>
          <w:kern w:val="11"/>
          <w:lang w:val="uk-UA" w:eastAsia="en-US"/>
        </w:rPr>
        <w:t>односпрямован</w:t>
      </w:r>
      <w:r w:rsidR="000E2EEA" w:rsidRPr="001416ED">
        <w:rPr>
          <w:rFonts w:eastAsiaTheme="minorHAnsi"/>
          <w:kern w:val="11"/>
          <w:lang w:val="uk-UA" w:eastAsia="en-US"/>
        </w:rPr>
        <w:t>а</w:t>
      </w:r>
      <w:r w:rsidR="005B4AEE" w:rsidRPr="001416ED">
        <w:rPr>
          <w:rFonts w:eastAsiaTheme="minorHAnsi"/>
          <w:kern w:val="11"/>
          <w:lang w:val="uk-UA" w:eastAsia="en-US"/>
        </w:rPr>
        <w:t xml:space="preserve"> із</w:t>
      </w:r>
      <w:r w:rsidRPr="001416ED">
        <w:rPr>
          <w:rFonts w:eastAsiaTheme="minorHAnsi"/>
          <w:kern w:val="11"/>
          <w:lang w:val="uk-UA" w:eastAsia="en-US"/>
        </w:rPr>
        <w:t xml:space="preserve"> систем</w:t>
      </w:r>
      <w:r w:rsidR="005B4AEE" w:rsidRPr="001416ED">
        <w:rPr>
          <w:rFonts w:eastAsiaTheme="minorHAnsi"/>
          <w:kern w:val="11"/>
          <w:lang w:val="uk-UA" w:eastAsia="en-US"/>
        </w:rPr>
        <w:t>ою</w:t>
      </w:r>
      <w:r w:rsidRPr="001416ED">
        <w:rPr>
          <w:rFonts w:eastAsiaTheme="minorHAnsi"/>
          <w:kern w:val="11"/>
          <w:lang w:val="uk-UA" w:eastAsia="en-US"/>
        </w:rPr>
        <w:t xml:space="preserve"> РААС, була визначена частота </w:t>
      </w:r>
      <w:r w:rsidR="00556E38">
        <w:rPr>
          <w:rFonts w:eastAsiaTheme="minorHAnsi"/>
          <w:kern w:val="11"/>
          <w:lang w:val="uk-UA" w:eastAsia="en-US"/>
        </w:rPr>
        <w:t xml:space="preserve">поліморфних </w:t>
      </w:r>
      <w:r w:rsidR="00F40216">
        <w:rPr>
          <w:rFonts w:eastAsiaTheme="minorHAnsi"/>
          <w:kern w:val="11"/>
          <w:lang w:val="uk-UA" w:eastAsia="en-US"/>
        </w:rPr>
        <w:t>варіантів гена</w:t>
      </w:r>
      <w:r w:rsidRPr="001416ED">
        <w:rPr>
          <w:rFonts w:eastAsiaTheme="minorHAnsi"/>
          <w:kern w:val="11"/>
          <w:lang w:val="uk-UA" w:eastAsia="en-US"/>
        </w:rPr>
        <w:t xml:space="preserve"> АТ1</w:t>
      </w:r>
      <w:r w:rsidR="00BC0119" w:rsidRPr="001416ED">
        <w:rPr>
          <w:rFonts w:eastAsiaTheme="minorHAnsi"/>
          <w:kern w:val="11"/>
          <w:lang w:val="uk-UA" w:eastAsia="en-US"/>
        </w:rPr>
        <w:t>–</w:t>
      </w:r>
      <w:r w:rsidRPr="001416ED">
        <w:rPr>
          <w:rFonts w:eastAsiaTheme="minorHAnsi"/>
          <w:kern w:val="11"/>
          <w:lang w:val="uk-UA" w:eastAsia="en-US"/>
        </w:rPr>
        <w:t>Р у чоловіків</w:t>
      </w:r>
      <w:r w:rsidR="004E19A1" w:rsidRPr="001416ED">
        <w:rPr>
          <w:rFonts w:eastAsiaTheme="minorHAnsi"/>
          <w:kern w:val="11"/>
          <w:lang w:val="uk-UA" w:eastAsia="en-US"/>
        </w:rPr>
        <w:t xml:space="preserve"> </w:t>
      </w:r>
      <w:r w:rsidR="00BC0119" w:rsidRPr="001416ED">
        <w:rPr>
          <w:rFonts w:eastAsiaTheme="minorHAnsi"/>
          <w:kern w:val="11"/>
          <w:lang w:val="uk-UA" w:eastAsia="en-US"/>
        </w:rPr>
        <w:t>–</w:t>
      </w:r>
      <w:r w:rsidR="000C7724" w:rsidRPr="001416ED">
        <w:rPr>
          <w:rFonts w:eastAsiaTheme="minorHAnsi"/>
          <w:kern w:val="11"/>
          <w:lang w:val="uk-UA" w:eastAsia="en-US"/>
        </w:rPr>
        <w:t xml:space="preserve"> </w:t>
      </w:r>
      <w:r w:rsidRPr="001416ED">
        <w:rPr>
          <w:rFonts w:eastAsiaTheme="minorHAnsi"/>
          <w:kern w:val="11"/>
          <w:lang w:val="uk-UA" w:eastAsia="en-US"/>
        </w:rPr>
        <w:t>носії</w:t>
      </w:r>
      <w:r w:rsidR="004E19A1" w:rsidRPr="001416ED">
        <w:rPr>
          <w:rFonts w:eastAsiaTheme="minorHAnsi"/>
          <w:kern w:val="11"/>
          <w:lang w:val="uk-UA" w:eastAsia="en-US"/>
        </w:rPr>
        <w:t>в</w:t>
      </w:r>
      <w:r w:rsidRPr="001416ED">
        <w:rPr>
          <w:rFonts w:eastAsiaTheme="minorHAnsi"/>
          <w:kern w:val="11"/>
          <w:lang w:val="uk-UA" w:eastAsia="en-US"/>
        </w:rPr>
        <w:t xml:space="preserve"> </w:t>
      </w:r>
      <w:r w:rsidR="00B66484" w:rsidRPr="001416ED">
        <w:rPr>
          <w:rFonts w:eastAsiaTheme="minorHAnsi"/>
          <w:kern w:val="11"/>
          <w:lang w:val="uk-UA" w:eastAsia="en-US"/>
        </w:rPr>
        <w:t xml:space="preserve">різних </w:t>
      </w:r>
      <w:r w:rsidRPr="001416ED">
        <w:rPr>
          <w:rFonts w:eastAsiaTheme="minorHAnsi"/>
          <w:kern w:val="11"/>
          <w:lang w:val="uk-UA" w:eastAsia="en-US"/>
        </w:rPr>
        <w:t xml:space="preserve">варіантів </w:t>
      </w:r>
      <w:r w:rsidR="00F40216">
        <w:rPr>
          <w:rFonts w:eastAsiaTheme="minorHAnsi"/>
          <w:kern w:val="11"/>
          <w:lang w:val="uk-UA" w:eastAsia="en-US"/>
        </w:rPr>
        <w:t>гена</w:t>
      </w:r>
      <w:r w:rsidRPr="001416ED">
        <w:rPr>
          <w:rFonts w:eastAsiaTheme="minorHAnsi"/>
          <w:kern w:val="11"/>
          <w:lang w:val="uk-UA" w:eastAsia="en-US"/>
        </w:rPr>
        <w:t xml:space="preserve"> ЕТ</w:t>
      </w:r>
      <w:r w:rsidR="00BC0119" w:rsidRPr="001416ED">
        <w:rPr>
          <w:rFonts w:eastAsiaTheme="minorHAnsi"/>
          <w:kern w:val="11"/>
          <w:lang w:val="uk-UA" w:eastAsia="en-US"/>
        </w:rPr>
        <w:t>–</w:t>
      </w:r>
      <w:r w:rsidRPr="001416ED">
        <w:rPr>
          <w:rFonts w:eastAsiaTheme="minorHAnsi"/>
          <w:kern w:val="11"/>
          <w:lang w:val="uk-UA" w:eastAsia="en-US"/>
        </w:rPr>
        <w:t>1</w:t>
      </w:r>
      <w:r w:rsidR="004E19A1" w:rsidRPr="001416ED">
        <w:rPr>
          <w:rFonts w:eastAsiaTheme="minorHAnsi"/>
          <w:kern w:val="11"/>
          <w:lang w:val="uk-UA" w:eastAsia="en-US"/>
        </w:rPr>
        <w:t xml:space="preserve"> з ГХ ІІ ст</w:t>
      </w:r>
      <w:r w:rsidR="00B66484" w:rsidRPr="001416ED">
        <w:rPr>
          <w:rFonts w:eastAsiaTheme="minorHAnsi"/>
          <w:kern w:val="11"/>
          <w:lang w:val="uk-UA" w:eastAsia="en-US"/>
        </w:rPr>
        <w:t>.</w:t>
      </w:r>
      <w:r w:rsidR="004E19A1" w:rsidRPr="001416ED">
        <w:rPr>
          <w:rFonts w:eastAsiaTheme="minorHAnsi"/>
          <w:kern w:val="11"/>
          <w:lang w:val="uk-UA" w:eastAsia="en-US"/>
        </w:rPr>
        <w:t xml:space="preserve"> та </w:t>
      </w:r>
      <w:r w:rsidR="00C34030" w:rsidRPr="001416ED">
        <w:rPr>
          <w:rFonts w:eastAsiaTheme="minorHAnsi"/>
          <w:kern w:val="11"/>
          <w:lang w:val="uk-UA" w:eastAsia="en-US"/>
        </w:rPr>
        <w:t xml:space="preserve">ГХ ІІІ ст. </w:t>
      </w:r>
      <w:r w:rsidR="004606A6" w:rsidRPr="001416ED">
        <w:rPr>
          <w:rFonts w:eastAsiaTheme="minorHAnsi"/>
          <w:kern w:val="11"/>
          <w:lang w:val="uk-UA" w:eastAsia="en-US"/>
        </w:rPr>
        <w:t xml:space="preserve">У осіб з ГХ ІІ ст., носіїв генотипу </w:t>
      </w:r>
      <w:r w:rsidR="004606A6" w:rsidRPr="001416ED">
        <w:rPr>
          <w:rFonts w:eastAsiaTheme="minorHAnsi"/>
          <w:kern w:val="11"/>
          <w:lang w:val="en-US" w:eastAsia="en-US"/>
        </w:rPr>
        <w:t>Lys</w:t>
      </w:r>
      <w:r w:rsidR="004606A6" w:rsidRPr="001416ED">
        <w:rPr>
          <w:rFonts w:eastAsiaTheme="minorHAnsi"/>
          <w:kern w:val="11"/>
          <w:lang w:val="uk-UA" w:eastAsia="en-US"/>
        </w:rPr>
        <w:t>/</w:t>
      </w:r>
      <w:r w:rsidR="004606A6" w:rsidRPr="001416ED">
        <w:rPr>
          <w:rFonts w:eastAsiaTheme="minorHAnsi"/>
          <w:kern w:val="11"/>
          <w:lang w:val="en-US" w:eastAsia="en-US"/>
        </w:rPr>
        <w:t>Lys</w:t>
      </w:r>
      <w:r w:rsidR="004606A6" w:rsidRPr="001416ED">
        <w:rPr>
          <w:rFonts w:eastAsiaTheme="minorHAnsi"/>
          <w:kern w:val="11"/>
          <w:lang w:val="uk-UA" w:eastAsia="en-US"/>
        </w:rPr>
        <w:t xml:space="preserve"> гена ЕТ-1 генотип АА зустрічається у 48,57</w:t>
      </w:r>
      <w:r w:rsidR="00D4219F" w:rsidRPr="001416ED">
        <w:rPr>
          <w:rFonts w:eastAsiaTheme="minorHAnsi"/>
          <w:kern w:val="11"/>
          <w:lang w:val="uk-UA" w:eastAsia="en-US"/>
        </w:rPr>
        <w:t xml:space="preserve">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=17), генотип АС – 42,86</w:t>
      </w:r>
      <w:r w:rsidR="00D4219F" w:rsidRPr="001416ED">
        <w:rPr>
          <w:rFonts w:eastAsiaTheme="minorHAnsi"/>
          <w:kern w:val="11"/>
          <w:lang w:val="uk-UA" w:eastAsia="en-US"/>
        </w:rPr>
        <w:t xml:space="preserve">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=15), генотип СС – 8,57</w:t>
      </w:r>
      <w:r w:rsidR="00D4219F" w:rsidRPr="001416ED">
        <w:rPr>
          <w:rFonts w:eastAsiaTheme="minorHAnsi"/>
          <w:kern w:val="11"/>
          <w:lang w:val="uk-UA" w:eastAsia="en-US"/>
        </w:rPr>
        <w:t xml:space="preserve">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=3)</w:t>
      </w:r>
      <w:r w:rsidR="007C58B0" w:rsidRPr="001416ED">
        <w:rPr>
          <w:rFonts w:eastAsiaTheme="minorHAnsi"/>
          <w:kern w:val="11"/>
          <w:lang w:val="uk-UA" w:eastAsia="en-US"/>
        </w:rPr>
        <w:t xml:space="preserve"> </w:t>
      </w:r>
      <w:r w:rsidR="006534E3" w:rsidRPr="001416ED">
        <w:rPr>
          <w:rFonts w:eastAsiaTheme="minorHAnsi"/>
          <w:kern w:val="11"/>
          <w:lang w:val="uk-UA" w:eastAsia="en-US"/>
        </w:rPr>
        <w:t>(р</w:t>
      </w:r>
      <w:r w:rsidR="006534E3" w:rsidRPr="001416ED">
        <w:rPr>
          <w:rFonts w:eastAsiaTheme="minorHAnsi"/>
          <w:kern w:val="11"/>
          <w:vertAlign w:val="subscript"/>
          <w:lang w:val="uk-UA" w:eastAsia="en-US"/>
        </w:rPr>
        <w:t>АС-АА</w:t>
      </w:r>
      <w:r w:rsidR="006534E3" w:rsidRPr="001416ED">
        <w:rPr>
          <w:rFonts w:eastAsiaTheme="minorHAnsi"/>
          <w:kern w:val="11"/>
          <w:lang w:val="uk-UA" w:eastAsia="en-US"/>
        </w:rPr>
        <w:t>&gt;0,05; р</w:t>
      </w:r>
      <w:r w:rsidR="006534E3" w:rsidRPr="001416ED">
        <w:rPr>
          <w:rFonts w:eastAsiaTheme="minorHAnsi"/>
          <w:kern w:val="11"/>
          <w:vertAlign w:val="subscript"/>
          <w:lang w:val="uk-UA" w:eastAsia="en-US"/>
        </w:rPr>
        <w:t>СС-АА</w:t>
      </w:r>
      <w:r w:rsidR="006534E3" w:rsidRPr="001416ED">
        <w:rPr>
          <w:rFonts w:eastAsiaTheme="minorHAnsi"/>
          <w:kern w:val="11"/>
          <w:lang w:val="uk-UA" w:eastAsia="en-US"/>
        </w:rPr>
        <w:t>&lt;0,001; р</w:t>
      </w:r>
      <w:r w:rsidR="006534E3" w:rsidRPr="001416ED">
        <w:rPr>
          <w:rFonts w:eastAsiaTheme="minorHAnsi"/>
          <w:kern w:val="11"/>
          <w:vertAlign w:val="subscript"/>
          <w:lang w:val="uk-UA" w:eastAsia="en-US"/>
        </w:rPr>
        <w:t>СС-АС</w:t>
      </w:r>
      <w:r w:rsidR="006534E3" w:rsidRPr="001416ED">
        <w:rPr>
          <w:rFonts w:eastAsiaTheme="minorHAnsi"/>
          <w:kern w:val="11"/>
          <w:lang w:val="uk-UA" w:eastAsia="en-US"/>
        </w:rPr>
        <w:t>&lt;0,001)</w:t>
      </w:r>
      <w:r w:rsidR="004606A6" w:rsidRPr="001416ED">
        <w:rPr>
          <w:rFonts w:eastAsiaTheme="minorHAnsi"/>
          <w:kern w:val="11"/>
          <w:lang w:val="uk-UA" w:eastAsia="en-US"/>
        </w:rPr>
        <w:t xml:space="preserve">. У пацієнтів з ГХ ІІ ст. – володарів алелі </w:t>
      </w:r>
      <w:r w:rsidR="004606A6" w:rsidRPr="001416ED">
        <w:rPr>
          <w:rFonts w:eastAsiaTheme="minorHAnsi"/>
          <w:kern w:val="11"/>
          <w:lang w:val="en-US" w:eastAsia="en-US"/>
        </w:rPr>
        <w:t>Asn</w:t>
      </w:r>
      <w:r w:rsidR="004606A6" w:rsidRPr="001416ED">
        <w:rPr>
          <w:rFonts w:eastAsiaTheme="minorHAnsi"/>
          <w:kern w:val="11"/>
          <w:lang w:val="uk-UA" w:eastAsia="en-US"/>
        </w:rPr>
        <w:t xml:space="preserve"> гена ЕТ-1 генотип АА </w:t>
      </w:r>
      <w:r w:rsidR="006534E3" w:rsidRPr="001416ED">
        <w:rPr>
          <w:rFonts w:eastAsiaTheme="minorHAnsi"/>
          <w:kern w:val="11"/>
          <w:lang w:val="uk-UA" w:eastAsia="en-US"/>
        </w:rPr>
        <w:t xml:space="preserve">встановлений у </w:t>
      </w:r>
      <w:r w:rsidR="004606A6" w:rsidRPr="001416ED">
        <w:rPr>
          <w:rFonts w:eastAsiaTheme="minorHAnsi"/>
          <w:kern w:val="11"/>
          <w:lang w:val="uk-UA" w:eastAsia="en-US"/>
        </w:rPr>
        <w:t>59,26</w:t>
      </w:r>
      <w:r w:rsidR="00D4219F" w:rsidRPr="001416ED">
        <w:rPr>
          <w:rFonts w:eastAsiaTheme="minorHAnsi"/>
          <w:kern w:val="11"/>
          <w:lang w:val="uk-UA" w:eastAsia="en-US"/>
        </w:rPr>
        <w:t xml:space="preserve">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=16), генотип АС – 25,93</w:t>
      </w:r>
      <w:r w:rsidR="00D4219F" w:rsidRPr="001416ED">
        <w:rPr>
          <w:rFonts w:eastAsiaTheme="minorHAnsi"/>
          <w:kern w:val="11"/>
          <w:lang w:val="uk-UA" w:eastAsia="en-US"/>
        </w:rPr>
        <w:t xml:space="preserve">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=7), генотип</w:t>
      </w:r>
      <w:r w:rsidR="007C58B0" w:rsidRPr="001416ED">
        <w:rPr>
          <w:rFonts w:eastAsiaTheme="minorHAnsi"/>
          <w:kern w:val="11"/>
          <w:lang w:val="uk-UA" w:eastAsia="en-US"/>
        </w:rPr>
        <w:t xml:space="preserve"> СС </w:t>
      </w:r>
      <w:r w:rsidR="00376DD5" w:rsidRPr="001416ED">
        <w:rPr>
          <w:rFonts w:eastAsiaTheme="minorHAnsi"/>
          <w:kern w:val="11"/>
          <w:lang w:val="uk-UA" w:eastAsia="en-US"/>
        </w:rPr>
        <w:t>– 14,81 %</w:t>
      </w:r>
      <w:r w:rsidR="004606A6" w:rsidRPr="001416ED">
        <w:rPr>
          <w:rFonts w:eastAsiaTheme="minorHAnsi"/>
          <w:kern w:val="11"/>
          <w:lang w:val="uk-UA" w:eastAsia="en-US"/>
        </w:rPr>
        <w:t xml:space="preserve"> (</w:t>
      </w:r>
      <w:r w:rsidR="004606A6" w:rsidRPr="001416ED">
        <w:rPr>
          <w:rFonts w:eastAsiaTheme="minorHAnsi"/>
          <w:kern w:val="11"/>
          <w:lang w:val="en-US" w:eastAsia="en-US"/>
        </w:rPr>
        <w:t>n</w:t>
      </w:r>
      <w:r w:rsidR="004606A6" w:rsidRPr="001416ED">
        <w:rPr>
          <w:rFonts w:eastAsiaTheme="minorHAnsi"/>
          <w:kern w:val="11"/>
          <w:lang w:val="uk-UA" w:eastAsia="en-US"/>
        </w:rPr>
        <w:t>=4</w:t>
      </w:r>
      <w:r w:rsidR="003F191A" w:rsidRPr="001416ED">
        <w:rPr>
          <w:rFonts w:eastAsiaTheme="minorHAnsi"/>
          <w:kern w:val="11"/>
          <w:lang w:val="uk-UA" w:eastAsia="en-US"/>
        </w:rPr>
        <w:t>)</w:t>
      </w:r>
      <w:r w:rsidR="007C58B0" w:rsidRPr="001416ED">
        <w:rPr>
          <w:rFonts w:eastAsiaTheme="minorHAnsi"/>
          <w:kern w:val="11"/>
          <w:lang w:val="uk-UA" w:eastAsia="en-US"/>
        </w:rPr>
        <w:t xml:space="preserve"> (р</w:t>
      </w:r>
      <w:r w:rsidR="007C58B0" w:rsidRPr="001416ED">
        <w:rPr>
          <w:rFonts w:eastAsiaTheme="minorHAnsi"/>
          <w:kern w:val="11"/>
          <w:vertAlign w:val="subscript"/>
          <w:lang w:val="uk-UA" w:eastAsia="en-US"/>
        </w:rPr>
        <w:t>АС-АА</w:t>
      </w:r>
      <w:r w:rsidR="007C58B0" w:rsidRPr="001416ED">
        <w:rPr>
          <w:rFonts w:eastAsiaTheme="minorHAnsi"/>
          <w:kern w:val="11"/>
          <w:lang w:val="uk-UA" w:eastAsia="en-US"/>
        </w:rPr>
        <w:t>&lt;0,01; р</w:t>
      </w:r>
      <w:r w:rsidR="007C58B0" w:rsidRPr="001416ED">
        <w:rPr>
          <w:rFonts w:eastAsiaTheme="minorHAnsi"/>
          <w:kern w:val="11"/>
          <w:vertAlign w:val="subscript"/>
          <w:lang w:val="uk-UA" w:eastAsia="en-US"/>
        </w:rPr>
        <w:t>СС-АА</w:t>
      </w:r>
      <w:r w:rsidR="007C58B0" w:rsidRPr="001416ED">
        <w:rPr>
          <w:rFonts w:eastAsiaTheme="minorHAnsi"/>
          <w:kern w:val="11"/>
          <w:lang w:val="uk-UA" w:eastAsia="en-US"/>
        </w:rPr>
        <w:t>&lt;0,001; р</w:t>
      </w:r>
      <w:r w:rsidR="007C58B0" w:rsidRPr="001416ED">
        <w:rPr>
          <w:rFonts w:eastAsiaTheme="minorHAnsi"/>
          <w:kern w:val="11"/>
          <w:vertAlign w:val="subscript"/>
          <w:lang w:val="uk-UA" w:eastAsia="en-US"/>
        </w:rPr>
        <w:t>СС-АС</w:t>
      </w:r>
      <w:r w:rsidR="007C58B0" w:rsidRPr="001416ED">
        <w:rPr>
          <w:rFonts w:eastAsiaTheme="minorHAnsi"/>
          <w:kern w:val="11"/>
          <w:lang w:val="uk-UA" w:eastAsia="en-US"/>
        </w:rPr>
        <w:t>&gt;0,05)</w:t>
      </w:r>
      <w:r w:rsidR="003F191A" w:rsidRPr="001416ED">
        <w:rPr>
          <w:rFonts w:eastAsiaTheme="minorHAnsi"/>
          <w:kern w:val="11"/>
          <w:lang w:val="uk-UA" w:eastAsia="en-US"/>
        </w:rPr>
        <w:t xml:space="preserve">. У </w:t>
      </w:r>
      <w:r w:rsidR="006534E3" w:rsidRPr="001416ED">
        <w:rPr>
          <w:rFonts w:eastAsiaTheme="minorHAnsi"/>
          <w:kern w:val="11"/>
          <w:lang w:val="uk-UA" w:eastAsia="en-US"/>
        </w:rPr>
        <w:t>чоловіків</w:t>
      </w:r>
      <w:r w:rsidR="003F191A" w:rsidRPr="001416ED">
        <w:rPr>
          <w:rFonts w:eastAsiaTheme="minorHAnsi"/>
          <w:kern w:val="11"/>
          <w:lang w:val="uk-UA" w:eastAsia="en-US"/>
        </w:rPr>
        <w:t xml:space="preserve"> з </w:t>
      </w:r>
      <w:r w:rsidR="00376DD5" w:rsidRPr="001416ED">
        <w:rPr>
          <w:rFonts w:eastAsiaTheme="minorHAnsi"/>
          <w:kern w:val="11"/>
          <w:lang w:val="uk-UA" w:eastAsia="en-US"/>
        </w:rPr>
        <w:t xml:space="preserve">ГХ ІІІ ст., </w:t>
      </w:r>
      <w:r w:rsidR="003F191A" w:rsidRPr="001416ED">
        <w:rPr>
          <w:rFonts w:eastAsiaTheme="minorHAnsi"/>
          <w:kern w:val="11"/>
          <w:lang w:val="uk-UA" w:eastAsia="en-US"/>
        </w:rPr>
        <w:t xml:space="preserve">що є носіями генотипу </w:t>
      </w:r>
      <w:r w:rsidR="003F191A" w:rsidRPr="001416ED">
        <w:rPr>
          <w:rFonts w:eastAsiaTheme="minorHAnsi"/>
          <w:kern w:val="11"/>
          <w:lang w:val="en-US" w:eastAsia="en-US"/>
        </w:rPr>
        <w:t>Lys</w:t>
      </w:r>
      <w:r w:rsidR="003F191A" w:rsidRPr="001416ED">
        <w:rPr>
          <w:rFonts w:eastAsiaTheme="minorHAnsi"/>
          <w:kern w:val="11"/>
          <w:lang w:val="uk-UA" w:eastAsia="en-US"/>
        </w:rPr>
        <w:t>/</w:t>
      </w:r>
      <w:r w:rsidR="003F191A" w:rsidRPr="001416ED">
        <w:rPr>
          <w:rFonts w:eastAsiaTheme="minorHAnsi"/>
          <w:kern w:val="11"/>
          <w:lang w:val="en-US" w:eastAsia="en-US"/>
        </w:rPr>
        <w:t>Lys</w:t>
      </w:r>
      <w:r w:rsidR="003F191A" w:rsidRPr="001416ED">
        <w:rPr>
          <w:rFonts w:eastAsiaTheme="minorHAnsi"/>
          <w:kern w:val="11"/>
          <w:lang w:val="uk-UA" w:eastAsia="en-US"/>
        </w:rPr>
        <w:t xml:space="preserve"> гена ЕТ-1, генотип АА виявлений у 48,48</w:t>
      </w:r>
      <w:r w:rsidR="00D4219F" w:rsidRPr="001416ED">
        <w:rPr>
          <w:rFonts w:eastAsiaTheme="minorHAnsi"/>
          <w:kern w:val="11"/>
          <w:lang w:val="uk-UA" w:eastAsia="en-US"/>
        </w:rPr>
        <w:t xml:space="preserve"> %</w:t>
      </w:r>
      <w:r w:rsidR="003F191A" w:rsidRPr="001416ED">
        <w:rPr>
          <w:rFonts w:eastAsiaTheme="minorHAnsi"/>
          <w:kern w:val="11"/>
          <w:lang w:val="uk-UA" w:eastAsia="en-US"/>
        </w:rPr>
        <w:t xml:space="preserve"> (</w:t>
      </w:r>
      <w:r w:rsidR="003F191A" w:rsidRPr="001416ED">
        <w:rPr>
          <w:rFonts w:eastAsiaTheme="minorHAnsi"/>
          <w:kern w:val="11"/>
          <w:lang w:val="en-US" w:eastAsia="en-US"/>
        </w:rPr>
        <w:t>n</w:t>
      </w:r>
      <w:r w:rsidR="003F191A" w:rsidRPr="001416ED">
        <w:rPr>
          <w:rFonts w:eastAsiaTheme="minorHAnsi"/>
          <w:kern w:val="11"/>
          <w:lang w:val="uk-UA" w:eastAsia="en-US"/>
        </w:rPr>
        <w:t>=16), генотип АС – 39,39</w:t>
      </w:r>
      <w:r w:rsidR="00D4219F" w:rsidRPr="001416ED">
        <w:rPr>
          <w:rFonts w:eastAsiaTheme="minorHAnsi"/>
          <w:kern w:val="11"/>
          <w:lang w:val="uk-UA" w:eastAsia="en-US"/>
        </w:rPr>
        <w:t xml:space="preserve"> %</w:t>
      </w:r>
      <w:r w:rsidR="003F191A" w:rsidRPr="001416ED">
        <w:rPr>
          <w:rFonts w:eastAsiaTheme="minorHAnsi"/>
          <w:kern w:val="11"/>
          <w:lang w:val="uk-UA" w:eastAsia="en-US"/>
        </w:rPr>
        <w:t xml:space="preserve"> (</w:t>
      </w:r>
      <w:r w:rsidR="003F191A" w:rsidRPr="001416ED">
        <w:rPr>
          <w:rFonts w:eastAsiaTheme="minorHAnsi"/>
          <w:kern w:val="11"/>
          <w:lang w:val="en-US" w:eastAsia="en-US"/>
        </w:rPr>
        <w:t>n</w:t>
      </w:r>
      <w:r w:rsidR="003F191A" w:rsidRPr="001416ED">
        <w:rPr>
          <w:rFonts w:eastAsiaTheme="minorHAnsi"/>
          <w:kern w:val="11"/>
          <w:lang w:val="uk-UA" w:eastAsia="en-US"/>
        </w:rPr>
        <w:t>=13), генотип СС -</w:t>
      </w:r>
      <w:r w:rsidR="001C0DA2" w:rsidRPr="001416ED">
        <w:rPr>
          <w:rFonts w:eastAsiaTheme="minorHAnsi"/>
          <w:kern w:val="11"/>
          <w:lang w:val="uk-UA" w:eastAsia="en-US"/>
        </w:rPr>
        <w:t xml:space="preserve"> </w:t>
      </w:r>
      <w:r w:rsidR="003F191A" w:rsidRPr="001416ED">
        <w:rPr>
          <w:rFonts w:eastAsiaTheme="minorHAnsi"/>
          <w:kern w:val="11"/>
          <w:lang w:val="uk-UA" w:eastAsia="en-US"/>
        </w:rPr>
        <w:t>12,12</w:t>
      </w:r>
      <w:r w:rsidR="00D4219F" w:rsidRPr="001416ED">
        <w:rPr>
          <w:rFonts w:eastAsiaTheme="minorHAnsi"/>
          <w:kern w:val="11"/>
          <w:lang w:val="uk-UA" w:eastAsia="en-US"/>
        </w:rPr>
        <w:t xml:space="preserve"> %</w:t>
      </w:r>
      <w:r w:rsidR="003F191A" w:rsidRPr="001416ED">
        <w:rPr>
          <w:rFonts w:eastAsiaTheme="minorHAnsi"/>
          <w:kern w:val="11"/>
          <w:lang w:val="uk-UA" w:eastAsia="en-US"/>
        </w:rPr>
        <w:t xml:space="preserve"> (</w:t>
      </w:r>
      <w:r w:rsidR="003F191A" w:rsidRPr="001416ED">
        <w:rPr>
          <w:rFonts w:eastAsiaTheme="minorHAnsi"/>
          <w:kern w:val="11"/>
          <w:lang w:val="en-US" w:eastAsia="en-US"/>
        </w:rPr>
        <w:t>n</w:t>
      </w:r>
      <w:r w:rsidR="003F191A" w:rsidRPr="001416ED">
        <w:rPr>
          <w:rFonts w:eastAsiaTheme="minorHAnsi"/>
          <w:kern w:val="11"/>
          <w:lang w:val="uk-UA" w:eastAsia="en-US"/>
        </w:rPr>
        <w:t>=4)</w:t>
      </w:r>
      <w:r w:rsidR="004966D3" w:rsidRPr="001416ED">
        <w:rPr>
          <w:rFonts w:eastAsiaTheme="minorHAnsi"/>
          <w:kern w:val="11"/>
          <w:lang w:val="uk-UA" w:eastAsia="en-US"/>
        </w:rPr>
        <w:t xml:space="preserve"> (р</w:t>
      </w:r>
      <w:r w:rsidR="004966D3" w:rsidRPr="001416ED">
        <w:rPr>
          <w:rFonts w:eastAsiaTheme="minorHAnsi"/>
          <w:kern w:val="11"/>
          <w:vertAlign w:val="subscript"/>
          <w:lang w:val="uk-UA" w:eastAsia="en-US"/>
        </w:rPr>
        <w:t>АС-АА</w:t>
      </w:r>
      <w:r w:rsidR="004966D3" w:rsidRPr="001416ED">
        <w:rPr>
          <w:rFonts w:eastAsiaTheme="minorHAnsi"/>
          <w:kern w:val="11"/>
          <w:lang w:val="uk-UA" w:eastAsia="en-US"/>
        </w:rPr>
        <w:t>&gt;0,05; р</w:t>
      </w:r>
      <w:r w:rsidR="004966D3" w:rsidRPr="001416ED">
        <w:rPr>
          <w:rFonts w:eastAsiaTheme="minorHAnsi"/>
          <w:kern w:val="11"/>
          <w:vertAlign w:val="subscript"/>
          <w:lang w:val="uk-UA" w:eastAsia="en-US"/>
        </w:rPr>
        <w:t>СС-АА</w:t>
      </w:r>
      <w:r w:rsidR="004966D3" w:rsidRPr="001416ED">
        <w:rPr>
          <w:rFonts w:eastAsiaTheme="minorHAnsi"/>
          <w:kern w:val="11"/>
          <w:lang w:val="uk-UA" w:eastAsia="en-US"/>
        </w:rPr>
        <w:t>&lt;0,001; р</w:t>
      </w:r>
      <w:r w:rsidR="004966D3" w:rsidRPr="001416ED">
        <w:rPr>
          <w:rFonts w:eastAsiaTheme="minorHAnsi"/>
          <w:kern w:val="11"/>
          <w:vertAlign w:val="subscript"/>
          <w:lang w:val="uk-UA" w:eastAsia="en-US"/>
        </w:rPr>
        <w:t>СС-АС</w:t>
      </w:r>
      <w:r w:rsidR="004966D3" w:rsidRPr="001416ED">
        <w:rPr>
          <w:rFonts w:eastAsiaTheme="minorHAnsi"/>
          <w:kern w:val="11"/>
          <w:lang w:val="uk-UA" w:eastAsia="en-US"/>
        </w:rPr>
        <w:t>&gt;0,05),</w:t>
      </w:r>
      <w:r w:rsidR="00856AB0" w:rsidRPr="001416ED">
        <w:rPr>
          <w:rFonts w:eastAsiaTheme="minorHAnsi"/>
          <w:kern w:val="11"/>
          <w:lang w:val="uk-UA" w:eastAsia="en-US"/>
        </w:rPr>
        <w:t xml:space="preserve"> у володарів алелі </w:t>
      </w:r>
      <w:r w:rsidR="006163EA" w:rsidRPr="001416ED">
        <w:rPr>
          <w:rFonts w:eastAsiaTheme="minorHAnsi"/>
          <w:kern w:val="11"/>
          <w:lang w:val="en-US" w:eastAsia="en-US"/>
        </w:rPr>
        <w:t>Asn</w:t>
      </w:r>
      <w:r w:rsidR="006163EA" w:rsidRPr="001416ED">
        <w:rPr>
          <w:rFonts w:eastAsiaTheme="minorHAnsi"/>
          <w:kern w:val="11"/>
          <w:lang w:val="uk-UA" w:eastAsia="en-US"/>
        </w:rPr>
        <w:t xml:space="preserve"> генотип АА встановлений у 52,94</w:t>
      </w:r>
      <w:r w:rsidR="00D4219F" w:rsidRPr="001416ED">
        <w:rPr>
          <w:rFonts w:eastAsiaTheme="minorHAnsi"/>
          <w:kern w:val="11"/>
          <w:lang w:val="uk-UA" w:eastAsia="en-US"/>
        </w:rPr>
        <w:t xml:space="preserve"> %</w:t>
      </w:r>
      <w:r w:rsidR="006163EA" w:rsidRPr="001416ED">
        <w:rPr>
          <w:rFonts w:eastAsiaTheme="minorHAnsi"/>
          <w:kern w:val="11"/>
          <w:lang w:val="uk-UA" w:eastAsia="en-US"/>
        </w:rPr>
        <w:t xml:space="preserve"> (</w:t>
      </w:r>
      <w:r w:rsidR="006163EA" w:rsidRPr="001416ED">
        <w:rPr>
          <w:rFonts w:eastAsiaTheme="minorHAnsi"/>
          <w:kern w:val="11"/>
          <w:lang w:val="en-US" w:eastAsia="en-US"/>
        </w:rPr>
        <w:t>n</w:t>
      </w:r>
      <w:r w:rsidR="006163EA" w:rsidRPr="001416ED">
        <w:rPr>
          <w:rFonts w:eastAsiaTheme="minorHAnsi"/>
          <w:kern w:val="11"/>
          <w:lang w:val="uk-UA" w:eastAsia="en-US"/>
        </w:rPr>
        <w:t>=9), генотип АС – 35,29</w:t>
      </w:r>
      <w:r w:rsidR="00D4219F" w:rsidRPr="001416ED">
        <w:rPr>
          <w:rFonts w:eastAsiaTheme="minorHAnsi"/>
          <w:kern w:val="11"/>
          <w:lang w:val="uk-UA" w:eastAsia="en-US"/>
        </w:rPr>
        <w:t xml:space="preserve"> %</w:t>
      </w:r>
      <w:r w:rsidR="006163EA" w:rsidRPr="001416ED">
        <w:rPr>
          <w:rFonts w:eastAsiaTheme="minorHAnsi"/>
          <w:kern w:val="11"/>
          <w:lang w:val="uk-UA" w:eastAsia="en-US"/>
        </w:rPr>
        <w:t xml:space="preserve"> (</w:t>
      </w:r>
      <w:r w:rsidR="006163EA" w:rsidRPr="001416ED">
        <w:rPr>
          <w:rFonts w:eastAsiaTheme="minorHAnsi"/>
          <w:kern w:val="11"/>
          <w:lang w:val="en-US" w:eastAsia="en-US"/>
        </w:rPr>
        <w:t>n</w:t>
      </w:r>
      <w:r w:rsidR="006163EA" w:rsidRPr="001416ED">
        <w:rPr>
          <w:rFonts w:eastAsiaTheme="minorHAnsi"/>
          <w:kern w:val="11"/>
          <w:lang w:val="uk-UA" w:eastAsia="en-US"/>
        </w:rPr>
        <w:t>=6), генотип СС - 11,76</w:t>
      </w:r>
      <w:r w:rsidR="00D4219F" w:rsidRPr="001416ED">
        <w:rPr>
          <w:rFonts w:eastAsiaTheme="minorHAnsi"/>
          <w:kern w:val="11"/>
          <w:lang w:val="uk-UA" w:eastAsia="en-US"/>
        </w:rPr>
        <w:t xml:space="preserve"> %</w:t>
      </w:r>
      <w:r w:rsidR="006163EA" w:rsidRPr="001416ED">
        <w:rPr>
          <w:rFonts w:eastAsiaTheme="minorHAnsi"/>
          <w:kern w:val="11"/>
          <w:lang w:val="uk-UA" w:eastAsia="en-US"/>
        </w:rPr>
        <w:t xml:space="preserve">  (</w:t>
      </w:r>
      <w:r w:rsidR="006163EA" w:rsidRPr="001416ED">
        <w:rPr>
          <w:rFonts w:eastAsiaTheme="minorHAnsi"/>
          <w:kern w:val="11"/>
          <w:lang w:val="en-US" w:eastAsia="en-US"/>
        </w:rPr>
        <w:t>n</w:t>
      </w:r>
      <w:r w:rsidR="006163EA" w:rsidRPr="001416ED">
        <w:rPr>
          <w:rFonts w:eastAsiaTheme="minorHAnsi"/>
          <w:kern w:val="11"/>
          <w:lang w:val="uk-UA" w:eastAsia="en-US"/>
        </w:rPr>
        <w:t>=2)</w:t>
      </w:r>
      <w:r w:rsidR="00E045B9" w:rsidRPr="001416ED">
        <w:rPr>
          <w:rFonts w:eastAsiaTheme="minorHAnsi"/>
          <w:kern w:val="11"/>
          <w:lang w:val="uk-UA" w:eastAsia="en-US"/>
        </w:rPr>
        <w:t xml:space="preserve"> (р</w:t>
      </w:r>
      <w:r w:rsidR="00E045B9" w:rsidRPr="001416ED">
        <w:rPr>
          <w:rFonts w:eastAsiaTheme="minorHAnsi"/>
          <w:kern w:val="11"/>
          <w:vertAlign w:val="subscript"/>
          <w:lang w:val="uk-UA" w:eastAsia="en-US"/>
        </w:rPr>
        <w:t>АС-АА</w:t>
      </w:r>
      <w:r w:rsidR="00E045B9" w:rsidRPr="001416ED">
        <w:rPr>
          <w:rFonts w:eastAsiaTheme="minorHAnsi"/>
          <w:kern w:val="11"/>
          <w:lang w:val="uk-UA" w:eastAsia="en-US"/>
        </w:rPr>
        <w:t>&gt;0,05; р</w:t>
      </w:r>
      <w:r w:rsidR="00E045B9" w:rsidRPr="001416ED">
        <w:rPr>
          <w:rFonts w:eastAsiaTheme="minorHAnsi"/>
          <w:kern w:val="11"/>
          <w:vertAlign w:val="subscript"/>
          <w:lang w:val="uk-UA" w:eastAsia="en-US"/>
        </w:rPr>
        <w:t>СС-АА</w:t>
      </w:r>
      <w:r w:rsidR="00E045B9" w:rsidRPr="001416ED">
        <w:rPr>
          <w:rFonts w:eastAsiaTheme="minorHAnsi"/>
          <w:kern w:val="11"/>
          <w:lang w:val="uk-UA" w:eastAsia="en-US"/>
        </w:rPr>
        <w:t>&lt;0,01; р</w:t>
      </w:r>
      <w:r w:rsidR="00E045B9" w:rsidRPr="001416ED">
        <w:rPr>
          <w:rFonts w:eastAsiaTheme="minorHAnsi"/>
          <w:kern w:val="11"/>
          <w:vertAlign w:val="subscript"/>
          <w:lang w:val="uk-UA" w:eastAsia="en-US"/>
        </w:rPr>
        <w:t>СС-</w:t>
      </w:r>
      <w:r w:rsidR="00E045B9" w:rsidRPr="001416ED">
        <w:rPr>
          <w:rFonts w:eastAsiaTheme="minorHAnsi"/>
          <w:kern w:val="11"/>
          <w:vertAlign w:val="subscript"/>
          <w:lang w:val="uk-UA" w:eastAsia="en-US"/>
        </w:rPr>
        <w:lastRenderedPageBreak/>
        <w:t>АС</w:t>
      </w:r>
      <w:r w:rsidR="000C04AA" w:rsidRPr="001416ED">
        <w:rPr>
          <w:rFonts w:eastAsiaTheme="minorHAnsi"/>
          <w:kern w:val="11"/>
          <w:lang w:val="uk-UA" w:eastAsia="en-US"/>
        </w:rPr>
        <w:t>˂</w:t>
      </w:r>
      <w:r w:rsidR="00E045B9" w:rsidRPr="001416ED">
        <w:rPr>
          <w:rFonts w:eastAsiaTheme="minorHAnsi"/>
          <w:kern w:val="11"/>
          <w:lang w:val="uk-UA" w:eastAsia="en-US"/>
        </w:rPr>
        <w:t>0,05)</w:t>
      </w:r>
      <w:r w:rsidR="006163EA" w:rsidRPr="001416ED">
        <w:rPr>
          <w:rFonts w:eastAsiaTheme="minorHAnsi"/>
          <w:kern w:val="11"/>
          <w:lang w:val="uk-UA" w:eastAsia="en-US"/>
        </w:rPr>
        <w:t xml:space="preserve">. У зв’язку з низькою частотою </w:t>
      </w:r>
      <w:r w:rsidR="006534E3" w:rsidRPr="001416ED">
        <w:rPr>
          <w:rFonts w:eastAsiaTheme="minorHAnsi"/>
          <w:kern w:val="11"/>
          <w:lang w:val="uk-UA" w:eastAsia="en-US"/>
        </w:rPr>
        <w:t>генотипу СС, пацієнти з генотипами АС та СС були об’єднані як носії алелі С в кожній групі дослідження</w:t>
      </w:r>
      <w:r w:rsidR="006163EA" w:rsidRPr="001416ED">
        <w:rPr>
          <w:rFonts w:eastAsiaTheme="minorHAnsi"/>
          <w:kern w:val="11"/>
          <w:lang w:val="uk-UA" w:eastAsia="en-US"/>
        </w:rPr>
        <w:t xml:space="preserve"> </w:t>
      </w:r>
      <w:r w:rsidR="004E19A1" w:rsidRPr="001416ED">
        <w:rPr>
          <w:rFonts w:eastAsiaTheme="minorHAnsi"/>
          <w:kern w:val="11"/>
          <w:lang w:val="uk-UA" w:eastAsia="en-US"/>
        </w:rPr>
        <w:t>(</w:t>
      </w:r>
      <w:r w:rsidR="00461639" w:rsidRPr="001416ED">
        <w:rPr>
          <w:rFonts w:eastAsiaTheme="minorHAnsi"/>
          <w:kern w:val="11"/>
          <w:lang w:val="uk-UA" w:eastAsia="en-US"/>
        </w:rPr>
        <w:t>рис.4.1</w:t>
      </w:r>
      <w:r w:rsidR="004E19A1" w:rsidRPr="001416ED">
        <w:rPr>
          <w:rFonts w:eastAsiaTheme="minorHAnsi"/>
          <w:kern w:val="11"/>
          <w:lang w:val="uk-UA" w:eastAsia="en-US"/>
        </w:rPr>
        <w:t>)</w:t>
      </w:r>
      <w:r w:rsidRPr="001416ED">
        <w:rPr>
          <w:rFonts w:eastAsiaTheme="minorHAnsi"/>
          <w:kern w:val="11"/>
          <w:lang w:val="uk-UA" w:eastAsia="en-US"/>
        </w:rPr>
        <w:t>.</w:t>
      </w:r>
    </w:p>
    <w:p w:rsidR="00461639" w:rsidRPr="001416ED" w:rsidRDefault="00461639" w:rsidP="00A06162">
      <w:pPr>
        <w:spacing w:line="360" w:lineRule="auto"/>
        <w:jc w:val="center"/>
        <w:rPr>
          <w:rFonts w:eastAsiaTheme="minorHAnsi"/>
          <w:b/>
          <w:kern w:val="11"/>
          <w:lang w:val="uk-UA" w:eastAsia="en-US"/>
        </w:rPr>
      </w:pPr>
      <w:r w:rsidRPr="001416ED">
        <w:rPr>
          <w:rFonts w:eastAsiaTheme="minorHAnsi"/>
          <w:b/>
          <w:noProof/>
          <w:kern w:val="11"/>
          <w:lang w:val="uk-UA" w:eastAsia="uk-UA"/>
        </w:rPr>
        <w:drawing>
          <wp:inline distT="0" distB="0" distL="0" distR="0" wp14:anchorId="5D70EE49" wp14:editId="50724647">
            <wp:extent cx="6134669" cy="1153236"/>
            <wp:effectExtent l="0" t="0" r="0"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6162" w:rsidRPr="001416ED" w:rsidRDefault="00803F07" w:rsidP="00BC3A9F">
      <w:pPr>
        <w:spacing w:after="240" w:line="360" w:lineRule="auto"/>
        <w:jc w:val="both"/>
        <w:rPr>
          <w:rFonts w:eastAsiaTheme="minorHAnsi"/>
          <w:b/>
          <w:kern w:val="11"/>
          <w:lang w:val="uk-UA" w:eastAsia="en-US"/>
        </w:rPr>
      </w:pPr>
      <w:r w:rsidRPr="001416ED">
        <w:rPr>
          <w:rFonts w:eastAsiaTheme="minorHAnsi"/>
          <w:b/>
          <w:kern w:val="11"/>
          <w:lang w:val="uk-UA" w:eastAsia="en-US"/>
        </w:rPr>
        <w:t>Рис. 4.1</w:t>
      </w:r>
      <w:r w:rsidR="00A06162" w:rsidRPr="001416ED">
        <w:rPr>
          <w:rFonts w:eastAsiaTheme="minorHAnsi"/>
          <w:b/>
          <w:kern w:val="11"/>
          <w:lang w:val="uk-UA" w:eastAsia="en-US"/>
        </w:rPr>
        <w:t xml:space="preserve"> Частота </w:t>
      </w:r>
      <w:r w:rsidR="00F40216">
        <w:rPr>
          <w:rFonts w:eastAsiaTheme="minorHAnsi"/>
          <w:b/>
          <w:kern w:val="11"/>
          <w:lang w:val="uk-UA" w:eastAsia="en-US"/>
        </w:rPr>
        <w:t xml:space="preserve"> варіантів гена</w:t>
      </w:r>
      <w:r w:rsidR="00A06162" w:rsidRPr="001416ED">
        <w:rPr>
          <w:rFonts w:eastAsiaTheme="minorHAnsi"/>
          <w:b/>
          <w:kern w:val="11"/>
          <w:lang w:val="uk-UA" w:eastAsia="en-US"/>
        </w:rPr>
        <w:t xml:space="preserve"> АТ1</w:t>
      </w:r>
      <w:r w:rsidR="00BC0119" w:rsidRPr="001416ED">
        <w:rPr>
          <w:rFonts w:eastAsiaTheme="minorHAnsi"/>
          <w:b/>
          <w:kern w:val="11"/>
          <w:lang w:val="uk-UA" w:eastAsia="en-US"/>
        </w:rPr>
        <w:t>–</w:t>
      </w:r>
      <w:r w:rsidR="00A06162" w:rsidRPr="001416ED">
        <w:rPr>
          <w:rFonts w:eastAsiaTheme="minorHAnsi"/>
          <w:b/>
          <w:kern w:val="11"/>
          <w:lang w:val="uk-UA" w:eastAsia="en-US"/>
        </w:rPr>
        <w:t xml:space="preserve">Р у пацієнтів з ГХ різної </w:t>
      </w:r>
      <w:r w:rsidR="00046A18" w:rsidRPr="001416ED">
        <w:rPr>
          <w:rFonts w:eastAsiaTheme="minorHAnsi"/>
          <w:b/>
          <w:kern w:val="11"/>
          <w:lang w:val="uk-UA" w:eastAsia="en-US"/>
        </w:rPr>
        <w:t>стадії</w:t>
      </w:r>
      <w:r w:rsidR="00A06162" w:rsidRPr="001416ED">
        <w:rPr>
          <w:rFonts w:eastAsiaTheme="minorHAnsi"/>
          <w:b/>
          <w:kern w:val="11"/>
          <w:lang w:val="uk-UA" w:eastAsia="en-US"/>
        </w:rPr>
        <w:t xml:space="preserve"> – носіїв </w:t>
      </w:r>
      <w:r w:rsidR="00E6164F">
        <w:rPr>
          <w:rFonts w:eastAsiaTheme="minorHAnsi"/>
          <w:b/>
          <w:kern w:val="11"/>
          <w:lang w:val="uk-UA" w:eastAsia="en-US"/>
        </w:rPr>
        <w:t>поліморфних варіантів гена ЕТ–1</w:t>
      </w:r>
      <w:r w:rsidR="00A06162" w:rsidRPr="001416ED">
        <w:rPr>
          <w:rFonts w:eastAsiaTheme="minorHAnsi"/>
          <w:b/>
          <w:kern w:val="11"/>
          <w:lang w:val="uk-UA" w:eastAsia="en-US"/>
        </w:rPr>
        <w:t xml:space="preserve">, </w:t>
      </w:r>
      <w:r w:rsidR="00D4219F" w:rsidRPr="001416ED">
        <w:rPr>
          <w:rFonts w:eastAsiaTheme="minorHAnsi"/>
          <w:b/>
          <w:kern w:val="11"/>
          <w:lang w:val="uk-UA" w:eastAsia="en-US"/>
        </w:rPr>
        <w:t xml:space="preserve"> </w:t>
      </w:r>
      <w:r w:rsidR="00C22841" w:rsidRPr="001416ED">
        <w:rPr>
          <w:rFonts w:eastAsiaTheme="minorHAnsi"/>
          <w:b/>
          <w:kern w:val="11"/>
          <w:lang w:val="uk-UA" w:eastAsia="en-US"/>
        </w:rPr>
        <w:t>(</w:t>
      </w:r>
      <w:r w:rsidR="00D4219F" w:rsidRPr="001416ED">
        <w:rPr>
          <w:rFonts w:eastAsiaTheme="minorHAnsi"/>
          <w:b/>
          <w:kern w:val="11"/>
          <w:lang w:val="uk-UA" w:eastAsia="en-US"/>
        </w:rPr>
        <w:t>%</w:t>
      </w:r>
      <w:r w:rsidR="00C22841" w:rsidRPr="001416ED">
        <w:rPr>
          <w:rFonts w:eastAsiaTheme="minorHAnsi"/>
          <w:b/>
          <w:kern w:val="11"/>
          <w:lang w:val="uk-UA" w:eastAsia="en-US"/>
        </w:rPr>
        <w:t>)</w:t>
      </w:r>
    </w:p>
    <w:p w:rsidR="00155A1B" w:rsidRPr="001416ED" w:rsidRDefault="000F1B18" w:rsidP="0050095C">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У чоловіків з ГХ </w:t>
      </w:r>
      <w:r w:rsidR="00A06162" w:rsidRPr="001416ED">
        <w:rPr>
          <w:rFonts w:eastAsiaTheme="minorHAnsi"/>
          <w:kern w:val="11"/>
          <w:lang w:val="uk-UA" w:eastAsia="en-US"/>
        </w:rPr>
        <w:t xml:space="preserve">різної </w:t>
      </w:r>
      <w:r w:rsidR="00046A18" w:rsidRPr="001416ED">
        <w:rPr>
          <w:rFonts w:eastAsiaTheme="minorHAnsi"/>
          <w:kern w:val="11"/>
          <w:lang w:val="uk-UA" w:eastAsia="en-US"/>
        </w:rPr>
        <w:t>стадії</w:t>
      </w:r>
      <w:r w:rsidR="008C6BC9" w:rsidRPr="001416ED">
        <w:rPr>
          <w:rFonts w:eastAsiaTheme="minorHAnsi"/>
          <w:kern w:val="11"/>
          <w:lang w:val="uk-UA" w:eastAsia="en-US"/>
        </w:rPr>
        <w:t xml:space="preserve">, що </w:t>
      </w:r>
      <w:r w:rsidR="00A13194" w:rsidRPr="001416ED">
        <w:rPr>
          <w:rFonts w:eastAsiaTheme="minorHAnsi"/>
          <w:kern w:val="11"/>
          <w:lang w:val="uk-UA" w:eastAsia="en-US"/>
        </w:rPr>
        <w:t>є</w:t>
      </w:r>
      <w:r w:rsidR="008C6BC9" w:rsidRPr="001416ED">
        <w:rPr>
          <w:rFonts w:eastAsiaTheme="minorHAnsi"/>
          <w:kern w:val="11"/>
          <w:lang w:val="uk-UA" w:eastAsia="en-US"/>
        </w:rPr>
        <w:t xml:space="preserve"> носіями генотипу </w:t>
      </w:r>
      <w:r w:rsidR="008C6BC9" w:rsidRPr="001416ED">
        <w:rPr>
          <w:rFonts w:eastAsiaTheme="minorHAnsi"/>
          <w:kern w:val="11"/>
          <w:lang w:val="en-US" w:eastAsia="en-US"/>
        </w:rPr>
        <w:t>Lys</w:t>
      </w:r>
      <w:r w:rsidR="008C6BC9" w:rsidRPr="001416ED">
        <w:rPr>
          <w:rFonts w:eastAsiaTheme="minorHAnsi"/>
          <w:kern w:val="11"/>
          <w:lang w:val="uk-UA" w:eastAsia="en-US"/>
        </w:rPr>
        <w:t>/</w:t>
      </w:r>
      <w:r w:rsidR="008C6BC9" w:rsidRPr="001416ED">
        <w:rPr>
          <w:rFonts w:eastAsiaTheme="minorHAnsi"/>
          <w:kern w:val="11"/>
          <w:lang w:val="en-US" w:eastAsia="en-US"/>
        </w:rPr>
        <w:t>Lys</w:t>
      </w:r>
      <w:r w:rsidR="008C6BC9" w:rsidRPr="001416ED">
        <w:rPr>
          <w:rFonts w:eastAsiaTheme="minorHAnsi"/>
          <w:kern w:val="11"/>
          <w:lang w:val="uk-UA" w:eastAsia="en-US"/>
        </w:rPr>
        <w:t xml:space="preserve"> </w:t>
      </w:r>
      <w:r w:rsidR="00803F07" w:rsidRPr="001416ED">
        <w:rPr>
          <w:rFonts w:eastAsiaTheme="minorHAnsi"/>
          <w:kern w:val="11"/>
          <w:lang w:val="uk-UA" w:eastAsia="en-US"/>
        </w:rPr>
        <w:t xml:space="preserve">різниці у частоті </w:t>
      </w:r>
      <w:r w:rsidR="00461639" w:rsidRPr="001416ED">
        <w:rPr>
          <w:rFonts w:eastAsiaTheme="minorHAnsi"/>
          <w:kern w:val="11"/>
          <w:lang w:val="uk-UA" w:eastAsia="en-US"/>
        </w:rPr>
        <w:t xml:space="preserve">носійства </w:t>
      </w:r>
      <w:r w:rsidR="00F40216">
        <w:rPr>
          <w:rFonts w:eastAsiaTheme="minorHAnsi"/>
          <w:kern w:val="11"/>
          <w:lang w:val="uk-UA" w:eastAsia="en-US"/>
        </w:rPr>
        <w:t>варіантів гена</w:t>
      </w:r>
      <w:r w:rsidR="00461639" w:rsidRPr="001416ED">
        <w:rPr>
          <w:rFonts w:eastAsiaTheme="minorHAnsi"/>
          <w:kern w:val="11"/>
          <w:lang w:val="uk-UA" w:eastAsia="en-US"/>
        </w:rPr>
        <w:t xml:space="preserve"> АТ1</w:t>
      </w:r>
      <w:r w:rsidR="00BC0119" w:rsidRPr="001416ED">
        <w:rPr>
          <w:rFonts w:eastAsiaTheme="minorHAnsi"/>
          <w:kern w:val="11"/>
          <w:lang w:val="uk-UA" w:eastAsia="en-US"/>
        </w:rPr>
        <w:t>–</w:t>
      </w:r>
      <w:r w:rsidR="00461639" w:rsidRPr="001416ED">
        <w:rPr>
          <w:rFonts w:eastAsiaTheme="minorHAnsi"/>
          <w:kern w:val="11"/>
          <w:lang w:val="uk-UA" w:eastAsia="en-US"/>
        </w:rPr>
        <w:t>Р не виявлено</w:t>
      </w:r>
      <w:r w:rsidR="008C6BC9" w:rsidRPr="001416ED">
        <w:rPr>
          <w:rFonts w:eastAsiaTheme="minorHAnsi"/>
          <w:kern w:val="11"/>
          <w:lang w:val="uk-UA" w:eastAsia="en-US"/>
        </w:rPr>
        <w:t>.</w:t>
      </w:r>
      <w:r w:rsidR="00461639" w:rsidRPr="001416ED">
        <w:rPr>
          <w:rFonts w:eastAsiaTheme="minorHAnsi"/>
          <w:kern w:val="11"/>
          <w:lang w:val="uk-UA" w:eastAsia="en-US"/>
        </w:rPr>
        <w:t xml:space="preserve"> Подібна ситуація встановлена у носіїв алелі </w:t>
      </w:r>
      <w:r w:rsidR="00461639" w:rsidRPr="001416ED">
        <w:rPr>
          <w:rFonts w:eastAsiaTheme="minorHAnsi"/>
          <w:kern w:val="11"/>
          <w:lang w:val="en-US" w:eastAsia="en-US"/>
        </w:rPr>
        <w:t>Asn</w:t>
      </w:r>
      <w:r w:rsidR="00461639" w:rsidRPr="001416ED">
        <w:rPr>
          <w:rFonts w:eastAsiaTheme="minorHAnsi"/>
          <w:kern w:val="11"/>
          <w:lang w:val="uk-UA" w:eastAsia="en-US"/>
        </w:rPr>
        <w:t>. Частота генотипу АА та носійство алелі С гена АТ1</w:t>
      </w:r>
      <w:r w:rsidR="00BC0119" w:rsidRPr="001416ED">
        <w:rPr>
          <w:rFonts w:eastAsiaTheme="minorHAnsi"/>
          <w:kern w:val="11"/>
          <w:lang w:val="uk-UA" w:eastAsia="en-US"/>
        </w:rPr>
        <w:t>–</w:t>
      </w:r>
      <w:r w:rsidR="00461639" w:rsidRPr="001416ED">
        <w:rPr>
          <w:rFonts w:eastAsiaTheme="minorHAnsi"/>
          <w:kern w:val="11"/>
          <w:lang w:val="uk-UA" w:eastAsia="en-US"/>
        </w:rPr>
        <w:t xml:space="preserve">Р майже з однаковою частотою зустрічається у </w:t>
      </w:r>
      <w:r w:rsidR="00A13194" w:rsidRPr="001416ED">
        <w:rPr>
          <w:rFonts w:eastAsiaTheme="minorHAnsi"/>
          <w:kern w:val="11"/>
          <w:lang w:val="uk-UA" w:eastAsia="en-US"/>
        </w:rPr>
        <w:t xml:space="preserve">носіїв </w:t>
      </w:r>
      <w:r w:rsidR="00E6164F">
        <w:rPr>
          <w:rFonts w:eastAsiaTheme="minorHAnsi"/>
          <w:kern w:val="11"/>
          <w:lang w:val="uk-UA" w:eastAsia="en-US"/>
        </w:rPr>
        <w:t>поліморфних варіантів гена ЕТ–1</w:t>
      </w:r>
      <w:r w:rsidR="00461639" w:rsidRPr="001416ED">
        <w:rPr>
          <w:rFonts w:eastAsiaTheme="minorHAnsi"/>
          <w:kern w:val="11"/>
          <w:lang w:val="uk-UA" w:eastAsia="en-US"/>
        </w:rPr>
        <w:t>.</w:t>
      </w:r>
      <w:r w:rsidR="00A36E48" w:rsidRPr="001416ED">
        <w:rPr>
          <w:rFonts w:eastAsiaTheme="minorHAnsi"/>
          <w:kern w:val="11"/>
          <w:lang w:val="uk-UA" w:eastAsia="en-US"/>
        </w:rPr>
        <w:t xml:space="preserve"> Хоча</w:t>
      </w:r>
      <w:r w:rsidR="00BA5366" w:rsidRPr="001416ED">
        <w:rPr>
          <w:rFonts w:eastAsiaTheme="minorHAnsi"/>
          <w:kern w:val="11"/>
          <w:lang w:val="uk-UA" w:eastAsia="en-US"/>
        </w:rPr>
        <w:t>,</w:t>
      </w:r>
      <w:r w:rsidR="00A36E48" w:rsidRPr="001416ED">
        <w:rPr>
          <w:rFonts w:eastAsiaTheme="minorHAnsi"/>
          <w:kern w:val="11"/>
          <w:lang w:val="uk-UA" w:eastAsia="en-US"/>
        </w:rPr>
        <w:t xml:space="preserve"> саме з носійством алелі С пов’язують зростання ймовірності захворіти на ГХ, як показано в роботі</w:t>
      </w:r>
      <w:r w:rsidR="00A32F32" w:rsidRPr="001416ED">
        <w:rPr>
          <w:rFonts w:eastAsiaTheme="minorHAnsi"/>
          <w:kern w:val="11"/>
          <w:lang w:val="uk-UA" w:eastAsia="en-US"/>
        </w:rPr>
        <w:t xml:space="preserve"> </w:t>
      </w:r>
      <w:r w:rsidR="00803F07" w:rsidRPr="001416ED">
        <w:rPr>
          <w:rFonts w:eastAsiaTheme="minorHAnsi"/>
          <w:kern w:val="11"/>
          <w:lang w:val="uk-UA" w:eastAsia="en-US"/>
        </w:rPr>
        <w:t xml:space="preserve">О. О. </w:t>
      </w:r>
      <w:r w:rsidR="00A32F32" w:rsidRPr="001416ED">
        <w:rPr>
          <w:rFonts w:eastAsiaTheme="minorHAnsi"/>
          <w:kern w:val="11"/>
          <w:lang w:val="uk-UA" w:eastAsia="en-US"/>
        </w:rPr>
        <w:t>Сакови</w:t>
      </w:r>
      <w:r w:rsidR="00CE6310" w:rsidRPr="001416ED">
        <w:rPr>
          <w:rFonts w:eastAsiaTheme="minorHAnsi"/>
          <w:kern w:val="11"/>
          <w:lang w:val="uk-UA" w:eastAsia="en-US"/>
        </w:rPr>
        <w:t>ч</w:t>
      </w:r>
      <w:r w:rsidR="00A14B40" w:rsidRPr="001416ED">
        <w:rPr>
          <w:rFonts w:eastAsiaTheme="minorHAnsi"/>
          <w:kern w:val="11"/>
          <w:lang w:val="uk-UA" w:eastAsia="en-US"/>
        </w:rPr>
        <w:t xml:space="preserve"> </w:t>
      </w:r>
      <w:r w:rsidR="00A32F32" w:rsidRPr="001416ED">
        <w:rPr>
          <w:rFonts w:eastAsiaTheme="minorHAnsi"/>
          <w:kern w:val="11"/>
          <w:lang w:val="uk-UA" w:eastAsia="en-US"/>
        </w:rPr>
        <w:t xml:space="preserve">та </w:t>
      </w:r>
      <w:r w:rsidR="00803F07" w:rsidRPr="001416ED">
        <w:rPr>
          <w:rFonts w:eastAsiaTheme="minorHAnsi"/>
          <w:kern w:val="11"/>
          <w:lang w:val="uk-UA" w:eastAsia="en-US"/>
        </w:rPr>
        <w:t xml:space="preserve">В. В. </w:t>
      </w:r>
      <w:r w:rsidR="00A32F32" w:rsidRPr="001416ED">
        <w:rPr>
          <w:rFonts w:eastAsiaTheme="minorHAnsi"/>
          <w:kern w:val="11"/>
          <w:lang w:val="uk-UA" w:eastAsia="en-US"/>
        </w:rPr>
        <w:t xml:space="preserve">Багрій </w:t>
      </w:r>
      <w:r w:rsidR="00CE6310" w:rsidRPr="001416ED">
        <w:rPr>
          <w:rFonts w:eastAsiaTheme="minorHAnsi"/>
          <w:kern w:val="11"/>
          <w:lang w:val="uk-UA" w:eastAsia="en-US"/>
        </w:rPr>
        <w:t>при дослідженні жінок з ГХ</w:t>
      </w:r>
      <w:r w:rsidR="00A14B40" w:rsidRPr="001416ED">
        <w:rPr>
          <w:rFonts w:eastAsiaTheme="minorHAnsi"/>
          <w:kern w:val="11"/>
          <w:lang w:val="uk-UA" w:eastAsia="en-US"/>
        </w:rPr>
        <w:t xml:space="preserve"> та у дослідженні </w:t>
      </w:r>
      <w:r w:rsidR="00803F07" w:rsidRPr="001416ED">
        <w:rPr>
          <w:rFonts w:eastAsiaTheme="minorHAnsi"/>
          <w:kern w:val="11"/>
          <w:lang w:val="uk-UA" w:eastAsia="en-US"/>
        </w:rPr>
        <w:t xml:space="preserve">О. Л. </w:t>
      </w:r>
      <w:r w:rsidR="00A14B40" w:rsidRPr="001416ED">
        <w:rPr>
          <w:rFonts w:eastAsiaTheme="minorHAnsi"/>
          <w:kern w:val="11"/>
          <w:lang w:val="uk-UA" w:eastAsia="en-US"/>
        </w:rPr>
        <w:t>Старжинської при обстеженні чоловіків з ЕГ [</w:t>
      </w:r>
      <w:r w:rsidR="006C3E41" w:rsidRPr="001416ED">
        <w:rPr>
          <w:rFonts w:eastAsiaTheme="minorHAnsi"/>
          <w:kern w:val="11"/>
          <w:lang w:val="uk-UA" w:eastAsia="en-US"/>
        </w:rPr>
        <w:t>4</w:t>
      </w:r>
      <w:r w:rsidR="00A14B40" w:rsidRPr="001416ED">
        <w:rPr>
          <w:rFonts w:eastAsiaTheme="minorHAnsi"/>
          <w:kern w:val="11"/>
          <w:lang w:val="uk-UA" w:eastAsia="en-US"/>
        </w:rPr>
        <w:t>,</w:t>
      </w:r>
      <w:r w:rsidR="00803F07" w:rsidRPr="001416ED">
        <w:rPr>
          <w:rFonts w:eastAsiaTheme="minorHAnsi"/>
          <w:kern w:val="11"/>
          <w:lang w:val="uk-UA" w:eastAsia="en-US"/>
        </w:rPr>
        <w:t xml:space="preserve"> </w:t>
      </w:r>
      <w:r w:rsidR="00B4161B" w:rsidRPr="001416ED">
        <w:rPr>
          <w:rFonts w:eastAsiaTheme="minorHAnsi"/>
          <w:kern w:val="11"/>
          <w:lang w:val="uk-UA" w:eastAsia="en-US"/>
        </w:rPr>
        <w:t>7</w:t>
      </w:r>
      <w:r w:rsidR="006C3E41" w:rsidRPr="001416ED">
        <w:rPr>
          <w:rFonts w:eastAsiaTheme="minorHAnsi"/>
          <w:kern w:val="11"/>
          <w:lang w:val="uk-UA" w:eastAsia="en-US"/>
        </w:rPr>
        <w:t>2</w:t>
      </w:r>
      <w:r w:rsidR="00B4161B" w:rsidRPr="001416ED">
        <w:rPr>
          <w:rFonts w:eastAsiaTheme="minorHAnsi"/>
          <w:kern w:val="11"/>
          <w:lang w:val="uk-UA" w:eastAsia="en-US"/>
        </w:rPr>
        <w:t>,</w:t>
      </w:r>
      <w:r w:rsidR="00803F07" w:rsidRPr="001416ED">
        <w:rPr>
          <w:rFonts w:eastAsiaTheme="minorHAnsi"/>
          <w:kern w:val="11"/>
          <w:lang w:val="uk-UA" w:eastAsia="en-US"/>
        </w:rPr>
        <w:t xml:space="preserve"> </w:t>
      </w:r>
      <w:r w:rsidR="006C3E41" w:rsidRPr="001416ED">
        <w:rPr>
          <w:rFonts w:eastAsiaTheme="minorHAnsi"/>
          <w:kern w:val="11"/>
          <w:lang w:val="uk-UA" w:eastAsia="en-US"/>
        </w:rPr>
        <w:t>78</w:t>
      </w:r>
      <w:r w:rsidR="00A14B40" w:rsidRPr="001416ED">
        <w:rPr>
          <w:rFonts w:eastAsiaTheme="minorHAnsi"/>
          <w:kern w:val="11"/>
          <w:lang w:val="uk-UA" w:eastAsia="en-US"/>
        </w:rPr>
        <w:t>]</w:t>
      </w:r>
      <w:r w:rsidR="00CE6310" w:rsidRPr="001416ED">
        <w:rPr>
          <w:rFonts w:eastAsiaTheme="minorHAnsi"/>
          <w:kern w:val="11"/>
          <w:lang w:val="uk-UA" w:eastAsia="en-US"/>
        </w:rPr>
        <w:t>.</w:t>
      </w:r>
    </w:p>
    <w:p w:rsidR="00AF5FD5" w:rsidRPr="001416ED" w:rsidRDefault="00A9327B" w:rsidP="00AF5FD5">
      <w:pPr>
        <w:spacing w:line="360" w:lineRule="auto"/>
        <w:ind w:firstLine="709"/>
        <w:jc w:val="both"/>
        <w:rPr>
          <w:rFonts w:eastAsiaTheme="minorHAnsi"/>
          <w:kern w:val="11"/>
          <w:lang w:val="en-US" w:eastAsia="en-US"/>
        </w:rPr>
      </w:pPr>
      <w:r>
        <w:rPr>
          <w:rFonts w:eastAsiaTheme="minorHAnsi"/>
          <w:b/>
          <w:noProof/>
          <w:kern w:val="11"/>
          <w:lang w:val="uk-UA" w:eastAsia="uk-UA"/>
        </w:rPr>
        <w:pict>
          <v:rect id="_x0000_s1045" style="position:absolute;left:0;text-align:left;margin-left:207.15pt;margin-top:46.65pt;width:35.45pt;height:20.6pt;z-index:251677696" filled="f" stroked="f">
            <v:textbox style="mso-next-textbox:#_x0000_s1045">
              <w:txbxContent>
                <w:p w:rsidR="00A9327B" w:rsidRPr="00600E18" w:rsidRDefault="00A9327B">
                  <w:pPr>
                    <w:rPr>
                      <w:sz w:val="16"/>
                      <w:szCs w:val="16"/>
                      <w:lang w:val="en-US"/>
                    </w:rPr>
                  </w:pPr>
                  <w:r w:rsidRPr="00600E18">
                    <w:rPr>
                      <w:sz w:val="16"/>
                      <w:szCs w:val="16"/>
                      <w:lang w:val="en-US"/>
                    </w:rPr>
                    <w:t>#</w:t>
                  </w:r>
                  <w:r>
                    <w:rPr>
                      <w:sz w:val="16"/>
                      <w:szCs w:val="16"/>
                      <w:lang w:val="en-US"/>
                    </w:rPr>
                    <w:t xml:space="preserve"> &amp;</w:t>
                  </w:r>
                  <w:r w:rsidRPr="00A415C8">
                    <w:rPr>
                      <w:sz w:val="20"/>
                      <w:szCs w:val="20"/>
                      <w:lang w:val="en-US"/>
                    </w:rPr>
                    <w:t>*</w:t>
                  </w:r>
                  <w:r>
                    <w:rPr>
                      <w:sz w:val="16"/>
                      <w:szCs w:val="16"/>
                      <w:lang w:val="en-US"/>
                    </w:rPr>
                    <w:t xml:space="preserve"> </w:t>
                  </w:r>
                </w:p>
              </w:txbxContent>
            </v:textbox>
          </v:rect>
        </w:pict>
      </w:r>
      <w:r w:rsidR="00AF5FD5" w:rsidRPr="001416ED">
        <w:rPr>
          <w:rFonts w:eastAsiaTheme="minorHAnsi"/>
          <w:kern w:val="11"/>
          <w:lang w:val="uk-UA" w:eastAsia="en-US"/>
        </w:rPr>
        <w:t xml:space="preserve">Наступним кроком стало визначення розподілу ступенів АГ серед чоловіків з ГХ </w:t>
      </w:r>
      <w:r w:rsidR="00A63A7A" w:rsidRPr="001416ED">
        <w:rPr>
          <w:rFonts w:eastAsiaTheme="minorHAnsi"/>
          <w:kern w:val="11"/>
          <w:lang w:val="uk-UA" w:eastAsia="en-US"/>
        </w:rPr>
        <w:t>ІІ та ІІІ ст</w:t>
      </w:r>
      <w:r w:rsidR="00803F07" w:rsidRPr="001416ED">
        <w:rPr>
          <w:rFonts w:eastAsiaTheme="minorHAnsi"/>
          <w:kern w:val="11"/>
          <w:lang w:val="uk-UA" w:eastAsia="en-US"/>
        </w:rPr>
        <w:t xml:space="preserve">. </w:t>
      </w:r>
      <w:r w:rsidR="00AF5FD5" w:rsidRPr="001416ED">
        <w:rPr>
          <w:rFonts w:eastAsiaTheme="minorHAnsi"/>
          <w:kern w:val="11"/>
          <w:lang w:val="uk-UA" w:eastAsia="en-US"/>
        </w:rPr>
        <w:t xml:space="preserve">при носійстві </w:t>
      </w:r>
      <w:r w:rsidR="00E6164F">
        <w:rPr>
          <w:rFonts w:eastAsiaTheme="minorHAnsi"/>
          <w:kern w:val="11"/>
          <w:lang w:val="uk-UA" w:eastAsia="en-US"/>
        </w:rPr>
        <w:t>поліморфних варіантів гена ЕТ–1</w:t>
      </w:r>
      <w:r w:rsidR="00AF5FD5" w:rsidRPr="001416ED">
        <w:rPr>
          <w:rFonts w:eastAsiaTheme="minorHAnsi"/>
          <w:kern w:val="11"/>
          <w:lang w:val="uk-UA" w:eastAsia="en-US"/>
        </w:rPr>
        <w:t xml:space="preserve"> (</w:t>
      </w:r>
      <w:r w:rsidR="008C63D5" w:rsidRPr="001416ED">
        <w:rPr>
          <w:rFonts w:eastAsiaTheme="minorHAnsi"/>
          <w:kern w:val="11"/>
          <w:lang w:val="uk-UA" w:eastAsia="en-US"/>
        </w:rPr>
        <w:t>рис</w:t>
      </w:r>
      <w:r w:rsidR="00AF5FD5" w:rsidRPr="001416ED">
        <w:rPr>
          <w:rFonts w:eastAsiaTheme="minorHAnsi"/>
          <w:kern w:val="11"/>
          <w:lang w:val="uk-UA" w:eastAsia="en-US"/>
        </w:rPr>
        <w:t xml:space="preserve"> 4.</w:t>
      </w:r>
      <w:r w:rsidR="008C63D5" w:rsidRPr="001416ED">
        <w:rPr>
          <w:rFonts w:eastAsiaTheme="minorHAnsi"/>
          <w:kern w:val="11"/>
          <w:lang w:val="uk-UA" w:eastAsia="en-US"/>
        </w:rPr>
        <w:t>2</w:t>
      </w:r>
      <w:r w:rsidR="00AF5FD5" w:rsidRPr="001416ED">
        <w:rPr>
          <w:rFonts w:eastAsiaTheme="minorHAnsi"/>
          <w:kern w:val="11"/>
          <w:lang w:val="uk-UA" w:eastAsia="en-US"/>
        </w:rPr>
        <w:t>)</w:t>
      </w:r>
    </w:p>
    <w:p w:rsidR="005A2524" w:rsidRPr="001416ED" w:rsidRDefault="00A9327B" w:rsidP="005A2524">
      <w:pPr>
        <w:spacing w:line="360" w:lineRule="auto"/>
        <w:ind w:firstLine="709"/>
        <w:jc w:val="center"/>
        <w:rPr>
          <w:rFonts w:eastAsiaTheme="minorHAnsi"/>
          <w:b/>
          <w:kern w:val="11"/>
          <w:lang w:val="en-US" w:eastAsia="en-US"/>
        </w:rPr>
      </w:pPr>
      <w:r>
        <w:rPr>
          <w:rFonts w:eastAsiaTheme="minorHAnsi"/>
          <w:noProof/>
          <w:kern w:val="11"/>
          <w:lang w:val="uk-UA" w:eastAsia="uk-UA"/>
        </w:rPr>
        <w:pict>
          <v:rect id="_x0000_s1046" style="position:absolute;left:0;text-align:left;margin-left:198.15pt;margin-top:68.55pt;width:25.25pt;height:15.35pt;z-index:251678720" filled="f" stroked="f">
            <v:textbox style="mso-next-textbox:#_x0000_s1046">
              <w:txbxContent>
                <w:p w:rsidR="00A9327B" w:rsidRPr="00A415C8" w:rsidRDefault="00A9327B" w:rsidP="0059502B">
                  <w:pPr>
                    <w:rPr>
                      <w:sz w:val="20"/>
                      <w:szCs w:val="20"/>
                      <w:lang w:val="en-US"/>
                    </w:rPr>
                  </w:pPr>
                  <w:r w:rsidRPr="00A415C8">
                    <w:rPr>
                      <w:sz w:val="20"/>
                      <w:szCs w:val="20"/>
                      <w:lang w:val="en-US"/>
                    </w:rPr>
                    <w:t xml:space="preserve">* </w:t>
                  </w:r>
                </w:p>
              </w:txbxContent>
            </v:textbox>
          </v:rect>
        </w:pict>
      </w:r>
      <w:r>
        <w:rPr>
          <w:noProof/>
        </w:rPr>
        <w:pict>
          <v:rect id="_x0000_s1042" style="position:absolute;left:0;text-align:left;margin-left:288.6pt;margin-top:59.8pt;width:17.4pt;height:19.2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" filled="f" stroked="f" strokeweight="2pt">
            <v:textbox style="mso-next-textbox:#_x0000_s1042">
              <w:txbxContent>
                <w:p w:rsidR="00A9327B" w:rsidRPr="001619A9" w:rsidRDefault="00A9327B" w:rsidP="001619A9">
                  <w:pPr>
                    <w:pStyle w:val="ac"/>
                    <w:spacing w:before="0" w:beforeAutospacing="0" w:after="0" w:afterAutospacing="0"/>
                    <w:jc w:val="center"/>
                    <w:rPr>
                      <w:sz w:val="16"/>
                      <w:szCs w:val="16"/>
                      <w:lang w:val="en-US"/>
                    </w:rPr>
                  </w:pPr>
                  <w:r w:rsidRPr="001619A9">
                    <w:rPr>
                      <w:rFonts w:ascii="Arial" w:eastAsia="+mn-ea" w:hAnsi="Arial" w:cs="Arial"/>
                      <w:color w:val="000000"/>
                      <w:sz w:val="16"/>
                      <w:szCs w:val="16"/>
                      <w:lang w:val="en-US"/>
                    </w:rPr>
                    <w:t>&amp;</w:t>
                  </w:r>
                </w:p>
              </w:txbxContent>
            </v:textbox>
          </v:rect>
        </w:pict>
      </w:r>
      <w:r>
        <w:rPr>
          <w:rFonts w:eastAsiaTheme="minorHAnsi"/>
          <w:noProof/>
          <w:kern w:val="11"/>
          <w:lang w:val="uk-UA" w:eastAsia="uk-UA"/>
        </w:rPr>
        <w:pict>
          <v:rect id="_x0000_s1047" style="position:absolute;left:0;text-align:left;margin-left:78.7pt;margin-top:128.55pt;width:20.4pt;height:17.75pt;z-index:251679744" filled="f" strokecolor="white [3212]">
            <v:textbox style="mso-next-textbox:#_x0000_s1047">
              <w:txbxContent>
                <w:p w:rsidR="00A9327B" w:rsidRPr="00A415C8" w:rsidRDefault="00A9327B">
                  <w:pPr>
                    <w:rPr>
                      <w:sz w:val="16"/>
                      <w:szCs w:val="16"/>
                      <w:lang w:val="en-US"/>
                    </w:rPr>
                  </w:pPr>
                  <w:r w:rsidRPr="00A415C8">
                    <w:rPr>
                      <w:sz w:val="16"/>
                      <w:szCs w:val="16"/>
                      <w:lang w:val="en-US"/>
                    </w:rPr>
                    <w:t>%</w:t>
                  </w:r>
                </w:p>
              </w:txbxContent>
            </v:textbox>
          </v:rect>
        </w:pict>
      </w:r>
      <w:r>
        <w:rPr>
          <w:rFonts w:eastAsiaTheme="minorHAnsi"/>
          <w:b/>
          <w:noProof/>
          <w:kern w:val="11"/>
          <w:lang w:val="uk-UA" w:eastAsia="uk-UA"/>
        </w:rPr>
        <w:pict>
          <v:rect id="_x0000_s1044" style="position:absolute;left:0;text-align:left;margin-left:141.05pt;margin-top:53.65pt;width:17.4pt;height:14.9pt;z-index:2516766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" filled="f" stroked="f" strokeweight="2pt">
            <v:textbox style="mso-next-textbox:#_x0000_s1044">
              <w:txbxContent>
                <w:p w:rsidR="00A9327B" w:rsidRPr="00A76036" w:rsidRDefault="00A9327B" w:rsidP="00600E18">
                  <w:pPr>
                    <w:pStyle w:val="ac"/>
                    <w:spacing w:before="0" w:beforeAutospacing="0" w:after="0" w:afterAutospacing="0"/>
                    <w:jc w:val="center"/>
                    <w:rPr>
                      <w:sz w:val="16"/>
                      <w:szCs w:val="16"/>
                      <w:lang w:val="en-US"/>
                    </w:rPr>
                  </w:pPr>
                  <w:r>
                    <w:rPr>
                      <w:rFonts w:ascii="Arial" w:eastAsia="+mn-ea" w:hAnsi="Arial" w:cs="Arial"/>
                      <w:color w:val="000000"/>
                      <w:sz w:val="16"/>
                      <w:szCs w:val="16"/>
                      <w:lang w:val="en-US"/>
                    </w:rPr>
                    <w:t>&amp;</w:t>
                  </w:r>
                </w:p>
              </w:txbxContent>
            </v:textbox>
          </v:rect>
        </w:pict>
      </w:r>
      <w:r>
        <w:rPr>
          <w:noProof/>
        </w:rPr>
        <w:pict>
          <v:rect id="Прямоугольник 1" o:spid="_x0000_s1041" style="position:absolute;left:0;text-align:left;margin-left:123.65pt;margin-top:18.95pt;width:17.4pt;height:14.9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" filled="f" stroked="f" strokeweight="2pt">
            <v:textbox style="mso-next-textbox:#Прямоугольник 1">
              <w:txbxContent>
                <w:p w:rsidR="00A9327B" w:rsidRPr="00A76036" w:rsidRDefault="00A9327B" w:rsidP="005A2524">
                  <w:pPr>
                    <w:pStyle w:val="ac"/>
                    <w:spacing w:before="0" w:beforeAutospacing="0" w:after="0" w:afterAutospacing="0"/>
                    <w:jc w:val="center"/>
                    <w:rPr>
                      <w:sz w:val="16"/>
                      <w:szCs w:val="16"/>
                      <w:lang w:val="en-US"/>
                    </w:rPr>
                  </w:pPr>
                  <w:r w:rsidRPr="00A76036">
                    <w:rPr>
                      <w:rFonts w:ascii="Arial" w:eastAsia="+mn-ea" w:hAnsi="Arial" w:cs="Arial"/>
                      <w:color w:val="000000"/>
                      <w:sz w:val="16"/>
                      <w:szCs w:val="16"/>
                      <w:lang w:val="en-US"/>
                    </w:rPr>
                    <w:t>#</w:t>
                  </w:r>
                </w:p>
              </w:txbxContent>
            </v:textbox>
          </v:rect>
        </w:pict>
      </w:r>
      <w:r w:rsidR="005A2524" w:rsidRPr="001416ED">
        <w:rPr>
          <w:rFonts w:eastAsiaTheme="minorHAnsi"/>
          <w:b/>
          <w:noProof/>
          <w:kern w:val="11"/>
          <w:lang w:val="uk-UA" w:eastAsia="uk-UA"/>
        </w:rPr>
        <w:drawing>
          <wp:inline distT="0" distB="0" distL="0" distR="0" wp14:anchorId="4AFEF0E0" wp14:editId="316BAE79">
            <wp:extent cx="5049671" cy="1937982"/>
            <wp:effectExtent l="0" t="0" r="0"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C63D5" w:rsidRPr="001416ED" w:rsidRDefault="008C63D5" w:rsidP="00C34387">
      <w:pPr>
        <w:spacing w:line="360" w:lineRule="auto"/>
        <w:ind w:firstLine="709"/>
        <w:jc w:val="both"/>
        <w:rPr>
          <w:rFonts w:eastAsiaTheme="minorHAnsi"/>
          <w:b/>
          <w:kern w:val="11"/>
          <w:lang w:val="uk-UA" w:eastAsia="en-US"/>
        </w:rPr>
      </w:pPr>
      <w:r w:rsidRPr="001416ED">
        <w:rPr>
          <w:rFonts w:eastAsiaTheme="minorHAnsi"/>
          <w:b/>
          <w:kern w:val="11"/>
          <w:lang w:val="en-US" w:eastAsia="en-US"/>
        </w:rPr>
        <w:t xml:space="preserve"> </w:t>
      </w:r>
      <w:r w:rsidRPr="001416ED">
        <w:rPr>
          <w:rFonts w:eastAsiaTheme="minorHAnsi"/>
          <w:b/>
          <w:kern w:val="11"/>
          <w:lang w:val="uk-UA" w:eastAsia="en-US"/>
        </w:rPr>
        <w:t xml:space="preserve">Рис. 4.2 Частота різних ступенів АГ при носійстві різних </w:t>
      </w:r>
      <w:r w:rsidR="00F40216">
        <w:rPr>
          <w:rFonts w:eastAsiaTheme="minorHAnsi"/>
          <w:b/>
          <w:kern w:val="11"/>
          <w:lang w:val="uk-UA" w:eastAsia="en-US"/>
        </w:rPr>
        <w:t>варіантів гена</w:t>
      </w:r>
      <w:r w:rsidRPr="001416ED">
        <w:rPr>
          <w:rFonts w:eastAsiaTheme="minorHAnsi"/>
          <w:b/>
          <w:kern w:val="11"/>
          <w:lang w:val="uk-UA" w:eastAsia="en-US"/>
        </w:rPr>
        <w:t xml:space="preserve"> ЕТ–1 у чоловіків з ГХ ІІ ст.</w:t>
      </w:r>
      <w:r w:rsidR="00C34387" w:rsidRPr="001416ED">
        <w:rPr>
          <w:rFonts w:eastAsiaTheme="minorHAnsi"/>
          <w:b/>
          <w:kern w:val="11"/>
          <w:lang w:val="uk-UA" w:eastAsia="en-US"/>
        </w:rPr>
        <w:t xml:space="preserve"> та ГХ ІІІ ст.</w:t>
      </w:r>
      <w:r w:rsidRPr="001416ED">
        <w:rPr>
          <w:rFonts w:eastAsiaTheme="minorHAnsi"/>
          <w:b/>
          <w:kern w:val="11"/>
          <w:lang w:val="uk-UA" w:eastAsia="en-US"/>
        </w:rPr>
        <w:t>, (%)</w:t>
      </w:r>
    </w:p>
    <w:p w:rsidR="00A76036" w:rsidRPr="001416ED" w:rsidRDefault="00A76036" w:rsidP="00A76036">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Примітка: </w:t>
      </w:r>
      <w:r w:rsidRPr="001416ED">
        <w:rPr>
          <w:rFonts w:eastAsiaTheme="minorHAnsi"/>
          <w:kern w:val="11"/>
          <w:lang w:eastAsia="en-US"/>
        </w:rPr>
        <w:t xml:space="preserve">різниця показників достовірна при порівнянні з: * - генотипом </w:t>
      </w:r>
      <w:r w:rsidRPr="001416ED">
        <w:rPr>
          <w:rFonts w:eastAsiaTheme="minorHAnsi"/>
          <w:kern w:val="11"/>
          <w:lang w:val="en-US" w:eastAsia="en-US"/>
        </w:rPr>
        <w:t>Lys/Lys</w:t>
      </w:r>
      <w:r w:rsidRPr="001416ED">
        <w:rPr>
          <w:rFonts w:eastAsiaTheme="minorHAnsi"/>
          <w:kern w:val="11"/>
          <w:lang w:val="uk-UA" w:eastAsia="en-US"/>
        </w:rPr>
        <w:t xml:space="preserve"> (р</w:t>
      </w:r>
      <w:r w:rsidR="00357DB4" w:rsidRPr="001416ED">
        <w:rPr>
          <w:rFonts w:eastAsiaTheme="minorHAnsi"/>
          <w:kern w:val="11"/>
          <w:lang w:val="uk-UA" w:eastAsia="en-US"/>
        </w:rPr>
        <w:t>˂</w:t>
      </w:r>
      <w:r w:rsidRPr="001416ED">
        <w:rPr>
          <w:rFonts w:eastAsiaTheme="minorHAnsi"/>
          <w:kern w:val="11"/>
          <w:lang w:val="uk-UA" w:eastAsia="en-US"/>
        </w:rPr>
        <w:t xml:space="preserve">0,05), </w:t>
      </w:r>
      <w:r w:rsidRPr="001416ED">
        <w:rPr>
          <w:rFonts w:eastAsiaTheme="minorHAnsi"/>
          <w:kern w:val="11"/>
          <w:lang w:val="en-US" w:eastAsia="en-US"/>
        </w:rPr>
        <w:t xml:space="preserve"># </w:t>
      </w:r>
      <w:r w:rsidRPr="001416ED">
        <w:rPr>
          <w:rFonts w:eastAsiaTheme="minorHAnsi"/>
          <w:kern w:val="11"/>
          <w:lang w:val="uk-UA" w:eastAsia="en-US"/>
        </w:rPr>
        <w:t>- при порівнянні з пацієнтами з 1 ст</w:t>
      </w:r>
      <w:r w:rsidR="00A36D8B" w:rsidRPr="001416ED">
        <w:rPr>
          <w:rFonts w:eastAsiaTheme="minorHAnsi"/>
          <w:kern w:val="11"/>
          <w:lang w:val="uk-UA" w:eastAsia="en-US"/>
        </w:rPr>
        <w:t>упенем</w:t>
      </w:r>
      <w:r w:rsidRPr="001416ED">
        <w:rPr>
          <w:rFonts w:eastAsiaTheme="minorHAnsi"/>
          <w:kern w:val="11"/>
          <w:lang w:val="uk-UA" w:eastAsia="en-US"/>
        </w:rPr>
        <w:t xml:space="preserve"> АГ в межах кожної </w:t>
      </w:r>
      <w:r w:rsidRPr="001416ED">
        <w:rPr>
          <w:rFonts w:eastAsiaTheme="minorHAnsi"/>
          <w:kern w:val="11"/>
          <w:lang w:val="uk-UA" w:eastAsia="en-US"/>
        </w:rPr>
        <w:lastRenderedPageBreak/>
        <w:t>групи (р</w:t>
      </w:r>
      <w:r w:rsidR="00357DB4" w:rsidRPr="001416ED">
        <w:rPr>
          <w:rFonts w:eastAsiaTheme="minorHAnsi"/>
          <w:kern w:val="11"/>
          <w:lang w:val="uk-UA" w:eastAsia="en-US"/>
        </w:rPr>
        <w:t>˂</w:t>
      </w:r>
      <w:r w:rsidRPr="001416ED">
        <w:rPr>
          <w:rFonts w:eastAsiaTheme="minorHAnsi"/>
          <w:kern w:val="11"/>
          <w:lang w:val="uk-UA" w:eastAsia="en-US"/>
        </w:rPr>
        <w:t>0,01)</w:t>
      </w:r>
      <w:r w:rsidRPr="001416ED">
        <w:rPr>
          <w:rFonts w:eastAsiaTheme="minorHAnsi"/>
          <w:kern w:val="11"/>
          <w:lang w:eastAsia="en-US"/>
        </w:rPr>
        <w:t xml:space="preserve">, </w:t>
      </w:r>
      <w:r w:rsidRPr="001416ED">
        <w:rPr>
          <w:rFonts w:eastAsiaTheme="minorHAnsi"/>
          <w:kern w:val="11"/>
          <w:lang w:val="en-US" w:eastAsia="en-US"/>
        </w:rPr>
        <w:t>&amp;</w:t>
      </w:r>
      <w:r w:rsidRPr="001416ED">
        <w:rPr>
          <w:rFonts w:eastAsiaTheme="minorHAnsi"/>
          <w:kern w:val="11"/>
          <w:lang w:val="uk-UA" w:eastAsia="en-US"/>
        </w:rPr>
        <w:t xml:space="preserve"> - </w:t>
      </w:r>
      <w:r w:rsidRPr="001416ED">
        <w:rPr>
          <w:rFonts w:eastAsiaTheme="minorHAnsi"/>
          <w:kern w:val="11"/>
          <w:lang w:eastAsia="en-US"/>
        </w:rPr>
        <w:t>при порівнянні з пацієнтами з 2 ст</w:t>
      </w:r>
      <w:r w:rsidR="00A36D8B" w:rsidRPr="001416ED">
        <w:rPr>
          <w:rFonts w:eastAsiaTheme="minorHAnsi"/>
          <w:kern w:val="11"/>
          <w:lang w:val="uk-UA" w:eastAsia="en-US"/>
        </w:rPr>
        <w:t>упенем</w:t>
      </w:r>
      <w:r w:rsidRPr="001416ED">
        <w:rPr>
          <w:rFonts w:eastAsiaTheme="minorHAnsi"/>
          <w:kern w:val="11"/>
          <w:lang w:eastAsia="en-US"/>
        </w:rPr>
        <w:t xml:space="preserve"> АГ в межах кожної групи </w:t>
      </w:r>
      <w:r w:rsidRPr="001416ED">
        <w:rPr>
          <w:rFonts w:eastAsiaTheme="minorHAnsi"/>
          <w:kern w:val="11"/>
          <w:lang w:val="uk-UA" w:eastAsia="en-US"/>
        </w:rPr>
        <w:t xml:space="preserve"> (р</w:t>
      </w:r>
      <w:r w:rsidR="007C5EDF">
        <w:rPr>
          <w:rFonts w:eastAsiaTheme="minorHAnsi"/>
          <w:kern w:val="11"/>
          <w:lang w:val="uk-UA" w:eastAsia="en-US"/>
        </w:rPr>
        <w:t>˂</w:t>
      </w:r>
      <w:r w:rsidRPr="001416ED">
        <w:rPr>
          <w:rFonts w:eastAsiaTheme="minorHAnsi"/>
          <w:kern w:val="11"/>
          <w:lang w:val="uk-UA" w:eastAsia="en-US"/>
        </w:rPr>
        <w:t>0,01)</w:t>
      </w:r>
    </w:p>
    <w:p w:rsidR="00E7374E" w:rsidRPr="001416ED" w:rsidRDefault="001C7F03" w:rsidP="007257DF">
      <w:pPr>
        <w:spacing w:before="240" w:line="360" w:lineRule="auto"/>
        <w:ind w:firstLine="709"/>
        <w:jc w:val="both"/>
        <w:rPr>
          <w:rFonts w:eastAsiaTheme="minorHAnsi"/>
          <w:kern w:val="11"/>
          <w:lang w:val="uk-UA" w:eastAsia="en-US"/>
        </w:rPr>
      </w:pPr>
      <w:r w:rsidRPr="001416ED">
        <w:rPr>
          <w:rFonts w:eastAsiaTheme="minorHAnsi"/>
          <w:kern w:val="11"/>
          <w:lang w:val="uk-UA" w:eastAsia="en-US"/>
        </w:rPr>
        <w:t xml:space="preserve">Встановлено, що у </w:t>
      </w:r>
      <w:r w:rsidR="008C63D5" w:rsidRPr="001416ED">
        <w:rPr>
          <w:rFonts w:eastAsiaTheme="minorHAnsi"/>
          <w:kern w:val="11"/>
          <w:lang w:val="uk-UA" w:eastAsia="en-US"/>
        </w:rPr>
        <w:t xml:space="preserve">чоловіків з ГХ ІІ ст., носіїв гентипу </w:t>
      </w:r>
      <w:r w:rsidR="008C63D5" w:rsidRPr="001416ED">
        <w:rPr>
          <w:rFonts w:eastAsiaTheme="minorHAnsi"/>
          <w:kern w:val="11"/>
          <w:lang w:val="en-US" w:eastAsia="en-US"/>
        </w:rPr>
        <w:t>Lys</w:t>
      </w:r>
      <w:r w:rsidR="008C63D5" w:rsidRPr="001416ED">
        <w:rPr>
          <w:rFonts w:eastAsiaTheme="minorHAnsi"/>
          <w:kern w:val="11"/>
          <w:lang w:val="uk-UA" w:eastAsia="en-US"/>
        </w:rPr>
        <w:t>/</w:t>
      </w:r>
      <w:r w:rsidR="008C63D5" w:rsidRPr="001416ED">
        <w:rPr>
          <w:rFonts w:eastAsiaTheme="minorHAnsi"/>
          <w:kern w:val="11"/>
          <w:lang w:val="en-US" w:eastAsia="en-US"/>
        </w:rPr>
        <w:t>Lys</w:t>
      </w:r>
      <w:r w:rsidR="008C63D5" w:rsidRPr="001416ED">
        <w:rPr>
          <w:rFonts w:eastAsiaTheme="minorHAnsi"/>
          <w:kern w:val="11"/>
          <w:lang w:val="uk-UA" w:eastAsia="en-US"/>
        </w:rPr>
        <w:t xml:space="preserve"> частіше зустрічається </w:t>
      </w:r>
      <w:r w:rsidR="00F5324F" w:rsidRPr="001416ED">
        <w:rPr>
          <w:rFonts w:eastAsiaTheme="minorHAnsi"/>
          <w:kern w:val="11"/>
          <w:lang w:val="uk-UA" w:eastAsia="en-US"/>
        </w:rPr>
        <w:t>2 ступ</w:t>
      </w:r>
      <w:r w:rsidR="008C63D5" w:rsidRPr="001416ED">
        <w:rPr>
          <w:rFonts w:eastAsiaTheme="minorHAnsi"/>
          <w:kern w:val="11"/>
          <w:lang w:val="uk-UA" w:eastAsia="en-US"/>
        </w:rPr>
        <w:t xml:space="preserve">інь </w:t>
      </w:r>
      <w:r w:rsidR="00F5324F" w:rsidRPr="001416ED">
        <w:rPr>
          <w:rFonts w:eastAsiaTheme="minorHAnsi"/>
          <w:kern w:val="11"/>
          <w:lang w:val="uk-UA" w:eastAsia="en-US"/>
        </w:rPr>
        <w:t>АГ</w:t>
      </w:r>
      <w:r w:rsidRPr="001416ED">
        <w:rPr>
          <w:rFonts w:eastAsiaTheme="minorHAnsi"/>
          <w:kern w:val="11"/>
          <w:lang w:val="uk-UA" w:eastAsia="en-US"/>
        </w:rPr>
        <w:t>, а</w:t>
      </w:r>
      <w:r w:rsidR="00F5324F" w:rsidRPr="001416ED">
        <w:rPr>
          <w:rFonts w:eastAsiaTheme="minorHAnsi"/>
          <w:kern w:val="11"/>
          <w:lang w:val="uk-UA" w:eastAsia="en-US"/>
        </w:rPr>
        <w:t xml:space="preserve"> </w:t>
      </w:r>
      <w:r w:rsidR="008C63D5" w:rsidRPr="001416ED">
        <w:rPr>
          <w:rFonts w:eastAsiaTheme="minorHAnsi"/>
          <w:kern w:val="11"/>
          <w:lang w:val="uk-UA" w:eastAsia="en-US"/>
        </w:rPr>
        <w:t xml:space="preserve"> серед носіїв алелі </w:t>
      </w:r>
      <w:r w:rsidR="008C63D5" w:rsidRPr="001416ED">
        <w:rPr>
          <w:rFonts w:eastAsiaTheme="minorHAnsi"/>
          <w:kern w:val="11"/>
          <w:lang w:val="en-US" w:eastAsia="en-US"/>
        </w:rPr>
        <w:t>Asn</w:t>
      </w:r>
      <w:r w:rsidR="008C63D5" w:rsidRPr="001416ED">
        <w:rPr>
          <w:rFonts w:eastAsiaTheme="minorHAnsi"/>
          <w:kern w:val="11"/>
          <w:lang w:val="uk-UA" w:eastAsia="en-US"/>
        </w:rPr>
        <w:t xml:space="preserve"> -</w:t>
      </w:r>
      <w:r w:rsidRPr="001416ED">
        <w:rPr>
          <w:rFonts w:eastAsiaTheme="minorHAnsi"/>
          <w:kern w:val="11"/>
          <w:lang w:val="uk-UA" w:eastAsia="en-US"/>
        </w:rPr>
        <w:t xml:space="preserve"> </w:t>
      </w:r>
      <w:r w:rsidR="00F5324F" w:rsidRPr="001416ED">
        <w:rPr>
          <w:rFonts w:eastAsiaTheme="minorHAnsi"/>
          <w:kern w:val="11"/>
          <w:lang w:val="uk-UA" w:eastAsia="en-US"/>
        </w:rPr>
        <w:t>3 ступ</w:t>
      </w:r>
      <w:r w:rsidR="008C63D5" w:rsidRPr="001416ED">
        <w:rPr>
          <w:rFonts w:eastAsiaTheme="minorHAnsi"/>
          <w:kern w:val="11"/>
          <w:lang w:val="uk-UA" w:eastAsia="en-US"/>
        </w:rPr>
        <w:t>інь АГ</w:t>
      </w:r>
      <w:r w:rsidR="00AF5FD5" w:rsidRPr="001416ED">
        <w:rPr>
          <w:rFonts w:eastAsiaTheme="minorHAnsi"/>
          <w:kern w:val="11"/>
          <w:lang w:val="uk-UA" w:eastAsia="en-US"/>
        </w:rPr>
        <w:t>.</w:t>
      </w:r>
      <w:r w:rsidR="00C34387" w:rsidRPr="001416ED">
        <w:rPr>
          <w:rFonts w:eastAsiaTheme="minorHAnsi"/>
          <w:kern w:val="11"/>
          <w:lang w:val="uk-UA" w:eastAsia="en-US"/>
        </w:rPr>
        <w:t xml:space="preserve"> У чоловіків з ГХ ІІІ ст. носійство алелі </w:t>
      </w:r>
      <w:r w:rsidR="00C34387" w:rsidRPr="001416ED">
        <w:rPr>
          <w:rFonts w:eastAsiaTheme="minorHAnsi"/>
          <w:kern w:val="11"/>
          <w:lang w:val="en-US" w:eastAsia="en-US"/>
        </w:rPr>
        <w:t>Asn</w:t>
      </w:r>
      <w:r w:rsidR="00C34387" w:rsidRPr="001416ED">
        <w:rPr>
          <w:rFonts w:eastAsiaTheme="minorHAnsi"/>
          <w:kern w:val="11"/>
          <w:lang w:val="uk-UA" w:eastAsia="en-US"/>
        </w:rPr>
        <w:t xml:space="preserve"> асоціюється з 3 ступенем АГ.</w:t>
      </w:r>
    </w:p>
    <w:p w:rsidR="002310D7" w:rsidRPr="001416ED" w:rsidRDefault="00501FC2" w:rsidP="00C34387">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Відомо, що ГХ є генетично обумовленим захворюванням, </w:t>
      </w:r>
      <w:r w:rsidR="0005260E" w:rsidRPr="001416ED">
        <w:rPr>
          <w:rFonts w:eastAsiaTheme="minorHAnsi"/>
          <w:kern w:val="11"/>
          <w:lang w:val="uk-UA" w:eastAsia="en-US"/>
        </w:rPr>
        <w:t xml:space="preserve">тому </w:t>
      </w:r>
      <w:r w:rsidRPr="001416ED">
        <w:rPr>
          <w:rFonts w:eastAsiaTheme="minorHAnsi"/>
          <w:kern w:val="11"/>
          <w:lang w:val="uk-UA" w:eastAsia="en-US"/>
        </w:rPr>
        <w:t xml:space="preserve">було вирішено проаналізувати частоту </w:t>
      </w:r>
      <w:r w:rsidR="00BA4CC9" w:rsidRPr="001416ED">
        <w:rPr>
          <w:rFonts w:eastAsiaTheme="minorHAnsi"/>
          <w:kern w:val="11"/>
          <w:lang w:val="uk-UA" w:eastAsia="en-US"/>
        </w:rPr>
        <w:t>обтяженої та необтяженої спадков</w:t>
      </w:r>
      <w:r w:rsidR="004446A4" w:rsidRPr="001416ED">
        <w:rPr>
          <w:rFonts w:eastAsiaTheme="minorHAnsi"/>
          <w:kern w:val="11"/>
          <w:lang w:val="uk-UA" w:eastAsia="en-US"/>
        </w:rPr>
        <w:t>о</w:t>
      </w:r>
      <w:r w:rsidR="00BA4CC9" w:rsidRPr="001416ED">
        <w:rPr>
          <w:rFonts w:eastAsiaTheme="minorHAnsi"/>
          <w:kern w:val="11"/>
          <w:lang w:val="uk-UA" w:eastAsia="en-US"/>
        </w:rPr>
        <w:t>сті по ЕГ у носії</w:t>
      </w:r>
      <w:r w:rsidR="00C84824" w:rsidRPr="001416ED">
        <w:rPr>
          <w:rFonts w:eastAsiaTheme="minorHAnsi"/>
          <w:kern w:val="11"/>
          <w:lang w:val="uk-UA" w:eastAsia="en-US"/>
        </w:rPr>
        <w:t>в</w:t>
      </w:r>
      <w:r w:rsidR="00BA4CC9" w:rsidRPr="001416ED">
        <w:rPr>
          <w:rFonts w:eastAsiaTheme="minorHAnsi"/>
          <w:kern w:val="11"/>
          <w:lang w:val="uk-UA" w:eastAsia="en-US"/>
        </w:rPr>
        <w:t xml:space="preserve"> </w:t>
      </w:r>
      <w:r w:rsidR="00E6164F">
        <w:rPr>
          <w:rFonts w:eastAsiaTheme="minorHAnsi"/>
          <w:kern w:val="11"/>
          <w:lang w:val="uk-UA" w:eastAsia="en-US"/>
        </w:rPr>
        <w:t>поліморфних варіантів гена ЕТ–1</w:t>
      </w:r>
      <w:r w:rsidR="0005260E" w:rsidRPr="001416ED">
        <w:rPr>
          <w:rFonts w:eastAsiaTheme="minorHAnsi"/>
          <w:kern w:val="11"/>
          <w:lang w:val="uk-UA" w:eastAsia="en-US"/>
        </w:rPr>
        <w:t>. У чоловіків з ГХ ІІ ст., що є гомозигот</w:t>
      </w:r>
      <w:r w:rsidR="00B166E6" w:rsidRPr="001416ED">
        <w:rPr>
          <w:rFonts w:eastAsiaTheme="minorHAnsi"/>
          <w:kern w:val="11"/>
          <w:lang w:val="uk-UA" w:eastAsia="en-US"/>
        </w:rPr>
        <w:t>ами</w:t>
      </w:r>
      <w:r w:rsidR="0005260E" w:rsidRPr="001416ED">
        <w:rPr>
          <w:rFonts w:eastAsiaTheme="minorHAnsi"/>
          <w:kern w:val="11"/>
          <w:lang w:val="uk-UA" w:eastAsia="en-US"/>
        </w:rPr>
        <w:t xml:space="preserve"> по алелі </w:t>
      </w:r>
      <w:r w:rsidR="00B166E6" w:rsidRPr="001416ED">
        <w:rPr>
          <w:rFonts w:eastAsiaTheme="minorHAnsi"/>
          <w:kern w:val="11"/>
          <w:lang w:val="uk-UA" w:eastAsia="en-US"/>
        </w:rPr>
        <w:t>Lys у 82,86</w:t>
      </w:r>
      <w:r w:rsidR="00D4219F" w:rsidRPr="001416ED">
        <w:rPr>
          <w:rFonts w:eastAsiaTheme="minorHAnsi"/>
          <w:kern w:val="11"/>
          <w:lang w:val="uk-UA" w:eastAsia="en-US"/>
        </w:rPr>
        <w:t xml:space="preserve"> %</w:t>
      </w:r>
      <w:r w:rsidR="00B166E6" w:rsidRPr="001416ED">
        <w:rPr>
          <w:rFonts w:eastAsiaTheme="minorHAnsi"/>
          <w:kern w:val="11"/>
          <w:lang w:val="uk-UA" w:eastAsia="en-US"/>
        </w:rPr>
        <w:t xml:space="preserve"> (</w:t>
      </w:r>
      <w:r w:rsidR="00B166E6" w:rsidRPr="001416ED">
        <w:rPr>
          <w:rFonts w:eastAsiaTheme="minorHAnsi"/>
          <w:kern w:val="11"/>
          <w:lang w:eastAsia="en-US"/>
        </w:rPr>
        <w:t>n</w:t>
      </w:r>
      <w:r w:rsidR="00B166E6" w:rsidRPr="001416ED">
        <w:rPr>
          <w:rFonts w:eastAsiaTheme="minorHAnsi"/>
          <w:kern w:val="11"/>
          <w:lang w:val="uk-UA" w:eastAsia="en-US"/>
        </w:rPr>
        <w:t>=29) виявлена обтяжена спадковість, у 17,14</w:t>
      </w:r>
      <w:r w:rsidR="00D4219F" w:rsidRPr="001416ED">
        <w:rPr>
          <w:rFonts w:eastAsiaTheme="minorHAnsi"/>
          <w:kern w:val="11"/>
          <w:lang w:val="uk-UA" w:eastAsia="en-US"/>
        </w:rPr>
        <w:t xml:space="preserve"> %</w:t>
      </w:r>
      <w:r w:rsidR="00B166E6" w:rsidRPr="001416ED">
        <w:rPr>
          <w:rFonts w:eastAsiaTheme="minorHAnsi"/>
          <w:kern w:val="11"/>
          <w:lang w:val="uk-UA" w:eastAsia="en-US"/>
        </w:rPr>
        <w:t xml:space="preserve"> (</w:t>
      </w:r>
      <w:r w:rsidR="00B166E6" w:rsidRPr="001416ED">
        <w:rPr>
          <w:rFonts w:eastAsiaTheme="minorHAnsi"/>
          <w:kern w:val="11"/>
          <w:lang w:eastAsia="en-US"/>
        </w:rPr>
        <w:t>n</w:t>
      </w:r>
      <w:r w:rsidR="00B166E6" w:rsidRPr="001416ED">
        <w:rPr>
          <w:rFonts w:eastAsiaTheme="minorHAnsi"/>
          <w:kern w:val="11"/>
          <w:lang w:val="uk-UA" w:eastAsia="en-US"/>
        </w:rPr>
        <w:t>=6) – необтя</w:t>
      </w:r>
      <w:r w:rsidR="002616A7" w:rsidRPr="001416ED">
        <w:rPr>
          <w:rFonts w:eastAsiaTheme="minorHAnsi"/>
          <w:kern w:val="11"/>
          <w:lang w:val="uk-UA" w:eastAsia="en-US"/>
        </w:rPr>
        <w:t>жена спадковість по ГХ (р&lt;0,000</w:t>
      </w:r>
      <w:r w:rsidR="00B166E6" w:rsidRPr="001416ED">
        <w:rPr>
          <w:rFonts w:eastAsiaTheme="minorHAnsi"/>
          <w:kern w:val="11"/>
          <w:lang w:val="uk-UA" w:eastAsia="en-US"/>
        </w:rPr>
        <w:t xml:space="preserve">1). У носіїв алелі </w:t>
      </w:r>
      <w:r w:rsidR="00B166E6" w:rsidRPr="001416ED">
        <w:rPr>
          <w:rFonts w:eastAsiaTheme="minorHAnsi"/>
          <w:kern w:val="11"/>
          <w:lang w:val="en-US" w:eastAsia="en-US"/>
        </w:rPr>
        <w:t>Asn</w:t>
      </w:r>
      <w:r w:rsidR="00B166E6" w:rsidRPr="001416ED">
        <w:rPr>
          <w:rFonts w:eastAsiaTheme="minorHAnsi"/>
          <w:kern w:val="11"/>
          <w:lang w:val="uk-UA" w:eastAsia="en-US"/>
        </w:rPr>
        <w:t xml:space="preserve"> </w:t>
      </w:r>
      <w:r w:rsidR="00201573" w:rsidRPr="001416ED">
        <w:rPr>
          <w:rFonts w:eastAsiaTheme="minorHAnsi"/>
          <w:kern w:val="11"/>
          <w:lang w:val="uk-UA" w:eastAsia="en-US"/>
        </w:rPr>
        <w:t xml:space="preserve">спостерігалась подібна ситуація </w:t>
      </w:r>
      <w:r w:rsidR="00BC0119" w:rsidRPr="001416ED">
        <w:rPr>
          <w:rFonts w:eastAsiaTheme="minorHAnsi"/>
          <w:kern w:val="11"/>
          <w:lang w:val="uk-UA" w:eastAsia="en-US"/>
        </w:rPr>
        <w:t>–</w:t>
      </w:r>
      <w:r w:rsidR="00201573" w:rsidRPr="001416ED">
        <w:rPr>
          <w:rFonts w:eastAsiaTheme="minorHAnsi"/>
          <w:kern w:val="11"/>
          <w:lang w:val="uk-UA" w:eastAsia="en-US"/>
        </w:rPr>
        <w:t xml:space="preserve"> </w:t>
      </w:r>
      <w:r w:rsidR="00B166E6" w:rsidRPr="001416ED">
        <w:rPr>
          <w:rFonts w:eastAsiaTheme="minorHAnsi"/>
          <w:kern w:val="11"/>
          <w:lang w:val="uk-UA" w:eastAsia="en-US"/>
        </w:rPr>
        <w:t xml:space="preserve">у </w:t>
      </w:r>
      <w:r w:rsidR="00B166E6" w:rsidRPr="001416ED">
        <w:rPr>
          <w:rFonts w:eastAsiaTheme="minorHAnsi"/>
          <w:kern w:val="11"/>
          <w:lang w:eastAsia="en-US"/>
        </w:rPr>
        <w:t>81,48</w:t>
      </w:r>
      <w:r w:rsidR="00D4219F" w:rsidRPr="001416ED">
        <w:rPr>
          <w:rFonts w:eastAsiaTheme="minorHAnsi"/>
          <w:kern w:val="11"/>
          <w:lang w:eastAsia="en-US"/>
        </w:rPr>
        <w:t xml:space="preserve"> %</w:t>
      </w:r>
      <w:r w:rsidR="00B166E6" w:rsidRPr="001416ED">
        <w:rPr>
          <w:rFonts w:eastAsiaTheme="minorHAnsi"/>
          <w:kern w:val="11"/>
          <w:lang w:val="uk-UA" w:eastAsia="en-US"/>
        </w:rPr>
        <w:t xml:space="preserve"> </w:t>
      </w:r>
      <w:r w:rsidR="00B166E6" w:rsidRPr="001416ED">
        <w:rPr>
          <w:rFonts w:eastAsiaTheme="minorHAnsi"/>
          <w:kern w:val="11"/>
          <w:lang w:eastAsia="en-US"/>
        </w:rPr>
        <w:t>(n=22)</w:t>
      </w:r>
      <w:r w:rsidR="00B166E6" w:rsidRPr="001416ED">
        <w:rPr>
          <w:rFonts w:eastAsiaTheme="minorHAnsi"/>
          <w:kern w:val="11"/>
          <w:lang w:val="uk-UA" w:eastAsia="en-US"/>
        </w:rPr>
        <w:t xml:space="preserve"> </w:t>
      </w:r>
      <w:r w:rsidR="00201573" w:rsidRPr="001416ED">
        <w:rPr>
          <w:rFonts w:eastAsiaTheme="minorHAnsi"/>
          <w:kern w:val="11"/>
          <w:lang w:val="uk-UA" w:eastAsia="en-US"/>
        </w:rPr>
        <w:t>чоловіків згідно анамнезу життя встановлена обтяжена спадковість по ЕГ, у 18,52</w:t>
      </w:r>
      <w:r w:rsidR="00D4219F" w:rsidRPr="001416ED">
        <w:rPr>
          <w:rFonts w:eastAsiaTheme="minorHAnsi"/>
          <w:kern w:val="11"/>
          <w:lang w:val="uk-UA" w:eastAsia="en-US"/>
        </w:rPr>
        <w:t xml:space="preserve"> %</w:t>
      </w:r>
      <w:r w:rsidR="00201573" w:rsidRPr="001416ED">
        <w:rPr>
          <w:rFonts w:eastAsiaTheme="minorHAnsi"/>
          <w:kern w:val="11"/>
          <w:lang w:val="uk-UA" w:eastAsia="en-US"/>
        </w:rPr>
        <w:t xml:space="preserve"> (n=5) </w:t>
      </w:r>
      <w:r w:rsidR="00BC0119" w:rsidRPr="001416ED">
        <w:rPr>
          <w:rFonts w:eastAsiaTheme="minorHAnsi"/>
          <w:kern w:val="11"/>
          <w:lang w:val="uk-UA" w:eastAsia="en-US"/>
        </w:rPr>
        <w:t>–</w:t>
      </w:r>
      <w:r w:rsidR="00BA4CC9" w:rsidRPr="001416ED">
        <w:rPr>
          <w:rFonts w:eastAsiaTheme="minorHAnsi"/>
          <w:kern w:val="11"/>
          <w:lang w:val="uk-UA" w:eastAsia="en-US"/>
        </w:rPr>
        <w:t xml:space="preserve"> </w:t>
      </w:r>
      <w:r w:rsidR="00201573" w:rsidRPr="001416ED">
        <w:rPr>
          <w:rFonts w:eastAsiaTheme="minorHAnsi"/>
          <w:kern w:val="11"/>
          <w:lang w:val="uk-UA" w:eastAsia="en-US"/>
        </w:rPr>
        <w:t xml:space="preserve">необтяжена </w:t>
      </w:r>
      <w:r w:rsidR="002616A7" w:rsidRPr="001416ED">
        <w:rPr>
          <w:rFonts w:eastAsiaTheme="minorHAnsi"/>
          <w:kern w:val="11"/>
          <w:lang w:val="uk-UA" w:eastAsia="en-US"/>
        </w:rPr>
        <w:t>(р&lt;0,000</w:t>
      </w:r>
      <w:r w:rsidR="00F57301" w:rsidRPr="001416ED">
        <w:rPr>
          <w:rFonts w:eastAsiaTheme="minorHAnsi"/>
          <w:kern w:val="11"/>
          <w:lang w:val="uk-UA" w:eastAsia="en-US"/>
        </w:rPr>
        <w:t>1).</w:t>
      </w:r>
      <w:r w:rsidR="00C31255" w:rsidRPr="001416ED">
        <w:rPr>
          <w:rFonts w:eastAsiaTheme="minorHAnsi"/>
          <w:kern w:val="11"/>
          <w:lang w:val="uk-UA" w:eastAsia="en-US"/>
        </w:rPr>
        <w:t xml:space="preserve"> Усі</w:t>
      </w:r>
      <w:r w:rsidR="008029F8" w:rsidRPr="001416ED">
        <w:rPr>
          <w:rFonts w:eastAsiaTheme="minorHAnsi"/>
          <w:kern w:val="11"/>
          <w:lang w:val="uk-UA" w:eastAsia="en-US"/>
        </w:rPr>
        <w:t xml:space="preserve"> пацієнт</w:t>
      </w:r>
      <w:r w:rsidR="00C31255" w:rsidRPr="001416ED">
        <w:rPr>
          <w:rFonts w:eastAsiaTheme="minorHAnsi"/>
          <w:kern w:val="11"/>
          <w:lang w:val="uk-UA" w:eastAsia="en-US"/>
        </w:rPr>
        <w:t xml:space="preserve">и </w:t>
      </w:r>
      <w:r w:rsidR="008029F8" w:rsidRPr="001416ED">
        <w:rPr>
          <w:rFonts w:eastAsiaTheme="minorHAnsi"/>
          <w:kern w:val="11"/>
          <w:lang w:val="uk-UA" w:eastAsia="en-US"/>
        </w:rPr>
        <w:t xml:space="preserve">з </w:t>
      </w:r>
      <w:r w:rsidR="002616A7" w:rsidRPr="001416ED">
        <w:rPr>
          <w:rFonts w:eastAsiaTheme="minorHAnsi"/>
          <w:kern w:val="11"/>
          <w:lang w:val="uk-UA" w:eastAsia="en-US"/>
        </w:rPr>
        <w:t xml:space="preserve">ГХ ІІІ ст. </w:t>
      </w:r>
      <w:r w:rsidR="00C31255" w:rsidRPr="001416ED">
        <w:rPr>
          <w:rFonts w:eastAsiaTheme="minorHAnsi"/>
          <w:kern w:val="11"/>
          <w:lang w:val="uk-UA" w:eastAsia="en-US"/>
        </w:rPr>
        <w:t xml:space="preserve"> </w:t>
      </w:r>
      <w:r w:rsidR="00BC0119" w:rsidRPr="001416ED">
        <w:rPr>
          <w:rFonts w:eastAsiaTheme="minorHAnsi"/>
          <w:kern w:val="11"/>
          <w:lang w:val="uk-UA" w:eastAsia="en-US"/>
        </w:rPr>
        <w:t>–</w:t>
      </w:r>
      <w:r w:rsidR="00F31FD3" w:rsidRPr="001416ED">
        <w:rPr>
          <w:rFonts w:eastAsiaTheme="minorHAnsi"/>
          <w:kern w:val="11"/>
          <w:lang w:val="uk-UA" w:eastAsia="en-US"/>
        </w:rPr>
        <w:t xml:space="preserve"> </w:t>
      </w:r>
      <w:r w:rsidR="00DA2909" w:rsidRPr="001416ED">
        <w:rPr>
          <w:rFonts w:eastAsiaTheme="minorHAnsi"/>
          <w:kern w:val="11"/>
          <w:lang w:val="uk-UA" w:eastAsia="en-US"/>
        </w:rPr>
        <w:t>носії</w:t>
      </w:r>
      <w:r w:rsidR="007E7940" w:rsidRPr="001416ED">
        <w:rPr>
          <w:rFonts w:eastAsiaTheme="minorHAnsi"/>
          <w:kern w:val="11"/>
          <w:lang w:val="uk-UA" w:eastAsia="en-US"/>
        </w:rPr>
        <w:t>в</w:t>
      </w:r>
      <w:r w:rsidR="00DA2909" w:rsidRPr="001416ED">
        <w:rPr>
          <w:rFonts w:eastAsiaTheme="minorHAnsi"/>
          <w:kern w:val="11"/>
          <w:lang w:val="uk-UA" w:eastAsia="en-US"/>
        </w:rPr>
        <w:t xml:space="preserve"> обох варіантів </w:t>
      </w:r>
      <w:r w:rsidR="00E6164F">
        <w:rPr>
          <w:rFonts w:eastAsiaTheme="minorHAnsi"/>
          <w:kern w:val="11"/>
          <w:lang w:val="uk-UA" w:eastAsia="en-US"/>
        </w:rPr>
        <w:t>поліморфного варіанту гена</w:t>
      </w:r>
      <w:r w:rsidR="00DA2909" w:rsidRPr="001416ED">
        <w:rPr>
          <w:rFonts w:eastAsiaTheme="minorHAnsi"/>
          <w:kern w:val="11"/>
          <w:lang w:val="uk-UA" w:eastAsia="en-US"/>
        </w:rPr>
        <w:t xml:space="preserve"> ЕТ</w:t>
      </w:r>
      <w:r w:rsidR="00BC0119" w:rsidRPr="001416ED">
        <w:rPr>
          <w:rFonts w:eastAsiaTheme="minorHAnsi"/>
          <w:kern w:val="11"/>
          <w:lang w:val="uk-UA" w:eastAsia="en-US"/>
        </w:rPr>
        <w:t>–</w:t>
      </w:r>
      <w:r w:rsidR="00DA2909" w:rsidRPr="001416ED">
        <w:rPr>
          <w:rFonts w:eastAsiaTheme="minorHAnsi"/>
          <w:kern w:val="11"/>
          <w:lang w:val="uk-UA" w:eastAsia="en-US"/>
        </w:rPr>
        <w:t>1</w:t>
      </w:r>
      <w:r w:rsidR="00F31FD3" w:rsidRPr="001416ED">
        <w:rPr>
          <w:rFonts w:eastAsiaTheme="minorHAnsi"/>
          <w:kern w:val="11"/>
          <w:lang w:val="uk-UA" w:eastAsia="en-US"/>
        </w:rPr>
        <w:t xml:space="preserve"> мали </w:t>
      </w:r>
      <w:r w:rsidR="00DA2909" w:rsidRPr="001416ED">
        <w:rPr>
          <w:rFonts w:eastAsiaTheme="minorHAnsi"/>
          <w:kern w:val="11"/>
          <w:lang w:val="uk-UA" w:eastAsia="en-US"/>
        </w:rPr>
        <w:t xml:space="preserve">обтяжену спадковість по ЕГ </w:t>
      </w:r>
      <w:r w:rsidR="007E7940" w:rsidRPr="001416ED">
        <w:rPr>
          <w:rFonts w:eastAsiaTheme="minorHAnsi"/>
          <w:kern w:val="11"/>
          <w:lang w:val="uk-UA" w:eastAsia="en-US"/>
        </w:rPr>
        <w:t>(100</w:t>
      </w:r>
      <w:r w:rsidR="00D4219F" w:rsidRPr="001416ED">
        <w:rPr>
          <w:rFonts w:eastAsiaTheme="minorHAnsi"/>
          <w:kern w:val="11"/>
          <w:lang w:val="uk-UA" w:eastAsia="en-US"/>
        </w:rPr>
        <w:t xml:space="preserve"> %</w:t>
      </w:r>
      <w:r w:rsidR="007E7940" w:rsidRPr="001416ED">
        <w:rPr>
          <w:rFonts w:eastAsiaTheme="minorHAnsi"/>
          <w:kern w:val="11"/>
          <w:lang w:val="uk-UA" w:eastAsia="en-US"/>
        </w:rPr>
        <w:t>).</w:t>
      </w:r>
      <w:r w:rsidR="00F31FD3" w:rsidRPr="001416ED">
        <w:rPr>
          <w:rFonts w:eastAsiaTheme="minorHAnsi"/>
          <w:kern w:val="11"/>
          <w:lang w:val="uk-UA" w:eastAsia="en-US"/>
        </w:rPr>
        <w:t xml:space="preserve"> </w:t>
      </w:r>
      <w:r w:rsidR="00DA2909" w:rsidRPr="001416ED">
        <w:rPr>
          <w:rFonts w:eastAsiaTheme="minorHAnsi"/>
          <w:kern w:val="11"/>
          <w:lang w:val="uk-UA" w:eastAsia="en-US"/>
        </w:rPr>
        <w:t xml:space="preserve">Однак, вірогідної різниці у наявності або відсутності обтяженої спадковості між носіями </w:t>
      </w:r>
      <w:r w:rsidR="00E6164F">
        <w:rPr>
          <w:rFonts w:eastAsiaTheme="minorHAnsi"/>
          <w:kern w:val="11"/>
          <w:lang w:val="uk-UA" w:eastAsia="en-US"/>
        </w:rPr>
        <w:t>поліморфних варіантів гена ЕТ–1</w:t>
      </w:r>
      <w:r w:rsidR="00DA2909" w:rsidRPr="001416ED">
        <w:rPr>
          <w:rFonts w:eastAsiaTheme="minorHAnsi"/>
          <w:kern w:val="11"/>
          <w:lang w:val="uk-UA" w:eastAsia="en-US"/>
        </w:rPr>
        <w:t xml:space="preserve"> </w:t>
      </w:r>
      <w:r w:rsidR="00C31255" w:rsidRPr="001416ED">
        <w:rPr>
          <w:rFonts w:eastAsiaTheme="minorHAnsi"/>
          <w:kern w:val="11"/>
          <w:lang w:val="uk-UA" w:eastAsia="en-US"/>
        </w:rPr>
        <w:t xml:space="preserve">в останній групі пацієнтів </w:t>
      </w:r>
      <w:r w:rsidR="00BA4CC9" w:rsidRPr="001416ED">
        <w:rPr>
          <w:rFonts w:eastAsiaTheme="minorHAnsi"/>
          <w:kern w:val="11"/>
          <w:lang w:val="uk-UA" w:eastAsia="en-US"/>
        </w:rPr>
        <w:t xml:space="preserve">не виявлено </w:t>
      </w:r>
      <w:r w:rsidR="00DA2909" w:rsidRPr="001416ED">
        <w:rPr>
          <w:rFonts w:eastAsiaTheme="minorHAnsi"/>
          <w:kern w:val="11"/>
          <w:lang w:val="uk-UA" w:eastAsia="en-US"/>
        </w:rPr>
        <w:t>(р&gt;0,05)</w:t>
      </w:r>
      <w:r w:rsidR="006350CD" w:rsidRPr="001416ED">
        <w:rPr>
          <w:rFonts w:eastAsiaTheme="minorHAnsi"/>
          <w:kern w:val="11"/>
          <w:lang w:val="uk-UA" w:eastAsia="en-US"/>
        </w:rPr>
        <w:t>.</w:t>
      </w:r>
    </w:p>
    <w:p w:rsidR="00A15A2D" w:rsidRPr="001416ED" w:rsidRDefault="006350CD" w:rsidP="002A4553">
      <w:pPr>
        <w:spacing w:line="360" w:lineRule="auto"/>
        <w:ind w:firstLine="709"/>
        <w:jc w:val="both"/>
        <w:rPr>
          <w:lang w:val="uk-UA"/>
        </w:rPr>
      </w:pPr>
      <w:r w:rsidRPr="001416ED">
        <w:rPr>
          <w:rFonts w:eastAsiaTheme="minorHAnsi"/>
          <w:kern w:val="11"/>
          <w:lang w:val="uk-UA" w:eastAsia="en-US"/>
        </w:rPr>
        <w:t>Загальновідомим є той факт, що ожиріння сприяє розвитку ЕГ, тому бул</w:t>
      </w:r>
      <w:r w:rsidR="007E7940" w:rsidRPr="001416ED">
        <w:rPr>
          <w:rFonts w:eastAsiaTheme="minorHAnsi"/>
          <w:kern w:val="11"/>
          <w:lang w:val="uk-UA" w:eastAsia="en-US"/>
        </w:rPr>
        <w:t>а</w:t>
      </w:r>
      <w:r w:rsidRPr="001416ED">
        <w:rPr>
          <w:rFonts w:eastAsiaTheme="minorHAnsi"/>
          <w:kern w:val="11"/>
          <w:lang w:val="uk-UA" w:eastAsia="en-US"/>
        </w:rPr>
        <w:t xml:space="preserve"> розрах</w:t>
      </w:r>
      <w:r w:rsidR="007E7940" w:rsidRPr="001416ED">
        <w:rPr>
          <w:rFonts w:eastAsiaTheme="minorHAnsi"/>
          <w:kern w:val="11"/>
          <w:lang w:val="uk-UA" w:eastAsia="en-US"/>
        </w:rPr>
        <w:t>ована</w:t>
      </w:r>
      <w:r w:rsidRPr="001416ED">
        <w:rPr>
          <w:rFonts w:eastAsiaTheme="minorHAnsi"/>
          <w:kern w:val="11"/>
          <w:lang w:val="uk-UA" w:eastAsia="en-US"/>
        </w:rPr>
        <w:t xml:space="preserve"> частот</w:t>
      </w:r>
      <w:r w:rsidR="007E7940" w:rsidRPr="001416ED">
        <w:rPr>
          <w:rFonts w:eastAsiaTheme="minorHAnsi"/>
          <w:kern w:val="11"/>
          <w:lang w:val="uk-UA" w:eastAsia="en-US"/>
        </w:rPr>
        <w:t>а</w:t>
      </w:r>
      <w:r w:rsidRPr="001416ED">
        <w:rPr>
          <w:rFonts w:eastAsiaTheme="minorHAnsi"/>
          <w:kern w:val="11"/>
          <w:lang w:val="uk-UA" w:eastAsia="en-US"/>
        </w:rPr>
        <w:t xml:space="preserve"> </w:t>
      </w:r>
      <w:r w:rsidR="00BA4CC9" w:rsidRPr="001416ED">
        <w:rPr>
          <w:rFonts w:eastAsiaTheme="minorHAnsi"/>
          <w:kern w:val="11"/>
          <w:lang w:val="uk-UA" w:eastAsia="en-US"/>
        </w:rPr>
        <w:t xml:space="preserve">різного ІМТ у чоловіків з ГХ </w:t>
      </w:r>
      <w:r w:rsidR="004A4E68" w:rsidRPr="001416ED">
        <w:rPr>
          <w:rFonts w:eastAsiaTheme="minorHAnsi"/>
          <w:kern w:val="11"/>
          <w:lang w:val="uk-UA" w:eastAsia="en-US"/>
        </w:rPr>
        <w:t>ІІ</w:t>
      </w:r>
      <w:r w:rsidR="00ED5152" w:rsidRPr="001416ED">
        <w:rPr>
          <w:rFonts w:eastAsiaTheme="minorHAnsi"/>
          <w:kern w:val="11"/>
          <w:lang w:val="uk-UA" w:eastAsia="en-US"/>
        </w:rPr>
        <w:t xml:space="preserve"> та ІІІ </w:t>
      </w:r>
      <w:r w:rsidR="00BA4CC9" w:rsidRPr="001416ED">
        <w:rPr>
          <w:rFonts w:eastAsiaTheme="minorHAnsi"/>
          <w:kern w:val="11"/>
          <w:lang w:val="uk-UA" w:eastAsia="en-US"/>
        </w:rPr>
        <w:t xml:space="preserve">ст., при носійстві </w:t>
      </w:r>
      <w:r w:rsidR="00FF5C21">
        <w:rPr>
          <w:rFonts w:eastAsiaTheme="minorHAnsi"/>
          <w:kern w:val="11"/>
          <w:lang w:val="uk-UA" w:eastAsia="en-US"/>
        </w:rPr>
        <w:t>поліморфних варіантів гена</w:t>
      </w:r>
      <w:r w:rsidR="007E7940" w:rsidRPr="001416ED">
        <w:rPr>
          <w:rFonts w:eastAsiaTheme="minorHAnsi"/>
          <w:kern w:val="11"/>
          <w:lang w:val="uk-UA" w:eastAsia="en-US"/>
        </w:rPr>
        <w:t xml:space="preserve"> ЕТ</w:t>
      </w:r>
      <w:r w:rsidR="00BC0119" w:rsidRPr="001416ED">
        <w:rPr>
          <w:rFonts w:eastAsiaTheme="minorHAnsi"/>
          <w:kern w:val="11"/>
          <w:lang w:val="uk-UA" w:eastAsia="en-US"/>
        </w:rPr>
        <w:t>–</w:t>
      </w:r>
      <w:r w:rsidR="007E7940" w:rsidRPr="001416ED">
        <w:rPr>
          <w:rFonts w:eastAsiaTheme="minorHAnsi"/>
          <w:kern w:val="11"/>
          <w:lang w:val="uk-UA" w:eastAsia="en-US"/>
        </w:rPr>
        <w:t>1</w:t>
      </w:r>
      <w:r w:rsidR="00BA4CC9" w:rsidRPr="001416ED">
        <w:rPr>
          <w:rFonts w:eastAsiaTheme="minorHAnsi"/>
          <w:kern w:val="11"/>
          <w:lang w:val="uk-UA" w:eastAsia="en-US"/>
        </w:rPr>
        <w:t>. Так, у</w:t>
      </w:r>
      <w:r w:rsidR="001E032B" w:rsidRPr="001416ED">
        <w:rPr>
          <w:rFonts w:eastAsiaTheme="minorHAnsi"/>
          <w:kern w:val="11"/>
          <w:lang w:val="uk-UA" w:eastAsia="en-US"/>
        </w:rPr>
        <w:t xml:space="preserve"> чоловіків з ГХ ІІ ст., що є носіями генотипу Lys/Lys достовірно частіше зустрічається надмірна маса тіла</w:t>
      </w:r>
      <w:r w:rsidR="00BA4CC9" w:rsidRPr="001416ED">
        <w:rPr>
          <w:rFonts w:eastAsiaTheme="minorHAnsi"/>
          <w:kern w:val="11"/>
          <w:lang w:val="uk-UA" w:eastAsia="en-US"/>
        </w:rPr>
        <w:t xml:space="preserve"> (40,00</w:t>
      </w:r>
      <w:r w:rsidR="00D4219F" w:rsidRPr="001416ED">
        <w:rPr>
          <w:rFonts w:eastAsiaTheme="minorHAnsi"/>
          <w:kern w:val="11"/>
          <w:lang w:val="uk-UA" w:eastAsia="en-US"/>
        </w:rPr>
        <w:t xml:space="preserve"> %</w:t>
      </w:r>
      <w:r w:rsidR="00BA4CC9" w:rsidRPr="001416ED">
        <w:rPr>
          <w:rFonts w:eastAsiaTheme="minorHAnsi"/>
          <w:kern w:val="11"/>
          <w:lang w:val="uk-UA" w:eastAsia="en-US"/>
        </w:rPr>
        <w:t xml:space="preserve">, </w:t>
      </w:r>
      <w:r w:rsidR="00BA4CC9" w:rsidRPr="001416ED">
        <w:rPr>
          <w:rFonts w:eastAsiaTheme="minorHAnsi"/>
          <w:kern w:val="11"/>
          <w:lang w:val="en-US" w:eastAsia="en-US"/>
        </w:rPr>
        <w:t>n</w:t>
      </w:r>
      <w:r w:rsidR="00BA4CC9" w:rsidRPr="001416ED">
        <w:rPr>
          <w:rFonts w:eastAsiaTheme="minorHAnsi"/>
          <w:kern w:val="11"/>
          <w:lang w:val="uk-UA" w:eastAsia="en-US"/>
        </w:rPr>
        <w:t>=14)</w:t>
      </w:r>
      <w:r w:rsidR="001E032B" w:rsidRPr="001416ED">
        <w:rPr>
          <w:rFonts w:eastAsiaTheme="minorHAnsi"/>
          <w:kern w:val="11"/>
          <w:lang w:val="uk-UA" w:eastAsia="en-US"/>
        </w:rPr>
        <w:t>, ніж ожиріння</w:t>
      </w:r>
      <w:r w:rsidR="00BA4CC9" w:rsidRPr="001416ED">
        <w:rPr>
          <w:rFonts w:eastAsiaTheme="minorHAnsi"/>
          <w:kern w:val="11"/>
          <w:lang w:val="uk-UA" w:eastAsia="en-US"/>
        </w:rPr>
        <w:t xml:space="preserve"> </w:t>
      </w:r>
      <w:r w:rsidR="00ED5152" w:rsidRPr="001416ED">
        <w:rPr>
          <w:rFonts w:eastAsiaTheme="minorHAnsi"/>
          <w:kern w:val="11"/>
          <w:lang w:val="uk-UA" w:eastAsia="en-US"/>
        </w:rPr>
        <w:t xml:space="preserve">І ст. </w:t>
      </w:r>
      <w:r w:rsidR="00BA4CC9" w:rsidRPr="001416ED">
        <w:rPr>
          <w:rFonts w:eastAsiaTheme="minorHAnsi"/>
          <w:kern w:val="11"/>
          <w:lang w:val="uk-UA" w:eastAsia="en-US"/>
        </w:rPr>
        <w:t>(22,86</w:t>
      </w:r>
      <w:r w:rsidR="00D4219F" w:rsidRPr="001416ED">
        <w:rPr>
          <w:rFonts w:eastAsiaTheme="minorHAnsi"/>
          <w:kern w:val="11"/>
          <w:lang w:val="uk-UA" w:eastAsia="en-US"/>
        </w:rPr>
        <w:t xml:space="preserve"> %</w:t>
      </w:r>
      <w:r w:rsidR="00BA4CC9" w:rsidRPr="001416ED">
        <w:rPr>
          <w:rFonts w:eastAsiaTheme="minorHAnsi"/>
          <w:kern w:val="11"/>
          <w:lang w:val="uk-UA" w:eastAsia="en-US"/>
        </w:rPr>
        <w:t xml:space="preserve">, </w:t>
      </w:r>
      <w:r w:rsidR="00BA4CC9" w:rsidRPr="001416ED">
        <w:rPr>
          <w:rFonts w:eastAsiaTheme="minorHAnsi"/>
          <w:kern w:val="11"/>
          <w:lang w:val="en-US" w:eastAsia="en-US"/>
        </w:rPr>
        <w:t>n</w:t>
      </w:r>
      <w:r w:rsidR="00BA4CC9" w:rsidRPr="001416ED">
        <w:rPr>
          <w:rFonts w:eastAsiaTheme="minorHAnsi"/>
          <w:kern w:val="11"/>
          <w:lang w:val="uk-UA" w:eastAsia="en-US"/>
        </w:rPr>
        <w:t>=8),</w:t>
      </w:r>
      <w:r w:rsidR="001E032B" w:rsidRPr="001416ED">
        <w:rPr>
          <w:rFonts w:eastAsiaTheme="minorHAnsi"/>
          <w:kern w:val="11"/>
          <w:lang w:val="uk-UA" w:eastAsia="en-US"/>
        </w:rPr>
        <w:t xml:space="preserve"> однак різниці з </w:t>
      </w:r>
      <w:r w:rsidR="000135B9" w:rsidRPr="001416ED">
        <w:rPr>
          <w:rFonts w:eastAsiaTheme="minorHAnsi"/>
          <w:kern w:val="11"/>
          <w:lang w:val="uk-UA" w:eastAsia="en-US"/>
        </w:rPr>
        <w:t xml:space="preserve">особами, що мали </w:t>
      </w:r>
      <w:r w:rsidR="001E032B" w:rsidRPr="001416ED">
        <w:rPr>
          <w:rFonts w:eastAsiaTheme="minorHAnsi"/>
          <w:kern w:val="11"/>
          <w:lang w:val="uk-UA" w:eastAsia="en-US"/>
        </w:rPr>
        <w:t>нормальн</w:t>
      </w:r>
      <w:r w:rsidR="000135B9" w:rsidRPr="001416ED">
        <w:rPr>
          <w:rFonts w:eastAsiaTheme="minorHAnsi"/>
          <w:kern w:val="11"/>
          <w:lang w:val="uk-UA" w:eastAsia="en-US"/>
        </w:rPr>
        <w:t>у</w:t>
      </w:r>
      <w:r w:rsidR="001E032B" w:rsidRPr="001416ED">
        <w:rPr>
          <w:rFonts w:eastAsiaTheme="minorHAnsi"/>
          <w:kern w:val="11"/>
          <w:lang w:val="uk-UA" w:eastAsia="en-US"/>
        </w:rPr>
        <w:t xml:space="preserve"> мас</w:t>
      </w:r>
      <w:r w:rsidR="000135B9" w:rsidRPr="001416ED">
        <w:rPr>
          <w:rFonts w:eastAsiaTheme="minorHAnsi"/>
          <w:kern w:val="11"/>
          <w:lang w:val="uk-UA" w:eastAsia="en-US"/>
        </w:rPr>
        <w:t>у</w:t>
      </w:r>
      <w:r w:rsidR="001E032B" w:rsidRPr="001416ED">
        <w:rPr>
          <w:rFonts w:eastAsiaTheme="minorHAnsi"/>
          <w:kern w:val="11"/>
          <w:lang w:val="uk-UA" w:eastAsia="en-US"/>
        </w:rPr>
        <w:t xml:space="preserve"> тіла</w:t>
      </w:r>
      <w:r w:rsidR="00BA4CC9" w:rsidRPr="001416ED">
        <w:rPr>
          <w:rFonts w:eastAsiaTheme="minorHAnsi"/>
          <w:kern w:val="11"/>
          <w:lang w:val="uk-UA" w:eastAsia="en-US"/>
        </w:rPr>
        <w:t xml:space="preserve"> (37,14</w:t>
      </w:r>
      <w:r w:rsidR="00D4219F" w:rsidRPr="001416ED">
        <w:rPr>
          <w:rFonts w:eastAsiaTheme="minorHAnsi"/>
          <w:kern w:val="11"/>
          <w:lang w:val="uk-UA" w:eastAsia="en-US"/>
        </w:rPr>
        <w:t xml:space="preserve"> %</w:t>
      </w:r>
      <w:r w:rsidR="00BA4CC9" w:rsidRPr="001416ED">
        <w:rPr>
          <w:rFonts w:eastAsiaTheme="minorHAnsi"/>
          <w:kern w:val="11"/>
          <w:lang w:val="uk-UA" w:eastAsia="en-US"/>
        </w:rPr>
        <w:t xml:space="preserve">, </w:t>
      </w:r>
      <w:r w:rsidR="00BA4CC9" w:rsidRPr="001416ED">
        <w:rPr>
          <w:rFonts w:eastAsiaTheme="minorHAnsi"/>
          <w:kern w:val="11"/>
          <w:lang w:val="en-US" w:eastAsia="en-US"/>
        </w:rPr>
        <w:t>n</w:t>
      </w:r>
      <w:r w:rsidR="00BA4CC9" w:rsidRPr="001416ED">
        <w:rPr>
          <w:rFonts w:eastAsiaTheme="minorHAnsi"/>
          <w:kern w:val="11"/>
          <w:lang w:val="uk-UA" w:eastAsia="en-US"/>
        </w:rPr>
        <w:t>=13)</w:t>
      </w:r>
      <w:r w:rsidR="001E032B" w:rsidRPr="001416ED">
        <w:rPr>
          <w:rFonts w:eastAsiaTheme="minorHAnsi"/>
          <w:kern w:val="11"/>
          <w:lang w:val="uk-UA" w:eastAsia="en-US"/>
        </w:rPr>
        <w:t xml:space="preserve"> </w:t>
      </w:r>
      <w:r w:rsidR="00355E86" w:rsidRPr="001416ED">
        <w:rPr>
          <w:rFonts w:eastAsiaTheme="minorHAnsi"/>
          <w:kern w:val="11"/>
          <w:lang w:val="uk-UA" w:eastAsia="en-US"/>
        </w:rPr>
        <w:t xml:space="preserve">немає. </w:t>
      </w:r>
      <w:r w:rsidR="001E032B" w:rsidRPr="001416ED">
        <w:rPr>
          <w:rFonts w:eastAsiaTheme="minorHAnsi"/>
          <w:kern w:val="11"/>
          <w:lang w:val="uk-UA" w:eastAsia="en-US"/>
        </w:rPr>
        <w:t>У</w:t>
      </w:r>
      <w:r w:rsidR="008105BF" w:rsidRPr="001416ED">
        <w:rPr>
          <w:rFonts w:eastAsiaTheme="minorHAnsi"/>
          <w:kern w:val="11"/>
          <w:lang w:val="uk-UA" w:eastAsia="en-US"/>
        </w:rPr>
        <w:t xml:space="preserve"> чоловіків</w:t>
      </w:r>
      <w:r w:rsidR="001E032B" w:rsidRPr="001416ED">
        <w:rPr>
          <w:rFonts w:eastAsiaTheme="minorHAnsi"/>
          <w:kern w:val="11"/>
          <w:lang w:val="uk-UA" w:eastAsia="en-US"/>
        </w:rPr>
        <w:t xml:space="preserve"> з ГХ ІІ ст</w:t>
      </w:r>
      <w:r w:rsidR="00672107" w:rsidRPr="001416ED">
        <w:rPr>
          <w:rFonts w:eastAsiaTheme="minorHAnsi"/>
          <w:kern w:val="11"/>
          <w:lang w:val="uk-UA" w:eastAsia="en-US"/>
        </w:rPr>
        <w:t>.</w:t>
      </w:r>
      <w:r w:rsidR="001E032B" w:rsidRPr="001416ED">
        <w:rPr>
          <w:lang w:val="uk-UA"/>
        </w:rPr>
        <w:t xml:space="preserve"> </w:t>
      </w:r>
      <w:r w:rsidR="008105BF" w:rsidRPr="001416ED">
        <w:rPr>
          <w:lang w:val="uk-UA"/>
        </w:rPr>
        <w:t>у</w:t>
      </w:r>
      <w:r w:rsidR="001E032B" w:rsidRPr="001416ED">
        <w:rPr>
          <w:lang w:val="uk-UA"/>
        </w:rPr>
        <w:t xml:space="preserve"> носіїв алелі </w:t>
      </w:r>
      <w:r w:rsidR="001E032B" w:rsidRPr="001416ED">
        <w:rPr>
          <w:lang w:val="en-US"/>
        </w:rPr>
        <w:t>Asn</w:t>
      </w:r>
      <w:r w:rsidR="001E032B" w:rsidRPr="001416ED">
        <w:rPr>
          <w:lang w:val="uk-UA"/>
        </w:rPr>
        <w:t>, переважає нормальна маса тіла</w:t>
      </w:r>
      <w:r w:rsidR="00271927" w:rsidRPr="001416ED">
        <w:rPr>
          <w:lang w:val="uk-UA"/>
        </w:rPr>
        <w:t xml:space="preserve"> (55,56</w:t>
      </w:r>
      <w:r w:rsidR="00D4219F" w:rsidRPr="001416ED">
        <w:rPr>
          <w:lang w:val="uk-UA"/>
        </w:rPr>
        <w:t xml:space="preserve"> %</w:t>
      </w:r>
      <w:r w:rsidR="00271927" w:rsidRPr="001416ED">
        <w:rPr>
          <w:lang w:val="uk-UA"/>
        </w:rPr>
        <w:t xml:space="preserve">, </w:t>
      </w:r>
      <w:r w:rsidR="00271927" w:rsidRPr="001416ED">
        <w:rPr>
          <w:lang w:val="en-US"/>
        </w:rPr>
        <w:t>n</w:t>
      </w:r>
      <w:r w:rsidR="00271927" w:rsidRPr="001416ED">
        <w:rPr>
          <w:lang w:val="uk-UA"/>
        </w:rPr>
        <w:t>=15)</w:t>
      </w:r>
      <w:r w:rsidR="001E032B" w:rsidRPr="001416ED">
        <w:rPr>
          <w:lang w:val="uk-UA"/>
        </w:rPr>
        <w:t xml:space="preserve">. </w:t>
      </w:r>
      <w:r w:rsidR="008105BF" w:rsidRPr="001416ED">
        <w:rPr>
          <w:lang w:val="uk-UA"/>
        </w:rPr>
        <w:t>При</w:t>
      </w:r>
      <w:r w:rsidR="001E032B" w:rsidRPr="001416ED">
        <w:rPr>
          <w:lang w:val="uk-UA"/>
        </w:rPr>
        <w:t xml:space="preserve"> </w:t>
      </w:r>
      <w:r w:rsidR="00ED5152" w:rsidRPr="001416ED">
        <w:rPr>
          <w:lang w:val="uk-UA"/>
        </w:rPr>
        <w:t>ГХ ІІІ ст.</w:t>
      </w:r>
      <w:r w:rsidR="001E032B" w:rsidRPr="001416ED">
        <w:rPr>
          <w:lang w:val="uk-UA"/>
        </w:rPr>
        <w:t>,</w:t>
      </w:r>
      <w:r w:rsidR="008105BF" w:rsidRPr="001416ED">
        <w:rPr>
          <w:lang w:val="uk-UA"/>
        </w:rPr>
        <w:t xml:space="preserve"> у</w:t>
      </w:r>
      <w:r w:rsidR="001E032B" w:rsidRPr="001416ED">
        <w:rPr>
          <w:lang w:val="uk-UA"/>
        </w:rPr>
        <w:t xml:space="preserve"> носіїв генотипу </w:t>
      </w:r>
      <w:r w:rsidR="00271927" w:rsidRPr="001416ED">
        <w:rPr>
          <w:rFonts w:eastAsiaTheme="minorHAnsi"/>
          <w:kern w:val="11"/>
          <w:lang w:val="uk-UA" w:eastAsia="en-US"/>
        </w:rPr>
        <w:t xml:space="preserve">Lys/Lys та </w:t>
      </w:r>
      <w:r w:rsidR="00271927" w:rsidRPr="001416ED">
        <w:rPr>
          <w:lang w:val="uk-UA"/>
        </w:rPr>
        <w:t xml:space="preserve">алелі </w:t>
      </w:r>
      <w:r w:rsidR="00271927" w:rsidRPr="001416ED">
        <w:rPr>
          <w:lang w:val="en-US"/>
        </w:rPr>
        <w:t>Asn</w:t>
      </w:r>
      <w:r w:rsidR="00271927" w:rsidRPr="001416ED">
        <w:rPr>
          <w:lang w:val="uk-UA"/>
        </w:rPr>
        <w:t xml:space="preserve"> </w:t>
      </w:r>
      <w:r w:rsidR="001E032B" w:rsidRPr="001416ED">
        <w:rPr>
          <w:lang w:val="uk-UA"/>
        </w:rPr>
        <w:t>гена ЕТ</w:t>
      </w:r>
      <w:r w:rsidR="00BC0119" w:rsidRPr="001416ED">
        <w:rPr>
          <w:lang w:val="uk-UA"/>
        </w:rPr>
        <w:t>–</w:t>
      </w:r>
      <w:r w:rsidR="001E032B" w:rsidRPr="001416ED">
        <w:rPr>
          <w:lang w:val="uk-UA"/>
        </w:rPr>
        <w:t>1 пер</w:t>
      </w:r>
      <w:r w:rsidR="008105BF" w:rsidRPr="001416ED">
        <w:rPr>
          <w:lang w:val="uk-UA"/>
        </w:rPr>
        <w:t>е</w:t>
      </w:r>
      <w:r w:rsidR="001E032B" w:rsidRPr="001416ED">
        <w:rPr>
          <w:lang w:val="uk-UA"/>
        </w:rPr>
        <w:t>в</w:t>
      </w:r>
      <w:r w:rsidR="008105BF" w:rsidRPr="001416ED">
        <w:rPr>
          <w:lang w:val="uk-UA"/>
        </w:rPr>
        <w:t>а</w:t>
      </w:r>
      <w:r w:rsidR="001E032B" w:rsidRPr="001416ED">
        <w:rPr>
          <w:lang w:val="uk-UA"/>
        </w:rPr>
        <w:t>жає надм</w:t>
      </w:r>
      <w:r w:rsidR="004531C9" w:rsidRPr="001416ED">
        <w:rPr>
          <w:lang w:val="uk-UA"/>
        </w:rPr>
        <w:t>ірна маса тіла</w:t>
      </w:r>
      <w:r w:rsidR="00271927" w:rsidRPr="001416ED">
        <w:rPr>
          <w:lang w:val="uk-UA"/>
        </w:rPr>
        <w:t xml:space="preserve"> (39,39</w:t>
      </w:r>
      <w:r w:rsidR="00D4219F" w:rsidRPr="001416ED">
        <w:rPr>
          <w:lang w:val="uk-UA"/>
        </w:rPr>
        <w:t xml:space="preserve"> %</w:t>
      </w:r>
      <w:r w:rsidR="00271927" w:rsidRPr="001416ED">
        <w:rPr>
          <w:lang w:val="uk-UA"/>
        </w:rPr>
        <w:t xml:space="preserve">, </w:t>
      </w:r>
      <w:r w:rsidR="00271927" w:rsidRPr="001416ED">
        <w:rPr>
          <w:lang w:val="en-US"/>
        </w:rPr>
        <w:t>n</w:t>
      </w:r>
      <w:r w:rsidR="00271927" w:rsidRPr="001416ED">
        <w:rPr>
          <w:lang w:val="uk-UA"/>
        </w:rPr>
        <w:t>=13 та 47,06</w:t>
      </w:r>
      <w:r w:rsidR="00D4219F" w:rsidRPr="001416ED">
        <w:rPr>
          <w:lang w:val="uk-UA"/>
        </w:rPr>
        <w:t xml:space="preserve"> %</w:t>
      </w:r>
      <w:r w:rsidR="00271927" w:rsidRPr="001416ED">
        <w:rPr>
          <w:lang w:val="uk-UA"/>
        </w:rPr>
        <w:t xml:space="preserve">, </w:t>
      </w:r>
      <w:r w:rsidR="00271927" w:rsidRPr="001416ED">
        <w:rPr>
          <w:lang w:val="en-US"/>
        </w:rPr>
        <w:t>n</w:t>
      </w:r>
      <w:r w:rsidR="00271927" w:rsidRPr="001416ED">
        <w:rPr>
          <w:lang w:val="uk-UA"/>
        </w:rPr>
        <w:t>=8, відповідно)</w:t>
      </w:r>
      <w:r w:rsidR="004531C9" w:rsidRPr="001416ED">
        <w:rPr>
          <w:lang w:val="uk-UA"/>
        </w:rPr>
        <w:t xml:space="preserve"> та ожиріння</w:t>
      </w:r>
      <w:r w:rsidR="00271927" w:rsidRPr="001416ED">
        <w:rPr>
          <w:lang w:val="uk-UA"/>
        </w:rPr>
        <w:t xml:space="preserve"> </w:t>
      </w:r>
      <w:r w:rsidR="00ED5152" w:rsidRPr="001416ED">
        <w:rPr>
          <w:lang w:val="uk-UA"/>
        </w:rPr>
        <w:t xml:space="preserve">І ст. </w:t>
      </w:r>
      <w:r w:rsidR="00271927" w:rsidRPr="001416ED">
        <w:rPr>
          <w:lang w:val="uk-UA"/>
        </w:rPr>
        <w:t>(51,52</w:t>
      </w:r>
      <w:r w:rsidR="00D4219F" w:rsidRPr="001416ED">
        <w:rPr>
          <w:lang w:val="uk-UA"/>
        </w:rPr>
        <w:t xml:space="preserve"> %</w:t>
      </w:r>
      <w:r w:rsidR="00271927" w:rsidRPr="001416ED">
        <w:rPr>
          <w:lang w:val="uk-UA"/>
        </w:rPr>
        <w:t xml:space="preserve">, </w:t>
      </w:r>
      <w:r w:rsidR="00271927" w:rsidRPr="001416ED">
        <w:rPr>
          <w:lang w:val="en-US"/>
        </w:rPr>
        <w:t>n</w:t>
      </w:r>
      <w:r w:rsidR="00271927" w:rsidRPr="001416ED">
        <w:rPr>
          <w:lang w:val="uk-UA"/>
        </w:rPr>
        <w:t>=17 та 47,06</w:t>
      </w:r>
      <w:r w:rsidR="00D4219F" w:rsidRPr="001416ED">
        <w:rPr>
          <w:lang w:val="uk-UA"/>
        </w:rPr>
        <w:t xml:space="preserve"> %</w:t>
      </w:r>
      <w:r w:rsidR="00271927" w:rsidRPr="001416ED">
        <w:rPr>
          <w:lang w:val="uk-UA"/>
        </w:rPr>
        <w:t xml:space="preserve">, </w:t>
      </w:r>
      <w:r w:rsidR="00271927" w:rsidRPr="001416ED">
        <w:rPr>
          <w:lang w:val="en-US"/>
        </w:rPr>
        <w:t>n</w:t>
      </w:r>
      <w:r w:rsidR="00271927" w:rsidRPr="001416ED">
        <w:rPr>
          <w:lang w:val="uk-UA"/>
        </w:rPr>
        <w:t>=8, відповідно)</w:t>
      </w:r>
      <w:r w:rsidR="001E032B" w:rsidRPr="001416ED">
        <w:rPr>
          <w:lang w:val="uk-UA"/>
        </w:rPr>
        <w:t>.</w:t>
      </w:r>
      <w:r w:rsidR="003779ED" w:rsidRPr="001416ED">
        <w:rPr>
          <w:lang w:val="uk-UA"/>
        </w:rPr>
        <w:t xml:space="preserve"> Однак, достовірної різниці у</w:t>
      </w:r>
      <w:r w:rsidR="00672107" w:rsidRPr="001416ED">
        <w:rPr>
          <w:lang w:val="uk-UA"/>
        </w:rPr>
        <w:t xml:space="preserve"> розподілі осіб за</w:t>
      </w:r>
      <w:r w:rsidR="003779ED" w:rsidRPr="001416ED">
        <w:rPr>
          <w:lang w:val="uk-UA"/>
        </w:rPr>
        <w:t xml:space="preserve"> ІМТ серед носіїв </w:t>
      </w:r>
      <w:r w:rsidR="00672107" w:rsidRPr="001416ED">
        <w:rPr>
          <w:lang w:val="uk-UA"/>
        </w:rPr>
        <w:t>як</w:t>
      </w:r>
      <w:r w:rsidR="003779ED" w:rsidRPr="001416ED">
        <w:rPr>
          <w:lang w:val="uk-UA"/>
        </w:rPr>
        <w:t xml:space="preserve"> генотипу </w:t>
      </w:r>
      <w:r w:rsidR="003779ED" w:rsidRPr="001416ED">
        <w:rPr>
          <w:rFonts w:eastAsiaTheme="minorHAnsi"/>
          <w:kern w:val="11"/>
          <w:lang w:val="uk-UA" w:eastAsia="en-US"/>
        </w:rPr>
        <w:t xml:space="preserve">Lys/Lys так і алелі </w:t>
      </w:r>
      <w:r w:rsidR="003779ED" w:rsidRPr="001416ED">
        <w:rPr>
          <w:lang w:val="en-US"/>
        </w:rPr>
        <w:t>Asn</w:t>
      </w:r>
      <w:r w:rsidR="003779ED" w:rsidRPr="001416ED">
        <w:rPr>
          <w:lang w:val="uk-UA"/>
        </w:rPr>
        <w:t xml:space="preserve"> </w:t>
      </w:r>
      <w:r w:rsidR="00672107" w:rsidRPr="001416ED">
        <w:rPr>
          <w:lang w:val="uk-UA"/>
        </w:rPr>
        <w:t>між</w:t>
      </w:r>
      <w:r w:rsidR="003779ED" w:rsidRPr="001416ED">
        <w:rPr>
          <w:lang w:val="uk-UA"/>
        </w:rPr>
        <w:t xml:space="preserve"> чоловік</w:t>
      </w:r>
      <w:r w:rsidR="00672107" w:rsidRPr="001416ED">
        <w:rPr>
          <w:lang w:val="uk-UA"/>
        </w:rPr>
        <w:t xml:space="preserve">ами </w:t>
      </w:r>
      <w:r w:rsidR="00ED5152" w:rsidRPr="001416ED">
        <w:rPr>
          <w:lang w:val="uk-UA"/>
        </w:rPr>
        <w:t xml:space="preserve">з ГХ різної </w:t>
      </w:r>
      <w:r w:rsidR="00046A18" w:rsidRPr="001416ED">
        <w:rPr>
          <w:lang w:val="uk-UA"/>
        </w:rPr>
        <w:t>стадії</w:t>
      </w:r>
      <w:r w:rsidR="00355E86" w:rsidRPr="001416ED">
        <w:rPr>
          <w:lang w:val="uk-UA"/>
        </w:rPr>
        <w:t xml:space="preserve"> теж</w:t>
      </w:r>
      <w:r w:rsidR="002A4553" w:rsidRPr="001416ED">
        <w:rPr>
          <w:lang w:val="uk-UA"/>
        </w:rPr>
        <w:t xml:space="preserve"> немає</w:t>
      </w:r>
      <w:r w:rsidR="003779ED" w:rsidRPr="001416ED">
        <w:rPr>
          <w:lang w:val="uk-UA"/>
        </w:rPr>
        <w:t>.</w:t>
      </w:r>
    </w:p>
    <w:p w:rsidR="009F11CF" w:rsidRPr="001416ED" w:rsidRDefault="00851BFA" w:rsidP="007B5D51">
      <w:pPr>
        <w:spacing w:line="360" w:lineRule="auto"/>
        <w:ind w:firstLine="709"/>
        <w:jc w:val="both"/>
        <w:rPr>
          <w:rFonts w:eastAsiaTheme="minorHAnsi"/>
          <w:kern w:val="11"/>
          <w:lang w:val="uk-UA" w:eastAsia="en-US"/>
        </w:rPr>
      </w:pPr>
      <w:r w:rsidRPr="001416ED">
        <w:rPr>
          <w:lang w:val="uk-UA"/>
        </w:rPr>
        <w:t xml:space="preserve">Далі були проаналізовані початок і тривалість ГХ при носійстві </w:t>
      </w:r>
      <w:r w:rsidR="00E6164F">
        <w:rPr>
          <w:lang w:val="uk-UA"/>
        </w:rPr>
        <w:t>поліморфних варіантів гена ЕТ–1</w:t>
      </w:r>
      <w:r w:rsidRPr="001416ED">
        <w:rPr>
          <w:lang w:val="uk-UA"/>
        </w:rPr>
        <w:t>.</w:t>
      </w:r>
      <w:r w:rsidR="008105BF" w:rsidRPr="001416ED">
        <w:rPr>
          <w:lang w:val="uk-UA"/>
        </w:rPr>
        <w:t xml:space="preserve"> Як у чоловіків з ГХ ІІ ст.</w:t>
      </w:r>
      <w:r w:rsidR="00651BB4" w:rsidRPr="001416ED">
        <w:rPr>
          <w:lang w:val="uk-UA"/>
        </w:rPr>
        <w:t xml:space="preserve">, так і у пацієнтів з </w:t>
      </w:r>
      <w:r w:rsidR="00C34030" w:rsidRPr="001416ED">
        <w:rPr>
          <w:lang w:val="uk-UA"/>
        </w:rPr>
        <w:t xml:space="preserve">ГХ </w:t>
      </w:r>
      <w:r w:rsidR="00C34030" w:rsidRPr="001416ED">
        <w:rPr>
          <w:lang w:val="uk-UA"/>
        </w:rPr>
        <w:lastRenderedPageBreak/>
        <w:t xml:space="preserve">ІІІ ст. </w:t>
      </w:r>
      <w:r w:rsidR="00FE5564" w:rsidRPr="001416ED">
        <w:rPr>
          <w:lang w:val="uk-UA"/>
        </w:rPr>
        <w:t xml:space="preserve">такої різниці у початку ГХ не встановлено. </w:t>
      </w:r>
      <w:r w:rsidR="008105BF" w:rsidRPr="001416ED">
        <w:rPr>
          <w:rFonts w:eastAsiaTheme="minorHAnsi"/>
          <w:kern w:val="11"/>
          <w:lang w:val="uk-UA" w:eastAsia="en-US"/>
        </w:rPr>
        <w:t>Однак,</w:t>
      </w:r>
      <w:r w:rsidR="009F11CF" w:rsidRPr="001416ED">
        <w:rPr>
          <w:rFonts w:eastAsiaTheme="minorHAnsi"/>
          <w:kern w:val="11"/>
          <w:lang w:val="uk-UA" w:eastAsia="en-US"/>
        </w:rPr>
        <w:t xml:space="preserve"> </w:t>
      </w:r>
      <w:r w:rsidR="00FE5564" w:rsidRPr="001416ED">
        <w:rPr>
          <w:rFonts w:eastAsiaTheme="minorHAnsi"/>
          <w:kern w:val="11"/>
          <w:lang w:val="uk-UA" w:eastAsia="en-US"/>
        </w:rPr>
        <w:t>виявлено</w:t>
      </w:r>
      <w:r w:rsidR="009F11CF" w:rsidRPr="001416ED">
        <w:rPr>
          <w:rFonts w:eastAsiaTheme="minorHAnsi"/>
          <w:kern w:val="11"/>
          <w:lang w:val="uk-UA" w:eastAsia="en-US"/>
        </w:rPr>
        <w:t xml:space="preserve">, що у пацієнтів </w:t>
      </w:r>
      <w:r w:rsidR="000C3A2D" w:rsidRPr="001416ED">
        <w:rPr>
          <w:rFonts w:eastAsiaTheme="minorHAnsi"/>
          <w:kern w:val="11"/>
          <w:lang w:val="uk-UA" w:eastAsia="en-US"/>
        </w:rPr>
        <w:t>з ГХ ІІІ ст.</w:t>
      </w:r>
      <w:r w:rsidR="009F11CF" w:rsidRPr="001416ED">
        <w:rPr>
          <w:rFonts w:eastAsiaTheme="minorHAnsi"/>
          <w:kern w:val="11"/>
          <w:lang w:val="uk-UA" w:eastAsia="en-US"/>
        </w:rPr>
        <w:t xml:space="preserve"> тривалість даного захворювання достовірно більша, ніж у пацієнтів з </w:t>
      </w:r>
      <w:r w:rsidR="000C3A2D" w:rsidRPr="001416ED">
        <w:rPr>
          <w:rFonts w:eastAsiaTheme="minorHAnsi"/>
          <w:kern w:val="11"/>
          <w:lang w:val="uk-UA" w:eastAsia="en-US"/>
        </w:rPr>
        <w:t>ГХ ІІ ст</w:t>
      </w:r>
      <w:r w:rsidR="007E53FE" w:rsidRPr="001416ED">
        <w:rPr>
          <w:rFonts w:eastAsiaTheme="minorHAnsi"/>
          <w:kern w:val="11"/>
          <w:lang w:val="uk-UA" w:eastAsia="en-US"/>
        </w:rPr>
        <w:t xml:space="preserve">. </w:t>
      </w:r>
      <w:r w:rsidR="008105BF" w:rsidRPr="001416ED">
        <w:rPr>
          <w:rFonts w:eastAsiaTheme="minorHAnsi"/>
          <w:kern w:val="11"/>
          <w:lang w:val="uk-UA" w:eastAsia="en-US"/>
        </w:rPr>
        <w:t>Тобто, н</w:t>
      </w:r>
      <w:r w:rsidR="007E53FE" w:rsidRPr="001416ED">
        <w:rPr>
          <w:rFonts w:eastAsiaTheme="minorHAnsi"/>
          <w:kern w:val="11"/>
          <w:lang w:val="uk-UA" w:eastAsia="en-US"/>
        </w:rPr>
        <w:t xml:space="preserve">осійство </w:t>
      </w:r>
      <w:r w:rsidR="00FF5C21">
        <w:rPr>
          <w:rFonts w:eastAsiaTheme="minorHAnsi"/>
          <w:kern w:val="11"/>
          <w:lang w:val="uk-UA" w:eastAsia="en-US"/>
        </w:rPr>
        <w:t>поліморфних варіантів гена</w:t>
      </w:r>
      <w:r w:rsidR="007E53FE" w:rsidRPr="001416ED">
        <w:rPr>
          <w:rFonts w:eastAsiaTheme="minorHAnsi"/>
          <w:kern w:val="11"/>
          <w:lang w:val="uk-UA" w:eastAsia="en-US"/>
        </w:rPr>
        <w:t xml:space="preserve"> ЕТ</w:t>
      </w:r>
      <w:r w:rsidR="00BC0119" w:rsidRPr="001416ED">
        <w:rPr>
          <w:rFonts w:eastAsiaTheme="minorHAnsi"/>
          <w:kern w:val="11"/>
          <w:lang w:val="uk-UA" w:eastAsia="en-US"/>
        </w:rPr>
        <w:t>–</w:t>
      </w:r>
      <w:r w:rsidR="007E53FE" w:rsidRPr="001416ED">
        <w:rPr>
          <w:rFonts w:eastAsiaTheme="minorHAnsi"/>
          <w:kern w:val="11"/>
          <w:lang w:val="uk-UA" w:eastAsia="en-US"/>
        </w:rPr>
        <w:t>1</w:t>
      </w:r>
      <w:r w:rsidR="000C7724" w:rsidRPr="001416ED">
        <w:rPr>
          <w:rFonts w:eastAsiaTheme="minorHAnsi"/>
          <w:kern w:val="11"/>
          <w:lang w:val="uk-UA" w:eastAsia="en-US"/>
        </w:rPr>
        <w:t xml:space="preserve"> не асоціюється з тривалістю ГХ (</w:t>
      </w:r>
      <w:r w:rsidR="007E53FE" w:rsidRPr="001416ED">
        <w:rPr>
          <w:rFonts w:eastAsiaTheme="minorHAnsi"/>
          <w:kern w:val="11"/>
          <w:lang w:val="uk-UA" w:eastAsia="en-US"/>
        </w:rPr>
        <w:t>р&gt;0,05</w:t>
      </w:r>
      <w:r w:rsidR="00CD2F4F" w:rsidRPr="001416ED">
        <w:rPr>
          <w:rFonts w:eastAsiaTheme="minorHAnsi"/>
          <w:kern w:val="11"/>
          <w:lang w:val="uk-UA" w:eastAsia="en-US"/>
        </w:rPr>
        <w:t xml:space="preserve">), а </w:t>
      </w:r>
      <w:r w:rsidR="00E8766C" w:rsidRPr="001416ED">
        <w:rPr>
          <w:rFonts w:eastAsiaTheme="minorHAnsi"/>
          <w:kern w:val="11"/>
          <w:lang w:val="uk-UA" w:eastAsia="en-US"/>
        </w:rPr>
        <w:t xml:space="preserve">більш тривалий </w:t>
      </w:r>
      <w:r w:rsidR="000C7724" w:rsidRPr="001416ED">
        <w:rPr>
          <w:rFonts w:eastAsiaTheme="minorHAnsi"/>
          <w:kern w:val="11"/>
          <w:lang w:val="uk-UA" w:eastAsia="en-US"/>
        </w:rPr>
        <w:t xml:space="preserve">перебіг хвороби може </w:t>
      </w:r>
      <w:r w:rsidR="00E8766C" w:rsidRPr="001416ED">
        <w:rPr>
          <w:rFonts w:eastAsiaTheme="minorHAnsi"/>
          <w:kern w:val="11"/>
          <w:lang w:val="uk-UA" w:eastAsia="en-US"/>
        </w:rPr>
        <w:t>сприяти збільшеню</w:t>
      </w:r>
      <w:r w:rsidR="000C7724" w:rsidRPr="001416ED">
        <w:rPr>
          <w:rFonts w:eastAsiaTheme="minorHAnsi"/>
          <w:kern w:val="11"/>
          <w:lang w:val="uk-UA" w:eastAsia="en-US"/>
        </w:rPr>
        <w:t xml:space="preserve"> її важкості</w:t>
      </w:r>
      <w:r w:rsidR="007E53FE" w:rsidRPr="001416ED">
        <w:rPr>
          <w:rFonts w:eastAsiaTheme="minorHAnsi"/>
          <w:kern w:val="11"/>
          <w:lang w:val="uk-UA" w:eastAsia="en-US"/>
        </w:rPr>
        <w:t>.</w:t>
      </w:r>
    </w:p>
    <w:p w:rsidR="00851BFA" w:rsidRPr="001416ED" w:rsidRDefault="00AE35F9" w:rsidP="004F4043">
      <w:pPr>
        <w:spacing w:before="240" w:line="360" w:lineRule="auto"/>
        <w:ind w:firstLine="709"/>
        <w:jc w:val="both"/>
        <w:rPr>
          <w:rFonts w:eastAsiaTheme="minorHAnsi"/>
          <w:b/>
          <w:kern w:val="11"/>
          <w:lang w:val="uk-UA" w:eastAsia="en-US"/>
        </w:rPr>
      </w:pPr>
      <w:r w:rsidRPr="001416ED">
        <w:rPr>
          <w:rFonts w:eastAsiaTheme="minorHAnsi"/>
          <w:b/>
          <w:kern w:val="11"/>
          <w:lang w:val="uk-UA" w:eastAsia="en-US"/>
        </w:rPr>
        <w:t>4</w:t>
      </w:r>
      <w:r w:rsidR="004F4043" w:rsidRPr="001416ED">
        <w:rPr>
          <w:rFonts w:eastAsiaTheme="minorHAnsi"/>
          <w:b/>
          <w:kern w:val="11"/>
          <w:lang w:val="uk-UA" w:eastAsia="en-US"/>
        </w:rPr>
        <w:t>.2</w:t>
      </w:r>
      <w:r w:rsidR="00DB0EF1" w:rsidRPr="001416ED">
        <w:rPr>
          <w:rFonts w:eastAsiaTheme="minorHAnsi"/>
          <w:b/>
          <w:kern w:val="11"/>
          <w:lang w:val="uk-UA" w:eastAsia="en-US"/>
        </w:rPr>
        <w:t>.</w:t>
      </w:r>
      <w:r w:rsidR="004F4043" w:rsidRPr="001416ED">
        <w:rPr>
          <w:rFonts w:eastAsiaTheme="minorHAnsi"/>
          <w:b/>
          <w:kern w:val="11"/>
          <w:lang w:val="uk-UA" w:eastAsia="en-US"/>
        </w:rPr>
        <w:t xml:space="preserve"> Рівень ендотеліну</w:t>
      </w:r>
      <w:r w:rsidR="00BC0119" w:rsidRPr="001416ED">
        <w:rPr>
          <w:rFonts w:eastAsiaTheme="minorHAnsi"/>
          <w:b/>
          <w:kern w:val="11"/>
          <w:lang w:val="uk-UA" w:eastAsia="en-US"/>
        </w:rPr>
        <w:t>–</w:t>
      </w:r>
      <w:r w:rsidR="004F4043" w:rsidRPr="001416ED">
        <w:rPr>
          <w:rFonts w:eastAsiaTheme="minorHAnsi"/>
          <w:b/>
          <w:kern w:val="11"/>
          <w:lang w:val="uk-UA" w:eastAsia="en-US"/>
        </w:rPr>
        <w:t xml:space="preserve">1 у плазмі крові чоловіків з гіпертонічною хворобою різної </w:t>
      </w:r>
      <w:r w:rsidR="00046A18" w:rsidRPr="001416ED">
        <w:rPr>
          <w:rFonts w:eastAsiaTheme="minorHAnsi"/>
          <w:b/>
          <w:kern w:val="11"/>
          <w:lang w:val="uk-UA" w:eastAsia="en-US"/>
        </w:rPr>
        <w:t>стадії</w:t>
      </w:r>
      <w:r w:rsidR="004F4043" w:rsidRPr="001416ED">
        <w:rPr>
          <w:rFonts w:eastAsiaTheme="minorHAnsi"/>
          <w:b/>
          <w:kern w:val="11"/>
          <w:lang w:val="uk-UA" w:eastAsia="en-US"/>
        </w:rPr>
        <w:t>, мешканців Подільського регіону України</w:t>
      </w:r>
    </w:p>
    <w:p w:rsidR="00AE35F9" w:rsidRPr="001416ED" w:rsidRDefault="003F000B" w:rsidP="000C6FAB">
      <w:pPr>
        <w:spacing w:before="240" w:line="360" w:lineRule="auto"/>
        <w:ind w:firstLine="709"/>
        <w:jc w:val="both"/>
        <w:rPr>
          <w:rFonts w:eastAsiaTheme="minorHAnsi"/>
          <w:lang w:val="uk-UA" w:eastAsia="en-US"/>
        </w:rPr>
      </w:pPr>
      <w:r w:rsidRPr="001416ED">
        <w:rPr>
          <w:rFonts w:eastAsiaTheme="minorHAnsi"/>
          <w:kern w:val="11"/>
          <w:lang w:val="uk-UA" w:eastAsia="en-US"/>
        </w:rPr>
        <w:t>В останні роки</w:t>
      </w:r>
      <w:r w:rsidRPr="001416ED">
        <w:rPr>
          <w:rFonts w:eastAsiaTheme="minorHAnsi"/>
          <w:lang w:val="uk-UA" w:eastAsia="en-US"/>
        </w:rPr>
        <w:t xml:space="preserve"> </w:t>
      </w:r>
      <w:r w:rsidR="00F31973" w:rsidRPr="001416ED">
        <w:rPr>
          <w:rFonts w:eastAsiaTheme="minorHAnsi"/>
          <w:lang w:val="uk-UA" w:eastAsia="en-US"/>
        </w:rPr>
        <w:t xml:space="preserve">вчені приділяють велику увагу функціональному стану ендотелію у пацієнтів з ГХ. </w:t>
      </w:r>
      <w:r w:rsidR="00C53C22" w:rsidRPr="001416ED">
        <w:rPr>
          <w:rFonts w:eastAsiaTheme="minorHAnsi"/>
          <w:lang w:val="uk-UA" w:eastAsia="en-US"/>
        </w:rPr>
        <w:t>Відомо, що ЕД (</w:t>
      </w:r>
      <w:r w:rsidR="00F31973" w:rsidRPr="001416ED">
        <w:rPr>
          <w:rFonts w:eastAsiaTheme="minorHAnsi"/>
          <w:lang w:val="uk-UA" w:eastAsia="en-US"/>
        </w:rPr>
        <w:t>дисбаланс між вазодилятаторами та вазоконстрикторами, з дефіцитом перши</w:t>
      </w:r>
      <w:r w:rsidR="00AE35F9" w:rsidRPr="001416ED">
        <w:rPr>
          <w:rFonts w:eastAsiaTheme="minorHAnsi"/>
          <w:lang w:val="uk-UA" w:eastAsia="en-US"/>
        </w:rPr>
        <w:t>х</w:t>
      </w:r>
      <w:r w:rsidR="00F31973" w:rsidRPr="001416ED">
        <w:rPr>
          <w:rFonts w:eastAsiaTheme="minorHAnsi"/>
          <w:lang w:val="uk-UA" w:eastAsia="en-US"/>
        </w:rPr>
        <w:t xml:space="preserve">) відіграє одну із важливих ланок в патогенезі </w:t>
      </w:r>
      <w:r w:rsidR="001B6C26" w:rsidRPr="001416ED">
        <w:rPr>
          <w:rFonts w:eastAsiaTheme="minorHAnsi"/>
          <w:lang w:val="uk-UA" w:eastAsia="en-US"/>
        </w:rPr>
        <w:t>ЕГ</w:t>
      </w:r>
      <w:r w:rsidR="00F31973" w:rsidRPr="001416ED">
        <w:rPr>
          <w:rFonts w:eastAsiaTheme="minorHAnsi"/>
          <w:lang w:val="uk-UA" w:eastAsia="en-US"/>
        </w:rPr>
        <w:t>.</w:t>
      </w:r>
      <w:r w:rsidR="00AE35F9" w:rsidRPr="001416ED">
        <w:rPr>
          <w:rFonts w:eastAsiaTheme="minorHAnsi"/>
          <w:lang w:val="uk-UA" w:eastAsia="en-US"/>
        </w:rPr>
        <w:t xml:space="preserve"> Тому</w:t>
      </w:r>
      <w:r w:rsidR="00357DB4" w:rsidRPr="001416ED">
        <w:rPr>
          <w:rFonts w:eastAsiaTheme="minorHAnsi"/>
          <w:lang w:val="uk-UA" w:eastAsia="en-US"/>
        </w:rPr>
        <w:t>,</w:t>
      </w:r>
      <w:r w:rsidR="00AE35F9" w:rsidRPr="001416ED">
        <w:rPr>
          <w:rFonts w:eastAsiaTheme="minorHAnsi"/>
          <w:lang w:val="uk-UA" w:eastAsia="en-US"/>
        </w:rPr>
        <w:t xml:space="preserve"> було вирішено дослідити плазмові концентрації ЕТ</w:t>
      </w:r>
      <w:r w:rsidR="00BC0119" w:rsidRPr="001416ED">
        <w:rPr>
          <w:rFonts w:eastAsiaTheme="minorHAnsi"/>
          <w:lang w:val="uk-UA" w:eastAsia="en-US"/>
        </w:rPr>
        <w:t>–</w:t>
      </w:r>
      <w:r w:rsidR="00AE35F9" w:rsidRPr="001416ED">
        <w:rPr>
          <w:rFonts w:eastAsiaTheme="minorHAnsi"/>
          <w:lang w:val="uk-UA" w:eastAsia="en-US"/>
        </w:rPr>
        <w:t>1 у чоловіків з ГХ різно</w:t>
      </w:r>
      <w:r w:rsidR="000C3A2D" w:rsidRPr="001416ED">
        <w:rPr>
          <w:rFonts w:eastAsiaTheme="minorHAnsi"/>
          <w:lang w:val="uk-UA" w:eastAsia="en-US"/>
        </w:rPr>
        <w:t xml:space="preserve">ї </w:t>
      </w:r>
      <w:r w:rsidR="00046A18" w:rsidRPr="001416ED">
        <w:rPr>
          <w:rFonts w:eastAsiaTheme="minorHAnsi"/>
          <w:lang w:val="uk-UA" w:eastAsia="en-US"/>
        </w:rPr>
        <w:t>стадії</w:t>
      </w:r>
      <w:r w:rsidR="00AE35F9" w:rsidRPr="001416ED">
        <w:rPr>
          <w:rFonts w:eastAsiaTheme="minorHAnsi"/>
          <w:lang w:val="uk-UA" w:eastAsia="en-US"/>
        </w:rPr>
        <w:t xml:space="preserve"> (рис. 4.</w:t>
      </w:r>
      <w:r w:rsidR="00AF3B9A" w:rsidRPr="001416ED">
        <w:rPr>
          <w:rFonts w:eastAsiaTheme="minorHAnsi"/>
          <w:lang w:val="uk-UA" w:eastAsia="en-US"/>
        </w:rPr>
        <w:t>3</w:t>
      </w:r>
      <w:r w:rsidR="00AE35F9" w:rsidRPr="001416ED">
        <w:rPr>
          <w:rFonts w:eastAsiaTheme="minorHAnsi"/>
          <w:lang w:val="uk-UA" w:eastAsia="en-US"/>
        </w:rPr>
        <w:t>)</w:t>
      </w:r>
    </w:p>
    <w:p w:rsidR="00AE35F9" w:rsidRPr="001416ED" w:rsidRDefault="00AE35F9" w:rsidP="00AE35F9">
      <w:pPr>
        <w:spacing w:line="276" w:lineRule="auto"/>
        <w:jc w:val="center"/>
        <w:rPr>
          <w:rFonts w:eastAsiaTheme="minorHAnsi"/>
          <w:b/>
          <w:kern w:val="11"/>
          <w:lang w:val="uk-UA" w:eastAsia="en-US"/>
        </w:rPr>
      </w:pPr>
      <w:r w:rsidRPr="001416ED">
        <w:rPr>
          <w:rFonts w:eastAsiaTheme="minorHAnsi"/>
          <w:b/>
          <w:noProof/>
          <w:kern w:val="11"/>
          <w:lang w:val="uk-UA" w:eastAsia="uk-UA"/>
        </w:rPr>
        <w:drawing>
          <wp:inline distT="0" distB="0" distL="0" distR="0" wp14:anchorId="0B111D6B" wp14:editId="2AA253F6">
            <wp:extent cx="6005779" cy="1294790"/>
            <wp:effectExtent l="0" t="0" r="0" b="6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3952" w:rsidRPr="001416ED" w:rsidRDefault="00B33952" w:rsidP="000C3A2D">
      <w:pPr>
        <w:spacing w:before="240" w:line="360" w:lineRule="auto"/>
        <w:jc w:val="both"/>
        <w:rPr>
          <w:rFonts w:eastAsiaTheme="minorHAnsi"/>
          <w:b/>
          <w:kern w:val="11"/>
          <w:lang w:val="uk-UA" w:eastAsia="en-US"/>
        </w:rPr>
      </w:pPr>
      <w:r w:rsidRPr="001416ED">
        <w:rPr>
          <w:rFonts w:eastAsiaTheme="minorHAnsi"/>
          <w:b/>
          <w:kern w:val="11"/>
          <w:lang w:val="uk-UA" w:eastAsia="en-US"/>
        </w:rPr>
        <w:t>Рис.</w:t>
      </w:r>
      <w:r w:rsidR="00F60E24" w:rsidRPr="001416ED">
        <w:rPr>
          <w:rFonts w:eastAsiaTheme="minorHAnsi"/>
          <w:b/>
          <w:kern w:val="11"/>
          <w:lang w:val="uk-UA" w:eastAsia="en-US"/>
        </w:rPr>
        <w:t xml:space="preserve"> 4.</w:t>
      </w:r>
      <w:r w:rsidR="00AF3B9A" w:rsidRPr="001416ED">
        <w:rPr>
          <w:rFonts w:eastAsiaTheme="minorHAnsi"/>
          <w:b/>
          <w:kern w:val="11"/>
          <w:lang w:val="uk-UA" w:eastAsia="en-US"/>
        </w:rPr>
        <w:t>3</w:t>
      </w:r>
      <w:r w:rsidR="00F60E24" w:rsidRPr="001416ED">
        <w:rPr>
          <w:lang w:val="uk-UA"/>
        </w:rPr>
        <w:t xml:space="preserve"> </w:t>
      </w:r>
      <w:r w:rsidR="00F60E24" w:rsidRPr="001416ED">
        <w:rPr>
          <w:rFonts w:eastAsiaTheme="minorHAnsi"/>
          <w:b/>
          <w:kern w:val="11"/>
          <w:lang w:val="uk-UA" w:eastAsia="en-US"/>
        </w:rPr>
        <w:t>Плазмова концентрація ЕТ</w:t>
      </w:r>
      <w:r w:rsidR="00BC0119" w:rsidRPr="001416ED">
        <w:rPr>
          <w:rFonts w:eastAsiaTheme="minorHAnsi"/>
          <w:b/>
          <w:kern w:val="11"/>
          <w:lang w:val="uk-UA" w:eastAsia="en-US"/>
        </w:rPr>
        <w:t>–</w:t>
      </w:r>
      <w:r w:rsidR="00F60E24" w:rsidRPr="001416ED">
        <w:rPr>
          <w:rFonts w:eastAsiaTheme="minorHAnsi"/>
          <w:b/>
          <w:kern w:val="11"/>
          <w:lang w:val="uk-UA" w:eastAsia="en-US"/>
        </w:rPr>
        <w:t xml:space="preserve">1 у чоловіків групи контролю, хворих на ГХ ІІ стадії та у пацієнтів з </w:t>
      </w:r>
      <w:r w:rsidR="002C2477" w:rsidRPr="001416ED">
        <w:rPr>
          <w:rFonts w:eastAsiaTheme="minorHAnsi"/>
          <w:b/>
          <w:kern w:val="11"/>
          <w:lang w:val="uk-UA" w:eastAsia="en-US"/>
        </w:rPr>
        <w:t xml:space="preserve">ГХ ІІІ ст., </w:t>
      </w:r>
      <w:r w:rsidR="00F60E24" w:rsidRPr="001416ED">
        <w:rPr>
          <w:rFonts w:eastAsiaTheme="minorHAnsi"/>
          <w:b/>
          <w:kern w:val="11"/>
          <w:lang w:val="uk-UA" w:eastAsia="en-US"/>
        </w:rPr>
        <w:t>фмоль/мл</w:t>
      </w:r>
    </w:p>
    <w:p w:rsidR="00B33952" w:rsidRPr="001416ED" w:rsidRDefault="00B33952" w:rsidP="00D14786">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Примітка: різниця показників достовірна при порівнянні з: * </w:t>
      </w:r>
      <w:r w:rsidR="00BC0119" w:rsidRPr="001416ED">
        <w:rPr>
          <w:rFonts w:eastAsiaTheme="minorHAnsi"/>
          <w:kern w:val="11"/>
          <w:lang w:val="uk-UA" w:eastAsia="en-US"/>
        </w:rPr>
        <w:t>–</w:t>
      </w:r>
      <w:r w:rsidR="000C3A2D" w:rsidRPr="001416ED">
        <w:rPr>
          <w:rFonts w:eastAsiaTheme="minorHAnsi"/>
          <w:kern w:val="11"/>
          <w:lang w:val="uk-UA" w:eastAsia="en-US"/>
        </w:rPr>
        <w:t xml:space="preserve"> групою контролю (р</w:t>
      </w:r>
      <w:r w:rsidR="000C04AA" w:rsidRPr="001416ED">
        <w:rPr>
          <w:rFonts w:eastAsiaTheme="minorHAnsi"/>
          <w:kern w:val="11"/>
          <w:lang w:val="uk-UA" w:eastAsia="en-US"/>
        </w:rPr>
        <w:t>˂</w:t>
      </w:r>
      <w:r w:rsidRPr="001416ED">
        <w:rPr>
          <w:rFonts w:eastAsiaTheme="minorHAnsi"/>
          <w:kern w:val="11"/>
          <w:lang w:val="uk-UA" w:eastAsia="en-US"/>
        </w:rPr>
        <w:t xml:space="preserve">0,0001), # </w:t>
      </w:r>
      <w:r w:rsidR="00BC0119" w:rsidRPr="001416ED">
        <w:rPr>
          <w:rFonts w:eastAsiaTheme="minorHAnsi"/>
          <w:kern w:val="11"/>
          <w:lang w:val="uk-UA" w:eastAsia="en-US"/>
        </w:rPr>
        <w:t>–</w:t>
      </w:r>
      <w:r w:rsidRPr="001416ED">
        <w:rPr>
          <w:rFonts w:eastAsiaTheme="minorHAnsi"/>
          <w:kern w:val="11"/>
          <w:lang w:val="uk-UA" w:eastAsia="en-US"/>
        </w:rPr>
        <w:t xml:space="preserve"> чоловіками з ГХ ІІ ст</w:t>
      </w:r>
      <w:r w:rsidR="001D6DEA" w:rsidRPr="001416ED">
        <w:rPr>
          <w:rFonts w:eastAsiaTheme="minorHAnsi"/>
          <w:kern w:val="11"/>
          <w:lang w:val="uk-UA" w:eastAsia="en-US"/>
        </w:rPr>
        <w:t>.</w:t>
      </w:r>
      <w:r w:rsidRPr="001416ED">
        <w:rPr>
          <w:rFonts w:eastAsiaTheme="minorHAnsi"/>
          <w:kern w:val="11"/>
          <w:lang w:val="uk-UA" w:eastAsia="en-US"/>
        </w:rPr>
        <w:t xml:space="preserve"> (р</w:t>
      </w:r>
      <w:r w:rsidR="000C04AA" w:rsidRPr="001416ED">
        <w:rPr>
          <w:rFonts w:eastAsiaTheme="minorHAnsi"/>
          <w:kern w:val="11"/>
          <w:lang w:val="uk-UA" w:eastAsia="en-US"/>
        </w:rPr>
        <w:t>˂</w:t>
      </w:r>
      <w:r w:rsidRPr="001416ED">
        <w:rPr>
          <w:rFonts w:eastAsiaTheme="minorHAnsi"/>
          <w:kern w:val="11"/>
          <w:lang w:val="uk-UA" w:eastAsia="en-US"/>
        </w:rPr>
        <w:t>0,01).</w:t>
      </w:r>
    </w:p>
    <w:p w:rsidR="00B77CD9" w:rsidRPr="001416ED" w:rsidRDefault="00245FE0" w:rsidP="00C53C22">
      <w:pPr>
        <w:spacing w:before="240" w:line="360" w:lineRule="auto"/>
        <w:ind w:firstLine="709"/>
        <w:jc w:val="both"/>
        <w:rPr>
          <w:rFonts w:eastAsiaTheme="minorHAnsi"/>
          <w:kern w:val="11"/>
          <w:lang w:val="uk-UA" w:eastAsia="en-US"/>
        </w:rPr>
      </w:pPr>
      <w:r w:rsidRPr="001416ED">
        <w:rPr>
          <w:rFonts w:eastAsiaTheme="minorHAnsi"/>
          <w:kern w:val="11"/>
          <w:lang w:val="uk-UA" w:eastAsia="en-US"/>
        </w:rPr>
        <w:t xml:space="preserve">У чоловіків з ГХ </w:t>
      </w:r>
      <w:r w:rsidR="00A63A7A" w:rsidRPr="001416ED">
        <w:rPr>
          <w:rFonts w:eastAsiaTheme="minorHAnsi"/>
          <w:kern w:val="11"/>
          <w:lang w:val="uk-UA" w:eastAsia="en-US"/>
        </w:rPr>
        <w:t>ІІ та ІІІ стадії</w:t>
      </w:r>
      <w:r w:rsidR="001D6DEA" w:rsidRPr="001416ED">
        <w:rPr>
          <w:rFonts w:eastAsiaTheme="minorHAnsi"/>
          <w:kern w:val="11"/>
          <w:lang w:val="uk-UA" w:eastAsia="en-US"/>
        </w:rPr>
        <w:t>,</w:t>
      </w:r>
      <w:r w:rsidRPr="001416ED">
        <w:rPr>
          <w:rFonts w:eastAsiaTheme="minorHAnsi"/>
          <w:kern w:val="11"/>
          <w:lang w:val="uk-UA" w:eastAsia="en-US"/>
        </w:rPr>
        <w:t xml:space="preserve"> рівень ЕТ</w:t>
      </w:r>
      <w:r w:rsidR="00BC0119" w:rsidRPr="001416ED">
        <w:rPr>
          <w:rFonts w:eastAsiaTheme="minorHAnsi"/>
          <w:kern w:val="11"/>
          <w:lang w:val="uk-UA" w:eastAsia="en-US"/>
        </w:rPr>
        <w:t>–</w:t>
      </w:r>
      <w:r w:rsidRPr="001416ED">
        <w:rPr>
          <w:rFonts w:eastAsiaTheme="minorHAnsi"/>
          <w:kern w:val="11"/>
          <w:lang w:val="uk-UA" w:eastAsia="en-US"/>
        </w:rPr>
        <w:t>1 достовірно вище, ніж у осіб групи контролю, при чому найвищий рівень пептиду вс</w:t>
      </w:r>
      <w:r w:rsidR="004446A4" w:rsidRPr="001416ED">
        <w:rPr>
          <w:rFonts w:eastAsiaTheme="minorHAnsi"/>
          <w:kern w:val="11"/>
          <w:lang w:val="uk-UA" w:eastAsia="en-US"/>
        </w:rPr>
        <w:t>т</w:t>
      </w:r>
      <w:r w:rsidRPr="001416ED">
        <w:rPr>
          <w:rFonts w:eastAsiaTheme="minorHAnsi"/>
          <w:kern w:val="11"/>
          <w:lang w:val="uk-UA" w:eastAsia="en-US"/>
        </w:rPr>
        <w:t xml:space="preserve">ановлений </w:t>
      </w:r>
      <w:r w:rsidR="000A6250" w:rsidRPr="001416ED">
        <w:rPr>
          <w:rFonts w:eastAsiaTheme="minorHAnsi"/>
          <w:kern w:val="11"/>
          <w:lang w:val="uk-UA" w:eastAsia="en-US"/>
        </w:rPr>
        <w:t xml:space="preserve">в групі </w:t>
      </w:r>
      <w:r w:rsidR="000C3A2D" w:rsidRPr="001416ED">
        <w:rPr>
          <w:rFonts w:eastAsiaTheme="minorHAnsi"/>
          <w:kern w:val="11"/>
          <w:lang w:val="uk-UA" w:eastAsia="en-US"/>
        </w:rPr>
        <w:t xml:space="preserve">пацієнтів з </w:t>
      </w:r>
      <w:r w:rsidR="00C53C22" w:rsidRPr="001416ED">
        <w:rPr>
          <w:rFonts w:eastAsiaTheme="minorHAnsi"/>
          <w:kern w:val="11"/>
          <w:lang w:val="uk-UA" w:eastAsia="en-US"/>
        </w:rPr>
        <w:t xml:space="preserve">ГХ </w:t>
      </w:r>
      <w:r w:rsidR="000C3A2D" w:rsidRPr="001416ED">
        <w:rPr>
          <w:rFonts w:eastAsiaTheme="minorHAnsi"/>
          <w:kern w:val="11"/>
          <w:lang w:val="uk-UA" w:eastAsia="en-US"/>
        </w:rPr>
        <w:t>ІІІ ст</w:t>
      </w:r>
      <w:r w:rsidR="00E0621C" w:rsidRPr="001416ED">
        <w:rPr>
          <w:rFonts w:eastAsiaTheme="minorHAnsi"/>
          <w:kern w:val="11"/>
          <w:lang w:val="uk-UA" w:eastAsia="en-US"/>
        </w:rPr>
        <w:t>.</w:t>
      </w:r>
      <w:r w:rsidR="00BE006D" w:rsidRPr="001416ED">
        <w:rPr>
          <w:rFonts w:eastAsiaTheme="minorHAnsi"/>
          <w:kern w:val="11"/>
          <w:lang w:val="uk-UA" w:eastAsia="en-US"/>
        </w:rPr>
        <w:t xml:space="preserve"> </w:t>
      </w:r>
    </w:p>
    <w:p w:rsidR="00E0621C" w:rsidRPr="001416ED" w:rsidRDefault="00E0621C" w:rsidP="002C2477">
      <w:pPr>
        <w:spacing w:line="360" w:lineRule="auto"/>
        <w:ind w:firstLine="709"/>
        <w:jc w:val="both"/>
        <w:rPr>
          <w:rFonts w:eastAsiaTheme="minorHAnsi"/>
          <w:kern w:val="11"/>
          <w:lang w:val="uk-UA" w:eastAsia="en-US"/>
        </w:rPr>
      </w:pPr>
      <w:r w:rsidRPr="001416ED">
        <w:rPr>
          <w:rFonts w:eastAsiaTheme="minorHAnsi"/>
          <w:kern w:val="11"/>
          <w:lang w:val="uk-UA" w:eastAsia="en-US"/>
        </w:rPr>
        <w:t>Наступним кроком стало визначення рівня ЕТ</w:t>
      </w:r>
      <w:r w:rsidR="00BC0119" w:rsidRPr="001416ED">
        <w:rPr>
          <w:rFonts w:eastAsiaTheme="minorHAnsi"/>
          <w:kern w:val="11"/>
          <w:lang w:val="uk-UA" w:eastAsia="en-US"/>
        </w:rPr>
        <w:t>–</w:t>
      </w:r>
      <w:r w:rsidRPr="001416ED">
        <w:rPr>
          <w:rFonts w:eastAsiaTheme="minorHAnsi"/>
          <w:kern w:val="11"/>
          <w:lang w:val="uk-UA" w:eastAsia="en-US"/>
        </w:rPr>
        <w:t xml:space="preserve">1 в плазмі крові осіб з ГХ при носійстві різних варіантів </w:t>
      </w:r>
      <w:r w:rsidR="00F40216">
        <w:rPr>
          <w:rFonts w:eastAsiaTheme="minorHAnsi"/>
          <w:kern w:val="11"/>
          <w:lang w:val="uk-UA" w:eastAsia="en-US"/>
        </w:rPr>
        <w:t>гена</w:t>
      </w:r>
      <w:r w:rsidRPr="001416ED">
        <w:rPr>
          <w:rFonts w:eastAsiaTheme="minorHAnsi"/>
          <w:kern w:val="11"/>
          <w:lang w:val="uk-UA" w:eastAsia="en-US"/>
        </w:rPr>
        <w:t xml:space="preserve"> ЕТ</w:t>
      </w:r>
      <w:r w:rsidR="00BC0119" w:rsidRPr="001416ED">
        <w:rPr>
          <w:rFonts w:eastAsiaTheme="minorHAnsi"/>
          <w:kern w:val="11"/>
          <w:lang w:val="uk-UA" w:eastAsia="en-US"/>
        </w:rPr>
        <w:t>–</w:t>
      </w:r>
      <w:r w:rsidRPr="001416ED">
        <w:rPr>
          <w:rFonts w:eastAsiaTheme="minorHAnsi"/>
          <w:kern w:val="11"/>
          <w:lang w:val="uk-UA" w:eastAsia="en-US"/>
        </w:rPr>
        <w:t>1</w:t>
      </w:r>
      <w:r w:rsidR="00F60E24" w:rsidRPr="001416ED">
        <w:rPr>
          <w:rFonts w:eastAsiaTheme="minorHAnsi"/>
          <w:kern w:val="11"/>
          <w:lang w:val="uk-UA" w:eastAsia="en-US"/>
        </w:rPr>
        <w:t xml:space="preserve"> (рис. 4.</w:t>
      </w:r>
      <w:r w:rsidR="00AF3B9A" w:rsidRPr="001416ED">
        <w:rPr>
          <w:rFonts w:eastAsiaTheme="minorHAnsi"/>
          <w:kern w:val="11"/>
          <w:lang w:val="uk-UA" w:eastAsia="en-US"/>
        </w:rPr>
        <w:t>4</w:t>
      </w:r>
      <w:r w:rsidR="00F60E24" w:rsidRPr="001416ED">
        <w:rPr>
          <w:rFonts w:eastAsiaTheme="minorHAnsi"/>
          <w:kern w:val="11"/>
          <w:lang w:val="uk-UA" w:eastAsia="en-US"/>
        </w:rPr>
        <w:t>)</w:t>
      </w:r>
    </w:p>
    <w:p w:rsidR="00E0621C" w:rsidRPr="001416ED" w:rsidRDefault="00A9327B" w:rsidP="003D34A9">
      <w:pPr>
        <w:spacing w:before="240" w:line="480" w:lineRule="auto"/>
        <w:ind w:firstLine="709"/>
        <w:rPr>
          <w:rFonts w:eastAsiaTheme="minorHAnsi"/>
          <w:kern w:val="11"/>
          <w:lang w:val="uk-UA" w:eastAsia="en-US"/>
        </w:rPr>
      </w:pPr>
      <w:r>
        <w:rPr>
          <w:rFonts w:eastAsiaTheme="minorHAnsi"/>
          <w:noProof/>
          <w:kern w:val="11"/>
          <w:lang w:val="uk-UA" w:eastAsia="uk-UA"/>
        </w:rPr>
        <w:lastRenderedPageBreak/>
        <w:pict>
          <v:rect id="Прямоугольник 20" o:spid="_x0000_s1035" style="position:absolute;left:0;text-align:left;margin-left:290.9pt;margin-top:5.4pt;width:37.35pt;height:2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" fillcolor="white [3212]" strokecolor="white [3212]" strokeweight="2pt">
            <v:fill opacity="0"/>
            <v:stroke opacity="0"/>
            <v:textbox style="mso-next-textbox:#Прямоугольник 20">
              <w:txbxContent>
                <w:p w:rsidR="00A9327B" w:rsidRPr="00B86353" w:rsidRDefault="00A9327B" w:rsidP="00F60E24">
                  <w:pPr>
                    <w:jc w:val="center"/>
                    <w:rPr>
                      <w:color w:val="000000" w:themeColor="text1"/>
                      <w:sz w:val="20"/>
                      <w:szCs w:val="20"/>
                      <w:lang w:val="en-US"/>
                    </w:rPr>
                  </w:pPr>
                  <w:r w:rsidRPr="00F60E24">
                    <w:rPr>
                      <w:color w:val="000000" w:themeColor="text1"/>
                      <w:sz w:val="20"/>
                      <w:szCs w:val="20"/>
                      <w:lang w:val="uk-UA"/>
                    </w:rPr>
                    <w:t>*</w:t>
                  </w:r>
                  <w:r>
                    <w:rPr>
                      <w:color w:val="000000" w:themeColor="text1"/>
                      <w:sz w:val="20"/>
                      <w:szCs w:val="20"/>
                      <w:lang w:val="en-US"/>
                    </w:rPr>
                    <w:t>&amp;</w:t>
                  </w:r>
                </w:p>
              </w:txbxContent>
            </v:textbox>
          </v:rect>
        </w:pict>
      </w:r>
      <w:r w:rsidR="00E0621C" w:rsidRPr="001416ED">
        <w:rPr>
          <w:rFonts w:eastAsiaTheme="minorHAnsi"/>
          <w:noProof/>
          <w:kern w:val="11"/>
          <w:lang w:val="uk-UA" w:eastAsia="uk-UA"/>
        </w:rPr>
        <w:drawing>
          <wp:inline distT="0" distB="0" distL="0" distR="0" wp14:anchorId="307BBFC9" wp14:editId="16795D6F">
            <wp:extent cx="5501030" cy="1499616"/>
            <wp:effectExtent l="0" t="0" r="4445"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35F9" w:rsidRPr="001416ED" w:rsidRDefault="00F60E24" w:rsidP="00891B23">
      <w:pPr>
        <w:spacing w:line="360" w:lineRule="auto"/>
        <w:ind w:firstLine="709"/>
        <w:jc w:val="both"/>
        <w:rPr>
          <w:rFonts w:eastAsiaTheme="minorHAnsi"/>
          <w:b/>
          <w:kern w:val="11"/>
          <w:lang w:val="uk-UA" w:eastAsia="en-US"/>
        </w:rPr>
      </w:pPr>
      <w:r w:rsidRPr="001416ED">
        <w:rPr>
          <w:rFonts w:eastAsiaTheme="minorHAnsi"/>
          <w:b/>
          <w:lang w:val="uk-UA" w:eastAsia="en-US"/>
        </w:rPr>
        <w:t>Рис</w:t>
      </w:r>
      <w:r w:rsidRPr="001416ED">
        <w:rPr>
          <w:rFonts w:eastAsiaTheme="minorHAnsi"/>
          <w:lang w:val="uk-UA" w:eastAsia="en-US"/>
        </w:rPr>
        <w:t>.</w:t>
      </w:r>
      <w:r w:rsidRPr="001416ED">
        <w:rPr>
          <w:rFonts w:eastAsiaTheme="minorHAnsi"/>
          <w:b/>
          <w:kern w:val="11"/>
          <w:lang w:val="uk-UA" w:eastAsia="en-US"/>
        </w:rPr>
        <w:t xml:space="preserve"> 4.</w:t>
      </w:r>
      <w:r w:rsidR="00AF3B9A" w:rsidRPr="001416ED">
        <w:rPr>
          <w:rFonts w:eastAsiaTheme="minorHAnsi"/>
          <w:b/>
          <w:kern w:val="11"/>
          <w:lang w:val="uk-UA" w:eastAsia="en-US"/>
        </w:rPr>
        <w:t>4</w:t>
      </w:r>
      <w:r w:rsidRPr="001416ED">
        <w:rPr>
          <w:rFonts w:eastAsiaTheme="minorHAnsi"/>
          <w:b/>
          <w:kern w:val="11"/>
          <w:lang w:val="uk-UA" w:eastAsia="en-US"/>
        </w:rPr>
        <w:t xml:space="preserve"> Плазмова концентрація ЕТ</w:t>
      </w:r>
      <w:r w:rsidR="00BC0119" w:rsidRPr="001416ED">
        <w:rPr>
          <w:rFonts w:eastAsiaTheme="minorHAnsi"/>
          <w:b/>
          <w:kern w:val="11"/>
          <w:lang w:val="uk-UA" w:eastAsia="en-US"/>
        </w:rPr>
        <w:t>–</w:t>
      </w:r>
      <w:r w:rsidRPr="001416ED">
        <w:rPr>
          <w:rFonts w:eastAsiaTheme="minorHAnsi"/>
          <w:b/>
          <w:kern w:val="11"/>
          <w:lang w:val="uk-UA" w:eastAsia="en-US"/>
        </w:rPr>
        <w:t xml:space="preserve">1 у чоловіків групи контролю, хворих на ГХ при носійстві </w:t>
      </w:r>
      <w:r w:rsidR="00E6164F">
        <w:rPr>
          <w:rFonts w:eastAsiaTheme="minorHAnsi"/>
          <w:b/>
          <w:kern w:val="11"/>
          <w:lang w:val="uk-UA" w:eastAsia="en-US"/>
        </w:rPr>
        <w:t>поліморфних варіантів гена ЕТ–1</w:t>
      </w:r>
      <w:r w:rsidRPr="001416ED">
        <w:rPr>
          <w:rFonts w:eastAsiaTheme="minorHAnsi"/>
          <w:b/>
          <w:kern w:val="11"/>
          <w:lang w:val="uk-UA" w:eastAsia="en-US"/>
        </w:rPr>
        <w:t>, фмоль/мл</w:t>
      </w:r>
    </w:p>
    <w:p w:rsidR="00F60E24" w:rsidRPr="001416ED" w:rsidRDefault="00F60E24" w:rsidP="00814D84">
      <w:pPr>
        <w:spacing w:line="360" w:lineRule="auto"/>
        <w:ind w:firstLine="709"/>
        <w:jc w:val="both"/>
        <w:rPr>
          <w:rFonts w:eastAsiaTheme="minorHAnsi"/>
          <w:kern w:val="11"/>
          <w:lang w:val="uk-UA" w:eastAsia="en-US"/>
        </w:rPr>
      </w:pPr>
      <w:r w:rsidRPr="001416ED">
        <w:rPr>
          <w:rFonts w:eastAsiaTheme="minorHAnsi"/>
          <w:kern w:val="11"/>
          <w:lang w:val="uk-UA" w:eastAsia="en-US"/>
        </w:rPr>
        <w:t>Примітка: різниця показників достовірна при порівня</w:t>
      </w:r>
      <w:r w:rsidR="00B86353" w:rsidRPr="001416ED">
        <w:rPr>
          <w:rFonts w:eastAsiaTheme="minorHAnsi"/>
          <w:kern w:val="11"/>
          <w:lang w:val="uk-UA" w:eastAsia="en-US"/>
        </w:rPr>
        <w:t xml:space="preserve">нні з: * </w:t>
      </w:r>
      <w:r w:rsidR="00BC0119" w:rsidRPr="001416ED">
        <w:rPr>
          <w:rFonts w:eastAsiaTheme="minorHAnsi"/>
          <w:kern w:val="11"/>
          <w:lang w:val="uk-UA" w:eastAsia="en-US"/>
        </w:rPr>
        <w:t>–</w:t>
      </w:r>
      <w:r w:rsidR="00B86353" w:rsidRPr="001416ED">
        <w:rPr>
          <w:rFonts w:eastAsiaTheme="minorHAnsi"/>
          <w:kern w:val="11"/>
          <w:lang w:val="uk-UA" w:eastAsia="en-US"/>
        </w:rPr>
        <w:t xml:space="preserve"> групою контролю (р</w:t>
      </w:r>
      <w:r w:rsidR="00357DB4" w:rsidRPr="001416ED">
        <w:rPr>
          <w:rFonts w:eastAsiaTheme="minorHAnsi"/>
          <w:kern w:val="11"/>
          <w:lang w:val="uk-UA" w:eastAsia="en-US"/>
        </w:rPr>
        <w:t>˂</w:t>
      </w:r>
      <w:r w:rsidRPr="001416ED">
        <w:rPr>
          <w:rFonts w:eastAsiaTheme="minorHAnsi"/>
          <w:kern w:val="11"/>
          <w:lang w:val="uk-UA" w:eastAsia="en-US"/>
        </w:rPr>
        <w:t xml:space="preserve">0,0001), # </w:t>
      </w:r>
      <w:r w:rsidR="00BC0119" w:rsidRPr="001416ED">
        <w:rPr>
          <w:rFonts w:eastAsiaTheme="minorHAnsi"/>
          <w:kern w:val="11"/>
          <w:lang w:val="uk-UA" w:eastAsia="en-US"/>
        </w:rPr>
        <w:t>–</w:t>
      </w:r>
      <w:r w:rsidRPr="001416ED">
        <w:rPr>
          <w:rFonts w:eastAsiaTheme="minorHAnsi"/>
          <w:kern w:val="11"/>
          <w:lang w:val="uk-UA" w:eastAsia="en-US"/>
        </w:rPr>
        <w:t xml:space="preserve"> чоловіками з ГХ ІІ стадії  (р</w:t>
      </w:r>
      <w:r w:rsidR="00357DB4" w:rsidRPr="001416ED">
        <w:rPr>
          <w:rFonts w:eastAsiaTheme="minorHAnsi"/>
          <w:kern w:val="11"/>
          <w:lang w:val="uk-UA" w:eastAsia="en-US"/>
        </w:rPr>
        <w:t>˂</w:t>
      </w:r>
      <w:r w:rsidRPr="001416ED">
        <w:rPr>
          <w:rFonts w:eastAsiaTheme="minorHAnsi"/>
          <w:kern w:val="11"/>
          <w:lang w:val="uk-UA" w:eastAsia="en-US"/>
        </w:rPr>
        <w:t>0,0</w:t>
      </w:r>
      <w:r w:rsidR="00B86353" w:rsidRPr="001416ED">
        <w:rPr>
          <w:rFonts w:eastAsiaTheme="minorHAnsi"/>
          <w:kern w:val="11"/>
          <w:lang w:val="uk-UA" w:eastAsia="en-US"/>
        </w:rPr>
        <w:t>00</w:t>
      </w:r>
      <w:r w:rsidRPr="001416ED">
        <w:rPr>
          <w:rFonts w:eastAsiaTheme="minorHAnsi"/>
          <w:kern w:val="11"/>
          <w:lang w:val="uk-UA" w:eastAsia="en-US"/>
        </w:rPr>
        <w:t>1)</w:t>
      </w:r>
      <w:r w:rsidR="00B86353" w:rsidRPr="001416ED">
        <w:rPr>
          <w:rFonts w:eastAsiaTheme="minorHAnsi"/>
          <w:kern w:val="11"/>
          <w:lang w:val="uk-UA" w:eastAsia="en-US"/>
        </w:rPr>
        <w:t xml:space="preserve">, &amp; </w:t>
      </w:r>
      <w:r w:rsidR="00BC0119" w:rsidRPr="001416ED">
        <w:rPr>
          <w:rFonts w:eastAsiaTheme="minorHAnsi"/>
          <w:kern w:val="11"/>
          <w:lang w:val="uk-UA" w:eastAsia="en-US"/>
        </w:rPr>
        <w:t>–</w:t>
      </w:r>
      <w:r w:rsidR="00B86353" w:rsidRPr="001416ED">
        <w:rPr>
          <w:rFonts w:eastAsiaTheme="minorHAnsi"/>
          <w:kern w:val="11"/>
          <w:lang w:val="uk-UA" w:eastAsia="en-US"/>
        </w:rPr>
        <w:t xml:space="preserve"> нос</w:t>
      </w:r>
      <w:r w:rsidR="001D6DEA" w:rsidRPr="001416ED">
        <w:rPr>
          <w:rFonts w:eastAsiaTheme="minorHAnsi"/>
          <w:kern w:val="11"/>
          <w:lang w:val="uk-UA" w:eastAsia="en-US"/>
        </w:rPr>
        <w:t>і</w:t>
      </w:r>
      <w:r w:rsidR="00B86353" w:rsidRPr="001416ED">
        <w:rPr>
          <w:rFonts w:eastAsiaTheme="minorHAnsi"/>
          <w:kern w:val="11"/>
          <w:lang w:val="uk-UA" w:eastAsia="en-US"/>
        </w:rPr>
        <w:t>ями генотипу Lys/Lys (р&lt;0,0001)</w:t>
      </w:r>
      <w:r w:rsidRPr="001416ED">
        <w:rPr>
          <w:rFonts w:eastAsiaTheme="minorHAnsi"/>
          <w:kern w:val="11"/>
          <w:lang w:val="uk-UA" w:eastAsia="en-US"/>
        </w:rPr>
        <w:t>.</w:t>
      </w:r>
    </w:p>
    <w:p w:rsidR="00C53C22" w:rsidRPr="001416ED" w:rsidRDefault="00110ED8" w:rsidP="00C53C22">
      <w:pPr>
        <w:spacing w:before="240" w:line="360" w:lineRule="auto"/>
        <w:ind w:firstLine="709"/>
        <w:jc w:val="both"/>
        <w:rPr>
          <w:rFonts w:eastAsiaTheme="minorHAnsi"/>
          <w:kern w:val="11"/>
          <w:lang w:val="uk-UA" w:eastAsia="en-US"/>
        </w:rPr>
      </w:pPr>
      <w:r w:rsidRPr="001416ED">
        <w:rPr>
          <w:rFonts w:eastAsiaTheme="minorHAnsi"/>
          <w:lang w:val="uk-UA" w:eastAsia="en-US"/>
        </w:rPr>
        <w:t xml:space="preserve">У чоловіків з ГХ різної </w:t>
      </w:r>
      <w:r w:rsidR="00046A18" w:rsidRPr="001416ED">
        <w:rPr>
          <w:rFonts w:eastAsiaTheme="minorHAnsi"/>
          <w:lang w:val="uk-UA" w:eastAsia="en-US"/>
        </w:rPr>
        <w:t>стадії</w:t>
      </w:r>
      <w:r w:rsidRPr="001416ED">
        <w:rPr>
          <w:rFonts w:eastAsiaTheme="minorHAnsi"/>
          <w:lang w:val="uk-UA" w:eastAsia="en-US"/>
        </w:rPr>
        <w:t xml:space="preserve"> при носійстві усіх варіантів </w:t>
      </w:r>
      <w:r w:rsidR="00F40216">
        <w:rPr>
          <w:rFonts w:eastAsiaTheme="minorHAnsi"/>
          <w:lang w:val="uk-UA" w:eastAsia="en-US"/>
        </w:rPr>
        <w:t>гена</w:t>
      </w:r>
      <w:r w:rsidRPr="001416ED">
        <w:rPr>
          <w:rFonts w:eastAsiaTheme="minorHAnsi"/>
          <w:lang w:val="uk-UA" w:eastAsia="en-US"/>
        </w:rPr>
        <w:t xml:space="preserve"> ЕТ</w:t>
      </w:r>
      <w:r w:rsidR="00BC0119" w:rsidRPr="001416ED">
        <w:rPr>
          <w:rFonts w:eastAsiaTheme="minorHAnsi"/>
          <w:lang w:val="uk-UA" w:eastAsia="en-US"/>
        </w:rPr>
        <w:t>–</w:t>
      </w:r>
      <w:r w:rsidRPr="001416ED">
        <w:rPr>
          <w:rFonts w:eastAsiaTheme="minorHAnsi"/>
          <w:lang w:val="uk-UA" w:eastAsia="en-US"/>
        </w:rPr>
        <w:t xml:space="preserve">1 рівень </w:t>
      </w:r>
      <w:r w:rsidR="00513435" w:rsidRPr="001416ED">
        <w:rPr>
          <w:rFonts w:eastAsiaTheme="minorHAnsi"/>
          <w:lang w:val="uk-UA" w:eastAsia="en-US"/>
        </w:rPr>
        <w:t>пептиду</w:t>
      </w:r>
      <w:r w:rsidRPr="001416ED">
        <w:rPr>
          <w:rFonts w:eastAsiaTheme="minorHAnsi"/>
          <w:lang w:val="uk-UA" w:eastAsia="en-US"/>
        </w:rPr>
        <w:t xml:space="preserve"> в плазмі крові досто</w:t>
      </w:r>
      <w:r w:rsidR="00C53C22" w:rsidRPr="001416ED">
        <w:rPr>
          <w:rFonts w:eastAsiaTheme="minorHAnsi"/>
          <w:lang w:val="uk-UA" w:eastAsia="en-US"/>
        </w:rPr>
        <w:t>вірно вище, ніж в групі ко</w:t>
      </w:r>
      <w:r w:rsidR="00E23AB9" w:rsidRPr="001416ED">
        <w:rPr>
          <w:rFonts w:eastAsiaTheme="minorHAnsi"/>
          <w:lang w:val="uk-UA" w:eastAsia="en-US"/>
        </w:rPr>
        <w:t>н</w:t>
      </w:r>
      <w:r w:rsidR="00C53C22" w:rsidRPr="001416ED">
        <w:rPr>
          <w:rFonts w:eastAsiaTheme="minorHAnsi"/>
          <w:lang w:val="uk-UA" w:eastAsia="en-US"/>
        </w:rPr>
        <w:t>тролю.</w:t>
      </w:r>
      <w:r w:rsidRPr="001416ED">
        <w:rPr>
          <w:rFonts w:eastAsiaTheme="minorHAnsi"/>
          <w:lang w:val="uk-UA" w:eastAsia="en-US"/>
        </w:rPr>
        <w:t xml:space="preserve"> </w:t>
      </w:r>
      <w:r w:rsidR="00C53C22" w:rsidRPr="001416ED">
        <w:rPr>
          <w:rFonts w:eastAsiaTheme="minorHAnsi"/>
          <w:lang w:val="uk-UA" w:eastAsia="en-US"/>
        </w:rPr>
        <w:t>У</w:t>
      </w:r>
      <w:r w:rsidRPr="001416ED">
        <w:rPr>
          <w:rFonts w:eastAsiaTheme="minorHAnsi"/>
          <w:lang w:val="uk-UA" w:eastAsia="en-US"/>
        </w:rPr>
        <w:t xml:space="preserve"> носії</w:t>
      </w:r>
      <w:r w:rsidR="00A644F1" w:rsidRPr="001416ED">
        <w:rPr>
          <w:rFonts w:eastAsiaTheme="minorHAnsi"/>
          <w:lang w:val="uk-UA" w:eastAsia="en-US"/>
        </w:rPr>
        <w:t>в</w:t>
      </w:r>
      <w:r w:rsidRPr="001416ED">
        <w:rPr>
          <w:rFonts w:eastAsiaTheme="minorHAnsi"/>
          <w:lang w:val="uk-UA" w:eastAsia="en-US"/>
        </w:rPr>
        <w:t xml:space="preserve"> генотипу </w:t>
      </w:r>
      <w:r w:rsidRPr="001416ED">
        <w:rPr>
          <w:rFonts w:eastAsiaTheme="minorHAnsi"/>
          <w:kern w:val="11"/>
          <w:lang w:val="uk-UA" w:eastAsia="en-US"/>
        </w:rPr>
        <w:t xml:space="preserve">Lys/Lys рівень </w:t>
      </w:r>
      <w:r w:rsidR="00513435" w:rsidRPr="001416ED">
        <w:rPr>
          <w:rFonts w:eastAsiaTheme="minorHAnsi"/>
          <w:kern w:val="11"/>
          <w:lang w:val="uk-UA" w:eastAsia="en-US"/>
        </w:rPr>
        <w:t>ЕТ-1</w:t>
      </w:r>
      <w:r w:rsidRPr="001416ED">
        <w:rPr>
          <w:rFonts w:eastAsiaTheme="minorHAnsi"/>
          <w:kern w:val="11"/>
          <w:lang w:val="uk-UA" w:eastAsia="en-US"/>
        </w:rPr>
        <w:t xml:space="preserve"> найвищий у чоловіків з </w:t>
      </w:r>
      <w:r w:rsidR="00C34030" w:rsidRPr="001416ED">
        <w:rPr>
          <w:rFonts w:eastAsiaTheme="minorHAnsi"/>
          <w:kern w:val="11"/>
          <w:lang w:val="uk-UA" w:eastAsia="en-US"/>
        </w:rPr>
        <w:t xml:space="preserve">ГХ ІІІ ст. </w:t>
      </w:r>
      <w:r w:rsidRPr="001416ED">
        <w:rPr>
          <w:rFonts w:eastAsiaTheme="minorHAnsi"/>
          <w:lang w:val="uk-UA" w:eastAsia="en-US"/>
        </w:rPr>
        <w:t xml:space="preserve">У </w:t>
      </w:r>
      <w:r w:rsidR="00C53C22" w:rsidRPr="001416ED">
        <w:rPr>
          <w:rFonts w:eastAsiaTheme="minorHAnsi"/>
          <w:lang w:val="uk-UA" w:eastAsia="en-US"/>
        </w:rPr>
        <w:t>осіб, що мають</w:t>
      </w:r>
      <w:r w:rsidRPr="001416ED">
        <w:rPr>
          <w:rFonts w:eastAsiaTheme="minorHAnsi"/>
          <w:lang w:val="uk-UA" w:eastAsia="en-US"/>
        </w:rPr>
        <w:t xml:space="preserve"> алел</w:t>
      </w:r>
      <w:r w:rsidR="00C53C22" w:rsidRPr="001416ED">
        <w:rPr>
          <w:rFonts w:eastAsiaTheme="minorHAnsi"/>
          <w:lang w:val="uk-UA" w:eastAsia="en-US"/>
        </w:rPr>
        <w:t>ь</w:t>
      </w:r>
      <w:r w:rsidRPr="001416ED">
        <w:rPr>
          <w:rFonts w:eastAsiaTheme="minorHAnsi"/>
          <w:lang w:val="uk-UA" w:eastAsia="en-US"/>
        </w:rPr>
        <w:t xml:space="preserve"> Asn вірогідної різниці у плазмовій концентрації пептиду між пацієнтами з ГХ </w:t>
      </w:r>
      <w:r w:rsidR="00DA2CAC" w:rsidRPr="001416ED">
        <w:rPr>
          <w:rFonts w:eastAsiaTheme="minorHAnsi"/>
          <w:lang w:val="uk-UA" w:eastAsia="en-US"/>
        </w:rPr>
        <w:t xml:space="preserve">різної </w:t>
      </w:r>
      <w:r w:rsidR="00046A18" w:rsidRPr="001416ED">
        <w:rPr>
          <w:rFonts w:eastAsiaTheme="minorHAnsi"/>
          <w:lang w:val="uk-UA" w:eastAsia="en-US"/>
        </w:rPr>
        <w:t>стадії</w:t>
      </w:r>
      <w:r w:rsidR="00DA2CAC" w:rsidRPr="001416ED">
        <w:rPr>
          <w:rFonts w:eastAsiaTheme="minorHAnsi"/>
          <w:lang w:val="uk-UA" w:eastAsia="en-US"/>
        </w:rPr>
        <w:t xml:space="preserve"> </w:t>
      </w:r>
      <w:r w:rsidRPr="001416ED">
        <w:rPr>
          <w:rFonts w:eastAsiaTheme="minorHAnsi"/>
          <w:kern w:val="11"/>
          <w:lang w:val="uk-UA" w:eastAsia="en-US"/>
        </w:rPr>
        <w:t>не знайдено.</w:t>
      </w:r>
      <w:r w:rsidR="00A644F1" w:rsidRPr="001416ED">
        <w:rPr>
          <w:rFonts w:eastAsiaTheme="minorHAnsi"/>
          <w:kern w:val="11"/>
          <w:lang w:val="uk-UA" w:eastAsia="en-US"/>
        </w:rPr>
        <w:t xml:space="preserve"> Аналіз</w:t>
      </w:r>
      <w:r w:rsidR="00E762E5" w:rsidRPr="001416ED">
        <w:rPr>
          <w:rFonts w:eastAsiaTheme="minorHAnsi"/>
          <w:kern w:val="11"/>
          <w:lang w:val="uk-UA" w:eastAsia="en-US"/>
        </w:rPr>
        <w:t xml:space="preserve"> показників у</w:t>
      </w:r>
      <w:r w:rsidR="00A644F1" w:rsidRPr="001416ED">
        <w:rPr>
          <w:rFonts w:eastAsiaTheme="minorHAnsi"/>
          <w:kern w:val="11"/>
          <w:lang w:val="uk-UA" w:eastAsia="en-US"/>
        </w:rPr>
        <w:t xml:space="preserve"> груп</w:t>
      </w:r>
      <w:r w:rsidR="00E762E5" w:rsidRPr="001416ED">
        <w:rPr>
          <w:rFonts w:eastAsiaTheme="minorHAnsi"/>
          <w:kern w:val="11"/>
          <w:lang w:val="uk-UA" w:eastAsia="en-US"/>
        </w:rPr>
        <w:t>і</w:t>
      </w:r>
      <w:r w:rsidR="00A644F1" w:rsidRPr="001416ED">
        <w:rPr>
          <w:rFonts w:eastAsiaTheme="minorHAnsi"/>
          <w:kern w:val="11"/>
          <w:lang w:val="uk-UA" w:eastAsia="en-US"/>
        </w:rPr>
        <w:t xml:space="preserve"> пацієнтів з ГХ </w:t>
      </w:r>
      <w:r w:rsidR="00DA2CAC" w:rsidRPr="001416ED">
        <w:rPr>
          <w:rFonts w:eastAsiaTheme="minorHAnsi"/>
          <w:lang w:val="uk-UA" w:eastAsia="en-US"/>
        </w:rPr>
        <w:t xml:space="preserve">ускладненою і неускладненою </w:t>
      </w:r>
      <w:r w:rsidR="00DA2CAC" w:rsidRPr="001416ED">
        <w:rPr>
          <w:rFonts w:eastAsiaTheme="minorHAnsi"/>
          <w:kern w:val="11"/>
          <w:lang w:val="uk-UA" w:eastAsia="en-US"/>
        </w:rPr>
        <w:t xml:space="preserve">ХСН </w:t>
      </w:r>
      <w:r w:rsidR="004A4E68" w:rsidRPr="001416ED">
        <w:rPr>
          <w:rFonts w:eastAsiaTheme="minorHAnsi"/>
          <w:kern w:val="11"/>
          <w:lang w:val="uk-UA" w:eastAsia="en-US"/>
        </w:rPr>
        <w:t>ІІ А</w:t>
      </w:r>
      <w:r w:rsidR="00DA2CAC" w:rsidRPr="001416ED">
        <w:rPr>
          <w:rFonts w:eastAsiaTheme="minorHAnsi"/>
          <w:kern w:val="11"/>
          <w:lang w:val="uk-UA" w:eastAsia="en-US"/>
        </w:rPr>
        <w:t xml:space="preserve"> ст.</w:t>
      </w:r>
      <w:r w:rsidR="00A644F1" w:rsidRPr="001416ED">
        <w:rPr>
          <w:rFonts w:eastAsiaTheme="minorHAnsi"/>
          <w:kern w:val="11"/>
          <w:lang w:val="uk-UA" w:eastAsia="en-US"/>
        </w:rPr>
        <w:t xml:space="preserve">, </w:t>
      </w:r>
      <w:r w:rsidR="00E762E5" w:rsidRPr="001416ED">
        <w:rPr>
          <w:rFonts w:eastAsiaTheme="minorHAnsi"/>
          <w:kern w:val="11"/>
          <w:lang w:val="uk-UA" w:eastAsia="en-US"/>
        </w:rPr>
        <w:t>дозволив з’ясувати</w:t>
      </w:r>
      <w:r w:rsidR="00A644F1" w:rsidRPr="001416ED">
        <w:rPr>
          <w:rFonts w:eastAsiaTheme="minorHAnsi"/>
          <w:kern w:val="11"/>
          <w:lang w:val="uk-UA" w:eastAsia="en-US"/>
        </w:rPr>
        <w:t>, що рівень ЕТ</w:t>
      </w:r>
      <w:r w:rsidR="00BC0119" w:rsidRPr="001416ED">
        <w:rPr>
          <w:rFonts w:eastAsiaTheme="minorHAnsi"/>
          <w:kern w:val="11"/>
          <w:lang w:val="uk-UA" w:eastAsia="en-US"/>
        </w:rPr>
        <w:t>–</w:t>
      </w:r>
      <w:r w:rsidR="00A644F1" w:rsidRPr="001416ED">
        <w:rPr>
          <w:rFonts w:eastAsiaTheme="minorHAnsi"/>
          <w:kern w:val="11"/>
          <w:lang w:val="uk-UA" w:eastAsia="en-US"/>
        </w:rPr>
        <w:t xml:space="preserve">1 у носіїв алелі </w:t>
      </w:r>
      <w:r w:rsidR="00A644F1" w:rsidRPr="001416ED">
        <w:rPr>
          <w:rFonts w:eastAsiaTheme="minorHAnsi"/>
          <w:lang w:val="uk-UA" w:eastAsia="en-US"/>
        </w:rPr>
        <w:t>Asn</w:t>
      </w:r>
      <w:r w:rsidR="00E762E5" w:rsidRPr="001416ED">
        <w:rPr>
          <w:rFonts w:eastAsiaTheme="minorHAnsi"/>
          <w:lang w:val="uk-UA" w:eastAsia="en-US"/>
        </w:rPr>
        <w:t xml:space="preserve"> вищий</w:t>
      </w:r>
      <w:r w:rsidR="00DA2CAC" w:rsidRPr="001416ED">
        <w:rPr>
          <w:rFonts w:eastAsiaTheme="minorHAnsi"/>
          <w:lang w:val="uk-UA" w:eastAsia="en-US"/>
        </w:rPr>
        <w:t xml:space="preserve"> </w:t>
      </w:r>
      <w:r w:rsidR="00DA2CAC" w:rsidRPr="001416ED">
        <w:rPr>
          <w:rFonts w:eastAsiaTheme="minorHAnsi"/>
          <w:kern w:val="11"/>
          <w:lang w:val="uk-UA" w:eastAsia="en-US"/>
        </w:rPr>
        <w:t>(</w:t>
      </w:r>
      <w:r w:rsidR="00E246B9" w:rsidRPr="001416ED">
        <w:rPr>
          <w:rFonts w:eastAsiaTheme="minorHAnsi"/>
          <w:kern w:val="11"/>
          <w:lang w:val="uk-UA" w:eastAsia="en-US"/>
        </w:rPr>
        <w:t>14,07</w:t>
      </w:r>
      <w:r w:rsidR="007A07A9" w:rsidRPr="001416ED">
        <w:rPr>
          <w:rFonts w:eastAsiaTheme="minorHAnsi"/>
          <w:kern w:val="11"/>
          <w:lang w:val="uk-UA" w:eastAsia="en-US"/>
        </w:rPr>
        <w:t xml:space="preserve"> ± </w:t>
      </w:r>
      <w:r w:rsidR="00E246B9" w:rsidRPr="001416ED">
        <w:rPr>
          <w:rFonts w:eastAsiaTheme="minorHAnsi"/>
          <w:kern w:val="11"/>
          <w:lang w:val="uk-UA" w:eastAsia="en-US"/>
        </w:rPr>
        <w:t>0,18</w:t>
      </w:r>
      <w:r w:rsidR="00357DB4" w:rsidRPr="001416ED">
        <w:rPr>
          <w:rFonts w:eastAsiaTheme="minorHAnsi"/>
          <w:kern w:val="11"/>
          <w:lang w:val="uk-UA" w:eastAsia="en-US"/>
        </w:rPr>
        <w:t>)</w:t>
      </w:r>
      <w:r w:rsidR="00E246B9" w:rsidRPr="001416ED">
        <w:rPr>
          <w:rFonts w:eastAsiaTheme="minorHAnsi"/>
          <w:kern w:val="11"/>
          <w:lang w:val="uk-UA" w:eastAsia="en-US"/>
        </w:rPr>
        <w:t xml:space="preserve"> фмоль/мл </w:t>
      </w:r>
      <w:r w:rsidR="00DC065A" w:rsidRPr="001416ED">
        <w:rPr>
          <w:rFonts w:eastAsiaTheme="minorHAnsi"/>
          <w:kern w:val="11"/>
          <w:lang w:val="uk-UA" w:eastAsia="en-US"/>
        </w:rPr>
        <w:t xml:space="preserve">та </w:t>
      </w:r>
      <w:r w:rsidR="00357DB4" w:rsidRPr="001416ED">
        <w:rPr>
          <w:rFonts w:eastAsiaTheme="minorHAnsi"/>
          <w:kern w:val="11"/>
          <w:lang w:val="uk-UA" w:eastAsia="en-US"/>
        </w:rPr>
        <w:t>(</w:t>
      </w:r>
      <w:r w:rsidR="00DA2CAC" w:rsidRPr="001416ED">
        <w:rPr>
          <w:rFonts w:eastAsiaTheme="minorHAnsi"/>
          <w:kern w:val="11"/>
          <w:lang w:val="uk-UA" w:eastAsia="en-US"/>
        </w:rPr>
        <w:t>13,90</w:t>
      </w:r>
      <w:r w:rsidR="007A07A9" w:rsidRPr="001416ED">
        <w:rPr>
          <w:rFonts w:eastAsiaTheme="minorHAnsi"/>
          <w:kern w:val="11"/>
          <w:lang w:val="uk-UA" w:eastAsia="en-US"/>
        </w:rPr>
        <w:t xml:space="preserve"> ± </w:t>
      </w:r>
      <w:r w:rsidR="00DA2CAC" w:rsidRPr="001416ED">
        <w:rPr>
          <w:rFonts w:eastAsiaTheme="minorHAnsi"/>
          <w:kern w:val="11"/>
          <w:lang w:val="uk-UA" w:eastAsia="en-US"/>
        </w:rPr>
        <w:t>0,22</w:t>
      </w:r>
      <w:r w:rsidR="00357DB4" w:rsidRPr="001416ED">
        <w:rPr>
          <w:rFonts w:eastAsiaTheme="minorHAnsi"/>
          <w:kern w:val="11"/>
          <w:lang w:val="uk-UA" w:eastAsia="en-US"/>
        </w:rPr>
        <w:t>)</w:t>
      </w:r>
      <w:r w:rsidR="00DA2CAC" w:rsidRPr="001416ED">
        <w:rPr>
          <w:rFonts w:eastAsiaTheme="minorHAnsi"/>
          <w:kern w:val="11"/>
          <w:lang w:val="uk-UA" w:eastAsia="en-US"/>
        </w:rPr>
        <w:t xml:space="preserve"> фмоль/мл</w:t>
      </w:r>
      <w:r w:rsidR="00E246B9" w:rsidRPr="001416ED">
        <w:rPr>
          <w:rFonts w:eastAsiaTheme="minorHAnsi"/>
          <w:kern w:val="11"/>
          <w:lang w:val="uk-UA" w:eastAsia="en-US"/>
        </w:rPr>
        <w:t>, відповідно)</w:t>
      </w:r>
      <w:r w:rsidR="00A644F1" w:rsidRPr="001416ED">
        <w:rPr>
          <w:rFonts w:eastAsiaTheme="minorHAnsi"/>
          <w:lang w:val="uk-UA" w:eastAsia="en-US"/>
        </w:rPr>
        <w:t>, ніж у носіїв генотипу</w:t>
      </w:r>
      <w:r w:rsidR="00A644F1" w:rsidRPr="001416ED">
        <w:rPr>
          <w:rFonts w:eastAsiaTheme="minorHAnsi"/>
          <w:kern w:val="11"/>
          <w:lang w:val="uk-UA" w:eastAsia="en-US"/>
        </w:rPr>
        <w:t xml:space="preserve"> Lys/Lys</w:t>
      </w:r>
      <w:r w:rsidR="00E246B9" w:rsidRPr="001416ED">
        <w:rPr>
          <w:rFonts w:eastAsiaTheme="minorHAnsi"/>
          <w:kern w:val="11"/>
          <w:lang w:val="uk-UA" w:eastAsia="en-US"/>
        </w:rPr>
        <w:t xml:space="preserve"> (12,89</w:t>
      </w:r>
      <w:r w:rsidR="007A07A9" w:rsidRPr="001416ED">
        <w:rPr>
          <w:rFonts w:eastAsiaTheme="minorHAnsi"/>
          <w:kern w:val="11"/>
          <w:lang w:val="uk-UA" w:eastAsia="en-US"/>
        </w:rPr>
        <w:t xml:space="preserve"> ± </w:t>
      </w:r>
      <w:r w:rsidR="00E246B9" w:rsidRPr="001416ED">
        <w:rPr>
          <w:rFonts w:eastAsiaTheme="minorHAnsi"/>
          <w:kern w:val="11"/>
          <w:lang w:val="uk-UA" w:eastAsia="en-US"/>
        </w:rPr>
        <w:t>0,08</w:t>
      </w:r>
      <w:r w:rsidR="00357DB4" w:rsidRPr="001416ED">
        <w:rPr>
          <w:rFonts w:eastAsiaTheme="minorHAnsi"/>
          <w:kern w:val="11"/>
          <w:lang w:val="uk-UA" w:eastAsia="en-US"/>
        </w:rPr>
        <w:t>)</w:t>
      </w:r>
      <w:r w:rsidR="00E246B9" w:rsidRPr="001416ED">
        <w:rPr>
          <w:rFonts w:eastAsiaTheme="minorHAnsi"/>
          <w:kern w:val="11"/>
          <w:lang w:val="uk-UA" w:eastAsia="en-US"/>
        </w:rPr>
        <w:t xml:space="preserve"> фмоль/мл та </w:t>
      </w:r>
      <w:r w:rsidR="00357DB4" w:rsidRPr="001416ED">
        <w:rPr>
          <w:rFonts w:eastAsiaTheme="minorHAnsi"/>
          <w:kern w:val="11"/>
          <w:lang w:val="uk-UA" w:eastAsia="en-US"/>
        </w:rPr>
        <w:t>(</w:t>
      </w:r>
      <w:r w:rsidR="00E246B9" w:rsidRPr="001416ED">
        <w:rPr>
          <w:rFonts w:eastAsiaTheme="minorHAnsi"/>
          <w:kern w:val="11"/>
          <w:lang w:val="uk-UA" w:eastAsia="en-US"/>
        </w:rPr>
        <w:t>11,58</w:t>
      </w:r>
      <w:r w:rsidR="007A07A9" w:rsidRPr="001416ED">
        <w:rPr>
          <w:rFonts w:eastAsiaTheme="minorHAnsi"/>
          <w:kern w:val="11"/>
          <w:lang w:val="uk-UA" w:eastAsia="en-US"/>
        </w:rPr>
        <w:t xml:space="preserve"> ± </w:t>
      </w:r>
      <w:r w:rsidR="00E246B9" w:rsidRPr="001416ED">
        <w:rPr>
          <w:rFonts w:eastAsiaTheme="minorHAnsi"/>
          <w:kern w:val="11"/>
          <w:lang w:val="uk-UA" w:eastAsia="en-US"/>
        </w:rPr>
        <w:t>0,23</w:t>
      </w:r>
      <w:r w:rsidR="00357DB4" w:rsidRPr="001416ED">
        <w:rPr>
          <w:rFonts w:eastAsiaTheme="minorHAnsi"/>
          <w:kern w:val="11"/>
          <w:lang w:val="uk-UA" w:eastAsia="en-US"/>
        </w:rPr>
        <w:t>)</w:t>
      </w:r>
      <w:r w:rsidR="00E246B9" w:rsidRPr="001416ED">
        <w:rPr>
          <w:rFonts w:eastAsiaTheme="minorHAnsi"/>
          <w:kern w:val="11"/>
          <w:lang w:val="uk-UA" w:eastAsia="en-US"/>
        </w:rPr>
        <w:t xml:space="preserve"> фмоль/мл, відповідно)</w:t>
      </w:r>
      <w:r w:rsidR="00E246B9" w:rsidRPr="001416ED">
        <w:rPr>
          <w:lang w:val="uk-UA"/>
        </w:rPr>
        <w:t xml:space="preserve"> </w:t>
      </w:r>
      <w:r w:rsidR="00E246B9" w:rsidRPr="001416ED">
        <w:rPr>
          <w:rFonts w:eastAsiaTheme="minorHAnsi"/>
          <w:kern w:val="11"/>
          <w:lang w:val="uk-UA" w:eastAsia="en-US"/>
        </w:rPr>
        <w:t>(р</w:t>
      </w:r>
      <w:r w:rsidR="00E246B9" w:rsidRPr="001416ED">
        <w:rPr>
          <w:rFonts w:eastAsiaTheme="minorHAnsi"/>
          <w:kern w:val="11"/>
          <w:vertAlign w:val="subscript"/>
          <w:lang w:val="uk-UA" w:eastAsia="en-US"/>
        </w:rPr>
        <w:t>ГХ ІІ ст</w:t>
      </w:r>
      <w:r w:rsidR="00355E86" w:rsidRPr="001416ED">
        <w:rPr>
          <w:rFonts w:eastAsiaTheme="minorHAnsi"/>
          <w:kern w:val="11"/>
          <w:lang w:val="uk-UA" w:eastAsia="en-US"/>
        </w:rPr>
        <w:t>.&lt;0,000</w:t>
      </w:r>
      <w:r w:rsidR="00E246B9" w:rsidRPr="001416ED">
        <w:rPr>
          <w:rFonts w:eastAsiaTheme="minorHAnsi"/>
          <w:kern w:val="11"/>
          <w:lang w:val="uk-UA" w:eastAsia="en-US"/>
        </w:rPr>
        <w:t>1, р</w:t>
      </w:r>
      <w:r w:rsidR="00E246B9" w:rsidRPr="001416ED">
        <w:rPr>
          <w:rFonts w:eastAsiaTheme="minorHAnsi"/>
          <w:kern w:val="11"/>
          <w:vertAlign w:val="subscript"/>
          <w:lang w:val="uk-UA" w:eastAsia="en-US"/>
        </w:rPr>
        <w:t xml:space="preserve">ГХ з ХСН </w:t>
      </w:r>
      <w:r w:rsidR="004A4E68" w:rsidRPr="001416ED">
        <w:rPr>
          <w:rFonts w:eastAsiaTheme="minorHAnsi"/>
          <w:kern w:val="11"/>
          <w:vertAlign w:val="subscript"/>
          <w:lang w:val="uk-UA" w:eastAsia="en-US"/>
        </w:rPr>
        <w:t>ІІ А</w:t>
      </w:r>
      <w:r w:rsidR="00E246B9" w:rsidRPr="001416ED">
        <w:rPr>
          <w:rFonts w:eastAsiaTheme="minorHAnsi"/>
          <w:kern w:val="11"/>
          <w:vertAlign w:val="subscript"/>
          <w:lang w:val="uk-UA" w:eastAsia="en-US"/>
        </w:rPr>
        <w:t xml:space="preserve"> ст.</w:t>
      </w:r>
      <w:r w:rsidR="00E246B9" w:rsidRPr="001416ED">
        <w:rPr>
          <w:rFonts w:eastAsiaTheme="minorHAnsi"/>
          <w:kern w:val="11"/>
          <w:lang w:val="uk-UA" w:eastAsia="en-US"/>
        </w:rPr>
        <w:t>&lt;0,0001).</w:t>
      </w:r>
    </w:p>
    <w:p w:rsidR="008F07CC" w:rsidRPr="001416ED" w:rsidRDefault="009F429F" w:rsidP="008F07CC">
      <w:pPr>
        <w:spacing w:line="360" w:lineRule="auto"/>
        <w:ind w:firstLine="709"/>
        <w:jc w:val="both"/>
        <w:rPr>
          <w:rFonts w:eastAsiaTheme="minorHAnsi"/>
          <w:kern w:val="11"/>
          <w:lang w:val="uk-UA" w:eastAsia="en-US"/>
        </w:rPr>
      </w:pPr>
      <w:r w:rsidRPr="001416ED">
        <w:rPr>
          <w:rFonts w:eastAsiaTheme="minorHAnsi"/>
          <w:lang w:val="uk-UA" w:eastAsia="en-US"/>
        </w:rPr>
        <w:t>Відомо, що ЕТ</w:t>
      </w:r>
      <w:r w:rsidR="00BC0119" w:rsidRPr="001416ED">
        <w:rPr>
          <w:rFonts w:eastAsiaTheme="minorHAnsi"/>
          <w:lang w:val="uk-UA" w:eastAsia="en-US"/>
        </w:rPr>
        <w:t>–</w:t>
      </w:r>
      <w:r w:rsidRPr="001416ED">
        <w:rPr>
          <w:rFonts w:eastAsiaTheme="minorHAnsi"/>
          <w:lang w:val="uk-UA" w:eastAsia="en-US"/>
        </w:rPr>
        <w:t>1 є потужним вазоконстриктором, що при умові дисбалансу з вазодилятаторами, сприяє стійкому підвищенню АТ. Тому</w:t>
      </w:r>
      <w:r w:rsidR="004719C0" w:rsidRPr="001416ED">
        <w:rPr>
          <w:rFonts w:eastAsiaTheme="minorHAnsi"/>
          <w:lang w:val="uk-UA" w:eastAsia="en-US"/>
        </w:rPr>
        <w:t>,</w:t>
      </w:r>
      <w:r w:rsidRPr="001416ED">
        <w:rPr>
          <w:rFonts w:eastAsiaTheme="minorHAnsi"/>
          <w:lang w:val="uk-UA" w:eastAsia="en-US"/>
        </w:rPr>
        <w:t xml:space="preserve"> були проаналізовані рівні ЕТ</w:t>
      </w:r>
      <w:r w:rsidR="00BC0119" w:rsidRPr="001416ED">
        <w:rPr>
          <w:rFonts w:eastAsiaTheme="minorHAnsi"/>
          <w:lang w:val="uk-UA" w:eastAsia="en-US"/>
        </w:rPr>
        <w:t>–</w:t>
      </w:r>
      <w:r w:rsidRPr="001416ED">
        <w:rPr>
          <w:rFonts w:eastAsiaTheme="minorHAnsi"/>
          <w:lang w:val="uk-UA" w:eastAsia="en-US"/>
        </w:rPr>
        <w:t xml:space="preserve">1 у чоловіків з ГХ ІІ ст., та у осіб з </w:t>
      </w:r>
      <w:r w:rsidR="00C34030" w:rsidRPr="001416ED">
        <w:rPr>
          <w:rFonts w:eastAsiaTheme="minorHAnsi"/>
          <w:lang w:val="uk-UA" w:eastAsia="en-US"/>
        </w:rPr>
        <w:t xml:space="preserve">ГХ ІІІ ст. </w:t>
      </w:r>
      <w:r w:rsidRPr="001416ED">
        <w:rPr>
          <w:rFonts w:eastAsiaTheme="minorHAnsi"/>
          <w:lang w:val="uk-UA" w:eastAsia="en-US"/>
        </w:rPr>
        <w:t xml:space="preserve">з різними ступенями АГ без урахування </w:t>
      </w:r>
      <w:r w:rsidR="00F40216">
        <w:rPr>
          <w:rFonts w:eastAsiaTheme="minorHAnsi"/>
          <w:lang w:val="uk-UA" w:eastAsia="en-US"/>
        </w:rPr>
        <w:t>варіантів гена</w:t>
      </w:r>
      <w:r w:rsidRPr="001416ED">
        <w:rPr>
          <w:rFonts w:eastAsiaTheme="minorHAnsi"/>
          <w:lang w:val="uk-UA" w:eastAsia="en-US"/>
        </w:rPr>
        <w:t xml:space="preserve"> ЕТ</w:t>
      </w:r>
      <w:r w:rsidR="00BC0119" w:rsidRPr="001416ED">
        <w:rPr>
          <w:rFonts w:eastAsiaTheme="minorHAnsi"/>
          <w:lang w:val="uk-UA" w:eastAsia="en-US"/>
        </w:rPr>
        <w:t>–</w:t>
      </w:r>
      <w:r w:rsidRPr="001416ED">
        <w:rPr>
          <w:rFonts w:eastAsiaTheme="minorHAnsi"/>
          <w:lang w:val="uk-UA" w:eastAsia="en-US"/>
        </w:rPr>
        <w:t xml:space="preserve">1. Виявлено, що як у чоловіків з ГХ ІІ ст., так і у пацієнтів з </w:t>
      </w:r>
      <w:r w:rsidR="00C34030" w:rsidRPr="001416ED">
        <w:rPr>
          <w:rFonts w:eastAsiaTheme="minorHAnsi"/>
          <w:lang w:val="uk-UA" w:eastAsia="en-US"/>
        </w:rPr>
        <w:t xml:space="preserve">ГХ ІІІ ст. </w:t>
      </w:r>
      <w:r w:rsidRPr="001416ED">
        <w:rPr>
          <w:rFonts w:eastAsiaTheme="minorHAnsi"/>
          <w:lang w:val="uk-UA" w:eastAsia="en-US"/>
        </w:rPr>
        <w:t>рівень ЕТ</w:t>
      </w:r>
      <w:r w:rsidR="00BC0119" w:rsidRPr="001416ED">
        <w:rPr>
          <w:rFonts w:eastAsiaTheme="minorHAnsi"/>
          <w:lang w:val="uk-UA" w:eastAsia="en-US"/>
        </w:rPr>
        <w:t>–</w:t>
      </w:r>
      <w:r w:rsidRPr="001416ED">
        <w:rPr>
          <w:rFonts w:eastAsiaTheme="minorHAnsi"/>
          <w:lang w:val="uk-UA" w:eastAsia="en-US"/>
        </w:rPr>
        <w:t xml:space="preserve">1 в плазмі крові при різному ступені АГ не відрізняється. Вірогідної різниці у рівнях пептиду між пацієнтами з ГХ різної </w:t>
      </w:r>
      <w:r w:rsidR="00046A18" w:rsidRPr="001416ED">
        <w:rPr>
          <w:rFonts w:eastAsiaTheme="minorHAnsi"/>
          <w:lang w:val="uk-UA" w:eastAsia="en-US"/>
        </w:rPr>
        <w:t>стадії</w:t>
      </w:r>
      <w:r w:rsidRPr="001416ED">
        <w:rPr>
          <w:rFonts w:eastAsiaTheme="minorHAnsi"/>
          <w:lang w:val="uk-UA" w:eastAsia="en-US"/>
        </w:rPr>
        <w:t xml:space="preserve"> при будь</w:t>
      </w:r>
      <w:r w:rsidR="00BC0119" w:rsidRPr="001416ED">
        <w:rPr>
          <w:rFonts w:eastAsiaTheme="minorHAnsi"/>
          <w:lang w:val="uk-UA" w:eastAsia="en-US"/>
        </w:rPr>
        <w:t>–</w:t>
      </w:r>
      <w:r w:rsidRPr="001416ED">
        <w:rPr>
          <w:rFonts w:eastAsiaTheme="minorHAnsi"/>
          <w:lang w:val="uk-UA" w:eastAsia="en-US"/>
        </w:rPr>
        <w:t xml:space="preserve">якому варіанті АГ не виявлено. </w:t>
      </w:r>
      <w:r w:rsidR="002842D7" w:rsidRPr="001416ED">
        <w:rPr>
          <w:rFonts w:eastAsiaTheme="minorHAnsi"/>
          <w:lang w:val="uk-UA" w:eastAsia="en-US"/>
        </w:rPr>
        <w:t>Як було згадано вище</w:t>
      </w:r>
      <w:r w:rsidR="00B62B48" w:rsidRPr="001416ED">
        <w:rPr>
          <w:rFonts w:eastAsiaTheme="minorHAnsi"/>
          <w:lang w:val="uk-UA" w:eastAsia="en-US"/>
        </w:rPr>
        <w:t>, н</w:t>
      </w:r>
      <w:r w:rsidR="008F07CC" w:rsidRPr="001416ED">
        <w:rPr>
          <w:rFonts w:eastAsiaTheme="minorHAnsi"/>
          <w:kern w:val="11"/>
          <w:lang w:val="uk-UA" w:eastAsia="en-US"/>
        </w:rPr>
        <w:t xml:space="preserve">осійство алелі </w:t>
      </w:r>
      <w:r w:rsidR="008F07CC" w:rsidRPr="001416ED">
        <w:rPr>
          <w:rFonts w:eastAsiaTheme="minorHAnsi"/>
          <w:kern w:val="11"/>
          <w:lang w:val="en-US" w:eastAsia="en-US"/>
        </w:rPr>
        <w:t>Asn</w:t>
      </w:r>
      <w:r w:rsidR="008F07CC" w:rsidRPr="001416ED">
        <w:rPr>
          <w:rFonts w:eastAsiaTheme="minorHAnsi"/>
          <w:kern w:val="11"/>
          <w:lang w:val="uk-UA" w:eastAsia="en-US"/>
        </w:rPr>
        <w:t xml:space="preserve"> асоціюється з 3 ступенем АГ, тому цікавим стало дослідження плазмової </w:t>
      </w:r>
      <w:r w:rsidR="008F07CC" w:rsidRPr="001416ED">
        <w:rPr>
          <w:rFonts w:eastAsiaTheme="minorHAnsi"/>
          <w:kern w:val="11"/>
          <w:lang w:val="uk-UA" w:eastAsia="en-US"/>
        </w:rPr>
        <w:lastRenderedPageBreak/>
        <w:t>концентрації ЕТ</w:t>
      </w:r>
      <w:r w:rsidR="00BC0119" w:rsidRPr="001416ED">
        <w:rPr>
          <w:rFonts w:eastAsiaTheme="minorHAnsi"/>
          <w:kern w:val="11"/>
          <w:lang w:val="uk-UA" w:eastAsia="en-US"/>
        </w:rPr>
        <w:t>–</w:t>
      </w:r>
      <w:r w:rsidR="008F07CC" w:rsidRPr="001416ED">
        <w:rPr>
          <w:rFonts w:eastAsiaTheme="minorHAnsi"/>
          <w:kern w:val="11"/>
          <w:lang w:val="uk-UA" w:eastAsia="en-US"/>
        </w:rPr>
        <w:t>1 у чолов</w:t>
      </w:r>
      <w:r w:rsidR="004446A4" w:rsidRPr="001416ED">
        <w:rPr>
          <w:rFonts w:eastAsiaTheme="minorHAnsi"/>
          <w:kern w:val="11"/>
          <w:lang w:val="uk-UA" w:eastAsia="en-US"/>
        </w:rPr>
        <w:t>і</w:t>
      </w:r>
      <w:r w:rsidR="008F07CC" w:rsidRPr="001416ED">
        <w:rPr>
          <w:rFonts w:eastAsiaTheme="minorHAnsi"/>
          <w:kern w:val="11"/>
          <w:lang w:val="uk-UA" w:eastAsia="en-US"/>
        </w:rPr>
        <w:t xml:space="preserve">ків з ГХ різної </w:t>
      </w:r>
      <w:r w:rsidR="00046A18" w:rsidRPr="001416ED">
        <w:rPr>
          <w:rFonts w:eastAsiaTheme="minorHAnsi"/>
          <w:kern w:val="11"/>
          <w:lang w:val="uk-UA" w:eastAsia="en-US"/>
        </w:rPr>
        <w:t>стадії</w:t>
      </w:r>
      <w:r w:rsidR="002842D7" w:rsidRPr="001416ED">
        <w:rPr>
          <w:rFonts w:eastAsiaTheme="minorHAnsi"/>
          <w:kern w:val="11"/>
          <w:lang w:val="uk-UA" w:eastAsia="en-US"/>
        </w:rPr>
        <w:t xml:space="preserve"> при різних ступенях АГ</w:t>
      </w:r>
      <w:r w:rsidR="00EF7543" w:rsidRPr="001416ED">
        <w:rPr>
          <w:rFonts w:eastAsiaTheme="minorHAnsi"/>
          <w:kern w:val="11"/>
          <w:lang w:val="uk-UA" w:eastAsia="en-US"/>
        </w:rPr>
        <w:t xml:space="preserve"> </w:t>
      </w:r>
      <w:r w:rsidR="00A04040" w:rsidRPr="001416ED">
        <w:rPr>
          <w:rFonts w:eastAsiaTheme="minorHAnsi"/>
          <w:kern w:val="11"/>
          <w:lang w:val="uk-UA" w:eastAsia="en-US"/>
        </w:rPr>
        <w:t>-</w:t>
      </w:r>
      <w:r w:rsidR="00EF7543" w:rsidRPr="001416ED">
        <w:rPr>
          <w:rFonts w:eastAsiaTheme="minorHAnsi"/>
          <w:kern w:val="11"/>
          <w:lang w:val="uk-UA" w:eastAsia="en-US"/>
        </w:rPr>
        <w:t xml:space="preserve"> </w:t>
      </w:r>
      <w:r w:rsidR="00A04040" w:rsidRPr="001416ED">
        <w:rPr>
          <w:rFonts w:eastAsiaTheme="minorHAnsi"/>
          <w:kern w:val="11"/>
          <w:lang w:val="uk-UA" w:eastAsia="en-US"/>
        </w:rPr>
        <w:t xml:space="preserve">носіїв </w:t>
      </w:r>
      <w:r w:rsidR="00FF5C21">
        <w:rPr>
          <w:rFonts w:eastAsiaTheme="minorHAnsi"/>
          <w:kern w:val="11"/>
          <w:lang w:val="uk-UA" w:eastAsia="en-US"/>
        </w:rPr>
        <w:t>поліморфних варіантів гена</w:t>
      </w:r>
      <w:r w:rsidR="00A04040" w:rsidRPr="001416ED">
        <w:rPr>
          <w:rFonts w:eastAsiaTheme="minorHAnsi"/>
          <w:kern w:val="11"/>
          <w:lang w:val="uk-UA" w:eastAsia="en-US"/>
        </w:rPr>
        <w:t xml:space="preserve"> ЕТ-1</w:t>
      </w:r>
      <w:r w:rsidR="008F07CC" w:rsidRPr="001416ED">
        <w:rPr>
          <w:rFonts w:eastAsiaTheme="minorHAnsi"/>
          <w:kern w:val="11"/>
          <w:lang w:val="uk-UA" w:eastAsia="en-US"/>
        </w:rPr>
        <w:t xml:space="preserve"> (табл. 4.5). </w:t>
      </w:r>
    </w:p>
    <w:p w:rsidR="008F07CC" w:rsidRPr="001416ED" w:rsidRDefault="008F07CC" w:rsidP="008F07CC">
      <w:pPr>
        <w:spacing w:line="360" w:lineRule="auto"/>
        <w:ind w:firstLine="709"/>
        <w:jc w:val="right"/>
        <w:rPr>
          <w:rFonts w:eastAsiaTheme="minorHAnsi"/>
          <w:b/>
          <w:kern w:val="11"/>
          <w:lang w:val="uk-UA" w:eastAsia="en-US"/>
        </w:rPr>
      </w:pPr>
      <w:r w:rsidRPr="001416ED">
        <w:rPr>
          <w:rFonts w:eastAsiaTheme="minorHAnsi"/>
          <w:b/>
          <w:kern w:val="11"/>
          <w:lang w:val="uk-UA" w:eastAsia="en-US"/>
        </w:rPr>
        <w:t>Таблиця 4.5</w:t>
      </w:r>
    </w:p>
    <w:p w:rsidR="008F07CC" w:rsidRPr="001416ED" w:rsidRDefault="008F07CC" w:rsidP="008F07CC">
      <w:pPr>
        <w:spacing w:line="360" w:lineRule="auto"/>
        <w:ind w:firstLine="709"/>
        <w:jc w:val="center"/>
        <w:rPr>
          <w:rFonts w:eastAsiaTheme="minorHAnsi"/>
          <w:b/>
          <w:kern w:val="11"/>
          <w:lang w:val="uk-UA" w:eastAsia="en-US"/>
        </w:rPr>
      </w:pPr>
      <w:r w:rsidRPr="001416ED">
        <w:rPr>
          <w:rFonts w:eastAsiaTheme="minorHAnsi"/>
          <w:b/>
          <w:kern w:val="11"/>
          <w:lang w:val="uk-UA" w:eastAsia="en-US"/>
        </w:rPr>
        <w:t>Плазмова концентрація ЕТ</w:t>
      </w:r>
      <w:r w:rsidR="00BC0119" w:rsidRPr="001416ED">
        <w:rPr>
          <w:rFonts w:eastAsiaTheme="minorHAnsi"/>
          <w:b/>
          <w:kern w:val="11"/>
          <w:lang w:val="uk-UA" w:eastAsia="en-US"/>
        </w:rPr>
        <w:t>–</w:t>
      </w:r>
      <w:r w:rsidRPr="001416ED">
        <w:rPr>
          <w:rFonts w:eastAsiaTheme="minorHAnsi"/>
          <w:b/>
          <w:kern w:val="11"/>
          <w:lang w:val="uk-UA" w:eastAsia="en-US"/>
        </w:rPr>
        <w:t xml:space="preserve">1 у чоловіків – носіїв </w:t>
      </w:r>
      <w:r w:rsidR="00FF5C21">
        <w:rPr>
          <w:rFonts w:eastAsiaTheme="minorHAnsi"/>
          <w:b/>
          <w:kern w:val="11"/>
          <w:lang w:val="uk-UA" w:eastAsia="en-US"/>
        </w:rPr>
        <w:t>поліморфних варіантів гена</w:t>
      </w:r>
      <w:r w:rsidRPr="001416ED">
        <w:rPr>
          <w:rFonts w:eastAsiaTheme="minorHAnsi"/>
          <w:b/>
          <w:kern w:val="11"/>
          <w:lang w:val="uk-UA" w:eastAsia="en-US"/>
        </w:rPr>
        <w:t xml:space="preserve"> ЕТ</w:t>
      </w:r>
      <w:r w:rsidR="00BC0119" w:rsidRPr="001416ED">
        <w:rPr>
          <w:rFonts w:eastAsiaTheme="minorHAnsi"/>
          <w:b/>
          <w:kern w:val="11"/>
          <w:lang w:val="uk-UA" w:eastAsia="en-US"/>
        </w:rPr>
        <w:t>–</w:t>
      </w:r>
      <w:r w:rsidRPr="001416ED">
        <w:rPr>
          <w:rFonts w:eastAsiaTheme="minorHAnsi"/>
          <w:b/>
          <w:kern w:val="11"/>
          <w:lang w:val="uk-UA" w:eastAsia="en-US"/>
        </w:rPr>
        <w:t>1 при різному ступені АГ, фмоль/мл  (M</w:t>
      </w:r>
      <w:r w:rsidR="007A07A9" w:rsidRPr="001416ED">
        <w:rPr>
          <w:rFonts w:eastAsiaTheme="minorHAnsi"/>
          <w:b/>
          <w:kern w:val="11"/>
          <w:lang w:val="uk-UA" w:eastAsia="en-US"/>
        </w:rPr>
        <w:t xml:space="preserve"> ± </w:t>
      </w:r>
      <w:r w:rsidRPr="001416ED">
        <w:rPr>
          <w:rFonts w:eastAsiaTheme="minorHAnsi"/>
          <w:b/>
          <w:kern w:val="11"/>
          <w:lang w:val="uk-UA" w:eastAsia="en-US"/>
        </w:rPr>
        <w:t>m)</w:t>
      </w:r>
    </w:p>
    <w:tbl>
      <w:tblPr>
        <w:tblStyle w:val="af5"/>
        <w:tblW w:w="0" w:type="auto"/>
        <w:tblLook w:val="04A0" w:firstRow="1" w:lastRow="0" w:firstColumn="1" w:lastColumn="0" w:noHBand="0" w:noVBand="1"/>
      </w:tblPr>
      <w:tblGrid>
        <w:gridCol w:w="2943"/>
        <w:gridCol w:w="1843"/>
        <w:gridCol w:w="1985"/>
        <w:gridCol w:w="1842"/>
        <w:gridCol w:w="1525"/>
      </w:tblGrid>
      <w:tr w:rsidR="008F07CC" w:rsidRPr="001416ED" w:rsidTr="003442EB">
        <w:tc>
          <w:tcPr>
            <w:tcW w:w="2943" w:type="dxa"/>
          </w:tcPr>
          <w:p w:rsidR="008F07CC" w:rsidRPr="001416ED" w:rsidRDefault="000A5FC2" w:rsidP="00B20941">
            <w:pPr>
              <w:spacing w:line="360" w:lineRule="auto"/>
              <w:jc w:val="center"/>
              <w:rPr>
                <w:rFonts w:eastAsiaTheme="minorHAnsi"/>
                <w:b/>
                <w:kern w:val="11"/>
                <w:lang w:eastAsia="en-US"/>
              </w:rPr>
            </w:pPr>
            <w:r>
              <w:rPr>
                <w:rFonts w:eastAsiaTheme="minorHAnsi"/>
                <w:b/>
                <w:kern w:val="11"/>
                <w:lang w:eastAsia="en-US"/>
              </w:rPr>
              <w:t>Поліморфні варіанти гена ЕТ-1</w:t>
            </w:r>
          </w:p>
        </w:tc>
        <w:tc>
          <w:tcPr>
            <w:tcW w:w="1843" w:type="dxa"/>
          </w:tcPr>
          <w:p w:rsidR="008F07CC" w:rsidRPr="001416ED" w:rsidRDefault="008F07CC" w:rsidP="00B20941">
            <w:pPr>
              <w:spacing w:line="360" w:lineRule="auto"/>
              <w:jc w:val="center"/>
              <w:rPr>
                <w:rFonts w:eastAsiaTheme="minorHAnsi"/>
                <w:b/>
                <w:kern w:val="11"/>
                <w:lang w:eastAsia="en-US"/>
              </w:rPr>
            </w:pPr>
            <w:r w:rsidRPr="001416ED">
              <w:rPr>
                <w:rFonts w:eastAsiaTheme="minorHAnsi"/>
                <w:b/>
                <w:kern w:val="11"/>
                <w:lang w:eastAsia="en-US"/>
              </w:rPr>
              <w:t>1 ступінь АГ</w:t>
            </w:r>
          </w:p>
        </w:tc>
        <w:tc>
          <w:tcPr>
            <w:tcW w:w="1985" w:type="dxa"/>
          </w:tcPr>
          <w:p w:rsidR="008F07CC" w:rsidRPr="001416ED" w:rsidRDefault="008F07CC" w:rsidP="00B20941">
            <w:pPr>
              <w:spacing w:line="360" w:lineRule="auto"/>
              <w:jc w:val="center"/>
              <w:rPr>
                <w:rFonts w:eastAsiaTheme="minorHAnsi"/>
                <w:b/>
                <w:kern w:val="11"/>
                <w:lang w:eastAsia="en-US"/>
              </w:rPr>
            </w:pPr>
            <w:r w:rsidRPr="001416ED">
              <w:rPr>
                <w:rFonts w:eastAsiaTheme="minorHAnsi"/>
                <w:b/>
                <w:kern w:val="11"/>
                <w:lang w:eastAsia="en-US"/>
              </w:rPr>
              <w:t>2 ступінь АГ</w:t>
            </w:r>
          </w:p>
        </w:tc>
        <w:tc>
          <w:tcPr>
            <w:tcW w:w="1842" w:type="dxa"/>
          </w:tcPr>
          <w:p w:rsidR="008F07CC" w:rsidRPr="001416ED" w:rsidRDefault="008F07CC" w:rsidP="00B20941">
            <w:pPr>
              <w:spacing w:line="360" w:lineRule="auto"/>
              <w:jc w:val="center"/>
              <w:rPr>
                <w:rFonts w:eastAsiaTheme="minorHAnsi"/>
                <w:b/>
                <w:kern w:val="11"/>
                <w:lang w:eastAsia="en-US"/>
              </w:rPr>
            </w:pPr>
            <w:r w:rsidRPr="001416ED">
              <w:rPr>
                <w:rFonts w:eastAsiaTheme="minorHAnsi"/>
                <w:b/>
                <w:kern w:val="11"/>
                <w:lang w:eastAsia="en-US"/>
              </w:rPr>
              <w:t>3 ступінь АГ</w:t>
            </w:r>
          </w:p>
        </w:tc>
        <w:tc>
          <w:tcPr>
            <w:tcW w:w="1525" w:type="dxa"/>
          </w:tcPr>
          <w:p w:rsidR="008F07CC" w:rsidRPr="001416ED" w:rsidRDefault="008F07CC" w:rsidP="00B20941">
            <w:pPr>
              <w:spacing w:line="360" w:lineRule="auto"/>
              <w:jc w:val="center"/>
              <w:rPr>
                <w:rFonts w:eastAsiaTheme="minorHAnsi"/>
                <w:b/>
                <w:kern w:val="11"/>
                <w:lang w:eastAsia="en-US"/>
              </w:rPr>
            </w:pPr>
            <w:r w:rsidRPr="001416ED">
              <w:rPr>
                <w:rFonts w:eastAsiaTheme="minorHAnsi"/>
                <w:b/>
                <w:kern w:val="11"/>
                <w:lang w:eastAsia="en-US"/>
              </w:rPr>
              <w:t>р</w:t>
            </w:r>
          </w:p>
        </w:tc>
      </w:tr>
      <w:tr w:rsidR="008F07CC" w:rsidRPr="001416ED" w:rsidTr="003442EB">
        <w:tc>
          <w:tcPr>
            <w:tcW w:w="2943" w:type="dxa"/>
          </w:tcPr>
          <w:p w:rsidR="008F07CC" w:rsidRPr="001416ED" w:rsidRDefault="00B20941" w:rsidP="00B20941">
            <w:pPr>
              <w:spacing w:line="360" w:lineRule="auto"/>
              <w:rPr>
                <w:rFonts w:eastAsiaTheme="minorHAnsi"/>
                <w:kern w:val="11"/>
                <w:lang w:val="uk-UA" w:eastAsia="en-US"/>
              </w:rPr>
            </w:pPr>
            <w:r>
              <w:rPr>
                <w:rFonts w:eastAsiaTheme="minorHAnsi"/>
                <w:kern w:val="11"/>
                <w:lang w:val="uk-UA" w:eastAsia="en-US"/>
              </w:rPr>
              <w:t>Чоловіки з ГХ ІІ ст.,</w:t>
            </w:r>
            <w:r w:rsidR="008F07CC" w:rsidRPr="001416ED">
              <w:rPr>
                <w:rFonts w:eastAsiaTheme="minorHAnsi"/>
                <w:kern w:val="11"/>
                <w:lang w:val="uk-UA" w:eastAsia="en-US"/>
              </w:rPr>
              <w:t xml:space="preserve"> генотип </w:t>
            </w:r>
            <w:r w:rsidR="008F07CC" w:rsidRPr="001416ED">
              <w:rPr>
                <w:rFonts w:eastAsiaTheme="minorHAnsi"/>
                <w:kern w:val="11"/>
                <w:lang w:val="en-US" w:eastAsia="en-US"/>
              </w:rPr>
              <w:t>Lys</w:t>
            </w:r>
            <w:r w:rsidR="004D6104" w:rsidRPr="001416ED">
              <w:rPr>
                <w:rFonts w:eastAsiaTheme="minorHAnsi"/>
                <w:kern w:val="11"/>
                <w:lang w:val="uk-UA" w:eastAsia="en-US"/>
              </w:rPr>
              <w:t>/</w:t>
            </w:r>
            <w:r w:rsidR="008F07CC" w:rsidRPr="001416ED">
              <w:rPr>
                <w:rFonts w:eastAsiaTheme="minorHAnsi"/>
                <w:kern w:val="11"/>
                <w:lang w:val="en-US" w:eastAsia="en-US"/>
              </w:rPr>
              <w:t>Lys</w:t>
            </w:r>
            <w:r w:rsidR="008F07CC" w:rsidRPr="001416ED">
              <w:rPr>
                <w:rFonts w:eastAsiaTheme="minorHAnsi"/>
                <w:kern w:val="11"/>
                <w:lang w:val="uk-UA" w:eastAsia="en-US"/>
              </w:rPr>
              <w:t xml:space="preserve"> </w:t>
            </w:r>
          </w:p>
        </w:tc>
        <w:tc>
          <w:tcPr>
            <w:tcW w:w="1843"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11,70</w:t>
            </w:r>
            <w:r w:rsidR="007A07A9" w:rsidRPr="001416ED">
              <w:rPr>
                <w:rFonts w:eastAsiaTheme="minorHAnsi"/>
                <w:lang w:val="uk-UA" w:eastAsia="en-US"/>
              </w:rPr>
              <w:t xml:space="preserve"> ± </w:t>
            </w:r>
            <w:r w:rsidRPr="001416ED">
              <w:rPr>
                <w:rFonts w:eastAsiaTheme="minorHAnsi"/>
                <w:lang w:val="uk-UA" w:eastAsia="en-US"/>
              </w:rPr>
              <w:t>0,24</w:t>
            </w:r>
          </w:p>
          <w:p w:rsidR="008F07CC" w:rsidRPr="001416ED" w:rsidRDefault="008F07CC" w:rsidP="00517427">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12)</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(1)</w:t>
            </w:r>
          </w:p>
        </w:tc>
        <w:tc>
          <w:tcPr>
            <w:tcW w:w="1985"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11,59</w:t>
            </w:r>
            <w:r w:rsidR="007A07A9" w:rsidRPr="001416ED">
              <w:rPr>
                <w:rFonts w:eastAsiaTheme="minorHAnsi"/>
                <w:lang w:val="uk-UA" w:eastAsia="en-US"/>
              </w:rPr>
              <w:t xml:space="preserve"> ± </w:t>
            </w:r>
            <w:r w:rsidRPr="001416ED">
              <w:rPr>
                <w:rFonts w:eastAsiaTheme="minorHAnsi"/>
                <w:lang w:val="uk-UA" w:eastAsia="en-US"/>
              </w:rPr>
              <w:t>0,42</w:t>
            </w:r>
          </w:p>
          <w:p w:rsidR="008F07CC" w:rsidRPr="001416ED" w:rsidRDefault="008F07CC" w:rsidP="00517427">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16)</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(5)</w:t>
            </w:r>
          </w:p>
        </w:tc>
        <w:tc>
          <w:tcPr>
            <w:tcW w:w="1842"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11,35</w:t>
            </w:r>
            <w:r w:rsidR="007A07A9" w:rsidRPr="001416ED">
              <w:rPr>
                <w:rFonts w:eastAsiaTheme="minorHAnsi"/>
                <w:lang w:val="uk-UA" w:eastAsia="en-US"/>
              </w:rPr>
              <w:t xml:space="preserve"> ± </w:t>
            </w:r>
            <w:r w:rsidRPr="001416ED">
              <w:rPr>
                <w:rFonts w:eastAsiaTheme="minorHAnsi"/>
                <w:lang w:val="uk-UA" w:eastAsia="en-US"/>
              </w:rPr>
              <w:t>0,54</w:t>
            </w:r>
          </w:p>
          <w:p w:rsidR="008F07CC" w:rsidRPr="001416ED" w:rsidRDefault="008F07CC" w:rsidP="00517427">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7)</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(9)</w:t>
            </w:r>
          </w:p>
        </w:tc>
        <w:tc>
          <w:tcPr>
            <w:tcW w:w="1525" w:type="dxa"/>
          </w:tcPr>
          <w:p w:rsidR="008F07CC" w:rsidRPr="001416ED" w:rsidRDefault="008F07CC" w:rsidP="008F07CC">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5</w:t>
            </w:r>
            <w:r w:rsidR="00BC0119" w:rsidRPr="001416ED">
              <w:rPr>
                <w:rFonts w:eastAsiaTheme="minorHAnsi"/>
                <w:kern w:val="11"/>
                <w:vertAlign w:val="subscript"/>
                <w:lang w:eastAsia="en-US"/>
              </w:rPr>
              <w:t>–</w:t>
            </w:r>
            <w:r w:rsidRPr="001416ED">
              <w:rPr>
                <w:rFonts w:eastAsiaTheme="minorHAnsi"/>
                <w:kern w:val="11"/>
                <w:vertAlign w:val="subscript"/>
                <w:lang w:eastAsia="en-US"/>
              </w:rPr>
              <w:t>1</w:t>
            </w:r>
            <w:r w:rsidRPr="001416ED">
              <w:rPr>
                <w:rFonts w:eastAsiaTheme="minorHAnsi"/>
                <w:kern w:val="11"/>
                <w:lang w:val="uk-UA" w:eastAsia="en-US"/>
              </w:rPr>
              <w:t>&gt;0,05;</w:t>
            </w:r>
          </w:p>
          <w:p w:rsidR="008F07CC" w:rsidRPr="001416ED" w:rsidRDefault="008F07CC" w:rsidP="008F07CC">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9</w:t>
            </w:r>
            <w:r w:rsidR="00BC0119" w:rsidRPr="001416ED">
              <w:rPr>
                <w:rFonts w:eastAsiaTheme="minorHAnsi"/>
                <w:kern w:val="11"/>
                <w:vertAlign w:val="subscript"/>
                <w:lang w:eastAsia="en-US"/>
              </w:rPr>
              <w:t>–</w:t>
            </w:r>
            <w:r w:rsidRPr="001416ED">
              <w:rPr>
                <w:rFonts w:eastAsiaTheme="minorHAnsi"/>
                <w:kern w:val="11"/>
                <w:vertAlign w:val="subscript"/>
                <w:lang w:eastAsia="en-US"/>
              </w:rPr>
              <w:t>1</w:t>
            </w:r>
            <w:r w:rsidRPr="001416ED">
              <w:rPr>
                <w:rFonts w:eastAsiaTheme="minorHAnsi"/>
                <w:kern w:val="11"/>
                <w:lang w:val="uk-UA" w:eastAsia="en-US"/>
              </w:rPr>
              <w:t>&gt;0,05;</w:t>
            </w:r>
          </w:p>
          <w:p w:rsidR="008F07CC" w:rsidRPr="001416ED" w:rsidRDefault="008F07CC" w:rsidP="008F07CC">
            <w:pPr>
              <w:widowControl w:val="0"/>
              <w:adjustRightInd w:val="0"/>
              <w:spacing w:line="360" w:lineRule="auto"/>
              <w:ind w:right="-17"/>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9</w:t>
            </w:r>
            <w:r w:rsidR="00BC0119" w:rsidRPr="001416ED">
              <w:rPr>
                <w:rFonts w:eastAsiaTheme="minorHAnsi"/>
                <w:kern w:val="11"/>
                <w:vertAlign w:val="subscript"/>
                <w:lang w:eastAsia="en-US"/>
              </w:rPr>
              <w:t>–</w:t>
            </w:r>
            <w:r w:rsidRPr="001416ED">
              <w:rPr>
                <w:rFonts w:eastAsiaTheme="minorHAnsi"/>
                <w:kern w:val="11"/>
                <w:vertAlign w:val="subscript"/>
                <w:lang w:eastAsia="en-US"/>
              </w:rPr>
              <w:t>5</w:t>
            </w:r>
            <w:r w:rsidR="003442EB" w:rsidRPr="001416ED">
              <w:rPr>
                <w:rFonts w:eastAsiaTheme="minorHAnsi"/>
                <w:kern w:val="11"/>
                <w:lang w:val="uk-UA" w:eastAsia="en-US"/>
              </w:rPr>
              <w:t>&gt;0,05</w:t>
            </w:r>
          </w:p>
        </w:tc>
      </w:tr>
      <w:tr w:rsidR="008F07CC" w:rsidRPr="001416ED" w:rsidTr="003442EB">
        <w:tc>
          <w:tcPr>
            <w:tcW w:w="2943" w:type="dxa"/>
          </w:tcPr>
          <w:p w:rsidR="008F07CC" w:rsidRPr="001416ED" w:rsidRDefault="008F07CC" w:rsidP="00B20941">
            <w:pPr>
              <w:spacing w:line="360" w:lineRule="auto"/>
              <w:rPr>
                <w:rFonts w:eastAsiaTheme="minorHAnsi"/>
                <w:kern w:val="11"/>
                <w:lang w:val="uk-UA" w:eastAsia="en-US"/>
              </w:rPr>
            </w:pPr>
            <w:r w:rsidRPr="001416ED">
              <w:rPr>
                <w:rFonts w:eastAsiaTheme="minorHAnsi"/>
                <w:kern w:val="11"/>
                <w:lang w:val="uk-UA" w:eastAsia="en-US"/>
              </w:rPr>
              <w:t>Чоловіки з ГХ ІІ ст.</w:t>
            </w:r>
            <w:r w:rsidR="00B20941">
              <w:rPr>
                <w:rFonts w:eastAsiaTheme="minorHAnsi"/>
                <w:kern w:val="11"/>
                <w:lang w:val="uk-UA" w:eastAsia="en-US"/>
              </w:rPr>
              <w:t>,</w:t>
            </w:r>
            <w:r w:rsidRPr="001416ED">
              <w:rPr>
                <w:rFonts w:eastAsiaTheme="minorHAnsi"/>
                <w:kern w:val="11"/>
                <w:lang w:val="uk-UA" w:eastAsia="en-US"/>
              </w:rPr>
              <w:t xml:space="preserve"> носії алелі </w:t>
            </w:r>
            <w:r w:rsidRPr="001416ED">
              <w:rPr>
                <w:rFonts w:eastAsiaTheme="minorHAnsi"/>
                <w:kern w:val="11"/>
                <w:lang w:val="en-US" w:eastAsia="en-US"/>
              </w:rPr>
              <w:t>Asn</w:t>
            </w:r>
          </w:p>
        </w:tc>
        <w:tc>
          <w:tcPr>
            <w:tcW w:w="1843"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13,76</w:t>
            </w:r>
            <w:r w:rsidR="007A07A9" w:rsidRPr="001416ED">
              <w:rPr>
                <w:rFonts w:eastAsiaTheme="minorHAnsi"/>
                <w:lang w:val="uk-UA" w:eastAsia="en-US"/>
              </w:rPr>
              <w:t xml:space="preserve"> ± </w:t>
            </w:r>
            <w:r w:rsidRPr="001416ED">
              <w:rPr>
                <w:rFonts w:eastAsiaTheme="minorHAnsi"/>
                <w:lang w:val="uk-UA" w:eastAsia="en-US"/>
              </w:rPr>
              <w:t>0,36</w:t>
            </w:r>
          </w:p>
          <w:p w:rsidR="008F07CC" w:rsidRPr="001416ED" w:rsidRDefault="008F07CC" w:rsidP="00517427">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8)</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(2)</w:t>
            </w:r>
          </w:p>
        </w:tc>
        <w:tc>
          <w:tcPr>
            <w:tcW w:w="1985"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14,14</w:t>
            </w:r>
            <w:r w:rsidR="007A07A9" w:rsidRPr="001416ED">
              <w:rPr>
                <w:rFonts w:eastAsiaTheme="minorHAnsi"/>
                <w:lang w:val="uk-UA" w:eastAsia="en-US"/>
              </w:rPr>
              <w:t xml:space="preserve"> ± </w:t>
            </w:r>
            <w:r w:rsidRPr="001416ED">
              <w:rPr>
                <w:rFonts w:eastAsiaTheme="minorHAnsi"/>
                <w:lang w:val="uk-UA" w:eastAsia="en-US"/>
              </w:rPr>
              <w:t>0,50</w:t>
            </w:r>
          </w:p>
          <w:p w:rsidR="008F07CC" w:rsidRPr="001416ED" w:rsidRDefault="008F07CC" w:rsidP="00517427">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7)</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(6)</w:t>
            </w:r>
          </w:p>
        </w:tc>
        <w:tc>
          <w:tcPr>
            <w:tcW w:w="1842"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13,86</w:t>
            </w:r>
            <w:r w:rsidR="007A07A9" w:rsidRPr="001416ED">
              <w:rPr>
                <w:rFonts w:eastAsiaTheme="minorHAnsi"/>
                <w:lang w:val="uk-UA" w:eastAsia="en-US"/>
              </w:rPr>
              <w:t xml:space="preserve"> ± </w:t>
            </w:r>
            <w:r w:rsidRPr="001416ED">
              <w:rPr>
                <w:rFonts w:eastAsiaTheme="minorHAnsi"/>
                <w:lang w:val="uk-UA" w:eastAsia="en-US"/>
              </w:rPr>
              <w:t>0,34</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12)</w:t>
            </w:r>
          </w:p>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(10)</w:t>
            </w:r>
          </w:p>
        </w:tc>
        <w:tc>
          <w:tcPr>
            <w:tcW w:w="1525" w:type="dxa"/>
          </w:tcPr>
          <w:p w:rsidR="008F07CC" w:rsidRPr="001416ED" w:rsidRDefault="008F07CC" w:rsidP="008F07CC">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6</w:t>
            </w:r>
            <w:r w:rsidR="00BC0119" w:rsidRPr="001416ED">
              <w:rPr>
                <w:rFonts w:eastAsiaTheme="minorHAnsi"/>
                <w:kern w:val="11"/>
                <w:vertAlign w:val="subscript"/>
                <w:lang w:eastAsia="en-US"/>
              </w:rPr>
              <w:t>–</w:t>
            </w:r>
            <w:r w:rsidRPr="001416ED">
              <w:rPr>
                <w:rFonts w:eastAsiaTheme="minorHAnsi"/>
                <w:kern w:val="11"/>
                <w:vertAlign w:val="subscript"/>
                <w:lang w:eastAsia="en-US"/>
              </w:rPr>
              <w:t>2</w:t>
            </w:r>
            <w:r w:rsidRPr="001416ED">
              <w:rPr>
                <w:rFonts w:eastAsiaTheme="minorHAnsi"/>
                <w:kern w:val="11"/>
                <w:lang w:val="uk-UA" w:eastAsia="en-US"/>
              </w:rPr>
              <w:t>&gt;0,05;</w:t>
            </w:r>
          </w:p>
          <w:p w:rsidR="008F07CC" w:rsidRPr="001416ED" w:rsidRDefault="008F07CC" w:rsidP="008F07CC">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10</w:t>
            </w:r>
            <w:r w:rsidR="00BC0119" w:rsidRPr="001416ED">
              <w:rPr>
                <w:rFonts w:eastAsiaTheme="minorHAnsi"/>
                <w:kern w:val="11"/>
                <w:vertAlign w:val="subscript"/>
                <w:lang w:eastAsia="en-US"/>
              </w:rPr>
              <w:t>–</w:t>
            </w:r>
            <w:r w:rsidRPr="001416ED">
              <w:rPr>
                <w:rFonts w:eastAsiaTheme="minorHAnsi"/>
                <w:kern w:val="11"/>
                <w:vertAlign w:val="subscript"/>
                <w:lang w:eastAsia="en-US"/>
              </w:rPr>
              <w:t>2</w:t>
            </w:r>
            <w:r w:rsidRPr="001416ED">
              <w:rPr>
                <w:rFonts w:eastAsiaTheme="minorHAnsi"/>
                <w:kern w:val="11"/>
                <w:lang w:val="uk-UA" w:eastAsia="en-US"/>
              </w:rPr>
              <w:t>&gt;0,05;</w:t>
            </w:r>
          </w:p>
          <w:p w:rsidR="008F07CC" w:rsidRPr="001416ED" w:rsidRDefault="008F07CC" w:rsidP="008F07CC">
            <w:pPr>
              <w:widowControl w:val="0"/>
              <w:adjustRightInd w:val="0"/>
              <w:spacing w:line="360" w:lineRule="auto"/>
              <w:ind w:right="-17"/>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10</w:t>
            </w:r>
            <w:r w:rsidR="00BC0119" w:rsidRPr="001416ED">
              <w:rPr>
                <w:rFonts w:eastAsiaTheme="minorHAnsi"/>
                <w:kern w:val="11"/>
                <w:vertAlign w:val="subscript"/>
                <w:lang w:eastAsia="en-US"/>
              </w:rPr>
              <w:t>–</w:t>
            </w:r>
            <w:r w:rsidRPr="001416ED">
              <w:rPr>
                <w:rFonts w:eastAsiaTheme="minorHAnsi"/>
                <w:kern w:val="11"/>
                <w:vertAlign w:val="subscript"/>
                <w:lang w:eastAsia="en-US"/>
              </w:rPr>
              <w:t>6</w:t>
            </w:r>
            <w:r w:rsidRPr="001416ED">
              <w:rPr>
                <w:rFonts w:eastAsiaTheme="minorHAnsi"/>
                <w:kern w:val="11"/>
                <w:lang w:val="uk-UA" w:eastAsia="en-US"/>
              </w:rPr>
              <w:t>&gt;0,05</w:t>
            </w:r>
          </w:p>
        </w:tc>
      </w:tr>
      <w:tr w:rsidR="008F07CC" w:rsidRPr="001416ED" w:rsidTr="003442EB">
        <w:tc>
          <w:tcPr>
            <w:tcW w:w="2943" w:type="dxa"/>
          </w:tcPr>
          <w:p w:rsidR="008F07CC" w:rsidRPr="001416ED" w:rsidRDefault="008F07CC" w:rsidP="008F07CC">
            <w:pPr>
              <w:spacing w:line="360" w:lineRule="auto"/>
              <w:rPr>
                <w:rFonts w:eastAsiaTheme="minorHAnsi"/>
                <w:kern w:val="11"/>
                <w:lang w:val="uk-UA" w:eastAsia="en-US"/>
              </w:rPr>
            </w:pPr>
            <w:r w:rsidRPr="001416ED">
              <w:rPr>
                <w:rFonts w:eastAsiaTheme="minorHAnsi"/>
                <w:kern w:val="11"/>
                <w:lang w:val="uk-UA" w:eastAsia="en-US"/>
              </w:rPr>
              <w:t>р</w:t>
            </w:r>
          </w:p>
        </w:tc>
        <w:tc>
          <w:tcPr>
            <w:tcW w:w="1843"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2</w:t>
            </w:r>
            <w:r w:rsidR="00BC0119" w:rsidRPr="001416ED">
              <w:rPr>
                <w:rFonts w:eastAsiaTheme="minorHAnsi"/>
                <w:kern w:val="11"/>
                <w:vertAlign w:val="subscript"/>
                <w:lang w:eastAsia="en-US"/>
              </w:rPr>
              <w:t>–</w:t>
            </w:r>
            <w:r w:rsidRPr="001416ED">
              <w:rPr>
                <w:rFonts w:eastAsiaTheme="minorHAnsi"/>
                <w:kern w:val="11"/>
                <w:vertAlign w:val="subscript"/>
                <w:lang w:eastAsia="en-US"/>
              </w:rPr>
              <w:t>1</w:t>
            </w:r>
            <w:r w:rsidR="00454402" w:rsidRPr="001416ED">
              <w:rPr>
                <w:rFonts w:eastAsiaTheme="minorHAnsi"/>
                <w:kern w:val="11"/>
                <w:lang w:val="uk-UA" w:eastAsia="en-US"/>
              </w:rPr>
              <w:t>˂</w:t>
            </w:r>
            <w:r w:rsidRPr="001416ED">
              <w:rPr>
                <w:rFonts w:eastAsiaTheme="minorHAnsi"/>
                <w:kern w:val="11"/>
                <w:lang w:val="uk-UA" w:eastAsia="en-US"/>
              </w:rPr>
              <w:t>0,0001</w:t>
            </w:r>
          </w:p>
        </w:tc>
        <w:tc>
          <w:tcPr>
            <w:tcW w:w="1985"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6</w:t>
            </w:r>
            <w:r w:rsidR="00BC0119" w:rsidRPr="001416ED">
              <w:rPr>
                <w:rFonts w:eastAsiaTheme="minorHAnsi"/>
                <w:kern w:val="11"/>
                <w:vertAlign w:val="subscript"/>
                <w:lang w:eastAsia="en-US"/>
              </w:rPr>
              <w:t>–</w:t>
            </w:r>
            <w:r w:rsidRPr="001416ED">
              <w:rPr>
                <w:rFonts w:eastAsiaTheme="minorHAnsi"/>
                <w:kern w:val="11"/>
                <w:vertAlign w:val="subscript"/>
                <w:lang w:eastAsia="en-US"/>
              </w:rPr>
              <w:t>5</w:t>
            </w:r>
            <w:r w:rsidR="000C04AA" w:rsidRPr="001416ED">
              <w:rPr>
                <w:rFonts w:eastAsiaTheme="minorHAnsi"/>
                <w:kern w:val="11"/>
                <w:lang w:val="uk-UA" w:eastAsia="en-US"/>
              </w:rPr>
              <w:t>˂</w:t>
            </w:r>
            <w:r w:rsidRPr="001416ED">
              <w:rPr>
                <w:rFonts w:eastAsiaTheme="minorHAnsi"/>
                <w:kern w:val="11"/>
                <w:lang w:val="uk-UA" w:eastAsia="en-US"/>
              </w:rPr>
              <w:t>0,0001</w:t>
            </w:r>
          </w:p>
        </w:tc>
        <w:tc>
          <w:tcPr>
            <w:tcW w:w="1842" w:type="dxa"/>
          </w:tcPr>
          <w:p w:rsidR="008F07CC" w:rsidRPr="001416ED" w:rsidRDefault="008F07CC" w:rsidP="00517427">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10</w:t>
            </w:r>
            <w:r w:rsidR="00BC0119" w:rsidRPr="001416ED">
              <w:rPr>
                <w:rFonts w:eastAsiaTheme="minorHAnsi"/>
                <w:kern w:val="11"/>
                <w:vertAlign w:val="subscript"/>
                <w:lang w:eastAsia="en-US"/>
              </w:rPr>
              <w:t>–</w:t>
            </w:r>
            <w:r w:rsidRPr="001416ED">
              <w:rPr>
                <w:rFonts w:eastAsiaTheme="minorHAnsi"/>
                <w:kern w:val="11"/>
                <w:vertAlign w:val="subscript"/>
                <w:lang w:eastAsia="en-US"/>
              </w:rPr>
              <w:t>9</w:t>
            </w:r>
            <w:r w:rsidR="00454402" w:rsidRPr="001416ED">
              <w:rPr>
                <w:rFonts w:eastAsiaTheme="minorHAnsi"/>
                <w:kern w:val="11"/>
                <w:lang w:val="uk-UA" w:eastAsia="en-US"/>
              </w:rPr>
              <w:t>˂</w:t>
            </w:r>
            <w:r w:rsidRPr="001416ED">
              <w:rPr>
                <w:rFonts w:eastAsiaTheme="minorHAnsi"/>
                <w:kern w:val="11"/>
                <w:lang w:val="uk-UA" w:eastAsia="en-US"/>
              </w:rPr>
              <w:t>0,0001</w:t>
            </w:r>
          </w:p>
        </w:tc>
        <w:tc>
          <w:tcPr>
            <w:tcW w:w="1525" w:type="dxa"/>
          </w:tcPr>
          <w:p w:rsidR="008F07CC" w:rsidRPr="001416ED" w:rsidRDefault="008F07CC" w:rsidP="008F07CC">
            <w:pPr>
              <w:widowControl w:val="0"/>
              <w:adjustRightInd w:val="0"/>
              <w:spacing w:line="360" w:lineRule="auto"/>
              <w:ind w:right="-17"/>
              <w:textAlignment w:val="baseline"/>
              <w:rPr>
                <w:rFonts w:eastAsiaTheme="minorHAnsi"/>
                <w:lang w:val="uk-UA" w:eastAsia="en-US"/>
              </w:rPr>
            </w:pPr>
          </w:p>
        </w:tc>
      </w:tr>
      <w:tr w:rsidR="002842D7" w:rsidRPr="001416ED" w:rsidTr="003442EB">
        <w:tc>
          <w:tcPr>
            <w:tcW w:w="2943" w:type="dxa"/>
          </w:tcPr>
          <w:p w:rsidR="002842D7" w:rsidRPr="001416ED" w:rsidRDefault="002842D7" w:rsidP="00B20941">
            <w:pPr>
              <w:spacing w:line="360" w:lineRule="auto"/>
              <w:rPr>
                <w:rFonts w:eastAsiaTheme="minorHAnsi"/>
                <w:kern w:val="11"/>
                <w:lang w:val="uk-UA" w:eastAsia="en-US"/>
              </w:rPr>
            </w:pPr>
            <w:r w:rsidRPr="001416ED">
              <w:rPr>
                <w:rFonts w:eastAsiaTheme="minorHAnsi"/>
                <w:kern w:val="11"/>
                <w:lang w:val="uk-UA" w:eastAsia="en-US"/>
              </w:rPr>
              <w:t xml:space="preserve">Чоловіки з </w:t>
            </w:r>
            <w:r w:rsidR="00A63A7A" w:rsidRPr="001416ED">
              <w:rPr>
                <w:rFonts w:eastAsiaTheme="minorHAnsi"/>
                <w:kern w:val="11"/>
                <w:lang w:val="uk-UA" w:eastAsia="en-US"/>
              </w:rPr>
              <w:t>ГХ ІІІ ст</w:t>
            </w:r>
            <w:r w:rsidR="00AF62D4" w:rsidRPr="001416ED">
              <w:rPr>
                <w:rFonts w:eastAsiaTheme="minorHAnsi"/>
                <w:kern w:val="11"/>
                <w:lang w:val="uk-UA" w:eastAsia="en-US"/>
              </w:rPr>
              <w:t>.</w:t>
            </w:r>
            <w:r w:rsidR="00B20941">
              <w:rPr>
                <w:rFonts w:eastAsiaTheme="minorHAnsi"/>
                <w:kern w:val="11"/>
                <w:lang w:val="uk-UA" w:eastAsia="en-US"/>
              </w:rPr>
              <w:t xml:space="preserve">, </w:t>
            </w:r>
            <w:r w:rsidRPr="001416ED">
              <w:rPr>
                <w:rFonts w:eastAsiaTheme="minorHAnsi"/>
                <w:kern w:val="11"/>
                <w:lang w:val="uk-UA" w:eastAsia="en-US"/>
              </w:rPr>
              <w:t xml:space="preserve">генотип </w:t>
            </w:r>
            <w:r w:rsidRPr="001416ED">
              <w:rPr>
                <w:rFonts w:eastAsiaTheme="minorHAnsi"/>
                <w:kern w:val="11"/>
                <w:lang w:val="en-US" w:eastAsia="en-US"/>
              </w:rPr>
              <w:t>Lys</w:t>
            </w:r>
            <w:r w:rsidR="004D6104" w:rsidRPr="001416ED">
              <w:rPr>
                <w:rFonts w:eastAsiaTheme="minorHAnsi"/>
                <w:kern w:val="11"/>
                <w:lang w:val="uk-UA" w:eastAsia="en-US"/>
              </w:rPr>
              <w:t>/</w:t>
            </w:r>
            <w:r w:rsidRPr="001416ED">
              <w:rPr>
                <w:rFonts w:eastAsiaTheme="minorHAnsi"/>
                <w:kern w:val="11"/>
                <w:lang w:val="en-US" w:eastAsia="en-US"/>
              </w:rPr>
              <w:t>Lys</w:t>
            </w:r>
          </w:p>
        </w:tc>
        <w:tc>
          <w:tcPr>
            <w:tcW w:w="1843"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13,10</w:t>
            </w:r>
            <w:r w:rsidR="007A07A9" w:rsidRPr="001416ED">
              <w:rPr>
                <w:rFonts w:eastAsiaTheme="minorHAnsi"/>
                <w:lang w:val="uk-UA" w:eastAsia="en-US"/>
              </w:rPr>
              <w:t xml:space="preserve"> ± </w:t>
            </w:r>
            <w:r w:rsidRPr="001416ED">
              <w:rPr>
                <w:rFonts w:eastAsiaTheme="minorHAnsi"/>
                <w:lang w:val="uk-UA" w:eastAsia="en-US"/>
              </w:rPr>
              <w:t>0,20</w:t>
            </w:r>
          </w:p>
          <w:p w:rsidR="002842D7" w:rsidRPr="001416ED" w:rsidRDefault="002842D7" w:rsidP="00F32245">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4)</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(3)</w:t>
            </w:r>
          </w:p>
        </w:tc>
        <w:tc>
          <w:tcPr>
            <w:tcW w:w="1985"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12,85</w:t>
            </w:r>
            <w:r w:rsidR="007A07A9" w:rsidRPr="001416ED">
              <w:rPr>
                <w:rFonts w:eastAsiaTheme="minorHAnsi"/>
                <w:lang w:val="uk-UA" w:eastAsia="en-US"/>
              </w:rPr>
              <w:t xml:space="preserve"> ± </w:t>
            </w:r>
            <w:r w:rsidRPr="001416ED">
              <w:rPr>
                <w:rFonts w:eastAsiaTheme="minorHAnsi"/>
                <w:lang w:val="uk-UA" w:eastAsia="en-US"/>
              </w:rPr>
              <w:t>0,11</w:t>
            </w:r>
          </w:p>
          <w:p w:rsidR="002842D7" w:rsidRPr="001416ED" w:rsidRDefault="002842D7" w:rsidP="00F32245">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20)</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(7)</w:t>
            </w:r>
          </w:p>
        </w:tc>
        <w:tc>
          <w:tcPr>
            <w:tcW w:w="1842"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12,91</w:t>
            </w:r>
            <w:r w:rsidR="007A07A9" w:rsidRPr="001416ED">
              <w:rPr>
                <w:rFonts w:eastAsiaTheme="minorHAnsi"/>
                <w:lang w:val="uk-UA" w:eastAsia="en-US"/>
              </w:rPr>
              <w:t xml:space="preserve"> ± </w:t>
            </w:r>
            <w:r w:rsidRPr="001416ED">
              <w:rPr>
                <w:rFonts w:eastAsiaTheme="minorHAnsi"/>
                <w:lang w:val="uk-UA" w:eastAsia="en-US"/>
              </w:rPr>
              <w:t>0,14</w:t>
            </w:r>
          </w:p>
          <w:p w:rsidR="002842D7" w:rsidRPr="001416ED" w:rsidRDefault="002842D7" w:rsidP="00F32245">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9)</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(11)</w:t>
            </w:r>
          </w:p>
        </w:tc>
        <w:tc>
          <w:tcPr>
            <w:tcW w:w="1525" w:type="dxa"/>
          </w:tcPr>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7</w:t>
            </w:r>
            <w:r w:rsidR="00BC0119" w:rsidRPr="001416ED">
              <w:rPr>
                <w:rFonts w:eastAsiaTheme="minorHAnsi"/>
                <w:kern w:val="11"/>
                <w:vertAlign w:val="subscript"/>
                <w:lang w:eastAsia="en-US"/>
              </w:rPr>
              <w:t>–</w:t>
            </w:r>
            <w:r w:rsidRPr="001416ED">
              <w:rPr>
                <w:rFonts w:eastAsiaTheme="minorHAnsi"/>
                <w:kern w:val="11"/>
                <w:vertAlign w:val="subscript"/>
                <w:lang w:eastAsia="en-US"/>
              </w:rPr>
              <w:t>3</w:t>
            </w:r>
            <w:r w:rsidRPr="001416ED">
              <w:rPr>
                <w:rFonts w:eastAsiaTheme="minorHAnsi"/>
                <w:kern w:val="11"/>
                <w:lang w:val="uk-UA" w:eastAsia="en-US"/>
              </w:rPr>
              <w:t>&gt;0,05;</w:t>
            </w:r>
          </w:p>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11</w:t>
            </w:r>
            <w:r w:rsidR="00BC0119" w:rsidRPr="001416ED">
              <w:rPr>
                <w:rFonts w:eastAsiaTheme="minorHAnsi"/>
                <w:kern w:val="11"/>
                <w:vertAlign w:val="subscript"/>
                <w:lang w:eastAsia="en-US"/>
              </w:rPr>
              <w:t>–</w:t>
            </w:r>
            <w:r w:rsidRPr="001416ED">
              <w:rPr>
                <w:rFonts w:eastAsiaTheme="minorHAnsi"/>
                <w:kern w:val="11"/>
                <w:vertAlign w:val="subscript"/>
                <w:lang w:eastAsia="en-US"/>
              </w:rPr>
              <w:t>3</w:t>
            </w:r>
            <w:r w:rsidRPr="001416ED">
              <w:rPr>
                <w:rFonts w:eastAsiaTheme="minorHAnsi"/>
                <w:kern w:val="11"/>
                <w:lang w:val="uk-UA" w:eastAsia="en-US"/>
              </w:rPr>
              <w:t>&gt;0,05;</w:t>
            </w:r>
          </w:p>
          <w:p w:rsidR="002842D7" w:rsidRPr="001416ED" w:rsidRDefault="002842D7" w:rsidP="00F32245">
            <w:pPr>
              <w:widowControl w:val="0"/>
              <w:adjustRightInd w:val="0"/>
              <w:spacing w:line="360" w:lineRule="auto"/>
              <w:ind w:right="-17"/>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11</w:t>
            </w:r>
            <w:r w:rsidR="00BC0119" w:rsidRPr="001416ED">
              <w:rPr>
                <w:rFonts w:eastAsiaTheme="minorHAnsi"/>
                <w:kern w:val="11"/>
                <w:vertAlign w:val="subscript"/>
                <w:lang w:eastAsia="en-US"/>
              </w:rPr>
              <w:t>–</w:t>
            </w:r>
            <w:r w:rsidRPr="001416ED">
              <w:rPr>
                <w:rFonts w:eastAsiaTheme="minorHAnsi"/>
                <w:kern w:val="11"/>
                <w:vertAlign w:val="subscript"/>
                <w:lang w:eastAsia="en-US"/>
              </w:rPr>
              <w:t>7</w:t>
            </w:r>
            <w:r w:rsidRPr="001416ED">
              <w:rPr>
                <w:rFonts w:eastAsiaTheme="minorHAnsi"/>
                <w:kern w:val="11"/>
                <w:lang w:val="uk-UA" w:eastAsia="en-US"/>
              </w:rPr>
              <w:t>&gt;0,05</w:t>
            </w:r>
          </w:p>
        </w:tc>
      </w:tr>
      <w:tr w:rsidR="002842D7" w:rsidRPr="001416ED" w:rsidTr="003442EB">
        <w:tc>
          <w:tcPr>
            <w:tcW w:w="2943" w:type="dxa"/>
          </w:tcPr>
          <w:p w:rsidR="002842D7" w:rsidRPr="001416ED" w:rsidRDefault="002842D7" w:rsidP="00B20941">
            <w:pPr>
              <w:spacing w:line="360" w:lineRule="auto"/>
              <w:rPr>
                <w:rFonts w:eastAsiaTheme="minorHAnsi"/>
                <w:kern w:val="11"/>
                <w:lang w:val="uk-UA" w:eastAsia="en-US"/>
              </w:rPr>
            </w:pPr>
            <w:r w:rsidRPr="001416ED">
              <w:rPr>
                <w:rFonts w:eastAsiaTheme="minorHAnsi"/>
                <w:kern w:val="11"/>
                <w:lang w:val="uk-UA" w:eastAsia="en-US"/>
              </w:rPr>
              <w:t xml:space="preserve">Чоловіки з </w:t>
            </w:r>
            <w:r w:rsidR="00A63A7A" w:rsidRPr="001416ED">
              <w:rPr>
                <w:rFonts w:eastAsiaTheme="minorHAnsi"/>
                <w:kern w:val="11"/>
                <w:lang w:val="uk-UA" w:eastAsia="en-US"/>
              </w:rPr>
              <w:t>ГХ ІІІ ст</w:t>
            </w:r>
            <w:r w:rsidR="00AF62D4" w:rsidRPr="001416ED">
              <w:rPr>
                <w:rFonts w:eastAsiaTheme="minorHAnsi"/>
                <w:kern w:val="11"/>
                <w:lang w:val="uk-UA" w:eastAsia="en-US"/>
              </w:rPr>
              <w:t>.</w:t>
            </w:r>
            <w:r w:rsidR="00B20941">
              <w:rPr>
                <w:rFonts w:eastAsiaTheme="minorHAnsi"/>
                <w:kern w:val="11"/>
                <w:lang w:val="uk-UA" w:eastAsia="en-US"/>
              </w:rPr>
              <w:t>,</w:t>
            </w:r>
            <w:r w:rsidRPr="001416ED">
              <w:rPr>
                <w:rFonts w:eastAsiaTheme="minorHAnsi"/>
                <w:kern w:val="11"/>
                <w:lang w:val="uk-UA" w:eastAsia="en-US"/>
              </w:rPr>
              <w:t xml:space="preserve"> носії алелі </w:t>
            </w:r>
            <w:r w:rsidRPr="001416ED">
              <w:rPr>
                <w:rFonts w:eastAsiaTheme="minorHAnsi"/>
                <w:kern w:val="11"/>
                <w:lang w:val="en-US" w:eastAsia="en-US"/>
              </w:rPr>
              <w:t>Asn</w:t>
            </w:r>
          </w:p>
        </w:tc>
        <w:tc>
          <w:tcPr>
            <w:tcW w:w="1843"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14,38</w:t>
            </w:r>
            <w:r w:rsidR="007A07A9" w:rsidRPr="001416ED">
              <w:rPr>
                <w:rFonts w:eastAsiaTheme="minorHAnsi"/>
                <w:lang w:val="uk-UA" w:eastAsia="en-US"/>
              </w:rPr>
              <w:t xml:space="preserve"> ± </w:t>
            </w:r>
            <w:r w:rsidRPr="001416ED">
              <w:rPr>
                <w:rFonts w:eastAsiaTheme="minorHAnsi"/>
                <w:lang w:val="uk-UA" w:eastAsia="en-US"/>
              </w:rPr>
              <w:t>1,13</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2)</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(4)</w:t>
            </w:r>
          </w:p>
        </w:tc>
        <w:tc>
          <w:tcPr>
            <w:tcW w:w="1985"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13,88</w:t>
            </w:r>
            <w:r w:rsidR="007A07A9" w:rsidRPr="001416ED">
              <w:rPr>
                <w:rFonts w:eastAsiaTheme="minorHAnsi"/>
                <w:lang w:val="uk-UA" w:eastAsia="en-US"/>
              </w:rPr>
              <w:t xml:space="preserve"> ± </w:t>
            </w:r>
            <w:r w:rsidRPr="001416ED">
              <w:rPr>
                <w:rFonts w:eastAsiaTheme="minorHAnsi"/>
                <w:lang w:val="uk-UA" w:eastAsia="en-US"/>
              </w:rPr>
              <w:t>0,18</w:t>
            </w:r>
          </w:p>
          <w:p w:rsidR="002842D7" w:rsidRPr="001416ED" w:rsidRDefault="002842D7" w:rsidP="00F32245">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2)</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(8)</w:t>
            </w:r>
          </w:p>
        </w:tc>
        <w:tc>
          <w:tcPr>
            <w:tcW w:w="1842" w:type="dxa"/>
          </w:tcPr>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14,06</w:t>
            </w:r>
            <w:r w:rsidR="007A07A9" w:rsidRPr="001416ED">
              <w:rPr>
                <w:rFonts w:eastAsiaTheme="minorHAnsi"/>
                <w:lang w:val="uk-UA" w:eastAsia="en-US"/>
              </w:rPr>
              <w:t xml:space="preserve"> ± </w:t>
            </w:r>
            <w:r w:rsidRPr="001416ED">
              <w:rPr>
                <w:rFonts w:eastAsiaTheme="minorHAnsi"/>
                <w:lang w:val="uk-UA" w:eastAsia="en-US"/>
              </w:rPr>
              <w:t>0,19</w:t>
            </w:r>
          </w:p>
          <w:p w:rsidR="002842D7" w:rsidRPr="001416ED" w:rsidRDefault="002842D7" w:rsidP="00F32245">
            <w:pPr>
              <w:widowControl w:val="0"/>
              <w:adjustRightInd w:val="0"/>
              <w:spacing w:line="360" w:lineRule="auto"/>
              <w:ind w:right="-17"/>
              <w:jc w:val="center"/>
              <w:textAlignment w:val="baseline"/>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13)</w:t>
            </w:r>
          </w:p>
          <w:p w:rsidR="002842D7" w:rsidRPr="001416ED" w:rsidRDefault="002842D7" w:rsidP="00F32245">
            <w:pPr>
              <w:widowControl w:val="0"/>
              <w:adjustRightInd w:val="0"/>
              <w:spacing w:line="360" w:lineRule="auto"/>
              <w:ind w:right="-17"/>
              <w:jc w:val="center"/>
              <w:textAlignment w:val="baseline"/>
              <w:rPr>
                <w:rFonts w:eastAsiaTheme="minorHAnsi"/>
                <w:lang w:val="uk-UA" w:eastAsia="en-US"/>
              </w:rPr>
            </w:pPr>
            <w:r w:rsidRPr="001416ED">
              <w:rPr>
                <w:rFonts w:eastAsiaTheme="minorHAnsi"/>
                <w:lang w:val="uk-UA" w:eastAsia="en-US"/>
              </w:rPr>
              <w:t>(12)</w:t>
            </w:r>
          </w:p>
        </w:tc>
        <w:tc>
          <w:tcPr>
            <w:tcW w:w="1525" w:type="dxa"/>
          </w:tcPr>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8</w:t>
            </w:r>
            <w:r w:rsidR="00BC0119" w:rsidRPr="001416ED">
              <w:rPr>
                <w:rFonts w:eastAsiaTheme="minorHAnsi"/>
                <w:kern w:val="11"/>
                <w:vertAlign w:val="subscript"/>
                <w:lang w:eastAsia="en-US"/>
              </w:rPr>
              <w:t>–</w:t>
            </w:r>
            <w:r w:rsidRPr="001416ED">
              <w:rPr>
                <w:rFonts w:eastAsiaTheme="minorHAnsi"/>
                <w:kern w:val="11"/>
                <w:vertAlign w:val="subscript"/>
                <w:lang w:eastAsia="en-US"/>
              </w:rPr>
              <w:t>4</w:t>
            </w:r>
            <w:r w:rsidRPr="001416ED">
              <w:rPr>
                <w:rFonts w:eastAsiaTheme="minorHAnsi"/>
                <w:kern w:val="11"/>
                <w:lang w:val="uk-UA" w:eastAsia="en-US"/>
              </w:rPr>
              <w:t>&gt;0,05;</w:t>
            </w:r>
          </w:p>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12</w:t>
            </w:r>
            <w:r w:rsidR="00BC0119" w:rsidRPr="001416ED">
              <w:rPr>
                <w:rFonts w:eastAsiaTheme="minorHAnsi"/>
                <w:kern w:val="11"/>
                <w:vertAlign w:val="subscript"/>
                <w:lang w:eastAsia="en-US"/>
              </w:rPr>
              <w:t>–</w:t>
            </w:r>
            <w:r w:rsidRPr="001416ED">
              <w:rPr>
                <w:rFonts w:eastAsiaTheme="minorHAnsi"/>
                <w:kern w:val="11"/>
                <w:vertAlign w:val="subscript"/>
                <w:lang w:eastAsia="en-US"/>
              </w:rPr>
              <w:t>4</w:t>
            </w:r>
            <w:r w:rsidRPr="001416ED">
              <w:rPr>
                <w:rFonts w:eastAsiaTheme="minorHAnsi"/>
                <w:kern w:val="11"/>
                <w:lang w:val="uk-UA" w:eastAsia="en-US"/>
              </w:rPr>
              <w:t>&gt;0,05;</w:t>
            </w:r>
          </w:p>
          <w:p w:rsidR="002842D7" w:rsidRPr="001416ED" w:rsidRDefault="002842D7" w:rsidP="00F32245">
            <w:pPr>
              <w:widowControl w:val="0"/>
              <w:adjustRightInd w:val="0"/>
              <w:spacing w:line="360" w:lineRule="auto"/>
              <w:ind w:right="-17"/>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12</w:t>
            </w:r>
            <w:r w:rsidR="00BC0119" w:rsidRPr="001416ED">
              <w:rPr>
                <w:rFonts w:eastAsiaTheme="minorHAnsi"/>
                <w:kern w:val="11"/>
                <w:vertAlign w:val="subscript"/>
                <w:lang w:eastAsia="en-US"/>
              </w:rPr>
              <w:t>–</w:t>
            </w:r>
            <w:r w:rsidRPr="001416ED">
              <w:rPr>
                <w:rFonts w:eastAsiaTheme="minorHAnsi"/>
                <w:kern w:val="11"/>
                <w:vertAlign w:val="subscript"/>
                <w:lang w:eastAsia="en-US"/>
              </w:rPr>
              <w:t>8</w:t>
            </w:r>
            <w:r w:rsidRPr="001416ED">
              <w:rPr>
                <w:rFonts w:eastAsiaTheme="minorHAnsi"/>
                <w:kern w:val="11"/>
                <w:lang w:val="uk-UA" w:eastAsia="en-US"/>
              </w:rPr>
              <w:t>&gt;0,05</w:t>
            </w:r>
          </w:p>
        </w:tc>
      </w:tr>
      <w:tr w:rsidR="002842D7" w:rsidRPr="001416ED" w:rsidTr="003442EB">
        <w:tc>
          <w:tcPr>
            <w:tcW w:w="2943" w:type="dxa"/>
          </w:tcPr>
          <w:p w:rsidR="002842D7" w:rsidRPr="001416ED" w:rsidRDefault="002842D7" w:rsidP="00F32245">
            <w:pPr>
              <w:spacing w:line="360" w:lineRule="auto"/>
              <w:rPr>
                <w:rFonts w:eastAsiaTheme="minorHAnsi"/>
                <w:kern w:val="11"/>
                <w:lang w:val="uk-UA" w:eastAsia="en-US"/>
              </w:rPr>
            </w:pPr>
            <w:r w:rsidRPr="001416ED">
              <w:rPr>
                <w:rFonts w:eastAsiaTheme="minorHAnsi"/>
                <w:kern w:val="11"/>
                <w:lang w:val="uk-UA" w:eastAsia="en-US"/>
              </w:rPr>
              <w:t>р</w:t>
            </w:r>
          </w:p>
        </w:tc>
        <w:tc>
          <w:tcPr>
            <w:tcW w:w="1843" w:type="dxa"/>
          </w:tcPr>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4</w:t>
            </w:r>
            <w:r w:rsidR="00BC0119" w:rsidRPr="001416ED">
              <w:rPr>
                <w:rFonts w:eastAsiaTheme="minorHAnsi"/>
                <w:kern w:val="11"/>
                <w:vertAlign w:val="subscript"/>
                <w:lang w:eastAsia="en-US"/>
              </w:rPr>
              <w:t>–</w:t>
            </w:r>
            <w:r w:rsidRPr="001416ED">
              <w:rPr>
                <w:rFonts w:eastAsiaTheme="minorHAnsi"/>
                <w:kern w:val="11"/>
                <w:vertAlign w:val="subscript"/>
                <w:lang w:eastAsia="en-US"/>
              </w:rPr>
              <w:t>3</w:t>
            </w:r>
            <w:r w:rsidRPr="001416ED">
              <w:rPr>
                <w:rFonts w:eastAsiaTheme="minorHAnsi"/>
                <w:kern w:val="11"/>
                <w:lang w:val="uk-UA" w:eastAsia="en-US"/>
              </w:rPr>
              <w:t>&gt;0,05;</w:t>
            </w:r>
          </w:p>
          <w:p w:rsidR="002842D7" w:rsidRPr="001416ED" w:rsidRDefault="002842D7" w:rsidP="00F32245">
            <w:pPr>
              <w:widowControl w:val="0"/>
              <w:adjustRightInd w:val="0"/>
              <w:spacing w:line="360" w:lineRule="auto"/>
              <w:ind w:right="-17"/>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3</w:t>
            </w:r>
            <w:r w:rsidR="00BC0119" w:rsidRPr="001416ED">
              <w:rPr>
                <w:rFonts w:eastAsiaTheme="minorHAnsi"/>
                <w:kern w:val="11"/>
                <w:vertAlign w:val="subscript"/>
                <w:lang w:eastAsia="en-US"/>
              </w:rPr>
              <w:t>–</w:t>
            </w:r>
            <w:r w:rsidRPr="001416ED">
              <w:rPr>
                <w:rFonts w:eastAsiaTheme="minorHAnsi"/>
                <w:kern w:val="11"/>
                <w:vertAlign w:val="subscript"/>
                <w:lang w:eastAsia="en-US"/>
              </w:rPr>
              <w:t>1</w:t>
            </w:r>
            <w:r w:rsidR="00CD588E" w:rsidRPr="001416ED">
              <w:rPr>
                <w:rFonts w:eastAsiaTheme="minorHAnsi"/>
                <w:kern w:val="11"/>
                <w:lang w:val="uk-UA" w:eastAsia="en-US"/>
              </w:rPr>
              <w:t>˂</w:t>
            </w:r>
            <w:r w:rsidRPr="001416ED">
              <w:rPr>
                <w:rFonts w:eastAsiaTheme="minorHAnsi"/>
                <w:kern w:val="11"/>
                <w:lang w:val="uk-UA" w:eastAsia="en-US"/>
              </w:rPr>
              <w:t>0,05;</w:t>
            </w:r>
          </w:p>
          <w:p w:rsidR="002842D7" w:rsidRPr="001416ED" w:rsidRDefault="002842D7" w:rsidP="00F32245">
            <w:pPr>
              <w:widowControl w:val="0"/>
              <w:adjustRightInd w:val="0"/>
              <w:spacing w:line="360" w:lineRule="auto"/>
              <w:ind w:right="-17"/>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4</w:t>
            </w:r>
            <w:r w:rsidR="00BC0119" w:rsidRPr="001416ED">
              <w:rPr>
                <w:rFonts w:eastAsiaTheme="minorHAnsi"/>
                <w:kern w:val="11"/>
                <w:vertAlign w:val="subscript"/>
                <w:lang w:eastAsia="en-US"/>
              </w:rPr>
              <w:t>–</w:t>
            </w:r>
            <w:r w:rsidRPr="001416ED">
              <w:rPr>
                <w:rFonts w:eastAsiaTheme="minorHAnsi"/>
                <w:kern w:val="11"/>
                <w:vertAlign w:val="subscript"/>
                <w:lang w:eastAsia="en-US"/>
              </w:rPr>
              <w:t>2</w:t>
            </w:r>
            <w:r w:rsidRPr="001416ED">
              <w:rPr>
                <w:rFonts w:eastAsiaTheme="minorHAnsi"/>
                <w:kern w:val="11"/>
                <w:lang w:val="uk-UA" w:eastAsia="en-US"/>
              </w:rPr>
              <w:t>&gt;0,</w:t>
            </w:r>
            <w:r w:rsidR="003442EB" w:rsidRPr="001416ED">
              <w:rPr>
                <w:rFonts w:eastAsiaTheme="minorHAnsi"/>
                <w:kern w:val="11"/>
                <w:lang w:val="uk-UA" w:eastAsia="en-US"/>
              </w:rPr>
              <w:t>05</w:t>
            </w:r>
          </w:p>
        </w:tc>
        <w:tc>
          <w:tcPr>
            <w:tcW w:w="1985" w:type="dxa"/>
          </w:tcPr>
          <w:p w:rsidR="002842D7" w:rsidRPr="001416ED" w:rsidRDefault="002842D7" w:rsidP="00F32245">
            <w:pPr>
              <w:widowControl w:val="0"/>
              <w:adjustRightInd w:val="0"/>
              <w:spacing w:line="360" w:lineRule="auto"/>
              <w:ind w:right="-17"/>
              <w:jc w:val="both"/>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8</w:t>
            </w:r>
            <w:r w:rsidR="00BC0119" w:rsidRPr="001416ED">
              <w:rPr>
                <w:rFonts w:eastAsiaTheme="minorHAnsi"/>
                <w:kern w:val="11"/>
                <w:vertAlign w:val="subscript"/>
                <w:lang w:eastAsia="en-US"/>
              </w:rPr>
              <w:t>–</w:t>
            </w:r>
            <w:r w:rsidRPr="001416ED">
              <w:rPr>
                <w:rFonts w:eastAsiaTheme="minorHAnsi"/>
                <w:kern w:val="11"/>
                <w:vertAlign w:val="subscript"/>
                <w:lang w:eastAsia="en-US"/>
              </w:rPr>
              <w:t>7</w:t>
            </w:r>
            <w:r w:rsidRPr="001416ED">
              <w:rPr>
                <w:rFonts w:eastAsiaTheme="minorHAnsi"/>
                <w:kern w:val="11"/>
                <w:lang w:val="uk-UA" w:eastAsia="en-US"/>
              </w:rPr>
              <w:t xml:space="preserve">&gt;0,05; </w:t>
            </w:r>
          </w:p>
          <w:p w:rsidR="002842D7" w:rsidRPr="001416ED" w:rsidRDefault="002842D7" w:rsidP="00F32245">
            <w:pPr>
              <w:widowControl w:val="0"/>
              <w:adjustRightInd w:val="0"/>
              <w:spacing w:line="360" w:lineRule="auto"/>
              <w:ind w:right="-17"/>
              <w:jc w:val="both"/>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7</w:t>
            </w:r>
            <w:r w:rsidR="00BC0119" w:rsidRPr="001416ED">
              <w:rPr>
                <w:rFonts w:eastAsiaTheme="minorHAnsi"/>
                <w:kern w:val="11"/>
                <w:vertAlign w:val="subscript"/>
                <w:lang w:eastAsia="en-US"/>
              </w:rPr>
              <w:t>–</w:t>
            </w:r>
            <w:r w:rsidRPr="001416ED">
              <w:rPr>
                <w:rFonts w:eastAsiaTheme="minorHAnsi"/>
                <w:kern w:val="11"/>
                <w:vertAlign w:val="subscript"/>
                <w:lang w:eastAsia="en-US"/>
              </w:rPr>
              <w:t>5</w:t>
            </w:r>
            <w:r w:rsidR="00CD588E" w:rsidRPr="001416ED">
              <w:rPr>
                <w:rFonts w:eastAsiaTheme="minorHAnsi"/>
                <w:kern w:val="11"/>
                <w:lang w:val="uk-UA" w:eastAsia="en-US"/>
              </w:rPr>
              <w:t>˂</w:t>
            </w:r>
            <w:r w:rsidRPr="001416ED">
              <w:rPr>
                <w:rFonts w:eastAsiaTheme="minorHAnsi"/>
                <w:kern w:val="11"/>
                <w:lang w:val="uk-UA" w:eastAsia="en-US"/>
              </w:rPr>
              <w:t>0,001;</w:t>
            </w:r>
          </w:p>
          <w:p w:rsidR="002842D7" w:rsidRPr="001416ED" w:rsidRDefault="002842D7" w:rsidP="00F32245">
            <w:pPr>
              <w:widowControl w:val="0"/>
              <w:adjustRightInd w:val="0"/>
              <w:spacing w:line="360" w:lineRule="auto"/>
              <w:ind w:right="-17"/>
              <w:jc w:val="both"/>
              <w:textAlignment w:val="baseline"/>
              <w:rPr>
                <w:rFonts w:eastAsiaTheme="minorHAnsi"/>
                <w:lang w:val="uk-UA" w:eastAsia="en-US"/>
              </w:rPr>
            </w:pPr>
            <w:r w:rsidRPr="001416ED">
              <w:rPr>
                <w:rFonts w:eastAsiaTheme="minorHAnsi"/>
                <w:kern w:val="11"/>
                <w:lang w:val="uk-UA" w:eastAsia="en-US"/>
              </w:rPr>
              <w:t xml:space="preserve"> р</w:t>
            </w:r>
            <w:r w:rsidRPr="001416ED">
              <w:rPr>
                <w:rFonts w:eastAsiaTheme="minorHAnsi"/>
                <w:kern w:val="11"/>
                <w:vertAlign w:val="subscript"/>
                <w:lang w:eastAsia="en-US"/>
              </w:rPr>
              <w:t>8</w:t>
            </w:r>
            <w:r w:rsidR="00BC0119" w:rsidRPr="001416ED">
              <w:rPr>
                <w:rFonts w:eastAsiaTheme="minorHAnsi"/>
                <w:kern w:val="11"/>
                <w:vertAlign w:val="subscript"/>
                <w:lang w:eastAsia="en-US"/>
              </w:rPr>
              <w:t>–</w:t>
            </w:r>
            <w:r w:rsidRPr="001416ED">
              <w:rPr>
                <w:rFonts w:eastAsiaTheme="minorHAnsi"/>
                <w:kern w:val="11"/>
                <w:vertAlign w:val="subscript"/>
                <w:lang w:eastAsia="en-US"/>
              </w:rPr>
              <w:t>6</w:t>
            </w:r>
            <w:r w:rsidR="003442EB" w:rsidRPr="001416ED">
              <w:rPr>
                <w:rFonts w:eastAsiaTheme="minorHAnsi"/>
                <w:kern w:val="11"/>
                <w:lang w:val="uk-UA" w:eastAsia="en-US"/>
              </w:rPr>
              <w:t>&gt;0,05</w:t>
            </w:r>
          </w:p>
        </w:tc>
        <w:tc>
          <w:tcPr>
            <w:tcW w:w="1842" w:type="dxa"/>
          </w:tcPr>
          <w:p w:rsidR="002842D7" w:rsidRPr="001416ED" w:rsidRDefault="002842D7" w:rsidP="00F32245">
            <w:pPr>
              <w:widowControl w:val="0"/>
              <w:adjustRightInd w:val="0"/>
              <w:spacing w:line="360" w:lineRule="auto"/>
              <w:ind w:right="-17"/>
              <w:jc w:val="both"/>
              <w:textAlignment w:val="baseline"/>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12</w:t>
            </w:r>
            <w:r w:rsidR="00BC0119" w:rsidRPr="001416ED">
              <w:rPr>
                <w:rFonts w:eastAsiaTheme="minorHAnsi"/>
                <w:kern w:val="11"/>
                <w:vertAlign w:val="subscript"/>
                <w:lang w:eastAsia="en-US"/>
              </w:rPr>
              <w:t>–</w:t>
            </w:r>
            <w:r w:rsidRPr="001416ED">
              <w:rPr>
                <w:rFonts w:eastAsiaTheme="minorHAnsi"/>
                <w:kern w:val="11"/>
                <w:vertAlign w:val="subscript"/>
                <w:lang w:eastAsia="en-US"/>
              </w:rPr>
              <w:t>11</w:t>
            </w:r>
            <w:r w:rsidR="00CD588E" w:rsidRPr="001416ED">
              <w:rPr>
                <w:rFonts w:eastAsiaTheme="minorHAnsi"/>
                <w:kern w:val="11"/>
                <w:lang w:val="uk-UA" w:eastAsia="en-US"/>
              </w:rPr>
              <w:t>˂</w:t>
            </w:r>
            <w:r w:rsidRPr="001416ED">
              <w:rPr>
                <w:rFonts w:eastAsiaTheme="minorHAnsi"/>
                <w:kern w:val="11"/>
                <w:lang w:val="uk-UA" w:eastAsia="en-US"/>
              </w:rPr>
              <w:t>0,01; р</w:t>
            </w:r>
            <w:r w:rsidRPr="001416ED">
              <w:rPr>
                <w:rFonts w:eastAsiaTheme="minorHAnsi"/>
                <w:kern w:val="11"/>
                <w:vertAlign w:val="subscript"/>
                <w:lang w:eastAsia="en-US"/>
              </w:rPr>
              <w:t>11</w:t>
            </w:r>
            <w:r w:rsidR="00BC0119" w:rsidRPr="001416ED">
              <w:rPr>
                <w:rFonts w:eastAsiaTheme="minorHAnsi"/>
                <w:kern w:val="11"/>
                <w:vertAlign w:val="subscript"/>
                <w:lang w:eastAsia="en-US"/>
              </w:rPr>
              <w:t>–</w:t>
            </w:r>
            <w:r w:rsidRPr="001416ED">
              <w:rPr>
                <w:rFonts w:eastAsiaTheme="minorHAnsi"/>
                <w:kern w:val="11"/>
                <w:vertAlign w:val="subscript"/>
                <w:lang w:eastAsia="en-US"/>
              </w:rPr>
              <w:t>9</w:t>
            </w:r>
            <w:r w:rsidR="00CD588E" w:rsidRPr="001416ED">
              <w:rPr>
                <w:rFonts w:eastAsiaTheme="minorHAnsi"/>
                <w:kern w:val="11"/>
                <w:lang w:val="uk-UA" w:eastAsia="en-US"/>
              </w:rPr>
              <w:t>˂</w:t>
            </w:r>
            <w:r w:rsidRPr="001416ED">
              <w:rPr>
                <w:rFonts w:eastAsiaTheme="minorHAnsi"/>
                <w:kern w:val="11"/>
                <w:lang w:val="uk-UA" w:eastAsia="en-US"/>
              </w:rPr>
              <w:t>0,01;</w:t>
            </w:r>
          </w:p>
          <w:p w:rsidR="002842D7" w:rsidRPr="001416ED" w:rsidRDefault="002842D7" w:rsidP="00F32245">
            <w:pPr>
              <w:widowControl w:val="0"/>
              <w:adjustRightInd w:val="0"/>
              <w:spacing w:line="360" w:lineRule="auto"/>
              <w:ind w:right="-17"/>
              <w:jc w:val="both"/>
              <w:textAlignment w:val="baseline"/>
              <w:rPr>
                <w:rFonts w:eastAsiaTheme="minorHAnsi"/>
                <w:lang w:val="uk-UA" w:eastAsia="en-US"/>
              </w:rPr>
            </w:pPr>
            <w:r w:rsidRPr="001416ED">
              <w:rPr>
                <w:rFonts w:eastAsiaTheme="minorHAnsi"/>
                <w:kern w:val="11"/>
                <w:lang w:val="uk-UA" w:eastAsia="en-US"/>
              </w:rPr>
              <w:t>р</w:t>
            </w:r>
            <w:r w:rsidRPr="001416ED">
              <w:rPr>
                <w:rFonts w:eastAsiaTheme="minorHAnsi"/>
                <w:kern w:val="11"/>
                <w:vertAlign w:val="subscript"/>
                <w:lang w:eastAsia="en-US"/>
              </w:rPr>
              <w:t>12</w:t>
            </w:r>
            <w:r w:rsidR="00BC0119" w:rsidRPr="001416ED">
              <w:rPr>
                <w:rFonts w:eastAsiaTheme="minorHAnsi"/>
                <w:kern w:val="11"/>
                <w:vertAlign w:val="subscript"/>
                <w:lang w:eastAsia="en-US"/>
              </w:rPr>
              <w:t>–</w:t>
            </w:r>
            <w:r w:rsidRPr="001416ED">
              <w:rPr>
                <w:rFonts w:eastAsiaTheme="minorHAnsi"/>
                <w:kern w:val="11"/>
                <w:vertAlign w:val="subscript"/>
                <w:lang w:eastAsia="en-US"/>
              </w:rPr>
              <w:t>10</w:t>
            </w:r>
            <w:r w:rsidR="003442EB" w:rsidRPr="001416ED">
              <w:rPr>
                <w:rFonts w:eastAsiaTheme="minorHAnsi"/>
                <w:kern w:val="11"/>
                <w:lang w:val="uk-UA" w:eastAsia="en-US"/>
              </w:rPr>
              <w:t>&gt;0,05</w:t>
            </w:r>
          </w:p>
        </w:tc>
        <w:tc>
          <w:tcPr>
            <w:tcW w:w="1525" w:type="dxa"/>
          </w:tcPr>
          <w:p w:rsidR="002842D7" w:rsidRPr="001416ED" w:rsidRDefault="002842D7" w:rsidP="00F32245">
            <w:pPr>
              <w:widowControl w:val="0"/>
              <w:adjustRightInd w:val="0"/>
              <w:spacing w:line="360" w:lineRule="auto"/>
              <w:ind w:right="-17"/>
              <w:jc w:val="both"/>
              <w:textAlignment w:val="baseline"/>
              <w:rPr>
                <w:rFonts w:eastAsiaTheme="minorHAnsi"/>
                <w:lang w:val="uk-UA" w:eastAsia="en-US"/>
              </w:rPr>
            </w:pPr>
          </w:p>
        </w:tc>
      </w:tr>
    </w:tbl>
    <w:p w:rsidR="008F07CC" w:rsidRPr="001416ED" w:rsidRDefault="00517427" w:rsidP="00511C0A">
      <w:pPr>
        <w:spacing w:before="240" w:line="360" w:lineRule="auto"/>
        <w:ind w:firstLine="709"/>
        <w:jc w:val="both"/>
        <w:rPr>
          <w:rFonts w:eastAsiaTheme="minorHAnsi"/>
          <w:lang w:val="uk-UA" w:eastAsia="en-US"/>
        </w:rPr>
      </w:pPr>
      <w:r w:rsidRPr="001416ED">
        <w:rPr>
          <w:rFonts w:eastAsiaTheme="minorHAnsi"/>
          <w:lang w:val="uk-UA" w:eastAsia="en-US"/>
        </w:rPr>
        <w:t>У</w:t>
      </w:r>
      <w:r w:rsidR="008F07CC" w:rsidRPr="001416ED">
        <w:rPr>
          <w:rFonts w:eastAsiaTheme="minorHAnsi"/>
          <w:lang w:val="uk-UA" w:eastAsia="en-US"/>
        </w:rPr>
        <w:t xml:space="preserve"> чоловіків з ГХ ІІ ст.</w:t>
      </w:r>
      <w:r w:rsidRPr="001416ED">
        <w:rPr>
          <w:rFonts w:eastAsiaTheme="minorHAnsi"/>
          <w:lang w:val="uk-UA" w:eastAsia="en-US"/>
        </w:rPr>
        <w:t xml:space="preserve"> при</w:t>
      </w:r>
      <w:r w:rsidR="008F07CC" w:rsidRPr="001416ED">
        <w:rPr>
          <w:rFonts w:eastAsiaTheme="minorHAnsi"/>
          <w:lang w:val="uk-UA" w:eastAsia="en-US"/>
        </w:rPr>
        <w:t xml:space="preserve"> носійств</w:t>
      </w:r>
      <w:r w:rsidRPr="001416ED">
        <w:rPr>
          <w:rFonts w:eastAsiaTheme="minorHAnsi"/>
          <w:lang w:val="uk-UA" w:eastAsia="en-US"/>
        </w:rPr>
        <w:t>і</w:t>
      </w:r>
      <w:r w:rsidR="008F07CC" w:rsidRPr="001416ED">
        <w:rPr>
          <w:rFonts w:eastAsiaTheme="minorHAnsi"/>
          <w:lang w:val="uk-UA" w:eastAsia="en-US"/>
        </w:rPr>
        <w:t xml:space="preserve"> алелі </w:t>
      </w:r>
      <w:r w:rsidR="008F07CC" w:rsidRPr="001416ED">
        <w:rPr>
          <w:rFonts w:eastAsiaTheme="minorHAnsi"/>
          <w:kern w:val="11"/>
          <w:lang w:val="en-US" w:eastAsia="en-US"/>
        </w:rPr>
        <w:t>Asn</w:t>
      </w:r>
      <w:r w:rsidR="008F07CC" w:rsidRPr="001416ED">
        <w:rPr>
          <w:rFonts w:eastAsiaTheme="minorHAnsi"/>
          <w:kern w:val="11"/>
          <w:lang w:val="uk-UA" w:eastAsia="en-US"/>
        </w:rPr>
        <w:t xml:space="preserve"> рівн</w:t>
      </w:r>
      <w:r w:rsidRPr="001416ED">
        <w:rPr>
          <w:rFonts w:eastAsiaTheme="minorHAnsi"/>
          <w:kern w:val="11"/>
          <w:lang w:val="uk-UA" w:eastAsia="en-US"/>
        </w:rPr>
        <w:t xml:space="preserve">і </w:t>
      </w:r>
      <w:r w:rsidR="008F07CC" w:rsidRPr="001416ED">
        <w:rPr>
          <w:rFonts w:eastAsiaTheme="minorHAnsi"/>
          <w:kern w:val="11"/>
          <w:lang w:val="uk-UA" w:eastAsia="en-US"/>
        </w:rPr>
        <w:t>ЕТ</w:t>
      </w:r>
      <w:r w:rsidR="00BC0119" w:rsidRPr="001416ED">
        <w:rPr>
          <w:rFonts w:eastAsiaTheme="minorHAnsi"/>
          <w:kern w:val="11"/>
          <w:lang w:val="uk-UA" w:eastAsia="en-US"/>
        </w:rPr>
        <w:t>–</w:t>
      </w:r>
      <w:r w:rsidR="008F07CC" w:rsidRPr="001416ED">
        <w:rPr>
          <w:rFonts w:eastAsiaTheme="minorHAnsi"/>
          <w:kern w:val="11"/>
          <w:lang w:val="uk-UA" w:eastAsia="en-US"/>
        </w:rPr>
        <w:t xml:space="preserve"> 1 в плазмі крові при усіх ступенях АГ</w:t>
      </w:r>
      <w:r w:rsidRPr="001416ED">
        <w:rPr>
          <w:rFonts w:eastAsiaTheme="minorHAnsi"/>
          <w:kern w:val="11"/>
          <w:lang w:val="uk-UA" w:eastAsia="en-US"/>
        </w:rPr>
        <w:t xml:space="preserve"> вищі</w:t>
      </w:r>
      <w:r w:rsidR="008F07CC" w:rsidRPr="001416ED">
        <w:rPr>
          <w:rFonts w:eastAsiaTheme="minorHAnsi"/>
          <w:kern w:val="11"/>
          <w:lang w:val="uk-UA" w:eastAsia="en-US"/>
        </w:rPr>
        <w:t xml:space="preserve"> ніж </w:t>
      </w:r>
      <w:r w:rsidRPr="001416ED">
        <w:rPr>
          <w:rFonts w:eastAsiaTheme="minorHAnsi"/>
          <w:kern w:val="11"/>
          <w:lang w:val="uk-UA" w:eastAsia="en-US"/>
        </w:rPr>
        <w:t>у носіїв</w:t>
      </w:r>
      <w:r w:rsidR="008F07CC" w:rsidRPr="001416ED">
        <w:rPr>
          <w:rFonts w:eastAsiaTheme="minorHAnsi"/>
          <w:kern w:val="11"/>
          <w:lang w:val="uk-UA" w:eastAsia="en-US"/>
        </w:rPr>
        <w:t xml:space="preserve"> генотипу </w:t>
      </w:r>
      <w:r w:rsidR="008F07CC" w:rsidRPr="001416ED">
        <w:rPr>
          <w:rFonts w:eastAsiaTheme="minorHAnsi"/>
          <w:kern w:val="11"/>
          <w:lang w:val="en-US" w:eastAsia="en-US"/>
        </w:rPr>
        <w:t>Lys</w:t>
      </w:r>
      <w:r w:rsidR="00906979" w:rsidRPr="001416ED">
        <w:rPr>
          <w:rFonts w:eastAsiaTheme="minorHAnsi"/>
          <w:kern w:val="11"/>
          <w:lang w:val="uk-UA" w:eastAsia="en-US"/>
        </w:rPr>
        <w:t>/</w:t>
      </w:r>
      <w:r w:rsidR="008F07CC" w:rsidRPr="001416ED">
        <w:rPr>
          <w:rFonts w:eastAsiaTheme="minorHAnsi"/>
          <w:kern w:val="11"/>
          <w:lang w:val="en-US" w:eastAsia="en-US"/>
        </w:rPr>
        <w:t>Lys</w:t>
      </w:r>
      <w:r w:rsidR="008F07CC" w:rsidRPr="001416ED">
        <w:rPr>
          <w:rFonts w:eastAsiaTheme="minorHAnsi"/>
          <w:kern w:val="11"/>
          <w:lang w:val="uk-UA" w:eastAsia="en-US"/>
        </w:rPr>
        <w:t xml:space="preserve"> гена ЕТ</w:t>
      </w:r>
      <w:r w:rsidR="00BC0119" w:rsidRPr="001416ED">
        <w:rPr>
          <w:rFonts w:eastAsiaTheme="minorHAnsi"/>
          <w:kern w:val="11"/>
          <w:lang w:val="uk-UA" w:eastAsia="en-US"/>
        </w:rPr>
        <w:t>–</w:t>
      </w:r>
      <w:r w:rsidR="008F07CC" w:rsidRPr="001416ED">
        <w:rPr>
          <w:rFonts w:eastAsiaTheme="minorHAnsi"/>
          <w:kern w:val="11"/>
          <w:lang w:val="uk-UA" w:eastAsia="en-US"/>
        </w:rPr>
        <w:t xml:space="preserve">1. У пацієнтів з </w:t>
      </w:r>
      <w:r w:rsidR="00EA7C60" w:rsidRPr="001416ED">
        <w:rPr>
          <w:rFonts w:eastAsiaTheme="minorHAnsi"/>
          <w:kern w:val="11"/>
          <w:lang w:val="uk-UA" w:eastAsia="en-US"/>
        </w:rPr>
        <w:t xml:space="preserve">ГХ ІІІ ст.  </w:t>
      </w:r>
      <w:r w:rsidR="00BC0119" w:rsidRPr="001416ED">
        <w:rPr>
          <w:rFonts w:eastAsiaTheme="minorHAnsi"/>
          <w:kern w:val="11"/>
          <w:lang w:val="uk-UA" w:eastAsia="en-US"/>
        </w:rPr>
        <w:t>–</w:t>
      </w:r>
      <w:r w:rsidRPr="001416ED">
        <w:rPr>
          <w:rFonts w:eastAsiaTheme="minorHAnsi"/>
          <w:kern w:val="11"/>
          <w:lang w:val="uk-UA" w:eastAsia="en-US"/>
        </w:rPr>
        <w:t xml:space="preserve"> носіїв алелі </w:t>
      </w:r>
      <w:r w:rsidRPr="001416ED">
        <w:rPr>
          <w:rFonts w:eastAsiaTheme="minorHAnsi"/>
          <w:kern w:val="11"/>
          <w:lang w:val="en-US" w:eastAsia="en-US"/>
        </w:rPr>
        <w:t>Asn</w:t>
      </w:r>
      <w:r w:rsidRPr="001416ED">
        <w:rPr>
          <w:rFonts w:eastAsiaTheme="minorHAnsi"/>
          <w:kern w:val="11"/>
          <w:lang w:val="uk-UA" w:eastAsia="en-US"/>
        </w:rPr>
        <w:t xml:space="preserve">, </w:t>
      </w:r>
      <w:r w:rsidR="008F07CC" w:rsidRPr="001416ED">
        <w:rPr>
          <w:rFonts w:eastAsiaTheme="minorHAnsi"/>
          <w:kern w:val="11"/>
          <w:lang w:val="uk-UA" w:eastAsia="en-US"/>
        </w:rPr>
        <w:t xml:space="preserve">лише </w:t>
      </w:r>
      <w:r w:rsidRPr="001416ED">
        <w:rPr>
          <w:rFonts w:eastAsiaTheme="minorHAnsi"/>
          <w:kern w:val="11"/>
          <w:lang w:val="uk-UA" w:eastAsia="en-US"/>
        </w:rPr>
        <w:t xml:space="preserve">при наявності </w:t>
      </w:r>
      <w:r w:rsidR="008F07CC" w:rsidRPr="001416ED">
        <w:rPr>
          <w:rFonts w:eastAsiaTheme="minorHAnsi"/>
          <w:kern w:val="11"/>
          <w:lang w:val="uk-UA" w:eastAsia="en-US"/>
        </w:rPr>
        <w:t>АГ 3 ступеня плазмова концентрація ЕТ</w:t>
      </w:r>
      <w:r w:rsidR="00BC0119" w:rsidRPr="001416ED">
        <w:rPr>
          <w:rFonts w:eastAsiaTheme="minorHAnsi"/>
          <w:kern w:val="11"/>
          <w:lang w:val="uk-UA" w:eastAsia="en-US"/>
        </w:rPr>
        <w:t>–</w:t>
      </w:r>
      <w:r w:rsidR="008F07CC" w:rsidRPr="001416ED">
        <w:rPr>
          <w:rFonts w:eastAsiaTheme="minorHAnsi"/>
          <w:kern w:val="11"/>
          <w:lang w:val="uk-UA" w:eastAsia="en-US"/>
        </w:rPr>
        <w:t xml:space="preserve">1 більша ніж у чоловіків з генотипом </w:t>
      </w:r>
      <w:r w:rsidR="008F07CC" w:rsidRPr="001416ED">
        <w:rPr>
          <w:rFonts w:eastAsiaTheme="minorHAnsi"/>
          <w:kern w:val="11"/>
          <w:lang w:val="en-US" w:eastAsia="en-US"/>
        </w:rPr>
        <w:t>Lys</w:t>
      </w:r>
      <w:r w:rsidR="00906979" w:rsidRPr="001416ED">
        <w:rPr>
          <w:rFonts w:eastAsiaTheme="minorHAnsi"/>
          <w:kern w:val="11"/>
          <w:lang w:val="uk-UA" w:eastAsia="en-US"/>
        </w:rPr>
        <w:t>/</w:t>
      </w:r>
      <w:r w:rsidR="008F07CC" w:rsidRPr="001416ED">
        <w:rPr>
          <w:rFonts w:eastAsiaTheme="minorHAnsi"/>
          <w:kern w:val="11"/>
          <w:lang w:val="en-US" w:eastAsia="en-US"/>
        </w:rPr>
        <w:t>Lys</w:t>
      </w:r>
      <w:r w:rsidR="008F07CC" w:rsidRPr="001416ED">
        <w:rPr>
          <w:rFonts w:eastAsiaTheme="minorHAnsi"/>
          <w:kern w:val="11"/>
          <w:lang w:val="uk-UA" w:eastAsia="en-US"/>
        </w:rPr>
        <w:t xml:space="preserve">. </w:t>
      </w:r>
      <w:r w:rsidR="008037E5" w:rsidRPr="001416ED">
        <w:rPr>
          <w:rFonts w:eastAsiaTheme="minorHAnsi"/>
          <w:kern w:val="11"/>
          <w:lang w:val="uk-UA" w:eastAsia="en-US"/>
        </w:rPr>
        <w:t>Р</w:t>
      </w:r>
      <w:r w:rsidR="008F07CC" w:rsidRPr="001416ED">
        <w:rPr>
          <w:rFonts w:eastAsiaTheme="minorHAnsi"/>
          <w:kern w:val="11"/>
          <w:lang w:val="uk-UA" w:eastAsia="en-US"/>
        </w:rPr>
        <w:t>ізниці у рівні ЕТ</w:t>
      </w:r>
      <w:r w:rsidR="00BC0119" w:rsidRPr="001416ED">
        <w:rPr>
          <w:rFonts w:eastAsiaTheme="minorHAnsi"/>
          <w:kern w:val="11"/>
          <w:lang w:val="uk-UA" w:eastAsia="en-US"/>
        </w:rPr>
        <w:t>–</w:t>
      </w:r>
      <w:r w:rsidR="008F07CC" w:rsidRPr="001416ED">
        <w:rPr>
          <w:rFonts w:eastAsiaTheme="minorHAnsi"/>
          <w:kern w:val="11"/>
          <w:lang w:val="uk-UA" w:eastAsia="en-US"/>
        </w:rPr>
        <w:t xml:space="preserve">1 </w:t>
      </w:r>
      <w:r w:rsidR="008037E5" w:rsidRPr="001416ED">
        <w:rPr>
          <w:rFonts w:eastAsiaTheme="minorHAnsi"/>
          <w:kern w:val="11"/>
          <w:lang w:val="uk-UA" w:eastAsia="en-US"/>
        </w:rPr>
        <w:t>в межах кожної підгрупи</w:t>
      </w:r>
      <w:r w:rsidR="008F07CC" w:rsidRPr="001416ED">
        <w:rPr>
          <w:rFonts w:eastAsiaTheme="minorHAnsi"/>
          <w:kern w:val="11"/>
          <w:lang w:val="uk-UA" w:eastAsia="en-US"/>
        </w:rPr>
        <w:t xml:space="preserve"> при певному ступені АГ не виявлено. </w:t>
      </w:r>
      <w:r w:rsidR="00B62B48" w:rsidRPr="001416ED">
        <w:rPr>
          <w:rFonts w:eastAsiaTheme="minorHAnsi"/>
          <w:lang w:val="uk-UA" w:eastAsia="en-US"/>
        </w:rPr>
        <w:t>Тобто, можна вважати, що ЕТ</w:t>
      </w:r>
      <w:r w:rsidR="00BC0119" w:rsidRPr="001416ED">
        <w:rPr>
          <w:rFonts w:eastAsiaTheme="minorHAnsi"/>
          <w:lang w:val="uk-UA" w:eastAsia="en-US"/>
        </w:rPr>
        <w:t>–</w:t>
      </w:r>
      <w:r w:rsidR="00B62B48" w:rsidRPr="001416ED">
        <w:rPr>
          <w:rFonts w:eastAsiaTheme="minorHAnsi"/>
          <w:lang w:val="uk-UA" w:eastAsia="en-US"/>
        </w:rPr>
        <w:t xml:space="preserve">1 з одного боку тільки парціально забезпечує вазоконстрикцію при ЕГ. </w:t>
      </w:r>
      <w:r w:rsidR="00B62B48" w:rsidRPr="001416ED">
        <w:rPr>
          <w:rFonts w:eastAsiaTheme="minorHAnsi"/>
          <w:lang w:val="uk-UA" w:eastAsia="en-US"/>
        </w:rPr>
        <w:lastRenderedPageBreak/>
        <w:t xml:space="preserve">Вочевидь, мають значення і адаптаційні процеси у вигляді активації системи НУП та інших вазодилятаторів. </w:t>
      </w:r>
      <w:r w:rsidR="008F07CC" w:rsidRPr="001416ED">
        <w:rPr>
          <w:rFonts w:eastAsiaTheme="minorHAnsi"/>
          <w:kern w:val="11"/>
          <w:lang w:val="uk-UA" w:eastAsia="en-US"/>
        </w:rPr>
        <w:t xml:space="preserve">У чоловіків з </w:t>
      </w:r>
      <w:r w:rsidR="00081C6E" w:rsidRPr="001416ED">
        <w:rPr>
          <w:rFonts w:eastAsiaTheme="minorHAnsi"/>
          <w:kern w:val="11"/>
          <w:lang w:val="uk-UA" w:eastAsia="en-US"/>
        </w:rPr>
        <w:t>ГХ ІІІ ст.</w:t>
      </w:r>
      <w:r w:rsidR="008F07CC" w:rsidRPr="001416ED">
        <w:rPr>
          <w:rFonts w:eastAsiaTheme="minorHAnsi"/>
          <w:kern w:val="11"/>
          <w:lang w:val="uk-UA" w:eastAsia="en-US"/>
        </w:rPr>
        <w:t xml:space="preserve"> що є володарями генотипу </w:t>
      </w:r>
      <w:r w:rsidR="008F07CC" w:rsidRPr="001416ED">
        <w:rPr>
          <w:rFonts w:eastAsiaTheme="minorHAnsi"/>
          <w:kern w:val="11"/>
          <w:lang w:val="en-US" w:eastAsia="en-US"/>
        </w:rPr>
        <w:t>Lys</w:t>
      </w:r>
      <w:r w:rsidR="008037E5" w:rsidRPr="001416ED">
        <w:rPr>
          <w:rFonts w:eastAsiaTheme="minorHAnsi"/>
          <w:kern w:val="11"/>
          <w:lang w:val="uk-UA" w:eastAsia="en-US"/>
        </w:rPr>
        <w:t>/</w:t>
      </w:r>
      <w:r w:rsidR="008F07CC" w:rsidRPr="001416ED">
        <w:rPr>
          <w:rFonts w:eastAsiaTheme="minorHAnsi"/>
          <w:kern w:val="11"/>
          <w:lang w:val="en-US" w:eastAsia="en-US"/>
        </w:rPr>
        <w:t>Lys</w:t>
      </w:r>
      <w:r w:rsidR="008F07CC" w:rsidRPr="001416ED">
        <w:rPr>
          <w:rFonts w:eastAsiaTheme="minorHAnsi"/>
          <w:kern w:val="11"/>
          <w:lang w:val="uk-UA" w:eastAsia="en-US"/>
        </w:rPr>
        <w:t xml:space="preserve"> мають достовірно вищі показники ЕТ</w:t>
      </w:r>
      <w:r w:rsidR="00BC0119" w:rsidRPr="001416ED">
        <w:rPr>
          <w:rFonts w:eastAsiaTheme="minorHAnsi"/>
          <w:kern w:val="11"/>
          <w:lang w:val="uk-UA" w:eastAsia="en-US"/>
        </w:rPr>
        <w:t>–</w:t>
      </w:r>
      <w:r w:rsidR="008F07CC" w:rsidRPr="001416ED">
        <w:rPr>
          <w:rFonts w:eastAsiaTheme="minorHAnsi"/>
          <w:kern w:val="11"/>
          <w:lang w:val="uk-UA" w:eastAsia="en-US"/>
        </w:rPr>
        <w:t>1 в плазмі крові при усіх ступенях АГ, н</w:t>
      </w:r>
      <w:r w:rsidR="008037E5" w:rsidRPr="001416ED">
        <w:rPr>
          <w:rFonts w:eastAsiaTheme="minorHAnsi"/>
          <w:kern w:val="11"/>
          <w:lang w:val="uk-UA" w:eastAsia="en-US"/>
        </w:rPr>
        <w:t>і</w:t>
      </w:r>
      <w:r w:rsidR="008F07CC" w:rsidRPr="001416ED">
        <w:rPr>
          <w:rFonts w:eastAsiaTheme="minorHAnsi"/>
          <w:kern w:val="11"/>
          <w:lang w:val="uk-UA" w:eastAsia="en-US"/>
        </w:rPr>
        <w:t xml:space="preserve">ж у осіб з ГХ ІІ ст. </w:t>
      </w:r>
      <w:r w:rsidR="00BC0119" w:rsidRPr="001416ED">
        <w:rPr>
          <w:rFonts w:eastAsiaTheme="minorHAnsi"/>
          <w:kern w:val="11"/>
          <w:lang w:val="uk-UA" w:eastAsia="en-US"/>
        </w:rPr>
        <w:t>–</w:t>
      </w:r>
      <w:r w:rsidR="008F07CC" w:rsidRPr="001416ED">
        <w:rPr>
          <w:rFonts w:eastAsiaTheme="minorHAnsi"/>
          <w:kern w:val="11"/>
          <w:lang w:val="uk-UA" w:eastAsia="en-US"/>
        </w:rPr>
        <w:t xml:space="preserve"> носіїв такого ж генотипу. Проте при носійстві алелі </w:t>
      </w:r>
      <w:r w:rsidR="008F07CC" w:rsidRPr="001416ED">
        <w:rPr>
          <w:rFonts w:eastAsiaTheme="minorHAnsi"/>
          <w:kern w:val="11"/>
          <w:lang w:val="en-US" w:eastAsia="en-US"/>
        </w:rPr>
        <w:t>Asn</w:t>
      </w:r>
      <w:r w:rsidR="008F07CC" w:rsidRPr="001416ED">
        <w:rPr>
          <w:rFonts w:eastAsiaTheme="minorHAnsi"/>
          <w:kern w:val="11"/>
          <w:lang w:val="uk-UA" w:eastAsia="en-US"/>
        </w:rPr>
        <w:t xml:space="preserve"> різниці в плазмовій концентрації ЕТ</w:t>
      </w:r>
      <w:r w:rsidR="00BC0119" w:rsidRPr="001416ED">
        <w:rPr>
          <w:rFonts w:eastAsiaTheme="minorHAnsi"/>
          <w:kern w:val="11"/>
          <w:lang w:val="uk-UA" w:eastAsia="en-US"/>
        </w:rPr>
        <w:t>–</w:t>
      </w:r>
      <w:r w:rsidR="008F07CC" w:rsidRPr="001416ED">
        <w:rPr>
          <w:rFonts w:eastAsiaTheme="minorHAnsi"/>
          <w:kern w:val="11"/>
          <w:lang w:val="uk-UA" w:eastAsia="en-US"/>
        </w:rPr>
        <w:t xml:space="preserve">1 між особами з ГХ різної </w:t>
      </w:r>
      <w:r w:rsidR="00046A18" w:rsidRPr="001416ED">
        <w:rPr>
          <w:rFonts w:eastAsiaTheme="minorHAnsi"/>
          <w:kern w:val="11"/>
          <w:lang w:val="uk-UA" w:eastAsia="en-US"/>
        </w:rPr>
        <w:t>стадії</w:t>
      </w:r>
      <w:r w:rsidR="008F07CC" w:rsidRPr="001416ED">
        <w:rPr>
          <w:rFonts w:eastAsiaTheme="minorHAnsi"/>
          <w:kern w:val="11"/>
          <w:lang w:val="uk-UA" w:eastAsia="en-US"/>
        </w:rPr>
        <w:t xml:space="preserve"> та різних ступенях АГ не досліджено.</w:t>
      </w:r>
    </w:p>
    <w:p w:rsidR="00B73828" w:rsidRPr="001416ED" w:rsidRDefault="00C53C22" w:rsidP="00DC5D4C">
      <w:pPr>
        <w:spacing w:line="360" w:lineRule="auto"/>
        <w:ind w:firstLine="709"/>
        <w:jc w:val="both"/>
        <w:rPr>
          <w:rFonts w:eastAsiaTheme="minorHAnsi"/>
          <w:lang w:val="uk-UA" w:eastAsia="en-US"/>
        </w:rPr>
      </w:pPr>
      <w:r w:rsidRPr="001416ED">
        <w:rPr>
          <w:rFonts w:eastAsiaTheme="minorHAnsi"/>
          <w:kern w:val="11"/>
          <w:lang w:val="uk-UA" w:eastAsia="en-US"/>
        </w:rPr>
        <w:t xml:space="preserve"> </w:t>
      </w:r>
      <w:r w:rsidR="00E24FB6" w:rsidRPr="001416ED">
        <w:rPr>
          <w:rFonts w:eastAsiaTheme="minorHAnsi"/>
          <w:lang w:val="uk-UA" w:eastAsia="en-US"/>
        </w:rPr>
        <w:t>Оскільки</w:t>
      </w:r>
      <w:r w:rsidR="003442EB" w:rsidRPr="001416ED">
        <w:rPr>
          <w:rFonts w:eastAsiaTheme="minorHAnsi"/>
          <w:lang w:val="uk-UA" w:eastAsia="en-US"/>
        </w:rPr>
        <w:t>,</w:t>
      </w:r>
      <w:r w:rsidR="00E24FB6" w:rsidRPr="001416ED">
        <w:rPr>
          <w:rFonts w:eastAsiaTheme="minorHAnsi"/>
          <w:lang w:val="uk-UA" w:eastAsia="en-US"/>
        </w:rPr>
        <w:t xml:space="preserve"> ожиріння </w:t>
      </w:r>
      <w:r w:rsidR="00E762E5" w:rsidRPr="001416ED">
        <w:rPr>
          <w:rFonts w:eastAsiaTheme="minorHAnsi"/>
          <w:lang w:val="uk-UA" w:eastAsia="en-US"/>
        </w:rPr>
        <w:t>може впливати на рівні біомаркерів</w:t>
      </w:r>
      <w:r w:rsidR="00E24FB6" w:rsidRPr="001416ED">
        <w:rPr>
          <w:rFonts w:eastAsiaTheme="minorHAnsi"/>
          <w:lang w:val="uk-UA" w:eastAsia="en-US"/>
        </w:rPr>
        <w:t>, було вирішено розрахувати плазмову концентраці</w:t>
      </w:r>
      <w:r w:rsidR="007A61F6" w:rsidRPr="001416ED">
        <w:rPr>
          <w:rFonts w:eastAsiaTheme="minorHAnsi"/>
          <w:lang w:val="uk-UA" w:eastAsia="en-US"/>
        </w:rPr>
        <w:t>ю</w:t>
      </w:r>
      <w:r w:rsidR="00E24FB6" w:rsidRPr="001416ED">
        <w:rPr>
          <w:rFonts w:eastAsiaTheme="minorHAnsi"/>
          <w:lang w:val="uk-UA" w:eastAsia="en-US"/>
        </w:rPr>
        <w:t xml:space="preserve"> ЕТ</w:t>
      </w:r>
      <w:r w:rsidR="00BC0119" w:rsidRPr="001416ED">
        <w:rPr>
          <w:rFonts w:eastAsiaTheme="minorHAnsi"/>
          <w:lang w:val="uk-UA" w:eastAsia="en-US"/>
        </w:rPr>
        <w:t>–</w:t>
      </w:r>
      <w:r w:rsidR="00E24FB6" w:rsidRPr="001416ED">
        <w:rPr>
          <w:rFonts w:eastAsiaTheme="minorHAnsi"/>
          <w:lang w:val="uk-UA" w:eastAsia="en-US"/>
        </w:rPr>
        <w:t xml:space="preserve">1 у чоловіків з ГХ різної </w:t>
      </w:r>
      <w:r w:rsidR="00046A18" w:rsidRPr="001416ED">
        <w:rPr>
          <w:rFonts w:eastAsiaTheme="minorHAnsi"/>
          <w:lang w:val="uk-UA" w:eastAsia="en-US"/>
        </w:rPr>
        <w:t>стадії</w:t>
      </w:r>
      <w:r w:rsidR="00E24FB6" w:rsidRPr="001416ED">
        <w:rPr>
          <w:rFonts w:eastAsiaTheme="minorHAnsi"/>
          <w:lang w:val="uk-UA" w:eastAsia="en-US"/>
        </w:rPr>
        <w:t xml:space="preserve"> при різному ІМТ</w:t>
      </w:r>
      <w:r w:rsidR="00AF2DFA" w:rsidRPr="001416ED">
        <w:rPr>
          <w:rFonts w:eastAsiaTheme="minorHAnsi"/>
          <w:lang w:val="uk-UA" w:eastAsia="en-US"/>
        </w:rPr>
        <w:t xml:space="preserve"> (табл.</w:t>
      </w:r>
      <w:r w:rsidR="00C5655B" w:rsidRPr="001416ED">
        <w:rPr>
          <w:rFonts w:eastAsiaTheme="minorHAnsi"/>
          <w:lang w:val="uk-UA" w:eastAsia="en-US"/>
        </w:rPr>
        <w:t xml:space="preserve"> </w:t>
      </w:r>
      <w:r w:rsidR="00AF2DFA" w:rsidRPr="001416ED">
        <w:rPr>
          <w:rFonts w:eastAsiaTheme="minorHAnsi"/>
          <w:lang w:val="uk-UA" w:eastAsia="en-US"/>
        </w:rPr>
        <w:t>4.</w:t>
      </w:r>
      <w:r w:rsidR="00EC6DB5" w:rsidRPr="001416ED">
        <w:rPr>
          <w:rFonts w:eastAsiaTheme="minorHAnsi"/>
          <w:lang w:val="uk-UA" w:eastAsia="en-US"/>
        </w:rPr>
        <w:t>6</w:t>
      </w:r>
      <w:r w:rsidR="00AF2DFA" w:rsidRPr="001416ED">
        <w:rPr>
          <w:rFonts w:eastAsiaTheme="minorHAnsi"/>
          <w:lang w:val="uk-UA" w:eastAsia="en-US"/>
        </w:rPr>
        <w:t>)</w:t>
      </w:r>
      <w:r w:rsidR="00E24FB6" w:rsidRPr="001416ED">
        <w:rPr>
          <w:rFonts w:eastAsiaTheme="minorHAnsi"/>
          <w:lang w:val="uk-UA" w:eastAsia="en-US"/>
        </w:rPr>
        <w:t>.</w:t>
      </w:r>
    </w:p>
    <w:p w:rsidR="00E24FB6" w:rsidRPr="001416ED" w:rsidRDefault="00D872A3" w:rsidP="009244AC">
      <w:pPr>
        <w:spacing w:line="360" w:lineRule="auto"/>
        <w:ind w:firstLine="709"/>
        <w:jc w:val="right"/>
        <w:rPr>
          <w:rFonts w:eastAsiaTheme="minorHAnsi"/>
          <w:b/>
          <w:lang w:val="uk-UA" w:eastAsia="en-US"/>
        </w:rPr>
      </w:pPr>
      <w:r w:rsidRPr="001416ED">
        <w:rPr>
          <w:rFonts w:eastAsiaTheme="minorHAnsi"/>
          <w:b/>
          <w:lang w:val="uk-UA" w:eastAsia="en-US"/>
        </w:rPr>
        <w:t>Таблиц</w:t>
      </w:r>
      <w:r w:rsidR="00E81E36" w:rsidRPr="001416ED">
        <w:rPr>
          <w:rFonts w:eastAsiaTheme="minorHAnsi"/>
          <w:b/>
          <w:lang w:val="uk-UA" w:eastAsia="en-US"/>
        </w:rPr>
        <w:t>я</w:t>
      </w:r>
      <w:r w:rsidRPr="001416ED">
        <w:rPr>
          <w:rFonts w:eastAsiaTheme="minorHAnsi"/>
          <w:b/>
          <w:lang w:val="uk-UA" w:eastAsia="en-US"/>
        </w:rPr>
        <w:t xml:space="preserve"> 4.</w:t>
      </w:r>
      <w:r w:rsidR="00EC6DB5" w:rsidRPr="001416ED">
        <w:rPr>
          <w:rFonts w:eastAsiaTheme="minorHAnsi"/>
          <w:b/>
          <w:lang w:val="uk-UA" w:eastAsia="en-US"/>
        </w:rPr>
        <w:t>6</w:t>
      </w:r>
    </w:p>
    <w:p w:rsidR="00076FF2" w:rsidRPr="001416ED" w:rsidRDefault="00076FF2" w:rsidP="00587147">
      <w:pPr>
        <w:spacing w:line="360" w:lineRule="auto"/>
        <w:ind w:firstLine="709"/>
        <w:jc w:val="center"/>
        <w:rPr>
          <w:rFonts w:eastAsiaTheme="minorHAnsi"/>
          <w:b/>
          <w:lang w:val="uk-UA" w:eastAsia="en-US"/>
        </w:rPr>
      </w:pPr>
      <w:r w:rsidRPr="001416ED">
        <w:rPr>
          <w:rFonts w:eastAsiaTheme="minorHAnsi"/>
          <w:b/>
          <w:lang w:val="uk-UA" w:eastAsia="en-US"/>
        </w:rPr>
        <w:t>Плазмова концентрація ЕТ</w:t>
      </w:r>
      <w:r w:rsidR="00BC0119" w:rsidRPr="001416ED">
        <w:rPr>
          <w:rFonts w:eastAsiaTheme="minorHAnsi"/>
          <w:b/>
          <w:lang w:val="uk-UA" w:eastAsia="en-US"/>
        </w:rPr>
        <w:t>–</w:t>
      </w:r>
      <w:r w:rsidRPr="001416ED">
        <w:rPr>
          <w:rFonts w:eastAsiaTheme="minorHAnsi"/>
          <w:b/>
          <w:lang w:val="uk-UA" w:eastAsia="en-US"/>
        </w:rPr>
        <w:t>1 у чоловіків групи контролю, хворих на ГХ ІІ ст</w:t>
      </w:r>
      <w:r w:rsidR="00137FF0" w:rsidRPr="001416ED">
        <w:rPr>
          <w:rFonts w:eastAsiaTheme="minorHAnsi"/>
          <w:b/>
          <w:lang w:val="uk-UA" w:eastAsia="en-US"/>
        </w:rPr>
        <w:t xml:space="preserve">. </w:t>
      </w:r>
      <w:r w:rsidRPr="001416ED">
        <w:rPr>
          <w:rFonts w:eastAsiaTheme="minorHAnsi"/>
          <w:b/>
          <w:lang w:val="uk-UA" w:eastAsia="en-US"/>
        </w:rPr>
        <w:t xml:space="preserve">та у пацієнтів з </w:t>
      </w:r>
      <w:r w:rsidR="002C2477" w:rsidRPr="001416ED">
        <w:rPr>
          <w:rFonts w:eastAsiaTheme="minorHAnsi"/>
          <w:b/>
          <w:lang w:val="uk-UA" w:eastAsia="en-US"/>
        </w:rPr>
        <w:t xml:space="preserve">ГХ ІІІ ст., </w:t>
      </w:r>
      <w:r w:rsidRPr="001416ED">
        <w:rPr>
          <w:rFonts w:eastAsiaTheme="minorHAnsi"/>
          <w:b/>
          <w:lang w:val="uk-UA" w:eastAsia="en-US"/>
        </w:rPr>
        <w:t>з різним ІМТ,</w:t>
      </w:r>
      <w:r w:rsidRPr="001416ED">
        <w:rPr>
          <w:lang w:val="uk-UA"/>
        </w:rPr>
        <w:t xml:space="preserve"> </w:t>
      </w:r>
      <w:r w:rsidRPr="001416ED">
        <w:rPr>
          <w:rFonts w:eastAsiaTheme="minorHAnsi"/>
          <w:b/>
          <w:lang w:val="uk-UA" w:eastAsia="en-US"/>
        </w:rPr>
        <w:t>фмоль/мл  (M</w:t>
      </w:r>
      <w:r w:rsidR="007A07A9" w:rsidRPr="001416ED">
        <w:rPr>
          <w:rFonts w:eastAsiaTheme="minorHAnsi"/>
          <w:b/>
          <w:lang w:val="uk-UA" w:eastAsia="en-US"/>
        </w:rPr>
        <w:t xml:space="preserve"> ± </w:t>
      </w:r>
      <w:r w:rsidRPr="001416ED">
        <w:rPr>
          <w:rFonts w:eastAsiaTheme="minorHAnsi"/>
          <w:b/>
          <w:lang w:val="uk-UA" w:eastAsia="en-US"/>
        </w:rPr>
        <w:t xml:space="preserve">m) </w:t>
      </w:r>
    </w:p>
    <w:tbl>
      <w:tblPr>
        <w:tblStyle w:val="af5"/>
        <w:tblW w:w="10173" w:type="dxa"/>
        <w:tblLook w:val="04A0" w:firstRow="1" w:lastRow="0" w:firstColumn="1" w:lastColumn="0" w:noHBand="0" w:noVBand="1"/>
      </w:tblPr>
      <w:tblGrid>
        <w:gridCol w:w="2093"/>
        <w:gridCol w:w="1559"/>
        <w:gridCol w:w="1701"/>
        <w:gridCol w:w="1701"/>
        <w:gridCol w:w="3119"/>
      </w:tblGrid>
      <w:tr w:rsidR="000C7220" w:rsidRPr="001416ED" w:rsidTr="00EA7C60">
        <w:tc>
          <w:tcPr>
            <w:tcW w:w="2093" w:type="dxa"/>
          </w:tcPr>
          <w:p w:rsidR="000C7220" w:rsidRPr="001416ED" w:rsidRDefault="000C7220" w:rsidP="007A155C">
            <w:pPr>
              <w:widowControl w:val="0"/>
              <w:autoSpaceDE w:val="0"/>
              <w:autoSpaceDN w:val="0"/>
              <w:adjustRightInd w:val="0"/>
              <w:spacing w:line="360" w:lineRule="auto"/>
              <w:jc w:val="center"/>
              <w:rPr>
                <w:b/>
                <w:lang w:val="uk-UA"/>
              </w:rPr>
            </w:pPr>
            <w:r w:rsidRPr="001416ED">
              <w:rPr>
                <w:b/>
                <w:lang w:val="uk-UA"/>
              </w:rPr>
              <w:t>Група</w:t>
            </w:r>
          </w:p>
        </w:tc>
        <w:tc>
          <w:tcPr>
            <w:tcW w:w="1559" w:type="dxa"/>
          </w:tcPr>
          <w:p w:rsidR="000C7220" w:rsidRPr="001416ED" w:rsidRDefault="000C7220" w:rsidP="007A155C">
            <w:pPr>
              <w:widowControl w:val="0"/>
              <w:autoSpaceDE w:val="0"/>
              <w:autoSpaceDN w:val="0"/>
              <w:adjustRightInd w:val="0"/>
              <w:spacing w:line="360" w:lineRule="auto"/>
              <w:jc w:val="center"/>
              <w:rPr>
                <w:b/>
                <w:lang w:val="uk-UA"/>
              </w:rPr>
            </w:pPr>
            <w:r w:rsidRPr="001416ED">
              <w:rPr>
                <w:b/>
                <w:lang w:val="uk-UA"/>
              </w:rPr>
              <w:t>Група контролю (n=79)</w:t>
            </w:r>
          </w:p>
        </w:tc>
        <w:tc>
          <w:tcPr>
            <w:tcW w:w="1701" w:type="dxa"/>
          </w:tcPr>
          <w:p w:rsidR="000C7220" w:rsidRPr="001416ED" w:rsidRDefault="000C7220" w:rsidP="007A155C">
            <w:pPr>
              <w:widowControl w:val="0"/>
              <w:autoSpaceDE w:val="0"/>
              <w:autoSpaceDN w:val="0"/>
              <w:adjustRightInd w:val="0"/>
              <w:spacing w:line="360" w:lineRule="auto"/>
              <w:jc w:val="center"/>
              <w:rPr>
                <w:b/>
                <w:lang w:val="uk-UA"/>
              </w:rPr>
            </w:pPr>
            <w:r w:rsidRPr="001416ED">
              <w:rPr>
                <w:b/>
                <w:lang w:val="uk-UA"/>
              </w:rPr>
              <w:t>Пацієнти з ГХ ІІ ст. (n=62)</w:t>
            </w:r>
          </w:p>
        </w:tc>
        <w:tc>
          <w:tcPr>
            <w:tcW w:w="1701" w:type="dxa"/>
          </w:tcPr>
          <w:p w:rsidR="000C7220" w:rsidRPr="001416ED" w:rsidRDefault="00FB51E5" w:rsidP="008037E5">
            <w:pPr>
              <w:widowControl w:val="0"/>
              <w:autoSpaceDE w:val="0"/>
              <w:autoSpaceDN w:val="0"/>
              <w:adjustRightInd w:val="0"/>
              <w:spacing w:line="360" w:lineRule="auto"/>
              <w:jc w:val="center"/>
              <w:rPr>
                <w:b/>
                <w:lang w:val="uk-UA"/>
              </w:rPr>
            </w:pPr>
            <w:r w:rsidRPr="001416ED">
              <w:rPr>
                <w:b/>
                <w:lang w:val="uk-UA"/>
              </w:rPr>
              <w:t>Пацієнти з ГХ ІІІ ст.</w:t>
            </w:r>
            <w:r w:rsidR="00EA7C60" w:rsidRPr="001416ED">
              <w:rPr>
                <w:b/>
                <w:lang w:val="uk-UA"/>
              </w:rPr>
              <w:t xml:space="preserve"> </w:t>
            </w:r>
            <w:r w:rsidR="008037E5" w:rsidRPr="001416ED">
              <w:rPr>
                <w:b/>
                <w:lang w:val="uk-UA"/>
              </w:rPr>
              <w:t>(</w:t>
            </w:r>
            <w:r w:rsidR="000C7220" w:rsidRPr="001416ED">
              <w:rPr>
                <w:b/>
                <w:lang w:val="uk-UA"/>
              </w:rPr>
              <w:t>n=50)</w:t>
            </w:r>
          </w:p>
        </w:tc>
        <w:tc>
          <w:tcPr>
            <w:tcW w:w="3119" w:type="dxa"/>
          </w:tcPr>
          <w:p w:rsidR="000C7220" w:rsidRPr="001416ED" w:rsidRDefault="000C7220" w:rsidP="007A155C">
            <w:pPr>
              <w:widowControl w:val="0"/>
              <w:autoSpaceDE w:val="0"/>
              <w:autoSpaceDN w:val="0"/>
              <w:adjustRightInd w:val="0"/>
              <w:spacing w:line="360" w:lineRule="auto"/>
              <w:jc w:val="center"/>
              <w:rPr>
                <w:b/>
                <w:lang w:val="uk-UA"/>
              </w:rPr>
            </w:pPr>
            <w:r w:rsidRPr="001416ED">
              <w:rPr>
                <w:b/>
                <w:lang w:val="uk-UA"/>
              </w:rPr>
              <w:t>р</w:t>
            </w:r>
          </w:p>
        </w:tc>
      </w:tr>
      <w:tr w:rsidR="000C7220" w:rsidRPr="001416ED" w:rsidTr="00EA7C60">
        <w:tc>
          <w:tcPr>
            <w:tcW w:w="2093" w:type="dxa"/>
          </w:tcPr>
          <w:p w:rsidR="000C7220" w:rsidRPr="001416ED" w:rsidRDefault="000C7220" w:rsidP="007A155C">
            <w:pPr>
              <w:widowControl w:val="0"/>
              <w:autoSpaceDE w:val="0"/>
              <w:autoSpaceDN w:val="0"/>
              <w:adjustRightInd w:val="0"/>
              <w:spacing w:line="360" w:lineRule="auto"/>
              <w:jc w:val="both"/>
              <w:rPr>
                <w:lang w:val="uk-UA"/>
              </w:rPr>
            </w:pPr>
            <w:r w:rsidRPr="001416ED">
              <w:rPr>
                <w:lang w:val="uk-UA"/>
              </w:rPr>
              <w:t>Нормальна маса тіла</w:t>
            </w:r>
          </w:p>
        </w:tc>
        <w:tc>
          <w:tcPr>
            <w:tcW w:w="1559" w:type="dxa"/>
          </w:tcPr>
          <w:p w:rsidR="000C7220" w:rsidRPr="001416ED" w:rsidRDefault="000C7220" w:rsidP="000C7220">
            <w:pPr>
              <w:widowControl w:val="0"/>
              <w:autoSpaceDE w:val="0"/>
              <w:autoSpaceDN w:val="0"/>
              <w:adjustRightInd w:val="0"/>
              <w:spacing w:line="360" w:lineRule="auto"/>
              <w:jc w:val="center"/>
              <w:rPr>
                <w:lang w:val="uk-UA"/>
              </w:rPr>
            </w:pPr>
            <w:r w:rsidRPr="001416ED">
              <w:rPr>
                <w:lang w:val="uk-UA"/>
              </w:rPr>
              <w:t>1,87</w:t>
            </w:r>
            <w:r w:rsidR="007A07A9" w:rsidRPr="001416ED">
              <w:rPr>
                <w:lang w:val="uk-UA"/>
              </w:rPr>
              <w:t xml:space="preserve"> ± </w:t>
            </w:r>
            <w:r w:rsidRPr="001416ED">
              <w:rPr>
                <w:lang w:val="uk-UA"/>
              </w:rPr>
              <w:t>0,11</w:t>
            </w:r>
          </w:p>
          <w:p w:rsidR="000C7220" w:rsidRPr="001416ED" w:rsidRDefault="000C7220" w:rsidP="00EA7C60">
            <w:pPr>
              <w:widowControl w:val="0"/>
              <w:autoSpaceDE w:val="0"/>
              <w:autoSpaceDN w:val="0"/>
              <w:adjustRightInd w:val="0"/>
              <w:spacing w:line="360" w:lineRule="auto"/>
              <w:jc w:val="center"/>
              <w:rPr>
                <w:lang w:val="uk-UA"/>
              </w:rPr>
            </w:pPr>
            <w:r w:rsidRPr="001416ED">
              <w:rPr>
                <w:lang w:val="uk-UA"/>
              </w:rPr>
              <w:t>(n=50)</w:t>
            </w:r>
            <w:r w:rsidR="00EA7C60" w:rsidRPr="001416ED">
              <w:rPr>
                <w:lang w:val="uk-UA"/>
              </w:rPr>
              <w:t xml:space="preserve"> </w:t>
            </w:r>
            <w:r w:rsidRPr="001416ED">
              <w:rPr>
                <w:lang w:val="uk-UA"/>
              </w:rPr>
              <w:t>(1)</w:t>
            </w:r>
          </w:p>
        </w:tc>
        <w:tc>
          <w:tcPr>
            <w:tcW w:w="1701" w:type="dxa"/>
          </w:tcPr>
          <w:p w:rsidR="000C7220" w:rsidRPr="001416ED" w:rsidRDefault="000C7220" w:rsidP="000C7220">
            <w:pPr>
              <w:widowControl w:val="0"/>
              <w:autoSpaceDE w:val="0"/>
              <w:autoSpaceDN w:val="0"/>
              <w:adjustRightInd w:val="0"/>
              <w:spacing w:line="360" w:lineRule="auto"/>
              <w:jc w:val="center"/>
              <w:rPr>
                <w:lang w:val="uk-UA"/>
              </w:rPr>
            </w:pPr>
            <w:r w:rsidRPr="001416ED">
              <w:rPr>
                <w:lang w:val="uk-UA"/>
              </w:rPr>
              <w:t>12,64</w:t>
            </w:r>
            <w:r w:rsidR="007A07A9" w:rsidRPr="001416ED">
              <w:rPr>
                <w:lang w:val="uk-UA"/>
              </w:rPr>
              <w:t xml:space="preserve"> ± </w:t>
            </w:r>
            <w:r w:rsidRPr="001416ED">
              <w:rPr>
                <w:lang w:val="uk-UA"/>
              </w:rPr>
              <w:t>0,33</w:t>
            </w:r>
          </w:p>
          <w:p w:rsidR="000C7220" w:rsidRPr="001416ED" w:rsidRDefault="000C7220" w:rsidP="00EA7C60">
            <w:pPr>
              <w:widowControl w:val="0"/>
              <w:autoSpaceDE w:val="0"/>
              <w:autoSpaceDN w:val="0"/>
              <w:adjustRightInd w:val="0"/>
              <w:spacing w:line="360" w:lineRule="auto"/>
              <w:jc w:val="center"/>
              <w:rPr>
                <w:lang w:val="uk-UA"/>
              </w:rPr>
            </w:pPr>
            <w:r w:rsidRPr="001416ED">
              <w:rPr>
                <w:lang w:val="uk-UA"/>
              </w:rPr>
              <w:t>(n=28)</w:t>
            </w:r>
            <w:r w:rsidR="00EA7C60" w:rsidRPr="001416ED">
              <w:rPr>
                <w:lang w:val="uk-UA"/>
              </w:rPr>
              <w:t xml:space="preserve"> </w:t>
            </w:r>
            <w:r w:rsidRPr="001416ED">
              <w:rPr>
                <w:lang w:val="uk-UA"/>
              </w:rPr>
              <w:t>(2)</w:t>
            </w:r>
          </w:p>
        </w:tc>
        <w:tc>
          <w:tcPr>
            <w:tcW w:w="1701" w:type="dxa"/>
          </w:tcPr>
          <w:p w:rsidR="000C7220" w:rsidRPr="001416ED" w:rsidRDefault="000C7220" w:rsidP="000C7220">
            <w:pPr>
              <w:widowControl w:val="0"/>
              <w:autoSpaceDE w:val="0"/>
              <w:autoSpaceDN w:val="0"/>
              <w:adjustRightInd w:val="0"/>
              <w:spacing w:line="360" w:lineRule="auto"/>
              <w:jc w:val="center"/>
              <w:rPr>
                <w:lang w:val="uk-UA"/>
              </w:rPr>
            </w:pPr>
            <w:r w:rsidRPr="001416ED">
              <w:rPr>
                <w:lang w:val="uk-UA"/>
              </w:rPr>
              <w:t>12,96</w:t>
            </w:r>
            <w:r w:rsidR="007A07A9" w:rsidRPr="001416ED">
              <w:rPr>
                <w:lang w:val="uk-UA"/>
              </w:rPr>
              <w:t xml:space="preserve"> ± </w:t>
            </w:r>
            <w:r w:rsidRPr="001416ED">
              <w:rPr>
                <w:lang w:val="uk-UA"/>
              </w:rPr>
              <w:t>0,16</w:t>
            </w:r>
          </w:p>
          <w:p w:rsidR="000C7220" w:rsidRPr="001416ED" w:rsidRDefault="000C7220" w:rsidP="00EA7C60">
            <w:pPr>
              <w:widowControl w:val="0"/>
              <w:autoSpaceDE w:val="0"/>
              <w:autoSpaceDN w:val="0"/>
              <w:adjustRightInd w:val="0"/>
              <w:spacing w:line="360" w:lineRule="auto"/>
              <w:jc w:val="center"/>
              <w:rPr>
                <w:lang w:val="uk-UA"/>
              </w:rPr>
            </w:pPr>
            <w:r w:rsidRPr="001416ED">
              <w:rPr>
                <w:lang w:val="uk-UA"/>
              </w:rPr>
              <w:t>(n=4)</w:t>
            </w:r>
            <w:r w:rsidR="00EA7C60" w:rsidRPr="001416ED">
              <w:rPr>
                <w:lang w:val="uk-UA"/>
              </w:rPr>
              <w:t xml:space="preserve"> </w:t>
            </w:r>
            <w:r w:rsidRPr="001416ED">
              <w:rPr>
                <w:lang w:val="uk-UA"/>
              </w:rPr>
              <w:t>(3)</w:t>
            </w:r>
          </w:p>
        </w:tc>
        <w:tc>
          <w:tcPr>
            <w:tcW w:w="3119" w:type="dxa"/>
          </w:tcPr>
          <w:p w:rsidR="00494FD1" w:rsidRPr="001416ED" w:rsidRDefault="00494FD1" w:rsidP="00B20941">
            <w:pPr>
              <w:spacing w:line="360" w:lineRule="auto"/>
              <w:jc w:val="center"/>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2</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&lt;0,0001</w:t>
            </w:r>
            <w:r w:rsidR="00EA7C60" w:rsidRPr="001416ED">
              <w:rPr>
                <w:rFonts w:eastAsiaTheme="minorHAnsi"/>
                <w:kern w:val="11"/>
                <w:lang w:val="uk-UA" w:eastAsia="en-US"/>
              </w:rPr>
              <w:t>;</w:t>
            </w:r>
            <w:r w:rsidR="003442EB" w:rsidRPr="001416ED">
              <w:rPr>
                <w:rFonts w:eastAsiaTheme="minorHAnsi"/>
                <w:kern w:val="11"/>
                <w:lang w:val="uk-UA" w:eastAsia="en-US"/>
              </w:rPr>
              <w:t xml:space="preserve"> </w:t>
            </w: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&lt;0,0001</w:t>
            </w:r>
            <w:r w:rsidR="00EA7C60" w:rsidRPr="001416ED">
              <w:rPr>
                <w:rFonts w:eastAsiaTheme="minorHAnsi"/>
                <w:kern w:val="11"/>
                <w:lang w:val="uk-UA" w:eastAsia="en-US"/>
              </w:rPr>
              <w:t>;</w:t>
            </w:r>
          </w:p>
          <w:p w:rsidR="000C7220" w:rsidRPr="001416ED" w:rsidRDefault="00494FD1" w:rsidP="00B20941">
            <w:pPr>
              <w:widowControl w:val="0"/>
              <w:autoSpaceDE w:val="0"/>
              <w:autoSpaceDN w:val="0"/>
              <w:adjustRightInd w:val="0"/>
              <w:spacing w:line="360" w:lineRule="auto"/>
              <w:jc w:val="center"/>
              <w:rPr>
                <w:lang w:val="uk-UA"/>
              </w:rPr>
            </w:pP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2</w:t>
            </w:r>
            <w:r w:rsidRPr="001416ED">
              <w:rPr>
                <w:rFonts w:eastAsiaTheme="minorHAnsi"/>
                <w:kern w:val="11"/>
                <w:lang w:val="uk-UA" w:eastAsia="en-US"/>
              </w:rPr>
              <w:t>&gt;0,05</w:t>
            </w:r>
          </w:p>
        </w:tc>
      </w:tr>
      <w:tr w:rsidR="0074585F" w:rsidRPr="001416ED" w:rsidTr="00EA7C60">
        <w:tc>
          <w:tcPr>
            <w:tcW w:w="2093" w:type="dxa"/>
          </w:tcPr>
          <w:p w:rsidR="0074585F" w:rsidRPr="001416ED" w:rsidRDefault="0074585F" w:rsidP="007A3C1A">
            <w:pPr>
              <w:widowControl w:val="0"/>
              <w:autoSpaceDE w:val="0"/>
              <w:autoSpaceDN w:val="0"/>
              <w:adjustRightInd w:val="0"/>
              <w:spacing w:line="360" w:lineRule="auto"/>
              <w:jc w:val="both"/>
              <w:rPr>
                <w:lang w:val="uk-UA"/>
              </w:rPr>
            </w:pPr>
            <w:r w:rsidRPr="001416ED">
              <w:rPr>
                <w:lang w:val="uk-UA"/>
              </w:rPr>
              <w:t>Надмірна маса тіла</w:t>
            </w:r>
          </w:p>
        </w:tc>
        <w:tc>
          <w:tcPr>
            <w:tcW w:w="1559" w:type="dxa"/>
          </w:tcPr>
          <w:p w:rsidR="0074585F" w:rsidRPr="001416ED" w:rsidRDefault="00EA7C60" w:rsidP="007A3C1A">
            <w:pPr>
              <w:widowControl w:val="0"/>
              <w:autoSpaceDE w:val="0"/>
              <w:autoSpaceDN w:val="0"/>
              <w:adjustRightInd w:val="0"/>
              <w:spacing w:line="360" w:lineRule="auto"/>
              <w:jc w:val="center"/>
              <w:rPr>
                <w:lang w:val="uk-UA"/>
              </w:rPr>
            </w:pPr>
            <w:r w:rsidRPr="001416ED">
              <w:rPr>
                <w:lang w:val="uk-UA"/>
              </w:rPr>
              <w:t>1,8</w:t>
            </w:r>
            <w:r w:rsidR="007A07A9" w:rsidRPr="001416ED">
              <w:rPr>
                <w:lang w:val="uk-UA"/>
              </w:rPr>
              <w:t xml:space="preserve"> ± </w:t>
            </w:r>
            <w:r w:rsidR="0074585F" w:rsidRPr="001416ED">
              <w:rPr>
                <w:lang w:val="uk-UA"/>
              </w:rPr>
              <w:t>0,11</w:t>
            </w:r>
          </w:p>
          <w:p w:rsidR="0074585F" w:rsidRPr="001416ED" w:rsidRDefault="0074585F" w:rsidP="00EA7C60">
            <w:pPr>
              <w:widowControl w:val="0"/>
              <w:autoSpaceDE w:val="0"/>
              <w:autoSpaceDN w:val="0"/>
              <w:adjustRightInd w:val="0"/>
              <w:spacing w:line="360" w:lineRule="auto"/>
              <w:jc w:val="center"/>
              <w:rPr>
                <w:lang w:val="uk-UA"/>
              </w:rPr>
            </w:pPr>
            <w:r w:rsidRPr="001416ED">
              <w:rPr>
                <w:lang w:val="uk-UA"/>
              </w:rPr>
              <w:t>(n=2</w:t>
            </w:r>
            <w:r w:rsidR="00EA7C60" w:rsidRPr="001416ED">
              <w:rPr>
                <w:lang w:val="uk-UA"/>
              </w:rPr>
              <w:t>9</w:t>
            </w:r>
            <w:r w:rsidRPr="001416ED">
              <w:rPr>
                <w:lang w:val="uk-UA"/>
              </w:rPr>
              <w:t>)</w:t>
            </w:r>
            <w:r w:rsidR="00EA7C60" w:rsidRPr="001416ED">
              <w:rPr>
                <w:lang w:val="uk-UA"/>
              </w:rPr>
              <w:t xml:space="preserve"> </w:t>
            </w:r>
            <w:r w:rsidRPr="001416ED">
              <w:rPr>
                <w:lang w:val="uk-UA"/>
              </w:rPr>
              <w:t>(4)</w:t>
            </w:r>
          </w:p>
        </w:tc>
        <w:tc>
          <w:tcPr>
            <w:tcW w:w="1701" w:type="dxa"/>
          </w:tcPr>
          <w:p w:rsidR="0074585F" w:rsidRPr="001416ED" w:rsidRDefault="0074585F" w:rsidP="007A3C1A">
            <w:pPr>
              <w:widowControl w:val="0"/>
              <w:autoSpaceDE w:val="0"/>
              <w:autoSpaceDN w:val="0"/>
              <w:adjustRightInd w:val="0"/>
              <w:spacing w:line="360" w:lineRule="auto"/>
              <w:jc w:val="center"/>
              <w:rPr>
                <w:lang w:val="uk-UA"/>
              </w:rPr>
            </w:pPr>
            <w:r w:rsidRPr="001416ED">
              <w:rPr>
                <w:lang w:val="uk-UA"/>
              </w:rPr>
              <w:t>12,15</w:t>
            </w:r>
            <w:r w:rsidR="007A07A9" w:rsidRPr="001416ED">
              <w:rPr>
                <w:lang w:val="uk-UA"/>
              </w:rPr>
              <w:t xml:space="preserve"> ± </w:t>
            </w:r>
            <w:r w:rsidRPr="001416ED">
              <w:rPr>
                <w:lang w:val="uk-UA"/>
              </w:rPr>
              <w:t>0,34</w:t>
            </w:r>
          </w:p>
          <w:p w:rsidR="0074585F" w:rsidRPr="001416ED" w:rsidRDefault="0074585F" w:rsidP="00EA7C60">
            <w:pPr>
              <w:widowControl w:val="0"/>
              <w:autoSpaceDE w:val="0"/>
              <w:autoSpaceDN w:val="0"/>
              <w:adjustRightInd w:val="0"/>
              <w:spacing w:line="360" w:lineRule="auto"/>
              <w:jc w:val="center"/>
              <w:rPr>
                <w:lang w:val="uk-UA"/>
              </w:rPr>
            </w:pPr>
            <w:r w:rsidRPr="001416ED">
              <w:rPr>
                <w:lang w:val="uk-UA"/>
              </w:rPr>
              <w:t>(n=21)</w:t>
            </w:r>
            <w:r w:rsidR="00EA7C60" w:rsidRPr="001416ED">
              <w:rPr>
                <w:lang w:val="uk-UA"/>
              </w:rPr>
              <w:t xml:space="preserve"> </w:t>
            </w:r>
            <w:r w:rsidRPr="001416ED">
              <w:rPr>
                <w:lang w:val="uk-UA"/>
              </w:rPr>
              <w:t>(5)</w:t>
            </w:r>
          </w:p>
        </w:tc>
        <w:tc>
          <w:tcPr>
            <w:tcW w:w="1701" w:type="dxa"/>
          </w:tcPr>
          <w:p w:rsidR="0074585F" w:rsidRPr="001416ED" w:rsidRDefault="0074585F" w:rsidP="007A3C1A">
            <w:pPr>
              <w:widowControl w:val="0"/>
              <w:autoSpaceDE w:val="0"/>
              <w:autoSpaceDN w:val="0"/>
              <w:adjustRightInd w:val="0"/>
              <w:spacing w:line="360" w:lineRule="auto"/>
              <w:jc w:val="center"/>
              <w:rPr>
                <w:lang w:val="uk-UA"/>
              </w:rPr>
            </w:pPr>
            <w:r w:rsidRPr="001416ED">
              <w:rPr>
                <w:lang w:val="uk-UA"/>
              </w:rPr>
              <w:t>13,41</w:t>
            </w:r>
            <w:r w:rsidR="007A07A9" w:rsidRPr="001416ED">
              <w:rPr>
                <w:lang w:val="uk-UA"/>
              </w:rPr>
              <w:t xml:space="preserve"> ± </w:t>
            </w:r>
            <w:r w:rsidRPr="001416ED">
              <w:rPr>
                <w:lang w:val="uk-UA"/>
              </w:rPr>
              <w:t>0,21</w:t>
            </w:r>
          </w:p>
          <w:p w:rsidR="0074585F" w:rsidRPr="001416ED" w:rsidRDefault="0074585F" w:rsidP="00EA7C60">
            <w:pPr>
              <w:widowControl w:val="0"/>
              <w:autoSpaceDE w:val="0"/>
              <w:autoSpaceDN w:val="0"/>
              <w:adjustRightInd w:val="0"/>
              <w:spacing w:line="360" w:lineRule="auto"/>
              <w:jc w:val="center"/>
              <w:rPr>
                <w:lang w:val="uk-UA"/>
              </w:rPr>
            </w:pPr>
            <w:r w:rsidRPr="001416ED">
              <w:rPr>
                <w:lang w:val="uk-UA"/>
              </w:rPr>
              <w:t>(n=21)</w:t>
            </w:r>
            <w:r w:rsidR="00EA7C60" w:rsidRPr="001416ED">
              <w:rPr>
                <w:lang w:val="uk-UA"/>
              </w:rPr>
              <w:t xml:space="preserve"> </w:t>
            </w:r>
            <w:r w:rsidRPr="001416ED">
              <w:rPr>
                <w:lang w:val="uk-UA"/>
              </w:rPr>
              <w:t>(6)</w:t>
            </w:r>
          </w:p>
        </w:tc>
        <w:tc>
          <w:tcPr>
            <w:tcW w:w="3119" w:type="dxa"/>
          </w:tcPr>
          <w:p w:rsidR="0074585F" w:rsidRPr="001416ED" w:rsidRDefault="0074585F" w:rsidP="00B20941">
            <w:pPr>
              <w:widowControl w:val="0"/>
              <w:autoSpaceDE w:val="0"/>
              <w:autoSpaceDN w:val="0"/>
              <w:adjustRightInd w:val="0"/>
              <w:spacing w:line="360" w:lineRule="auto"/>
              <w:jc w:val="center"/>
              <w:rPr>
                <w:lang w:val="uk-UA"/>
              </w:rPr>
            </w:pPr>
            <w:r w:rsidRPr="001416ED">
              <w:rPr>
                <w:lang w:val="uk-UA"/>
              </w:rPr>
              <w:t>р</w:t>
            </w:r>
            <w:r w:rsidRPr="001416ED">
              <w:rPr>
                <w:vertAlign w:val="subscript"/>
                <w:lang w:val="uk-UA"/>
              </w:rPr>
              <w:t>5</w:t>
            </w:r>
            <w:r w:rsidR="00BC0119" w:rsidRPr="001416ED">
              <w:rPr>
                <w:vertAlign w:val="subscript"/>
                <w:lang w:val="uk-UA"/>
              </w:rPr>
              <w:t>–</w:t>
            </w:r>
            <w:r w:rsidRPr="001416ED">
              <w:rPr>
                <w:vertAlign w:val="subscript"/>
                <w:lang w:val="uk-UA"/>
              </w:rPr>
              <w:t>4</w:t>
            </w:r>
            <w:r w:rsidRPr="001416ED">
              <w:rPr>
                <w:lang w:val="uk-UA"/>
              </w:rPr>
              <w:t>&lt;0,0001</w:t>
            </w:r>
            <w:r w:rsidR="00EA7C60" w:rsidRPr="001416ED">
              <w:rPr>
                <w:lang w:val="uk-UA"/>
              </w:rPr>
              <w:t>;</w:t>
            </w:r>
            <w:r w:rsidR="003442EB" w:rsidRPr="001416ED">
              <w:rPr>
                <w:lang w:val="uk-UA"/>
              </w:rPr>
              <w:t xml:space="preserve"> </w:t>
            </w: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4</w:t>
            </w:r>
            <w:r w:rsidRPr="001416ED">
              <w:rPr>
                <w:lang w:val="uk-UA"/>
              </w:rPr>
              <w:t>&lt;0,0001</w:t>
            </w:r>
            <w:r w:rsidR="00EA7C60" w:rsidRPr="001416ED">
              <w:rPr>
                <w:lang w:val="uk-UA"/>
              </w:rPr>
              <w:t>;</w:t>
            </w:r>
          </w:p>
          <w:p w:rsidR="002437E2" w:rsidRPr="001416ED" w:rsidRDefault="0074585F" w:rsidP="00B20941">
            <w:pPr>
              <w:widowControl w:val="0"/>
              <w:autoSpaceDE w:val="0"/>
              <w:autoSpaceDN w:val="0"/>
              <w:adjustRightInd w:val="0"/>
              <w:spacing w:line="360" w:lineRule="auto"/>
              <w:jc w:val="center"/>
              <w:rPr>
                <w:lang w:val="uk-UA"/>
              </w:rPr>
            </w:pP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5</w:t>
            </w:r>
            <w:r w:rsidRPr="001416ED">
              <w:rPr>
                <w:lang w:val="uk-UA"/>
              </w:rPr>
              <w:t>&lt;0,001</w:t>
            </w:r>
          </w:p>
        </w:tc>
      </w:tr>
      <w:tr w:rsidR="002437E2" w:rsidRPr="001416ED" w:rsidTr="00EA7C60">
        <w:tc>
          <w:tcPr>
            <w:tcW w:w="2093" w:type="dxa"/>
          </w:tcPr>
          <w:p w:rsidR="002437E2" w:rsidRPr="001416ED" w:rsidRDefault="002437E2" w:rsidP="005F1F66">
            <w:pPr>
              <w:widowControl w:val="0"/>
              <w:autoSpaceDE w:val="0"/>
              <w:autoSpaceDN w:val="0"/>
              <w:adjustRightInd w:val="0"/>
              <w:spacing w:line="360" w:lineRule="auto"/>
              <w:jc w:val="both"/>
              <w:rPr>
                <w:lang w:val="uk-UA"/>
              </w:rPr>
            </w:pPr>
            <w:r w:rsidRPr="001416ED">
              <w:rPr>
                <w:lang w:val="uk-UA"/>
              </w:rPr>
              <w:t xml:space="preserve">Ожиріння </w:t>
            </w:r>
            <w:r w:rsidR="00EA7C60" w:rsidRPr="001416ED">
              <w:rPr>
                <w:lang w:val="uk-UA"/>
              </w:rPr>
              <w:t>І ст.</w:t>
            </w:r>
          </w:p>
        </w:tc>
        <w:tc>
          <w:tcPr>
            <w:tcW w:w="1559" w:type="dxa"/>
          </w:tcPr>
          <w:p w:rsidR="002437E2" w:rsidRPr="001416ED" w:rsidRDefault="00EA7C60" w:rsidP="005F1F66">
            <w:pPr>
              <w:widowControl w:val="0"/>
              <w:autoSpaceDE w:val="0"/>
              <w:autoSpaceDN w:val="0"/>
              <w:adjustRightInd w:val="0"/>
              <w:spacing w:line="360" w:lineRule="auto"/>
              <w:jc w:val="center"/>
              <w:rPr>
                <w:lang w:val="uk-UA"/>
              </w:rPr>
            </w:pPr>
            <w:r w:rsidRPr="001416ED">
              <w:rPr>
                <w:lang w:val="uk-UA"/>
              </w:rPr>
              <w:t>-</w:t>
            </w:r>
          </w:p>
        </w:tc>
        <w:tc>
          <w:tcPr>
            <w:tcW w:w="1701" w:type="dxa"/>
          </w:tcPr>
          <w:p w:rsidR="002437E2" w:rsidRPr="001416ED" w:rsidRDefault="002437E2" w:rsidP="005F1F66">
            <w:pPr>
              <w:widowControl w:val="0"/>
              <w:autoSpaceDE w:val="0"/>
              <w:autoSpaceDN w:val="0"/>
              <w:adjustRightInd w:val="0"/>
              <w:spacing w:line="360" w:lineRule="auto"/>
              <w:jc w:val="center"/>
              <w:rPr>
                <w:lang w:val="uk-UA"/>
              </w:rPr>
            </w:pPr>
            <w:r w:rsidRPr="001416ED">
              <w:rPr>
                <w:lang w:val="uk-UA"/>
              </w:rPr>
              <w:t>13,19</w:t>
            </w:r>
            <w:r w:rsidR="007A07A9" w:rsidRPr="001416ED">
              <w:rPr>
                <w:lang w:val="uk-UA"/>
              </w:rPr>
              <w:t xml:space="preserve"> ± </w:t>
            </w:r>
            <w:r w:rsidRPr="001416ED">
              <w:rPr>
                <w:lang w:val="uk-UA"/>
              </w:rPr>
              <w:t>0,50</w:t>
            </w:r>
          </w:p>
          <w:p w:rsidR="002437E2" w:rsidRPr="001416ED" w:rsidRDefault="002437E2" w:rsidP="003442EB">
            <w:pPr>
              <w:widowControl w:val="0"/>
              <w:autoSpaceDE w:val="0"/>
              <w:autoSpaceDN w:val="0"/>
              <w:adjustRightInd w:val="0"/>
              <w:spacing w:line="360" w:lineRule="auto"/>
              <w:jc w:val="center"/>
              <w:rPr>
                <w:lang w:val="uk-UA"/>
              </w:rPr>
            </w:pPr>
            <w:r w:rsidRPr="001416ED">
              <w:rPr>
                <w:lang w:val="uk-UA"/>
              </w:rPr>
              <w:t>(n=13)</w:t>
            </w:r>
            <w:r w:rsidR="00EA7C60" w:rsidRPr="001416ED">
              <w:rPr>
                <w:lang w:val="uk-UA"/>
              </w:rPr>
              <w:t xml:space="preserve"> </w:t>
            </w:r>
            <w:r w:rsidRPr="001416ED">
              <w:rPr>
                <w:lang w:val="uk-UA"/>
              </w:rPr>
              <w:t>(</w:t>
            </w:r>
            <w:r w:rsidR="003442EB" w:rsidRPr="001416ED">
              <w:rPr>
                <w:lang w:val="uk-UA"/>
              </w:rPr>
              <w:t>7</w:t>
            </w:r>
            <w:r w:rsidRPr="001416ED">
              <w:rPr>
                <w:lang w:val="uk-UA"/>
              </w:rPr>
              <w:t>)</w:t>
            </w:r>
          </w:p>
        </w:tc>
        <w:tc>
          <w:tcPr>
            <w:tcW w:w="1701" w:type="dxa"/>
          </w:tcPr>
          <w:p w:rsidR="002437E2" w:rsidRPr="001416ED" w:rsidRDefault="002437E2" w:rsidP="005F1F66">
            <w:pPr>
              <w:widowControl w:val="0"/>
              <w:autoSpaceDE w:val="0"/>
              <w:autoSpaceDN w:val="0"/>
              <w:adjustRightInd w:val="0"/>
              <w:spacing w:line="360" w:lineRule="auto"/>
              <w:jc w:val="center"/>
              <w:rPr>
                <w:lang w:val="uk-UA"/>
              </w:rPr>
            </w:pPr>
            <w:r w:rsidRPr="001416ED">
              <w:rPr>
                <w:lang w:val="uk-UA"/>
              </w:rPr>
              <w:t>13,25</w:t>
            </w:r>
            <w:r w:rsidR="007A07A9" w:rsidRPr="001416ED">
              <w:rPr>
                <w:lang w:val="uk-UA"/>
              </w:rPr>
              <w:t xml:space="preserve"> ± </w:t>
            </w:r>
            <w:r w:rsidRPr="001416ED">
              <w:rPr>
                <w:lang w:val="uk-UA"/>
              </w:rPr>
              <w:t>0,12</w:t>
            </w:r>
          </w:p>
          <w:p w:rsidR="002437E2" w:rsidRPr="001416ED" w:rsidRDefault="002437E2" w:rsidP="003442EB">
            <w:pPr>
              <w:widowControl w:val="0"/>
              <w:autoSpaceDE w:val="0"/>
              <w:autoSpaceDN w:val="0"/>
              <w:adjustRightInd w:val="0"/>
              <w:spacing w:line="360" w:lineRule="auto"/>
              <w:jc w:val="center"/>
              <w:rPr>
                <w:lang w:val="uk-UA"/>
              </w:rPr>
            </w:pPr>
            <w:r w:rsidRPr="001416ED">
              <w:rPr>
                <w:lang w:val="uk-UA"/>
              </w:rPr>
              <w:t>(n=25)</w:t>
            </w:r>
            <w:r w:rsidR="00EA7C60" w:rsidRPr="001416ED">
              <w:rPr>
                <w:lang w:val="uk-UA"/>
              </w:rPr>
              <w:t xml:space="preserve"> </w:t>
            </w:r>
            <w:r w:rsidRPr="001416ED">
              <w:rPr>
                <w:lang w:val="uk-UA"/>
              </w:rPr>
              <w:t>(</w:t>
            </w:r>
            <w:r w:rsidR="003442EB" w:rsidRPr="001416ED">
              <w:rPr>
                <w:lang w:val="uk-UA"/>
              </w:rPr>
              <w:t>8</w:t>
            </w:r>
            <w:r w:rsidRPr="001416ED">
              <w:rPr>
                <w:lang w:val="uk-UA"/>
              </w:rPr>
              <w:t>)</w:t>
            </w:r>
          </w:p>
        </w:tc>
        <w:tc>
          <w:tcPr>
            <w:tcW w:w="3119" w:type="dxa"/>
          </w:tcPr>
          <w:p w:rsidR="002437E2" w:rsidRPr="001416ED" w:rsidRDefault="003442EB" w:rsidP="00B20941">
            <w:pPr>
              <w:widowControl w:val="0"/>
              <w:autoSpaceDE w:val="0"/>
              <w:autoSpaceDN w:val="0"/>
              <w:adjustRightInd w:val="0"/>
              <w:spacing w:line="360" w:lineRule="auto"/>
              <w:jc w:val="center"/>
              <w:rPr>
                <w:lang w:val="uk-UA"/>
              </w:rPr>
            </w:pPr>
            <w:r w:rsidRPr="001416ED">
              <w:rPr>
                <w:rFonts w:eastAsiaTheme="minorHAnsi"/>
                <w:kern w:val="11"/>
                <w:lang w:val="uk-UA" w:eastAsia="en-US"/>
              </w:rPr>
              <w:t>Р</w:t>
            </w:r>
            <w:r w:rsidRPr="001416ED">
              <w:rPr>
                <w:rFonts w:eastAsiaTheme="minorHAnsi"/>
                <w:kern w:val="11"/>
                <w:vertAlign w:val="subscript"/>
                <w:lang w:val="uk-UA" w:eastAsia="en-US"/>
              </w:rPr>
              <w:t>8-7</w:t>
            </w:r>
            <w:r w:rsidR="002437E2" w:rsidRPr="001416ED">
              <w:rPr>
                <w:rFonts w:eastAsiaTheme="minorHAnsi"/>
                <w:kern w:val="11"/>
                <w:lang w:val="uk-UA" w:eastAsia="en-US"/>
              </w:rPr>
              <w:t>&gt;0,05</w:t>
            </w:r>
          </w:p>
        </w:tc>
      </w:tr>
      <w:tr w:rsidR="002437E2" w:rsidRPr="001416ED" w:rsidTr="00EA7C60">
        <w:tc>
          <w:tcPr>
            <w:tcW w:w="2093" w:type="dxa"/>
          </w:tcPr>
          <w:p w:rsidR="002437E2" w:rsidRPr="001416ED" w:rsidRDefault="002437E2" w:rsidP="005F1F66">
            <w:pPr>
              <w:widowControl w:val="0"/>
              <w:autoSpaceDE w:val="0"/>
              <w:autoSpaceDN w:val="0"/>
              <w:adjustRightInd w:val="0"/>
              <w:spacing w:line="360" w:lineRule="auto"/>
              <w:jc w:val="both"/>
              <w:rPr>
                <w:lang w:val="uk-UA"/>
              </w:rPr>
            </w:pPr>
            <w:r w:rsidRPr="001416ED">
              <w:rPr>
                <w:lang w:val="uk-UA"/>
              </w:rPr>
              <w:t>р</w:t>
            </w:r>
          </w:p>
        </w:tc>
        <w:tc>
          <w:tcPr>
            <w:tcW w:w="1559" w:type="dxa"/>
          </w:tcPr>
          <w:p w:rsidR="002437E2" w:rsidRPr="001416ED" w:rsidRDefault="002437E2" w:rsidP="00F30AA1">
            <w:pPr>
              <w:pStyle w:val="a3"/>
              <w:spacing w:after="0" w:line="360" w:lineRule="auto"/>
              <w:ind w:left="0"/>
              <w:jc w:val="center"/>
              <w:rPr>
                <w:lang w:val="uk-UA"/>
              </w:rPr>
            </w:pPr>
            <w:r w:rsidRPr="001416ED">
              <w:t>р</w:t>
            </w:r>
            <w:r w:rsidRPr="001416ED">
              <w:rPr>
                <w:vertAlign w:val="subscript"/>
              </w:rPr>
              <w:t>4</w:t>
            </w:r>
            <w:r w:rsidR="00BC0119" w:rsidRPr="001416ED">
              <w:rPr>
                <w:vertAlign w:val="subscript"/>
              </w:rPr>
              <w:t>–</w:t>
            </w:r>
            <w:r w:rsidRPr="001416ED">
              <w:rPr>
                <w:vertAlign w:val="subscript"/>
              </w:rPr>
              <w:t>1</w:t>
            </w:r>
            <w:r w:rsidRPr="001416ED">
              <w:t>&gt;0,05</w:t>
            </w:r>
          </w:p>
          <w:p w:rsidR="002437E2" w:rsidRPr="001416ED" w:rsidRDefault="002437E2" w:rsidP="00F30AA1">
            <w:pPr>
              <w:pStyle w:val="a3"/>
              <w:spacing w:after="0" w:line="360" w:lineRule="auto"/>
              <w:ind w:left="0"/>
              <w:jc w:val="center"/>
            </w:pPr>
          </w:p>
        </w:tc>
        <w:tc>
          <w:tcPr>
            <w:tcW w:w="1701" w:type="dxa"/>
          </w:tcPr>
          <w:p w:rsidR="002437E2" w:rsidRPr="001416ED" w:rsidRDefault="002437E2" w:rsidP="00F30AA1">
            <w:pPr>
              <w:widowControl w:val="0"/>
              <w:autoSpaceDE w:val="0"/>
              <w:autoSpaceDN w:val="0"/>
              <w:adjustRightInd w:val="0"/>
              <w:spacing w:line="360" w:lineRule="auto"/>
              <w:jc w:val="center"/>
              <w:rPr>
                <w:lang w:val="uk-UA"/>
              </w:rPr>
            </w:pPr>
            <w:r w:rsidRPr="001416ED">
              <w:rPr>
                <w:lang w:val="uk-UA"/>
              </w:rPr>
              <w:t>р</w:t>
            </w:r>
            <w:r w:rsidRPr="001416ED">
              <w:rPr>
                <w:vertAlign w:val="subscript"/>
                <w:lang w:val="uk-UA"/>
              </w:rPr>
              <w:t>5</w:t>
            </w:r>
            <w:r w:rsidR="00BC0119" w:rsidRPr="001416ED">
              <w:rPr>
                <w:vertAlign w:val="subscript"/>
                <w:lang w:val="uk-UA"/>
              </w:rPr>
              <w:t>–</w:t>
            </w:r>
            <w:r w:rsidRPr="001416ED">
              <w:rPr>
                <w:vertAlign w:val="subscript"/>
                <w:lang w:val="uk-UA"/>
              </w:rPr>
              <w:t>2</w:t>
            </w:r>
            <w:r w:rsidRPr="001416ED">
              <w:rPr>
                <w:lang w:val="uk-UA"/>
              </w:rPr>
              <w:t>&gt;0,05</w:t>
            </w:r>
            <w:r w:rsidR="00EA7C60" w:rsidRPr="001416ED">
              <w:rPr>
                <w:lang w:val="uk-UA"/>
              </w:rPr>
              <w:t>;</w:t>
            </w:r>
          </w:p>
          <w:p w:rsidR="002437E2" w:rsidRPr="001416ED" w:rsidRDefault="002437E2" w:rsidP="00F30AA1">
            <w:pPr>
              <w:widowControl w:val="0"/>
              <w:autoSpaceDE w:val="0"/>
              <w:autoSpaceDN w:val="0"/>
              <w:adjustRightInd w:val="0"/>
              <w:spacing w:line="360" w:lineRule="auto"/>
              <w:jc w:val="center"/>
              <w:rPr>
                <w:lang w:val="uk-UA"/>
              </w:rPr>
            </w:pPr>
            <w:r w:rsidRPr="001416ED">
              <w:rPr>
                <w:lang w:val="uk-UA"/>
              </w:rPr>
              <w:t>р</w:t>
            </w:r>
            <w:r w:rsidR="003442EB" w:rsidRPr="001416ED">
              <w:rPr>
                <w:vertAlign w:val="subscript"/>
                <w:lang w:val="uk-UA"/>
              </w:rPr>
              <w:t>7</w:t>
            </w:r>
            <w:r w:rsidR="00BC0119" w:rsidRPr="001416ED">
              <w:rPr>
                <w:vertAlign w:val="subscript"/>
                <w:lang w:val="uk-UA"/>
              </w:rPr>
              <w:t>–</w:t>
            </w:r>
            <w:r w:rsidRPr="001416ED">
              <w:rPr>
                <w:vertAlign w:val="subscript"/>
                <w:lang w:val="uk-UA"/>
              </w:rPr>
              <w:t>2</w:t>
            </w:r>
            <w:r w:rsidRPr="001416ED">
              <w:rPr>
                <w:lang w:val="uk-UA"/>
              </w:rPr>
              <w:t>&gt;0,05</w:t>
            </w:r>
            <w:r w:rsidR="00EA7C60" w:rsidRPr="001416ED">
              <w:rPr>
                <w:lang w:val="uk-UA"/>
              </w:rPr>
              <w:t>;</w:t>
            </w:r>
          </w:p>
          <w:p w:rsidR="002437E2" w:rsidRPr="001416ED" w:rsidRDefault="002437E2" w:rsidP="003442EB">
            <w:pPr>
              <w:widowControl w:val="0"/>
              <w:autoSpaceDE w:val="0"/>
              <w:autoSpaceDN w:val="0"/>
              <w:adjustRightInd w:val="0"/>
              <w:spacing w:line="360" w:lineRule="auto"/>
              <w:jc w:val="center"/>
              <w:rPr>
                <w:lang w:val="uk-UA"/>
              </w:rPr>
            </w:pPr>
            <w:r w:rsidRPr="001416ED">
              <w:rPr>
                <w:lang w:val="uk-UA"/>
              </w:rPr>
              <w:t>р</w:t>
            </w:r>
            <w:r w:rsidR="003442EB" w:rsidRPr="001416ED">
              <w:rPr>
                <w:vertAlign w:val="subscript"/>
                <w:lang w:val="uk-UA"/>
              </w:rPr>
              <w:t>7</w:t>
            </w:r>
            <w:r w:rsidR="00BC0119" w:rsidRPr="001416ED">
              <w:rPr>
                <w:vertAlign w:val="subscript"/>
                <w:lang w:val="uk-UA"/>
              </w:rPr>
              <w:t>–</w:t>
            </w:r>
            <w:r w:rsidRPr="001416ED">
              <w:rPr>
                <w:vertAlign w:val="subscript"/>
                <w:lang w:val="uk-UA"/>
              </w:rPr>
              <w:t>5</w:t>
            </w:r>
            <w:r w:rsidRPr="001416ED">
              <w:rPr>
                <w:lang w:val="uk-UA"/>
              </w:rPr>
              <w:t>&gt;0,05</w:t>
            </w:r>
          </w:p>
        </w:tc>
        <w:tc>
          <w:tcPr>
            <w:tcW w:w="1701" w:type="dxa"/>
          </w:tcPr>
          <w:p w:rsidR="002437E2" w:rsidRPr="001416ED" w:rsidRDefault="002437E2" w:rsidP="00F30AA1">
            <w:pPr>
              <w:pStyle w:val="a3"/>
              <w:spacing w:after="0" w:line="360" w:lineRule="auto"/>
              <w:ind w:left="0"/>
              <w:jc w:val="center"/>
              <w:rPr>
                <w:lang w:val="uk-UA"/>
              </w:rPr>
            </w:pPr>
            <w:r w:rsidRPr="001416ED">
              <w:rPr>
                <w:lang w:val="uk-UA"/>
              </w:rPr>
              <w:t>р</w:t>
            </w:r>
            <w:r w:rsidRPr="001416ED">
              <w:rPr>
                <w:vertAlign w:val="subscript"/>
                <w:lang w:val="uk-UA"/>
              </w:rPr>
              <w:t>6</w:t>
            </w:r>
            <w:r w:rsidR="00BC0119" w:rsidRPr="001416ED">
              <w:rPr>
                <w:vertAlign w:val="subscript"/>
                <w:lang w:val="uk-UA"/>
              </w:rPr>
              <w:t>–</w:t>
            </w:r>
            <w:r w:rsidRPr="001416ED">
              <w:rPr>
                <w:vertAlign w:val="subscript"/>
                <w:lang w:val="uk-UA"/>
              </w:rPr>
              <w:t>3</w:t>
            </w:r>
            <w:r w:rsidRPr="001416ED">
              <w:rPr>
                <w:lang w:val="uk-UA"/>
              </w:rPr>
              <w:t>&gt;0,05</w:t>
            </w:r>
            <w:r w:rsidR="00EA7C60" w:rsidRPr="001416ED">
              <w:rPr>
                <w:lang w:val="uk-UA"/>
              </w:rPr>
              <w:t>;</w:t>
            </w:r>
          </w:p>
          <w:p w:rsidR="002437E2" w:rsidRPr="001416ED" w:rsidRDefault="002437E2" w:rsidP="00F30AA1">
            <w:pPr>
              <w:pStyle w:val="a3"/>
              <w:spacing w:after="0" w:line="360" w:lineRule="auto"/>
              <w:ind w:left="0"/>
              <w:jc w:val="center"/>
              <w:rPr>
                <w:lang w:val="uk-UA"/>
              </w:rPr>
            </w:pPr>
            <w:r w:rsidRPr="001416ED">
              <w:rPr>
                <w:lang w:val="uk-UA"/>
              </w:rPr>
              <w:t>р</w:t>
            </w:r>
            <w:r w:rsidR="003442EB" w:rsidRPr="001416ED">
              <w:rPr>
                <w:vertAlign w:val="subscript"/>
                <w:lang w:val="uk-UA"/>
              </w:rPr>
              <w:t>8</w:t>
            </w:r>
            <w:r w:rsidR="00BC0119" w:rsidRPr="001416ED">
              <w:rPr>
                <w:vertAlign w:val="subscript"/>
                <w:lang w:val="uk-UA"/>
              </w:rPr>
              <w:t>–</w:t>
            </w:r>
            <w:r w:rsidRPr="001416ED">
              <w:rPr>
                <w:vertAlign w:val="subscript"/>
                <w:lang w:val="uk-UA"/>
              </w:rPr>
              <w:t>3</w:t>
            </w:r>
            <w:r w:rsidRPr="001416ED">
              <w:rPr>
                <w:lang w:val="uk-UA"/>
              </w:rPr>
              <w:t>&gt;0,05</w:t>
            </w:r>
            <w:r w:rsidR="00EA7C60" w:rsidRPr="001416ED">
              <w:rPr>
                <w:lang w:val="uk-UA"/>
              </w:rPr>
              <w:t>;</w:t>
            </w:r>
          </w:p>
          <w:p w:rsidR="002437E2" w:rsidRPr="001416ED" w:rsidRDefault="002437E2" w:rsidP="003442EB">
            <w:pPr>
              <w:pStyle w:val="a3"/>
              <w:spacing w:after="0" w:line="360" w:lineRule="auto"/>
              <w:ind w:left="0"/>
              <w:jc w:val="center"/>
              <w:rPr>
                <w:lang w:val="uk-UA"/>
              </w:rPr>
            </w:pPr>
            <w:r w:rsidRPr="001416ED">
              <w:rPr>
                <w:lang w:val="uk-UA"/>
              </w:rPr>
              <w:t>р</w:t>
            </w:r>
            <w:r w:rsidR="003442EB" w:rsidRPr="001416ED">
              <w:rPr>
                <w:vertAlign w:val="subscript"/>
                <w:lang w:val="uk-UA"/>
              </w:rPr>
              <w:t>8</w:t>
            </w:r>
            <w:r w:rsidR="00BC0119" w:rsidRPr="001416ED">
              <w:rPr>
                <w:vertAlign w:val="subscript"/>
                <w:lang w:val="uk-UA"/>
              </w:rPr>
              <w:t>–</w:t>
            </w:r>
            <w:r w:rsidRPr="001416ED">
              <w:rPr>
                <w:vertAlign w:val="subscript"/>
                <w:lang w:val="uk-UA"/>
              </w:rPr>
              <w:t>6</w:t>
            </w:r>
            <w:r w:rsidRPr="001416ED">
              <w:rPr>
                <w:lang w:val="uk-UA"/>
              </w:rPr>
              <w:t>&gt;0,05</w:t>
            </w:r>
          </w:p>
        </w:tc>
        <w:tc>
          <w:tcPr>
            <w:tcW w:w="3119" w:type="dxa"/>
          </w:tcPr>
          <w:p w:rsidR="002437E2" w:rsidRPr="001416ED" w:rsidRDefault="002437E2" w:rsidP="005F1F66">
            <w:pPr>
              <w:widowControl w:val="0"/>
              <w:autoSpaceDE w:val="0"/>
              <w:autoSpaceDN w:val="0"/>
              <w:adjustRightInd w:val="0"/>
              <w:spacing w:line="360" w:lineRule="auto"/>
              <w:jc w:val="both"/>
              <w:rPr>
                <w:lang w:val="uk-UA"/>
              </w:rPr>
            </w:pPr>
          </w:p>
        </w:tc>
      </w:tr>
    </w:tbl>
    <w:p w:rsidR="00D872A3" w:rsidRPr="001416ED" w:rsidRDefault="008C0375" w:rsidP="00E9226D">
      <w:pPr>
        <w:spacing w:before="240" w:line="360" w:lineRule="auto"/>
        <w:ind w:firstLine="709"/>
        <w:jc w:val="both"/>
        <w:rPr>
          <w:rFonts w:eastAsiaTheme="minorHAnsi"/>
          <w:lang w:val="uk-UA" w:eastAsia="en-US"/>
        </w:rPr>
      </w:pPr>
      <w:r w:rsidRPr="001416ED">
        <w:rPr>
          <w:rFonts w:eastAsiaTheme="minorHAnsi"/>
          <w:lang w:val="uk-UA" w:eastAsia="en-US"/>
        </w:rPr>
        <w:t>При аналізі рівня ЕТ</w:t>
      </w:r>
      <w:r w:rsidR="00BC0119" w:rsidRPr="001416ED">
        <w:rPr>
          <w:rFonts w:eastAsiaTheme="minorHAnsi"/>
          <w:lang w:val="uk-UA" w:eastAsia="en-US"/>
        </w:rPr>
        <w:t>–</w:t>
      </w:r>
      <w:r w:rsidRPr="001416ED">
        <w:rPr>
          <w:rFonts w:eastAsiaTheme="minorHAnsi"/>
          <w:lang w:val="uk-UA" w:eastAsia="en-US"/>
        </w:rPr>
        <w:t>1</w:t>
      </w:r>
      <w:r w:rsidR="00EC1E47" w:rsidRPr="001416ED">
        <w:rPr>
          <w:rFonts w:eastAsiaTheme="minorHAnsi"/>
          <w:lang w:val="uk-UA" w:eastAsia="en-US"/>
        </w:rPr>
        <w:t xml:space="preserve"> </w:t>
      </w:r>
      <w:r w:rsidRPr="001416ED">
        <w:rPr>
          <w:rFonts w:eastAsiaTheme="minorHAnsi"/>
          <w:lang w:val="uk-UA" w:eastAsia="en-US"/>
        </w:rPr>
        <w:t xml:space="preserve">у пацієнтів з різних груп дослідження, </w:t>
      </w:r>
      <w:r w:rsidR="00EC1E47" w:rsidRPr="001416ED">
        <w:rPr>
          <w:rFonts w:eastAsiaTheme="minorHAnsi"/>
          <w:lang w:val="uk-UA" w:eastAsia="en-US"/>
        </w:rPr>
        <w:t>виявлено</w:t>
      </w:r>
      <w:r w:rsidRPr="001416ED">
        <w:rPr>
          <w:rFonts w:eastAsiaTheme="minorHAnsi"/>
          <w:lang w:val="uk-UA" w:eastAsia="en-US"/>
        </w:rPr>
        <w:t xml:space="preserve">, </w:t>
      </w:r>
      <w:r w:rsidR="00EC1E47" w:rsidRPr="001416ED">
        <w:rPr>
          <w:rFonts w:eastAsiaTheme="minorHAnsi"/>
          <w:lang w:val="uk-UA" w:eastAsia="en-US"/>
        </w:rPr>
        <w:t xml:space="preserve">що у пацієнтів з ГХ різної </w:t>
      </w:r>
      <w:r w:rsidR="00046A18" w:rsidRPr="001416ED">
        <w:rPr>
          <w:rFonts w:eastAsiaTheme="minorHAnsi"/>
          <w:lang w:val="uk-UA" w:eastAsia="en-US"/>
        </w:rPr>
        <w:t>стадії</w:t>
      </w:r>
      <w:r w:rsidR="00F47B5B" w:rsidRPr="001416ED">
        <w:rPr>
          <w:rFonts w:eastAsiaTheme="minorHAnsi"/>
          <w:lang w:val="uk-UA" w:eastAsia="en-US"/>
        </w:rPr>
        <w:t>, що мають нормальну</w:t>
      </w:r>
      <w:r w:rsidR="00EC1E47" w:rsidRPr="001416ED">
        <w:rPr>
          <w:rFonts w:eastAsiaTheme="minorHAnsi"/>
          <w:lang w:val="uk-UA" w:eastAsia="en-US"/>
        </w:rPr>
        <w:t xml:space="preserve"> </w:t>
      </w:r>
      <w:r w:rsidR="00F47B5B" w:rsidRPr="001416ED">
        <w:rPr>
          <w:rFonts w:eastAsiaTheme="minorHAnsi"/>
          <w:lang w:val="uk-UA" w:eastAsia="en-US"/>
        </w:rPr>
        <w:t xml:space="preserve">і </w:t>
      </w:r>
      <w:r w:rsidR="00EC1E47" w:rsidRPr="001416ED">
        <w:rPr>
          <w:rFonts w:eastAsiaTheme="minorHAnsi"/>
          <w:lang w:val="uk-UA" w:eastAsia="en-US"/>
        </w:rPr>
        <w:t>надмірну масу тіла</w:t>
      </w:r>
      <w:r w:rsidR="00F47B5B" w:rsidRPr="001416ED">
        <w:rPr>
          <w:rFonts w:eastAsiaTheme="minorHAnsi"/>
          <w:lang w:val="uk-UA" w:eastAsia="en-US"/>
        </w:rPr>
        <w:t>,</w:t>
      </w:r>
      <w:r w:rsidR="00EC1E47" w:rsidRPr="001416ED">
        <w:rPr>
          <w:rFonts w:eastAsiaTheme="minorHAnsi"/>
          <w:lang w:val="uk-UA" w:eastAsia="en-US"/>
        </w:rPr>
        <w:t xml:space="preserve"> плазмова концентрація пептиду достовірно вища, ніж в групі контролю. </w:t>
      </w:r>
      <w:r w:rsidR="00F47B5B" w:rsidRPr="001416ED">
        <w:rPr>
          <w:rFonts w:eastAsiaTheme="minorHAnsi"/>
          <w:lang w:val="uk-UA" w:eastAsia="en-US"/>
        </w:rPr>
        <w:t xml:space="preserve">У осіб чоловічої статі, що мають нормальну масу тіла плазмова концентрація ЕТ–1 пацієнтами з ГХ різної стадії не відрізняється. </w:t>
      </w:r>
      <w:r w:rsidR="00EC1E47" w:rsidRPr="001416ED">
        <w:rPr>
          <w:rFonts w:eastAsiaTheme="minorHAnsi"/>
          <w:lang w:val="uk-UA" w:eastAsia="en-US"/>
        </w:rPr>
        <w:t>У</w:t>
      </w:r>
      <w:r w:rsidRPr="001416ED">
        <w:rPr>
          <w:rFonts w:eastAsiaTheme="minorHAnsi"/>
          <w:lang w:val="uk-UA" w:eastAsia="en-US"/>
        </w:rPr>
        <w:t xml:space="preserve"> пацієнтів з надмірною масою тіла рівень </w:t>
      </w:r>
      <w:r w:rsidRPr="001416ED">
        <w:rPr>
          <w:rFonts w:eastAsiaTheme="minorHAnsi"/>
          <w:lang w:val="uk-UA" w:eastAsia="en-US"/>
        </w:rPr>
        <w:lastRenderedPageBreak/>
        <w:t xml:space="preserve">пептиду найвищий у чоловіків з </w:t>
      </w:r>
      <w:r w:rsidR="00C34030" w:rsidRPr="001416ED">
        <w:rPr>
          <w:rFonts w:eastAsiaTheme="minorHAnsi"/>
          <w:lang w:val="uk-UA" w:eastAsia="en-US"/>
        </w:rPr>
        <w:t xml:space="preserve">ГХ ІІІ ст. </w:t>
      </w:r>
      <w:r w:rsidR="00EC1E47" w:rsidRPr="001416ED">
        <w:rPr>
          <w:rFonts w:eastAsiaTheme="minorHAnsi"/>
          <w:lang w:val="uk-UA" w:eastAsia="en-US"/>
        </w:rPr>
        <w:t xml:space="preserve">Встановлено, що як у пацієнтів групи контролю, так і у чоловіків з ГХ різної </w:t>
      </w:r>
      <w:r w:rsidR="00046A18" w:rsidRPr="001416ED">
        <w:rPr>
          <w:rFonts w:eastAsiaTheme="minorHAnsi"/>
          <w:lang w:val="uk-UA" w:eastAsia="en-US"/>
        </w:rPr>
        <w:t>стадії</w:t>
      </w:r>
      <w:r w:rsidR="00EC1E47" w:rsidRPr="001416ED">
        <w:rPr>
          <w:rFonts w:eastAsiaTheme="minorHAnsi"/>
          <w:lang w:val="uk-UA" w:eastAsia="en-US"/>
        </w:rPr>
        <w:t xml:space="preserve"> достовірної різниці у рівнях ЕТ</w:t>
      </w:r>
      <w:r w:rsidR="00BC0119" w:rsidRPr="001416ED">
        <w:rPr>
          <w:rFonts w:eastAsiaTheme="minorHAnsi"/>
          <w:lang w:val="uk-UA" w:eastAsia="en-US"/>
        </w:rPr>
        <w:t>–</w:t>
      </w:r>
      <w:r w:rsidR="00EC1E47" w:rsidRPr="001416ED">
        <w:rPr>
          <w:rFonts w:eastAsiaTheme="minorHAnsi"/>
          <w:lang w:val="uk-UA" w:eastAsia="en-US"/>
        </w:rPr>
        <w:t>1 в плазмі крові при різному ІМТ не виявлено, що надає перевагу даному пептиду при обстеженні осіб з різною масою тіла.</w:t>
      </w:r>
    </w:p>
    <w:p w:rsidR="00D249AE" w:rsidRPr="001416ED" w:rsidRDefault="00D249AE" w:rsidP="00D249AE">
      <w:pPr>
        <w:widowControl w:val="0"/>
        <w:adjustRightInd w:val="0"/>
        <w:spacing w:line="360" w:lineRule="auto"/>
        <w:ind w:right="-17" w:firstLine="709"/>
        <w:jc w:val="both"/>
        <w:textAlignment w:val="baseline"/>
        <w:rPr>
          <w:rFonts w:eastAsia="MS Mincho"/>
          <w:lang w:val="uk-UA" w:eastAsia="ja-JP"/>
        </w:rPr>
      </w:pPr>
      <w:r w:rsidRPr="001416ED">
        <w:rPr>
          <w:rFonts w:eastAsia="PMingLiU"/>
          <w:lang w:val="uk-UA" w:eastAsia="zh-TW"/>
        </w:rPr>
        <w:t xml:space="preserve">Отримані результати дозволили розрахувати межові рівні </w:t>
      </w:r>
      <w:r w:rsidRPr="001416ED">
        <w:rPr>
          <w:rFonts w:eastAsia="MS Mincho"/>
          <w:lang w:val="uk-UA" w:eastAsia="ja-JP"/>
        </w:rPr>
        <w:t>ЕТ</w:t>
      </w:r>
      <w:r w:rsidR="00BC0119" w:rsidRPr="001416ED">
        <w:rPr>
          <w:rFonts w:eastAsia="MS Mincho"/>
          <w:lang w:val="uk-UA" w:eastAsia="ja-JP"/>
        </w:rPr>
        <w:t>–</w:t>
      </w:r>
      <w:r w:rsidRPr="001416ED">
        <w:rPr>
          <w:rFonts w:eastAsia="MS Mincho"/>
          <w:lang w:val="uk-UA" w:eastAsia="ja-JP"/>
        </w:rPr>
        <w:t>1</w:t>
      </w:r>
      <w:r w:rsidR="00C348BB" w:rsidRPr="001416ED">
        <w:rPr>
          <w:rFonts w:eastAsia="MS Mincho"/>
          <w:lang w:val="uk-UA" w:eastAsia="ja-JP"/>
        </w:rPr>
        <w:t xml:space="preserve"> </w:t>
      </w:r>
      <w:r w:rsidR="00C47494" w:rsidRPr="001416ED">
        <w:rPr>
          <w:rFonts w:eastAsia="MS Mincho"/>
          <w:lang w:val="uk-UA" w:eastAsia="ja-JP"/>
        </w:rPr>
        <w:t xml:space="preserve">за допомогою </w:t>
      </w:r>
      <w:r w:rsidR="00C348BB" w:rsidRPr="001416ED">
        <w:rPr>
          <w:rFonts w:eastAsia="MS Mincho"/>
          <w:lang w:val="uk-UA" w:eastAsia="ja-JP"/>
        </w:rPr>
        <w:t xml:space="preserve">формули </w:t>
      </w:r>
      <w:r w:rsidR="00C47494" w:rsidRPr="001416ED">
        <w:rPr>
          <w:rFonts w:eastAsia="MS Mincho"/>
          <w:lang w:val="uk-UA" w:eastAsia="ja-JP"/>
        </w:rPr>
        <w:t xml:space="preserve">М. Ю. </w:t>
      </w:r>
      <w:r w:rsidR="00C348BB" w:rsidRPr="001416ED">
        <w:rPr>
          <w:rFonts w:eastAsia="MS Mincho"/>
          <w:lang w:val="uk-UA" w:eastAsia="ja-JP"/>
        </w:rPr>
        <w:t xml:space="preserve">Антомонова та </w:t>
      </w:r>
      <w:r w:rsidR="00C47494" w:rsidRPr="001416ED">
        <w:rPr>
          <w:rFonts w:eastAsia="MS Mincho"/>
          <w:lang w:val="uk-UA" w:eastAsia="ja-JP"/>
        </w:rPr>
        <w:t>співавт.</w:t>
      </w:r>
      <w:r w:rsidR="00C348BB" w:rsidRPr="001416ED">
        <w:rPr>
          <w:rFonts w:eastAsia="MS Mincho"/>
          <w:lang w:val="uk-UA" w:eastAsia="ja-JP"/>
        </w:rPr>
        <w:t xml:space="preserve"> (див. розділ 2)</w:t>
      </w:r>
      <w:r w:rsidRPr="001416ED">
        <w:rPr>
          <w:rFonts w:eastAsia="MS Mincho"/>
          <w:lang w:val="uk-UA" w:eastAsia="ja-JP"/>
        </w:rPr>
        <w:t xml:space="preserve"> для скринінгової діагностики </w:t>
      </w:r>
      <w:r w:rsidRPr="001416ED">
        <w:rPr>
          <w:rFonts w:eastAsia="PMingLiU"/>
          <w:spacing w:val="-4"/>
          <w:lang w:val="uk-UA" w:eastAsia="zh-TW"/>
        </w:rPr>
        <w:t>ГХ ІІ ст.</w:t>
      </w:r>
      <w:r w:rsidRPr="001416ED">
        <w:rPr>
          <w:rFonts w:eastAsia="MS Mincho"/>
          <w:lang w:val="uk-UA" w:eastAsia="ja-JP"/>
        </w:rPr>
        <w:t xml:space="preserve"> </w:t>
      </w:r>
      <w:r w:rsidR="00FE6CC7" w:rsidRPr="001416ED">
        <w:rPr>
          <w:rFonts w:eastAsia="MS Mincho"/>
          <w:lang w:val="uk-UA" w:eastAsia="ja-JP"/>
        </w:rPr>
        <w:t xml:space="preserve">та ХСН на її тлі </w:t>
      </w:r>
      <w:r w:rsidRPr="001416ED">
        <w:rPr>
          <w:rFonts w:eastAsia="MS Mincho"/>
          <w:lang w:val="uk-UA" w:eastAsia="ja-JP"/>
        </w:rPr>
        <w:t xml:space="preserve">у чоловіків мешканців Подільського регіону України, які можна застосовувати при обстеженні великих контингентів людей для виявлення осіб, яким в подальшому потрібно провести повне, </w:t>
      </w:r>
      <w:r w:rsidR="00094CFF" w:rsidRPr="001416ED">
        <w:rPr>
          <w:rFonts w:eastAsia="MS Mincho"/>
          <w:lang w:val="uk-UA" w:eastAsia="ja-JP"/>
        </w:rPr>
        <w:t>обстеження</w:t>
      </w:r>
      <w:r w:rsidRPr="001416ED">
        <w:rPr>
          <w:rFonts w:eastAsia="MS Mincho"/>
          <w:lang w:val="uk-UA" w:eastAsia="ja-JP"/>
        </w:rPr>
        <w:t xml:space="preserve"> і з’ясування наявності </w:t>
      </w:r>
      <w:r w:rsidR="00094CFF" w:rsidRPr="001416ED">
        <w:rPr>
          <w:rFonts w:eastAsia="MS Mincho"/>
          <w:lang w:val="uk-UA" w:eastAsia="ja-JP"/>
        </w:rPr>
        <w:t xml:space="preserve">і стадії </w:t>
      </w:r>
      <w:r w:rsidRPr="001416ED">
        <w:rPr>
          <w:rFonts w:eastAsia="MS Mincho"/>
          <w:lang w:val="uk-UA" w:eastAsia="ja-JP"/>
        </w:rPr>
        <w:t xml:space="preserve">ЕГ: </w:t>
      </w:r>
    </w:p>
    <w:p w:rsidR="00D55D59" w:rsidRPr="001416ED" w:rsidRDefault="00BC0119" w:rsidP="00D55D59">
      <w:pPr>
        <w:widowControl w:val="0"/>
        <w:adjustRightInd w:val="0"/>
        <w:spacing w:line="360" w:lineRule="auto"/>
        <w:ind w:right="-17" w:firstLine="709"/>
        <w:jc w:val="both"/>
        <w:textAlignment w:val="baseline"/>
        <w:rPr>
          <w:rFonts w:eastAsia="PMingLiU"/>
          <w:lang w:val="uk-UA" w:eastAsia="zh-TW"/>
        </w:rPr>
      </w:pPr>
      <w:r w:rsidRPr="001416ED">
        <w:rPr>
          <w:rFonts w:eastAsia="MS Mincho"/>
          <w:lang w:val="uk-UA" w:eastAsia="ja-JP"/>
        </w:rPr>
        <w:t>–</w:t>
      </w:r>
      <w:r w:rsidR="00D249AE" w:rsidRPr="001416ED">
        <w:rPr>
          <w:rFonts w:eastAsia="MS Mincho"/>
          <w:lang w:val="uk-UA" w:eastAsia="ja-JP"/>
        </w:rPr>
        <w:t xml:space="preserve"> </w:t>
      </w:r>
      <w:r w:rsidR="00D249AE" w:rsidRPr="001416ED">
        <w:rPr>
          <w:rFonts w:eastAsia="PMingLiU"/>
          <w:lang w:val="uk-UA" w:eastAsia="zh-TW"/>
        </w:rPr>
        <w:t>рівень ЕТ</w:t>
      </w:r>
      <w:r w:rsidRPr="001416ED">
        <w:rPr>
          <w:rFonts w:eastAsia="PMingLiU"/>
          <w:lang w:val="uk-UA" w:eastAsia="zh-TW"/>
        </w:rPr>
        <w:t>–</w:t>
      </w:r>
      <w:r w:rsidR="00D249AE" w:rsidRPr="001416ED">
        <w:rPr>
          <w:rFonts w:eastAsia="PMingLiU"/>
          <w:lang w:val="uk-UA" w:eastAsia="zh-TW"/>
        </w:rPr>
        <w:t>1 ≥7,05 фмоль/мл (чутливість – 90</w:t>
      </w:r>
      <w:r w:rsidR="00D4219F" w:rsidRPr="001416ED">
        <w:rPr>
          <w:rFonts w:eastAsia="PMingLiU"/>
          <w:lang w:val="uk-UA" w:eastAsia="zh-TW"/>
        </w:rPr>
        <w:t xml:space="preserve"> %</w:t>
      </w:r>
      <w:r w:rsidR="00D249AE" w:rsidRPr="001416ED">
        <w:rPr>
          <w:rFonts w:eastAsia="PMingLiU"/>
          <w:lang w:val="uk-UA" w:eastAsia="zh-TW"/>
        </w:rPr>
        <w:t xml:space="preserve">,  специфічність </w:t>
      </w:r>
      <w:r w:rsidRPr="001416ED">
        <w:rPr>
          <w:rFonts w:eastAsia="PMingLiU"/>
          <w:lang w:val="uk-UA" w:eastAsia="zh-TW"/>
        </w:rPr>
        <w:t>–</w:t>
      </w:r>
      <w:r w:rsidR="00D249AE" w:rsidRPr="001416ED">
        <w:rPr>
          <w:rFonts w:eastAsia="PMingLiU"/>
          <w:lang w:val="uk-UA" w:eastAsia="zh-TW"/>
        </w:rPr>
        <w:t xml:space="preserve"> 90,3</w:t>
      </w:r>
      <w:r w:rsidR="00D4219F" w:rsidRPr="001416ED">
        <w:rPr>
          <w:rFonts w:eastAsia="PMingLiU"/>
          <w:lang w:val="uk-UA" w:eastAsia="zh-TW"/>
        </w:rPr>
        <w:t xml:space="preserve"> %</w:t>
      </w:r>
      <w:r w:rsidR="00D249AE" w:rsidRPr="001416ED">
        <w:rPr>
          <w:rFonts w:eastAsia="PMingLiU"/>
          <w:lang w:val="uk-UA" w:eastAsia="zh-TW"/>
        </w:rPr>
        <w:t xml:space="preserve">,  безпомилковість </w:t>
      </w:r>
      <w:r w:rsidRPr="001416ED">
        <w:rPr>
          <w:rFonts w:eastAsia="PMingLiU"/>
          <w:lang w:val="uk-UA" w:eastAsia="zh-TW"/>
        </w:rPr>
        <w:t>–</w:t>
      </w:r>
      <w:r w:rsidR="00D249AE" w:rsidRPr="001416ED">
        <w:rPr>
          <w:rFonts w:eastAsia="PMingLiU"/>
          <w:lang w:val="uk-UA" w:eastAsia="zh-TW"/>
        </w:rPr>
        <w:t xml:space="preserve"> 96,1</w:t>
      </w:r>
      <w:r w:rsidR="00D4219F" w:rsidRPr="001416ED">
        <w:rPr>
          <w:rFonts w:eastAsia="PMingLiU"/>
          <w:lang w:val="uk-UA" w:eastAsia="zh-TW"/>
        </w:rPr>
        <w:t xml:space="preserve"> %</w:t>
      </w:r>
      <w:r w:rsidR="00D249AE" w:rsidRPr="001416ED">
        <w:rPr>
          <w:rFonts w:eastAsia="PMingLiU"/>
          <w:lang w:val="uk-UA" w:eastAsia="zh-TW"/>
        </w:rPr>
        <w:t>, хибнонегативна відповідь – 5</w:t>
      </w:r>
      <w:r w:rsidR="00D4219F" w:rsidRPr="001416ED">
        <w:rPr>
          <w:rFonts w:eastAsia="PMingLiU"/>
          <w:lang w:val="uk-UA" w:eastAsia="zh-TW"/>
        </w:rPr>
        <w:t xml:space="preserve"> %</w:t>
      </w:r>
      <w:r w:rsidR="00D249AE" w:rsidRPr="001416ED">
        <w:rPr>
          <w:rFonts w:eastAsia="PMingLiU"/>
          <w:lang w:val="uk-UA" w:eastAsia="zh-TW"/>
        </w:rPr>
        <w:t>, хибнопозитивна відповідь – 15,26</w:t>
      </w:r>
      <w:r w:rsidR="00D4219F" w:rsidRPr="001416ED">
        <w:rPr>
          <w:rFonts w:eastAsia="PMingLiU"/>
          <w:lang w:val="uk-UA" w:eastAsia="zh-TW"/>
        </w:rPr>
        <w:t xml:space="preserve"> %</w:t>
      </w:r>
      <w:r w:rsidR="00D249AE" w:rsidRPr="001416ED">
        <w:rPr>
          <w:rFonts w:eastAsia="PMingLiU"/>
          <w:lang w:val="uk-UA" w:eastAsia="zh-TW"/>
        </w:rPr>
        <w:t xml:space="preserve">) дозволяє діагностувати </w:t>
      </w:r>
      <w:r w:rsidR="00D249AE" w:rsidRPr="001416ED">
        <w:rPr>
          <w:rFonts w:eastAsia="PMingLiU"/>
          <w:spacing w:val="-4"/>
          <w:lang w:val="uk-UA" w:eastAsia="zh-TW"/>
        </w:rPr>
        <w:t>ГХ ІІ ст.</w:t>
      </w:r>
      <w:r w:rsidR="00D249AE" w:rsidRPr="001416ED">
        <w:rPr>
          <w:rFonts w:eastAsia="MS Mincho"/>
          <w:lang w:val="uk-UA" w:eastAsia="ja-JP"/>
        </w:rPr>
        <w:t xml:space="preserve"> </w:t>
      </w:r>
      <w:r w:rsidR="00D249AE" w:rsidRPr="001416ED">
        <w:rPr>
          <w:rFonts w:eastAsia="PMingLiU"/>
          <w:lang w:val="uk-UA" w:eastAsia="zh-TW"/>
        </w:rPr>
        <w:t xml:space="preserve">у осіб чоловічої статі, без урахування варіанта успадкованого </w:t>
      </w:r>
      <w:r w:rsidR="00E6164F">
        <w:rPr>
          <w:rFonts w:eastAsia="PMingLiU"/>
          <w:lang w:val="uk-UA" w:eastAsia="zh-TW"/>
        </w:rPr>
        <w:t>поліморфного варіанту гена</w:t>
      </w:r>
      <w:r w:rsidR="00D249AE" w:rsidRPr="001416ED">
        <w:rPr>
          <w:rFonts w:eastAsia="PMingLiU"/>
          <w:lang w:val="uk-UA" w:eastAsia="zh-TW"/>
        </w:rPr>
        <w:t xml:space="preserve"> ЕТ</w:t>
      </w:r>
      <w:r w:rsidRPr="001416ED">
        <w:rPr>
          <w:rFonts w:eastAsia="PMingLiU"/>
          <w:lang w:val="uk-UA" w:eastAsia="zh-TW"/>
        </w:rPr>
        <w:t>–</w:t>
      </w:r>
      <w:r w:rsidR="00D55D59" w:rsidRPr="001416ED">
        <w:rPr>
          <w:rFonts w:eastAsia="PMingLiU"/>
          <w:lang w:val="uk-UA" w:eastAsia="zh-TW"/>
        </w:rPr>
        <w:t>1;</w:t>
      </w:r>
    </w:p>
    <w:p w:rsidR="00DB7F3F" w:rsidRPr="001416ED" w:rsidRDefault="00D55D59" w:rsidP="00D249AE">
      <w:pPr>
        <w:widowControl w:val="0"/>
        <w:adjustRightInd w:val="0"/>
        <w:spacing w:line="360" w:lineRule="auto"/>
        <w:ind w:right="-17" w:firstLine="709"/>
        <w:jc w:val="both"/>
        <w:textAlignment w:val="baseline"/>
        <w:rPr>
          <w:rFonts w:eastAsiaTheme="minorHAnsi"/>
          <w:lang w:val="uk-UA" w:eastAsia="en-US"/>
        </w:rPr>
      </w:pPr>
      <w:r w:rsidRPr="001416ED">
        <w:rPr>
          <w:rFonts w:eastAsia="PMingLiU"/>
          <w:lang w:val="uk-UA" w:eastAsia="zh-TW"/>
        </w:rPr>
        <w:t>– плазмова концентрація ЕТ–1 ≥</w:t>
      </w:r>
      <w:r w:rsidR="00027C6F" w:rsidRPr="001416ED">
        <w:rPr>
          <w:rFonts w:eastAsia="PMingLiU"/>
          <w:lang w:val="uk-UA" w:eastAsia="zh-TW"/>
        </w:rPr>
        <w:t>13,06</w:t>
      </w:r>
      <w:r w:rsidRPr="001416ED">
        <w:rPr>
          <w:rFonts w:eastAsia="PMingLiU"/>
          <w:lang w:val="uk-UA" w:eastAsia="zh-TW"/>
        </w:rPr>
        <w:t xml:space="preserve"> фмоль/мл (чутливість – 88,22</w:t>
      </w:r>
      <w:r w:rsidR="00D4219F" w:rsidRPr="001416ED">
        <w:rPr>
          <w:rFonts w:eastAsia="PMingLiU"/>
          <w:lang w:val="uk-UA" w:eastAsia="zh-TW"/>
        </w:rPr>
        <w:t xml:space="preserve"> %</w:t>
      </w:r>
      <w:r w:rsidRPr="001416ED">
        <w:rPr>
          <w:rFonts w:eastAsia="PMingLiU"/>
          <w:lang w:val="uk-UA" w:eastAsia="zh-TW"/>
        </w:rPr>
        <w:t>, специфічність – 73,26</w:t>
      </w:r>
      <w:r w:rsidR="00D4219F" w:rsidRPr="001416ED">
        <w:rPr>
          <w:rFonts w:eastAsia="PMingLiU"/>
          <w:lang w:val="uk-UA" w:eastAsia="zh-TW"/>
        </w:rPr>
        <w:t xml:space="preserve"> %</w:t>
      </w:r>
      <w:r w:rsidRPr="001416ED">
        <w:rPr>
          <w:rFonts w:eastAsia="PMingLiU"/>
          <w:lang w:val="uk-UA" w:eastAsia="zh-TW"/>
        </w:rPr>
        <w:t xml:space="preserve">  </w:t>
      </w:r>
      <w:r w:rsidRPr="001416ED">
        <w:rPr>
          <w:rFonts w:eastAsia="MS Mincho"/>
          <w:lang w:val="uk-UA" w:eastAsia="ja-JP"/>
        </w:rPr>
        <w:t xml:space="preserve">безпомилковість – </w:t>
      </w:r>
      <w:r w:rsidRPr="001416ED">
        <w:rPr>
          <w:rFonts w:eastAsia="PMingLiU"/>
          <w:lang w:val="uk-UA" w:eastAsia="zh-TW"/>
        </w:rPr>
        <w:t>92,34</w:t>
      </w:r>
      <w:r w:rsidR="00D4219F" w:rsidRPr="001416ED">
        <w:rPr>
          <w:rFonts w:eastAsia="PMingLiU"/>
          <w:lang w:val="uk-UA" w:eastAsia="zh-TW"/>
        </w:rPr>
        <w:t xml:space="preserve"> %</w:t>
      </w:r>
      <w:r w:rsidRPr="001416ED">
        <w:rPr>
          <w:rFonts w:eastAsia="PMingLiU"/>
          <w:lang w:val="uk-UA" w:eastAsia="zh-TW"/>
        </w:rPr>
        <w:t xml:space="preserve">, </w:t>
      </w:r>
      <w:r w:rsidRPr="001416ED">
        <w:rPr>
          <w:rFonts w:eastAsia="MS Mincho"/>
          <w:lang w:val="uk-UA" w:eastAsia="ja-JP"/>
        </w:rPr>
        <w:t>хибнонегативна відповідь – 2,85</w:t>
      </w:r>
      <w:r w:rsidR="00D4219F" w:rsidRPr="001416ED">
        <w:rPr>
          <w:rFonts w:eastAsia="MS Mincho"/>
          <w:lang w:val="uk-UA" w:eastAsia="ja-JP"/>
        </w:rPr>
        <w:t xml:space="preserve"> %</w:t>
      </w:r>
      <w:r w:rsidRPr="001416ED">
        <w:rPr>
          <w:rFonts w:eastAsia="MS Mincho"/>
          <w:lang w:val="uk-UA" w:eastAsia="ja-JP"/>
        </w:rPr>
        <w:t>, хибнопозитивна відповідь – 16,84</w:t>
      </w:r>
      <w:r w:rsidR="00D4219F" w:rsidRPr="001416ED">
        <w:rPr>
          <w:rFonts w:eastAsia="MS Mincho"/>
          <w:lang w:val="uk-UA" w:eastAsia="ja-JP"/>
        </w:rPr>
        <w:t xml:space="preserve"> %</w:t>
      </w:r>
      <w:r w:rsidRPr="001416ED">
        <w:rPr>
          <w:rFonts w:eastAsia="MS Mincho"/>
          <w:lang w:val="uk-UA" w:eastAsia="ja-JP"/>
        </w:rPr>
        <w:t xml:space="preserve">) </w:t>
      </w:r>
      <w:r w:rsidRPr="001416ED">
        <w:rPr>
          <w:rFonts w:eastAsia="PMingLiU"/>
          <w:lang w:val="uk-UA" w:eastAsia="zh-TW"/>
        </w:rPr>
        <w:t xml:space="preserve">дозволяє діагностувати </w:t>
      </w:r>
      <w:r w:rsidRPr="001416ED">
        <w:rPr>
          <w:rFonts w:eastAsia="PMingLiU"/>
          <w:spacing w:val="-4"/>
          <w:lang w:val="uk-UA" w:eastAsia="zh-TW"/>
        </w:rPr>
        <w:t>ХСН на тлі ГХ</w:t>
      </w:r>
      <w:r w:rsidRPr="001416ED">
        <w:rPr>
          <w:rFonts w:eastAsia="MS Mincho"/>
          <w:lang w:val="uk-UA" w:eastAsia="ja-JP"/>
        </w:rPr>
        <w:t xml:space="preserve"> </w:t>
      </w:r>
      <w:r w:rsidRPr="001416ED">
        <w:rPr>
          <w:rFonts w:eastAsia="PMingLiU"/>
          <w:lang w:val="uk-UA" w:eastAsia="zh-TW"/>
        </w:rPr>
        <w:t xml:space="preserve">у чоловіків без врахування варіанту генотипа гена ЕТ–1 </w:t>
      </w:r>
      <w:r w:rsidRPr="001416ED">
        <w:rPr>
          <w:rFonts w:eastAsiaTheme="minorHAnsi"/>
          <w:lang w:val="uk-UA" w:eastAsia="en-US"/>
        </w:rPr>
        <w:t>.</w:t>
      </w:r>
    </w:p>
    <w:p w:rsidR="00DB7F3F" w:rsidRPr="001416ED" w:rsidRDefault="00A7772A" w:rsidP="00FF10E0">
      <w:pPr>
        <w:widowControl w:val="0"/>
        <w:adjustRightInd w:val="0"/>
        <w:spacing w:line="360" w:lineRule="auto"/>
        <w:ind w:right="-17" w:firstLine="709"/>
        <w:jc w:val="both"/>
        <w:textAlignment w:val="baseline"/>
        <w:rPr>
          <w:rFonts w:eastAsiaTheme="minorHAnsi"/>
          <w:lang w:val="uk-UA" w:eastAsia="en-US"/>
        </w:rPr>
      </w:pPr>
      <w:r w:rsidRPr="001416ED">
        <w:rPr>
          <w:rFonts w:eastAsiaTheme="minorHAnsi"/>
          <w:lang w:val="uk-UA" w:eastAsia="en-US"/>
        </w:rPr>
        <w:t>Оскільки</w:t>
      </w:r>
      <w:r w:rsidR="00F33B7C" w:rsidRPr="001416ED">
        <w:rPr>
          <w:rFonts w:eastAsiaTheme="minorHAnsi"/>
          <w:lang w:val="uk-UA" w:eastAsia="en-US"/>
        </w:rPr>
        <w:t>,</w:t>
      </w:r>
      <w:r w:rsidRPr="001416ED">
        <w:rPr>
          <w:rFonts w:eastAsiaTheme="minorHAnsi"/>
          <w:lang w:val="uk-UA" w:eastAsia="en-US"/>
        </w:rPr>
        <w:t xml:space="preserve"> носійство алелі </w:t>
      </w:r>
      <w:r w:rsidRPr="001416ED">
        <w:rPr>
          <w:rFonts w:eastAsiaTheme="minorHAnsi"/>
          <w:lang w:val="en-US" w:eastAsia="en-US"/>
        </w:rPr>
        <w:t>Asn</w:t>
      </w:r>
      <w:r w:rsidRPr="001416ED">
        <w:rPr>
          <w:rFonts w:eastAsiaTheme="minorHAnsi"/>
          <w:lang w:val="uk-UA" w:eastAsia="en-US"/>
        </w:rPr>
        <w:t xml:space="preserve"> асоціюється з вищим рівнем ЕТ-1 в плазмі крові, було вирішено розрахувати межові рівні ЕТ-1 для встановлення носійства </w:t>
      </w:r>
      <w:r w:rsidR="00F33B7C" w:rsidRPr="001416ED">
        <w:rPr>
          <w:rFonts w:eastAsiaTheme="minorHAnsi"/>
          <w:lang w:val="uk-UA" w:eastAsia="en-US"/>
        </w:rPr>
        <w:t>вищезгаданої алелі</w:t>
      </w:r>
      <w:r w:rsidRPr="001416ED">
        <w:rPr>
          <w:rFonts w:eastAsiaTheme="minorHAnsi"/>
          <w:lang w:val="uk-UA" w:eastAsia="en-US"/>
        </w:rPr>
        <w:t xml:space="preserve"> для кожної групи пацієнтів з ГХ різної </w:t>
      </w:r>
      <w:r w:rsidR="00046A18" w:rsidRPr="001416ED">
        <w:rPr>
          <w:rFonts w:eastAsiaTheme="minorHAnsi"/>
          <w:lang w:val="uk-UA" w:eastAsia="en-US"/>
        </w:rPr>
        <w:t>стадії</w:t>
      </w:r>
      <w:r w:rsidRPr="001416ED">
        <w:rPr>
          <w:rFonts w:eastAsiaTheme="minorHAnsi"/>
          <w:lang w:val="uk-UA" w:eastAsia="en-US"/>
        </w:rPr>
        <w:t>:</w:t>
      </w:r>
    </w:p>
    <w:p w:rsidR="00A7772A" w:rsidRPr="001416ED" w:rsidRDefault="00A7772A" w:rsidP="00A7772A">
      <w:pPr>
        <w:widowControl w:val="0"/>
        <w:adjustRightInd w:val="0"/>
        <w:spacing w:line="360" w:lineRule="auto"/>
        <w:ind w:right="-17" w:firstLine="709"/>
        <w:jc w:val="both"/>
        <w:textAlignment w:val="baseline"/>
        <w:rPr>
          <w:rFonts w:eastAsiaTheme="minorHAnsi"/>
          <w:lang w:val="uk-UA" w:eastAsia="en-US"/>
        </w:rPr>
      </w:pPr>
      <w:r w:rsidRPr="001416ED">
        <w:rPr>
          <w:rFonts w:eastAsia="MS Mincho"/>
          <w:lang w:val="uk-UA" w:eastAsia="ja-JP"/>
        </w:rPr>
        <w:t xml:space="preserve">– </w:t>
      </w:r>
      <w:r w:rsidRPr="001416ED">
        <w:rPr>
          <w:rFonts w:eastAsia="PMingLiU"/>
          <w:lang w:val="uk-UA" w:eastAsia="zh-TW"/>
        </w:rPr>
        <w:t xml:space="preserve">плазмова концентрація ЕТ–1 ≥12,75 фмоль/мл (чутливість – 82,77 </w:t>
      </w:r>
      <w:r w:rsidR="00D4219F" w:rsidRPr="001416ED">
        <w:rPr>
          <w:rFonts w:eastAsia="PMingLiU"/>
          <w:lang w:val="uk-UA" w:eastAsia="zh-TW"/>
        </w:rPr>
        <w:t xml:space="preserve"> %</w:t>
      </w:r>
      <w:r w:rsidRPr="001416ED">
        <w:rPr>
          <w:rFonts w:eastAsia="PMingLiU"/>
          <w:lang w:val="uk-UA" w:eastAsia="zh-TW"/>
        </w:rPr>
        <w:t>, специфічність – 84,29</w:t>
      </w:r>
      <w:r w:rsidR="00D4219F" w:rsidRPr="001416ED">
        <w:rPr>
          <w:rFonts w:eastAsia="PMingLiU"/>
          <w:lang w:val="uk-UA" w:eastAsia="zh-TW"/>
        </w:rPr>
        <w:t xml:space="preserve"> %</w:t>
      </w:r>
      <w:r w:rsidRPr="001416ED">
        <w:rPr>
          <w:rFonts w:eastAsia="PMingLiU"/>
          <w:lang w:val="uk-UA" w:eastAsia="zh-TW"/>
        </w:rPr>
        <w:t>, безпомилковість – 77,93</w:t>
      </w:r>
      <w:r w:rsidR="00D4219F" w:rsidRPr="001416ED">
        <w:rPr>
          <w:rFonts w:eastAsia="PMingLiU"/>
          <w:lang w:val="uk-UA" w:eastAsia="zh-TW"/>
        </w:rPr>
        <w:t xml:space="preserve"> %</w:t>
      </w:r>
      <w:r w:rsidRPr="001416ED">
        <w:rPr>
          <w:rFonts w:eastAsia="PMingLiU"/>
          <w:lang w:val="uk-UA" w:eastAsia="zh-TW"/>
        </w:rPr>
        <w:t>, хибнонегативна відповідь – 8,09</w:t>
      </w:r>
      <w:r w:rsidR="00D4219F" w:rsidRPr="001416ED">
        <w:rPr>
          <w:rFonts w:eastAsia="PMingLiU"/>
          <w:lang w:val="uk-UA" w:eastAsia="zh-TW"/>
        </w:rPr>
        <w:t xml:space="preserve"> %</w:t>
      </w:r>
      <w:r w:rsidRPr="001416ED">
        <w:rPr>
          <w:rFonts w:eastAsia="PMingLiU"/>
          <w:lang w:val="uk-UA" w:eastAsia="zh-TW"/>
        </w:rPr>
        <w:t>, хибнопозитивна відповідь – 10,12</w:t>
      </w:r>
      <w:r w:rsidR="00D4219F" w:rsidRPr="001416ED">
        <w:rPr>
          <w:rFonts w:eastAsia="PMingLiU"/>
          <w:lang w:val="uk-UA" w:eastAsia="zh-TW"/>
        </w:rPr>
        <w:t xml:space="preserve"> %</w:t>
      </w:r>
      <w:r w:rsidRPr="001416ED">
        <w:rPr>
          <w:rFonts w:eastAsia="PMingLiU"/>
          <w:lang w:val="uk-UA" w:eastAsia="zh-TW"/>
        </w:rPr>
        <w:t xml:space="preserve">) дозволяє діагностувати носіїв алелі </w:t>
      </w:r>
      <w:r w:rsidRPr="001416ED">
        <w:rPr>
          <w:rFonts w:eastAsiaTheme="minorHAnsi"/>
          <w:lang w:val="en-US" w:eastAsia="en-US"/>
        </w:rPr>
        <w:t>Asn</w:t>
      </w:r>
      <w:r w:rsidRPr="001416ED">
        <w:rPr>
          <w:rFonts w:eastAsiaTheme="minorHAnsi"/>
          <w:lang w:val="uk-UA" w:eastAsia="en-US"/>
        </w:rPr>
        <w:t xml:space="preserve">  гена ЕТ–1 у чоловіків з</w:t>
      </w:r>
      <w:r w:rsidRPr="001416ED">
        <w:rPr>
          <w:rFonts w:eastAsia="PMingLiU"/>
          <w:spacing w:val="-4"/>
          <w:lang w:val="uk-UA" w:eastAsia="zh-TW"/>
        </w:rPr>
        <w:t xml:space="preserve"> ГХ ІІ ст.</w:t>
      </w:r>
    </w:p>
    <w:p w:rsidR="00A7772A" w:rsidRPr="001416ED" w:rsidRDefault="00A7772A" w:rsidP="00A7772A">
      <w:pPr>
        <w:widowControl w:val="0"/>
        <w:adjustRightInd w:val="0"/>
        <w:spacing w:line="360" w:lineRule="auto"/>
        <w:ind w:right="-17" w:firstLine="709"/>
        <w:jc w:val="both"/>
        <w:textAlignment w:val="baseline"/>
        <w:rPr>
          <w:rFonts w:eastAsiaTheme="minorHAnsi"/>
          <w:lang w:val="uk-UA" w:eastAsia="en-US"/>
        </w:rPr>
      </w:pPr>
      <w:r w:rsidRPr="001416ED">
        <w:rPr>
          <w:rFonts w:eastAsiaTheme="minorHAnsi"/>
          <w:lang w:val="uk-UA" w:eastAsia="en-US"/>
        </w:rPr>
        <w:t>- рівень ЕТ-1 ≥13,38 фмоль/мл (чутливість - 95,08</w:t>
      </w:r>
      <w:r w:rsidR="00D4219F" w:rsidRPr="001416ED">
        <w:rPr>
          <w:rFonts w:eastAsiaTheme="minorHAnsi"/>
          <w:lang w:val="uk-UA" w:eastAsia="en-US"/>
        </w:rPr>
        <w:t xml:space="preserve"> %</w:t>
      </w:r>
      <w:r w:rsidRPr="001416ED">
        <w:rPr>
          <w:rFonts w:eastAsiaTheme="minorHAnsi"/>
          <w:lang w:val="uk-UA" w:eastAsia="en-US"/>
        </w:rPr>
        <w:t>, специфічність - 88,39</w:t>
      </w:r>
      <w:r w:rsidR="00D4219F" w:rsidRPr="001416ED">
        <w:rPr>
          <w:rFonts w:eastAsiaTheme="minorHAnsi"/>
          <w:lang w:val="uk-UA" w:eastAsia="en-US"/>
        </w:rPr>
        <w:t xml:space="preserve"> %</w:t>
      </w:r>
      <w:r w:rsidR="009A4D3D">
        <w:rPr>
          <w:rFonts w:eastAsiaTheme="minorHAnsi"/>
          <w:lang w:val="uk-UA" w:eastAsia="en-US"/>
        </w:rPr>
        <w:t>,</w:t>
      </w:r>
      <w:r w:rsidRPr="001416ED">
        <w:rPr>
          <w:rFonts w:eastAsiaTheme="minorHAnsi"/>
          <w:lang w:val="uk-UA" w:eastAsia="en-US"/>
        </w:rPr>
        <w:t xml:space="preserve">  безпомилковість - 77</w:t>
      </w:r>
      <w:r w:rsidR="00D4219F" w:rsidRPr="001416ED">
        <w:rPr>
          <w:rFonts w:eastAsiaTheme="minorHAnsi"/>
          <w:lang w:val="uk-UA" w:eastAsia="en-US"/>
        </w:rPr>
        <w:t xml:space="preserve"> %</w:t>
      </w:r>
      <w:r w:rsidRPr="001416ED">
        <w:rPr>
          <w:rFonts w:eastAsiaTheme="minorHAnsi"/>
          <w:lang w:val="uk-UA" w:eastAsia="en-US"/>
        </w:rPr>
        <w:t>, хибнонегативна відповідь – 6,15</w:t>
      </w:r>
      <w:r w:rsidR="00D4219F" w:rsidRPr="001416ED">
        <w:rPr>
          <w:rFonts w:eastAsiaTheme="minorHAnsi"/>
          <w:lang w:val="uk-UA" w:eastAsia="en-US"/>
        </w:rPr>
        <w:t xml:space="preserve"> %</w:t>
      </w:r>
      <w:r w:rsidRPr="001416ED">
        <w:rPr>
          <w:rFonts w:eastAsiaTheme="minorHAnsi"/>
          <w:lang w:val="uk-UA" w:eastAsia="en-US"/>
        </w:rPr>
        <w:t>, хибнопозитивна відповідь – 3,84</w:t>
      </w:r>
      <w:r w:rsidR="00D4219F" w:rsidRPr="001416ED">
        <w:rPr>
          <w:rFonts w:eastAsiaTheme="minorHAnsi"/>
          <w:lang w:val="uk-UA" w:eastAsia="en-US"/>
        </w:rPr>
        <w:t xml:space="preserve"> %</w:t>
      </w:r>
      <w:r w:rsidRPr="001416ED">
        <w:rPr>
          <w:rFonts w:eastAsiaTheme="minorHAnsi"/>
          <w:lang w:val="uk-UA" w:eastAsia="en-US"/>
        </w:rPr>
        <w:t xml:space="preserve">) </w:t>
      </w:r>
      <w:r w:rsidRPr="001416ED">
        <w:rPr>
          <w:rFonts w:eastAsia="PMingLiU"/>
          <w:lang w:val="uk-UA" w:eastAsia="zh-TW"/>
        </w:rPr>
        <w:t xml:space="preserve">дозволяє діагностувати носіїв алелі </w:t>
      </w:r>
      <w:r w:rsidRPr="001416ED">
        <w:rPr>
          <w:rFonts w:eastAsiaTheme="minorHAnsi"/>
          <w:lang w:val="en-US" w:eastAsia="en-US"/>
        </w:rPr>
        <w:t>Asn</w:t>
      </w:r>
      <w:r w:rsidRPr="001416ED">
        <w:rPr>
          <w:rFonts w:eastAsiaTheme="minorHAnsi"/>
          <w:lang w:val="uk-UA" w:eastAsia="en-US"/>
        </w:rPr>
        <w:t xml:space="preserve">  гена ЕТ–1 у чоловіків з ГХ</w:t>
      </w:r>
      <w:r w:rsidR="00094CFF" w:rsidRPr="001416ED">
        <w:rPr>
          <w:rFonts w:eastAsiaTheme="minorHAnsi"/>
          <w:lang w:val="uk-UA" w:eastAsia="en-US"/>
        </w:rPr>
        <w:t>, що</w:t>
      </w:r>
      <w:r w:rsidRPr="001416ED">
        <w:rPr>
          <w:rFonts w:eastAsiaTheme="minorHAnsi"/>
          <w:lang w:val="uk-UA" w:eastAsia="en-US"/>
        </w:rPr>
        <w:t xml:space="preserve"> ускладнен</w:t>
      </w:r>
      <w:r w:rsidR="00094CFF" w:rsidRPr="001416ED">
        <w:rPr>
          <w:rFonts w:eastAsiaTheme="minorHAnsi"/>
          <w:lang w:val="uk-UA" w:eastAsia="en-US"/>
        </w:rPr>
        <w:t>а</w:t>
      </w:r>
      <w:r w:rsidRPr="001416ED">
        <w:rPr>
          <w:rFonts w:eastAsiaTheme="minorHAnsi"/>
          <w:lang w:val="uk-UA" w:eastAsia="en-US"/>
        </w:rPr>
        <w:t xml:space="preserve"> ХСН </w:t>
      </w:r>
      <w:r w:rsidR="004A4E68" w:rsidRPr="001416ED">
        <w:rPr>
          <w:rFonts w:eastAsiaTheme="minorHAnsi"/>
          <w:lang w:val="uk-UA" w:eastAsia="en-US"/>
        </w:rPr>
        <w:t>ІІ А</w:t>
      </w:r>
      <w:r w:rsidRPr="001416ED">
        <w:rPr>
          <w:rFonts w:eastAsiaTheme="minorHAnsi"/>
          <w:lang w:val="uk-UA" w:eastAsia="en-US"/>
        </w:rPr>
        <w:t xml:space="preserve"> ст.</w:t>
      </w:r>
    </w:p>
    <w:p w:rsidR="00372000" w:rsidRPr="001416ED" w:rsidRDefault="00372000" w:rsidP="00FF10E0">
      <w:pPr>
        <w:widowControl w:val="0"/>
        <w:adjustRightInd w:val="0"/>
        <w:spacing w:line="360" w:lineRule="auto"/>
        <w:ind w:right="-17" w:firstLine="709"/>
        <w:jc w:val="both"/>
        <w:textAlignment w:val="baseline"/>
        <w:rPr>
          <w:rFonts w:eastAsiaTheme="minorHAnsi"/>
          <w:lang w:val="uk-UA" w:eastAsia="en-US"/>
        </w:rPr>
      </w:pPr>
      <w:r w:rsidRPr="001416ED">
        <w:rPr>
          <w:rFonts w:eastAsiaTheme="minorHAnsi"/>
          <w:lang w:val="uk-UA" w:eastAsia="en-US"/>
        </w:rPr>
        <w:t xml:space="preserve">Отже, у чоловіків з ГХ різної </w:t>
      </w:r>
      <w:r w:rsidR="00046A18" w:rsidRPr="001416ED">
        <w:rPr>
          <w:rFonts w:eastAsiaTheme="minorHAnsi"/>
          <w:lang w:val="uk-UA" w:eastAsia="en-US"/>
        </w:rPr>
        <w:t>стадії</w:t>
      </w:r>
      <w:r w:rsidRPr="001416ED">
        <w:rPr>
          <w:rFonts w:eastAsiaTheme="minorHAnsi"/>
          <w:lang w:val="uk-UA" w:eastAsia="en-US"/>
        </w:rPr>
        <w:t xml:space="preserve"> плазмова концентрація ЕТ</w:t>
      </w:r>
      <w:r w:rsidR="00BC0119" w:rsidRPr="001416ED">
        <w:rPr>
          <w:rFonts w:eastAsiaTheme="minorHAnsi"/>
          <w:lang w:val="uk-UA" w:eastAsia="en-US"/>
        </w:rPr>
        <w:t>–</w:t>
      </w:r>
      <w:r w:rsidRPr="001416ED">
        <w:rPr>
          <w:rFonts w:eastAsiaTheme="minorHAnsi"/>
          <w:lang w:val="uk-UA" w:eastAsia="en-US"/>
        </w:rPr>
        <w:t xml:space="preserve">1 </w:t>
      </w:r>
      <w:r w:rsidR="004446A4" w:rsidRPr="001416ED">
        <w:rPr>
          <w:rFonts w:eastAsiaTheme="minorHAnsi"/>
          <w:lang w:val="uk-UA" w:eastAsia="en-US"/>
        </w:rPr>
        <w:t>виявилась</w:t>
      </w:r>
      <w:r w:rsidRPr="001416ED">
        <w:rPr>
          <w:rFonts w:eastAsiaTheme="minorHAnsi"/>
          <w:lang w:val="uk-UA" w:eastAsia="en-US"/>
        </w:rPr>
        <w:t xml:space="preserve"> </w:t>
      </w:r>
      <w:r w:rsidRPr="001416ED">
        <w:rPr>
          <w:rFonts w:eastAsiaTheme="minorHAnsi"/>
          <w:lang w:val="uk-UA" w:eastAsia="en-US"/>
        </w:rPr>
        <w:lastRenderedPageBreak/>
        <w:t xml:space="preserve">вірогідно вищою, ніж в групі контролю, найвищий рівень пептиду встановлений в осіб з </w:t>
      </w:r>
      <w:r w:rsidR="00094CFF" w:rsidRPr="001416ED">
        <w:rPr>
          <w:rFonts w:eastAsiaTheme="minorHAnsi"/>
          <w:lang w:val="uk-UA" w:eastAsia="en-US"/>
        </w:rPr>
        <w:t>ГХ ІІІ ст</w:t>
      </w:r>
      <w:r w:rsidR="006B3866" w:rsidRPr="001416ED">
        <w:rPr>
          <w:rFonts w:eastAsiaTheme="minorHAnsi"/>
          <w:lang w:val="uk-UA" w:eastAsia="en-US"/>
        </w:rPr>
        <w:t xml:space="preserve">. </w:t>
      </w:r>
      <w:r w:rsidRPr="001416ED">
        <w:rPr>
          <w:rFonts w:eastAsiaTheme="minorHAnsi"/>
          <w:lang w:val="uk-UA" w:eastAsia="en-US"/>
        </w:rPr>
        <w:t xml:space="preserve">Носійство алелі </w:t>
      </w:r>
      <w:r w:rsidRPr="001416ED">
        <w:rPr>
          <w:rFonts w:eastAsiaTheme="minorHAnsi"/>
          <w:lang w:val="en-US" w:eastAsia="en-US"/>
        </w:rPr>
        <w:t>Asn</w:t>
      </w:r>
      <w:r w:rsidRPr="001416ED">
        <w:rPr>
          <w:rFonts w:eastAsiaTheme="minorHAnsi"/>
          <w:lang w:val="uk-UA" w:eastAsia="en-US"/>
        </w:rPr>
        <w:t xml:space="preserve"> асоціюється з найвищими </w:t>
      </w:r>
      <w:r w:rsidR="009B2C92" w:rsidRPr="001416ED">
        <w:rPr>
          <w:rFonts w:eastAsiaTheme="minorHAnsi"/>
          <w:lang w:val="uk-UA" w:eastAsia="en-US"/>
        </w:rPr>
        <w:t xml:space="preserve">плазмовими </w:t>
      </w:r>
      <w:r w:rsidRPr="001416ED">
        <w:rPr>
          <w:rFonts w:eastAsiaTheme="minorHAnsi"/>
          <w:lang w:val="uk-UA" w:eastAsia="en-US"/>
        </w:rPr>
        <w:t>рівнями ЕТ</w:t>
      </w:r>
      <w:r w:rsidR="00BC0119" w:rsidRPr="001416ED">
        <w:rPr>
          <w:rFonts w:eastAsiaTheme="minorHAnsi"/>
          <w:lang w:val="uk-UA" w:eastAsia="en-US"/>
        </w:rPr>
        <w:t>–</w:t>
      </w:r>
      <w:r w:rsidRPr="001416ED">
        <w:rPr>
          <w:rFonts w:eastAsiaTheme="minorHAnsi"/>
          <w:lang w:val="uk-UA" w:eastAsia="en-US"/>
        </w:rPr>
        <w:t xml:space="preserve">1 </w:t>
      </w:r>
      <w:r w:rsidR="009B2C92" w:rsidRPr="001416ED">
        <w:rPr>
          <w:rFonts w:eastAsiaTheme="minorHAnsi"/>
          <w:lang w:val="uk-UA" w:eastAsia="en-US"/>
        </w:rPr>
        <w:t xml:space="preserve">та 3 ступенем АГ </w:t>
      </w:r>
      <w:r w:rsidRPr="001416ED">
        <w:rPr>
          <w:rFonts w:eastAsiaTheme="minorHAnsi"/>
          <w:lang w:val="uk-UA" w:eastAsia="en-US"/>
        </w:rPr>
        <w:t xml:space="preserve">в порівнянні з носіями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xml:space="preserve"> гена ЕТ</w:t>
      </w:r>
      <w:r w:rsidR="00BC0119" w:rsidRPr="001416ED">
        <w:rPr>
          <w:rFonts w:eastAsiaTheme="minorHAnsi"/>
          <w:lang w:val="uk-UA" w:eastAsia="en-US"/>
        </w:rPr>
        <w:t>–</w:t>
      </w:r>
      <w:r w:rsidRPr="001416ED">
        <w:rPr>
          <w:rFonts w:eastAsiaTheme="minorHAnsi"/>
          <w:lang w:val="uk-UA" w:eastAsia="en-US"/>
        </w:rPr>
        <w:t>1. Досліджено, що плазмова концентрація ЕТ</w:t>
      </w:r>
      <w:r w:rsidR="00BC0119" w:rsidRPr="001416ED">
        <w:rPr>
          <w:rFonts w:eastAsiaTheme="minorHAnsi"/>
          <w:lang w:val="uk-UA" w:eastAsia="en-US"/>
        </w:rPr>
        <w:t>–</w:t>
      </w:r>
      <w:r w:rsidRPr="001416ED">
        <w:rPr>
          <w:rFonts w:eastAsiaTheme="minorHAnsi"/>
          <w:lang w:val="uk-UA" w:eastAsia="en-US"/>
        </w:rPr>
        <w:t xml:space="preserve">1 при різному </w:t>
      </w:r>
      <w:r w:rsidR="00952263" w:rsidRPr="001416ED">
        <w:rPr>
          <w:rFonts w:eastAsiaTheme="minorHAnsi"/>
          <w:lang w:val="uk-UA" w:eastAsia="en-US"/>
        </w:rPr>
        <w:t>ІМТ</w:t>
      </w:r>
      <w:r w:rsidRPr="001416ED">
        <w:rPr>
          <w:rFonts w:eastAsiaTheme="minorHAnsi"/>
          <w:lang w:val="uk-UA" w:eastAsia="en-US"/>
        </w:rPr>
        <w:t xml:space="preserve"> не відрізняється.</w:t>
      </w:r>
      <w:r w:rsidR="00FF079B" w:rsidRPr="001416ED">
        <w:rPr>
          <w:rFonts w:eastAsiaTheme="minorHAnsi"/>
          <w:lang w:val="uk-UA" w:eastAsia="en-US"/>
        </w:rPr>
        <w:t xml:space="preserve"> Визначені межові рівні ЕТ</w:t>
      </w:r>
      <w:r w:rsidR="00BC0119" w:rsidRPr="001416ED">
        <w:rPr>
          <w:rFonts w:eastAsiaTheme="minorHAnsi"/>
          <w:lang w:val="uk-UA" w:eastAsia="en-US"/>
        </w:rPr>
        <w:t>–</w:t>
      </w:r>
      <w:r w:rsidR="00FF079B" w:rsidRPr="001416ED">
        <w:rPr>
          <w:rFonts w:eastAsiaTheme="minorHAnsi"/>
          <w:lang w:val="uk-UA" w:eastAsia="en-US"/>
        </w:rPr>
        <w:t>1 в плазмі крові для орієнтовног</w:t>
      </w:r>
      <w:r w:rsidR="00B30AB5" w:rsidRPr="001416ED">
        <w:rPr>
          <w:rFonts w:eastAsiaTheme="minorHAnsi"/>
          <w:lang w:val="uk-UA" w:eastAsia="en-US"/>
        </w:rPr>
        <w:t xml:space="preserve">о визначення носійства алелі </w:t>
      </w:r>
      <w:r w:rsidR="00B30AB5" w:rsidRPr="001416ED">
        <w:rPr>
          <w:rFonts w:eastAsiaTheme="minorHAnsi"/>
          <w:lang w:val="en-US" w:eastAsia="en-US"/>
        </w:rPr>
        <w:t>Asn</w:t>
      </w:r>
      <w:r w:rsidR="00B30AB5" w:rsidRPr="001416ED">
        <w:rPr>
          <w:rFonts w:eastAsiaTheme="minorHAnsi"/>
          <w:lang w:val="uk-UA" w:eastAsia="en-US"/>
        </w:rPr>
        <w:t xml:space="preserve"> </w:t>
      </w:r>
      <w:r w:rsidR="00FF079B" w:rsidRPr="001416ED">
        <w:rPr>
          <w:rFonts w:eastAsiaTheme="minorHAnsi"/>
          <w:lang w:val="uk-UA" w:eastAsia="en-US"/>
        </w:rPr>
        <w:t>гена ЕТ</w:t>
      </w:r>
      <w:r w:rsidR="00BC0119" w:rsidRPr="001416ED">
        <w:rPr>
          <w:rFonts w:eastAsiaTheme="minorHAnsi"/>
          <w:lang w:val="uk-UA" w:eastAsia="en-US"/>
        </w:rPr>
        <w:t>–</w:t>
      </w:r>
      <w:r w:rsidR="00FF079B" w:rsidRPr="001416ED">
        <w:rPr>
          <w:rFonts w:eastAsiaTheme="minorHAnsi"/>
          <w:lang w:val="uk-UA" w:eastAsia="en-US"/>
        </w:rPr>
        <w:t>1</w:t>
      </w:r>
      <w:r w:rsidR="00094CFF" w:rsidRPr="001416ED">
        <w:rPr>
          <w:rFonts w:eastAsiaTheme="minorHAnsi"/>
          <w:lang w:val="uk-UA" w:eastAsia="en-US"/>
        </w:rPr>
        <w:t xml:space="preserve"> та стадії  ГХ</w:t>
      </w:r>
      <w:r w:rsidR="00B30AB5" w:rsidRPr="001416ED">
        <w:rPr>
          <w:rFonts w:eastAsiaTheme="minorHAnsi"/>
          <w:lang w:val="uk-UA" w:eastAsia="en-US"/>
        </w:rPr>
        <w:t>.</w:t>
      </w:r>
      <w:r w:rsidR="009B2C92" w:rsidRPr="001416ED">
        <w:rPr>
          <w:rFonts w:eastAsiaTheme="minorHAnsi"/>
          <w:lang w:val="uk-UA" w:eastAsia="en-US"/>
        </w:rPr>
        <w:t xml:space="preserve"> </w:t>
      </w:r>
    </w:p>
    <w:p w:rsidR="004F36BE" w:rsidRPr="001416ED" w:rsidRDefault="004F36BE" w:rsidP="004F36BE">
      <w:pPr>
        <w:spacing w:before="240" w:line="360" w:lineRule="auto"/>
        <w:ind w:firstLine="709"/>
        <w:jc w:val="both"/>
        <w:rPr>
          <w:rFonts w:eastAsiaTheme="minorHAnsi"/>
          <w:b/>
          <w:kern w:val="11"/>
          <w:lang w:val="uk-UA" w:eastAsia="en-US"/>
        </w:rPr>
      </w:pPr>
      <w:r w:rsidRPr="001416ED">
        <w:rPr>
          <w:rFonts w:eastAsiaTheme="minorHAnsi"/>
          <w:b/>
          <w:kern w:val="11"/>
          <w:lang w:val="uk-UA" w:eastAsia="en-US"/>
        </w:rPr>
        <w:t>4.</w:t>
      </w:r>
      <w:r w:rsidR="004811C7" w:rsidRPr="001416ED">
        <w:rPr>
          <w:rFonts w:eastAsiaTheme="minorHAnsi"/>
          <w:b/>
          <w:kern w:val="11"/>
          <w:lang w:val="uk-UA" w:eastAsia="en-US"/>
        </w:rPr>
        <w:t>3</w:t>
      </w:r>
      <w:r w:rsidR="000C3C75" w:rsidRPr="001416ED">
        <w:rPr>
          <w:rFonts w:eastAsiaTheme="minorHAnsi"/>
          <w:b/>
          <w:kern w:val="11"/>
          <w:lang w:val="uk-UA" w:eastAsia="en-US"/>
        </w:rPr>
        <w:t>.</w:t>
      </w:r>
      <w:r w:rsidRPr="001416ED">
        <w:rPr>
          <w:rFonts w:eastAsiaTheme="minorHAnsi"/>
          <w:b/>
          <w:kern w:val="11"/>
          <w:lang w:val="uk-UA" w:eastAsia="en-US"/>
        </w:rPr>
        <w:t xml:space="preserve"> Рівень С</w:t>
      </w:r>
      <w:r w:rsidR="00BC0119" w:rsidRPr="001416ED">
        <w:rPr>
          <w:rFonts w:eastAsiaTheme="minorHAnsi"/>
          <w:b/>
          <w:kern w:val="11"/>
          <w:lang w:val="uk-UA" w:eastAsia="en-US"/>
        </w:rPr>
        <w:t>–</w:t>
      </w:r>
      <w:r w:rsidRPr="001416ED">
        <w:rPr>
          <w:rFonts w:eastAsiaTheme="minorHAnsi"/>
          <w:b/>
          <w:kern w:val="11"/>
          <w:lang w:val="uk-UA" w:eastAsia="en-US"/>
        </w:rPr>
        <w:t xml:space="preserve">натрійуретичного пептиду у плазмі крові чоловіків з гіпертонічною хворобою різної </w:t>
      </w:r>
      <w:r w:rsidR="00046A18" w:rsidRPr="001416ED">
        <w:rPr>
          <w:rFonts w:eastAsiaTheme="minorHAnsi"/>
          <w:b/>
          <w:kern w:val="11"/>
          <w:lang w:val="uk-UA" w:eastAsia="en-US"/>
        </w:rPr>
        <w:t>стадії</w:t>
      </w:r>
      <w:r w:rsidRPr="001416ED">
        <w:rPr>
          <w:rFonts w:eastAsiaTheme="minorHAnsi"/>
          <w:b/>
          <w:kern w:val="11"/>
          <w:lang w:val="uk-UA" w:eastAsia="en-US"/>
        </w:rPr>
        <w:t>, мешканців Подільського регіону України</w:t>
      </w:r>
    </w:p>
    <w:p w:rsidR="004F36BE" w:rsidRPr="001416ED" w:rsidRDefault="004F36BE" w:rsidP="004F36BE">
      <w:pPr>
        <w:spacing w:before="240" w:line="360" w:lineRule="auto"/>
        <w:ind w:firstLine="709"/>
        <w:jc w:val="both"/>
        <w:rPr>
          <w:rFonts w:eastAsiaTheme="minorHAnsi"/>
          <w:kern w:val="11"/>
          <w:lang w:val="uk-UA" w:eastAsia="en-US"/>
        </w:rPr>
      </w:pPr>
      <w:r w:rsidRPr="001416ED">
        <w:rPr>
          <w:rFonts w:eastAsiaTheme="minorHAnsi"/>
          <w:kern w:val="11"/>
          <w:lang w:val="uk-UA" w:eastAsia="en-US"/>
        </w:rPr>
        <w:t>Судинний НУП є місцевим антагоністом ЕТ</w:t>
      </w:r>
      <w:r w:rsidR="00BC0119" w:rsidRPr="001416ED">
        <w:rPr>
          <w:rFonts w:eastAsiaTheme="minorHAnsi"/>
          <w:kern w:val="11"/>
          <w:lang w:val="uk-UA" w:eastAsia="en-US"/>
        </w:rPr>
        <w:t>–</w:t>
      </w:r>
      <w:r w:rsidRPr="001416ED">
        <w:rPr>
          <w:rFonts w:eastAsiaTheme="minorHAnsi"/>
          <w:kern w:val="11"/>
          <w:lang w:val="uk-UA" w:eastAsia="en-US"/>
        </w:rPr>
        <w:t>1.  Визначення його активності у осіб з ГХ допоможе опосередковано визначити баланс активностей  вазодилятатора/вазоконстриктора (рис 4.</w:t>
      </w:r>
      <w:r w:rsidR="00AF3B9A" w:rsidRPr="001416ED">
        <w:rPr>
          <w:rFonts w:eastAsiaTheme="minorHAnsi"/>
          <w:kern w:val="11"/>
          <w:lang w:val="uk-UA" w:eastAsia="en-US"/>
        </w:rPr>
        <w:t>5</w:t>
      </w:r>
      <w:r w:rsidRPr="001416ED">
        <w:rPr>
          <w:rFonts w:eastAsiaTheme="minorHAnsi"/>
          <w:kern w:val="11"/>
          <w:lang w:val="uk-UA" w:eastAsia="en-US"/>
        </w:rPr>
        <w:t>).</w:t>
      </w:r>
    </w:p>
    <w:p w:rsidR="004F36BE" w:rsidRPr="001416ED" w:rsidRDefault="004F36BE" w:rsidP="004F36BE">
      <w:pPr>
        <w:spacing w:before="240" w:line="360" w:lineRule="auto"/>
        <w:ind w:firstLine="709"/>
        <w:jc w:val="both"/>
        <w:rPr>
          <w:rFonts w:eastAsiaTheme="minorHAnsi"/>
          <w:b/>
          <w:kern w:val="11"/>
          <w:lang w:val="uk-UA" w:eastAsia="en-US"/>
        </w:rPr>
      </w:pPr>
      <w:r w:rsidRPr="001416ED">
        <w:rPr>
          <w:rFonts w:eastAsiaTheme="minorHAnsi"/>
          <w:b/>
          <w:noProof/>
          <w:kern w:val="11"/>
          <w:lang w:val="uk-UA" w:eastAsia="uk-UA"/>
        </w:rPr>
        <w:drawing>
          <wp:inline distT="0" distB="0" distL="0" distR="0" wp14:anchorId="1015399B" wp14:editId="194FA81B">
            <wp:extent cx="5512280" cy="1708030"/>
            <wp:effectExtent l="0" t="0" r="0" b="69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F36BE" w:rsidRPr="001416ED" w:rsidRDefault="004F36BE" w:rsidP="004F36BE">
      <w:pPr>
        <w:spacing w:before="240" w:line="360" w:lineRule="auto"/>
        <w:ind w:firstLine="709"/>
        <w:jc w:val="both"/>
        <w:rPr>
          <w:rFonts w:eastAsiaTheme="minorHAnsi"/>
          <w:b/>
          <w:lang w:val="uk-UA" w:eastAsia="en-US"/>
        </w:rPr>
      </w:pPr>
      <w:r w:rsidRPr="001416ED">
        <w:rPr>
          <w:rFonts w:eastAsiaTheme="minorHAnsi"/>
          <w:b/>
          <w:lang w:val="uk-UA" w:eastAsia="en-US"/>
        </w:rPr>
        <w:t>Рис. 4.</w:t>
      </w:r>
      <w:r w:rsidR="00AF3B9A" w:rsidRPr="001416ED">
        <w:rPr>
          <w:rFonts w:eastAsiaTheme="minorHAnsi"/>
          <w:b/>
          <w:lang w:val="uk-UA" w:eastAsia="en-US"/>
        </w:rPr>
        <w:t>5</w:t>
      </w:r>
      <w:r w:rsidRPr="001416ED">
        <w:rPr>
          <w:rFonts w:eastAsiaTheme="minorHAnsi"/>
          <w:b/>
          <w:lang w:val="uk-UA" w:eastAsia="en-US"/>
        </w:rPr>
        <w:t xml:space="preserve"> Плазмова концентрація СНП у чоловіків групи контролю, хворих на ГХ ІІ стадії та у пацієнтів з </w:t>
      </w:r>
      <w:r w:rsidR="002C2477" w:rsidRPr="001416ED">
        <w:rPr>
          <w:rFonts w:eastAsiaTheme="minorHAnsi"/>
          <w:b/>
          <w:lang w:val="uk-UA" w:eastAsia="en-US"/>
        </w:rPr>
        <w:t xml:space="preserve">ГХ ІІІ ст., </w:t>
      </w:r>
      <w:r w:rsidR="00023CB5" w:rsidRPr="001416ED">
        <w:rPr>
          <w:rFonts w:eastAsiaTheme="minorHAnsi"/>
          <w:b/>
          <w:lang w:val="uk-UA" w:eastAsia="en-US"/>
        </w:rPr>
        <w:t>пмоль/мл</w:t>
      </w:r>
    </w:p>
    <w:p w:rsidR="004F36BE" w:rsidRPr="001416ED" w:rsidRDefault="004F36BE" w:rsidP="004F36BE">
      <w:pPr>
        <w:spacing w:line="360" w:lineRule="auto"/>
        <w:ind w:firstLine="709"/>
        <w:jc w:val="both"/>
        <w:rPr>
          <w:rFonts w:eastAsiaTheme="minorHAnsi"/>
          <w:lang w:val="uk-UA" w:eastAsia="en-US"/>
        </w:rPr>
      </w:pPr>
      <w:r w:rsidRPr="001416ED">
        <w:rPr>
          <w:rFonts w:eastAsiaTheme="minorHAnsi"/>
          <w:lang w:val="uk-UA" w:eastAsia="en-US"/>
        </w:rPr>
        <w:t xml:space="preserve">Примітка: різниця показників достовірна при порівнянні з: * </w:t>
      </w:r>
      <w:r w:rsidR="00BC0119" w:rsidRPr="001416ED">
        <w:rPr>
          <w:rFonts w:eastAsiaTheme="minorHAnsi"/>
          <w:lang w:val="uk-UA" w:eastAsia="en-US"/>
        </w:rPr>
        <w:t>–</w:t>
      </w:r>
      <w:r w:rsidRPr="001416ED">
        <w:rPr>
          <w:rFonts w:eastAsiaTheme="minorHAnsi"/>
          <w:lang w:val="uk-UA" w:eastAsia="en-US"/>
        </w:rPr>
        <w:t xml:space="preserve"> групою контролю (р </w:t>
      </w:r>
      <w:r w:rsidR="000E5702" w:rsidRPr="001416ED">
        <w:rPr>
          <w:rFonts w:eastAsiaTheme="minorHAnsi"/>
          <w:lang w:val="uk-UA" w:eastAsia="en-US"/>
        </w:rPr>
        <w:t>˂</w:t>
      </w:r>
      <w:r w:rsidRPr="001416ED">
        <w:rPr>
          <w:rFonts w:eastAsiaTheme="minorHAnsi"/>
          <w:lang w:val="uk-UA" w:eastAsia="en-US"/>
        </w:rPr>
        <w:t>0,0001)</w:t>
      </w:r>
    </w:p>
    <w:p w:rsidR="004F36BE" w:rsidRPr="001416ED" w:rsidRDefault="004F36BE" w:rsidP="004F36BE">
      <w:pPr>
        <w:spacing w:before="240" w:line="360" w:lineRule="auto"/>
        <w:ind w:firstLine="709"/>
        <w:jc w:val="both"/>
        <w:rPr>
          <w:rFonts w:eastAsiaTheme="minorHAnsi"/>
          <w:lang w:val="uk-UA" w:eastAsia="en-US"/>
        </w:rPr>
      </w:pPr>
      <w:r w:rsidRPr="001416ED">
        <w:rPr>
          <w:rFonts w:eastAsiaTheme="minorHAnsi"/>
          <w:lang w:val="uk-UA" w:eastAsia="en-US"/>
        </w:rPr>
        <w:t xml:space="preserve">Рівень СНП в плазмі крові чоловіків з ГХ різної </w:t>
      </w:r>
      <w:r w:rsidR="00046A18" w:rsidRPr="001416ED">
        <w:rPr>
          <w:rFonts w:eastAsiaTheme="minorHAnsi"/>
          <w:lang w:val="uk-UA" w:eastAsia="en-US"/>
        </w:rPr>
        <w:t>стадії</w:t>
      </w:r>
      <w:r w:rsidRPr="001416ED">
        <w:rPr>
          <w:rFonts w:eastAsiaTheme="minorHAnsi"/>
          <w:lang w:val="uk-UA" w:eastAsia="en-US"/>
        </w:rPr>
        <w:t xml:space="preserve"> достовірно вище, ніж в групі контролю, однак вірогідної різниці в рівні пептиду між пацієнтами з ГХ </w:t>
      </w:r>
      <w:r w:rsidR="00A63A7A" w:rsidRPr="001416ED">
        <w:rPr>
          <w:rFonts w:eastAsiaTheme="minorHAnsi"/>
          <w:lang w:val="uk-UA" w:eastAsia="en-US"/>
        </w:rPr>
        <w:t>ІІ та ІІІ стадії</w:t>
      </w:r>
      <w:r w:rsidRPr="001416ED">
        <w:rPr>
          <w:rFonts w:eastAsiaTheme="minorHAnsi"/>
          <w:lang w:val="uk-UA" w:eastAsia="en-US"/>
        </w:rPr>
        <w:t xml:space="preserve"> </w:t>
      </w:r>
      <w:r w:rsidR="00387C37" w:rsidRPr="001416ED">
        <w:rPr>
          <w:rFonts w:eastAsiaTheme="minorHAnsi"/>
          <w:lang w:val="uk-UA" w:eastAsia="en-US"/>
        </w:rPr>
        <w:t>немає.</w:t>
      </w:r>
    </w:p>
    <w:p w:rsidR="004F36BE" w:rsidRPr="001416ED" w:rsidRDefault="004F36BE" w:rsidP="004F36BE">
      <w:pPr>
        <w:spacing w:line="360" w:lineRule="auto"/>
        <w:ind w:firstLine="709"/>
        <w:jc w:val="both"/>
        <w:rPr>
          <w:rFonts w:eastAsiaTheme="minorHAnsi"/>
          <w:lang w:val="uk-UA" w:eastAsia="en-US"/>
        </w:rPr>
      </w:pPr>
      <w:r w:rsidRPr="001416ED">
        <w:rPr>
          <w:rFonts w:eastAsiaTheme="minorHAnsi"/>
          <w:lang w:val="uk-UA" w:eastAsia="en-US"/>
        </w:rPr>
        <w:lastRenderedPageBreak/>
        <w:t>В даній роботі показано, що поліморфізм гена ЕТ</w:t>
      </w:r>
      <w:r w:rsidR="00BC0119" w:rsidRPr="001416ED">
        <w:rPr>
          <w:rFonts w:eastAsiaTheme="minorHAnsi"/>
          <w:lang w:val="uk-UA" w:eastAsia="en-US"/>
        </w:rPr>
        <w:t>–</w:t>
      </w:r>
      <w:r w:rsidRPr="001416ED">
        <w:rPr>
          <w:rFonts w:eastAsiaTheme="minorHAnsi"/>
          <w:lang w:val="uk-UA" w:eastAsia="en-US"/>
        </w:rPr>
        <w:t>1 має вплив на плазмову концентрацію ЕТ</w:t>
      </w:r>
      <w:r w:rsidR="00BC0119" w:rsidRPr="001416ED">
        <w:rPr>
          <w:rFonts w:eastAsiaTheme="minorHAnsi"/>
          <w:lang w:val="uk-UA" w:eastAsia="en-US"/>
        </w:rPr>
        <w:t>–</w:t>
      </w:r>
      <w:r w:rsidRPr="001416ED">
        <w:rPr>
          <w:rFonts w:eastAsiaTheme="minorHAnsi"/>
          <w:lang w:val="uk-UA" w:eastAsia="en-US"/>
        </w:rPr>
        <w:t>1, тому стало цікавим дослідити рівень СНП при поліморфізмі вказаного гена (табл 4.</w:t>
      </w:r>
      <w:r w:rsidR="00EC6DB5" w:rsidRPr="001416ED">
        <w:rPr>
          <w:rFonts w:eastAsiaTheme="minorHAnsi"/>
          <w:lang w:val="uk-UA" w:eastAsia="en-US"/>
        </w:rPr>
        <w:t>7</w:t>
      </w:r>
      <w:r w:rsidRPr="001416ED">
        <w:rPr>
          <w:rFonts w:eastAsiaTheme="minorHAnsi"/>
          <w:lang w:val="uk-UA" w:eastAsia="en-US"/>
        </w:rPr>
        <w:t>).</w:t>
      </w:r>
    </w:p>
    <w:p w:rsidR="004F36BE" w:rsidRPr="001416ED" w:rsidRDefault="004F36BE" w:rsidP="004F36BE">
      <w:pPr>
        <w:spacing w:line="360" w:lineRule="auto"/>
        <w:ind w:right="140" w:firstLine="708"/>
        <w:jc w:val="right"/>
        <w:rPr>
          <w:b/>
          <w:lang w:val="uk-UA"/>
        </w:rPr>
      </w:pPr>
      <w:r w:rsidRPr="001416ED">
        <w:rPr>
          <w:b/>
          <w:lang w:val="uk-UA"/>
        </w:rPr>
        <w:t>Таблиця 4.</w:t>
      </w:r>
      <w:r w:rsidR="00EC6DB5" w:rsidRPr="001416ED">
        <w:rPr>
          <w:b/>
          <w:lang w:val="uk-UA"/>
        </w:rPr>
        <w:t>7</w:t>
      </w:r>
    </w:p>
    <w:p w:rsidR="004F36BE" w:rsidRPr="001416ED" w:rsidRDefault="004F36BE" w:rsidP="004F36BE">
      <w:pPr>
        <w:spacing w:line="360" w:lineRule="auto"/>
        <w:ind w:firstLine="709"/>
        <w:jc w:val="center"/>
        <w:rPr>
          <w:rFonts w:eastAsiaTheme="minorHAnsi"/>
          <w:lang w:val="uk-UA" w:eastAsia="en-US"/>
        </w:rPr>
      </w:pPr>
      <w:r w:rsidRPr="001416ED">
        <w:rPr>
          <w:rFonts w:eastAsiaTheme="minorHAnsi"/>
          <w:b/>
          <w:lang w:val="uk-UA" w:eastAsia="en-US"/>
        </w:rPr>
        <w:t xml:space="preserve">Плазмова концентрація СНП у чоловіків групи контролю та </w:t>
      </w:r>
      <w:r w:rsidR="009F36B4" w:rsidRPr="001416ED">
        <w:rPr>
          <w:rFonts w:eastAsiaTheme="minorHAnsi"/>
          <w:b/>
          <w:lang w:val="uk-UA" w:eastAsia="en-US"/>
        </w:rPr>
        <w:t xml:space="preserve">у </w:t>
      </w:r>
      <w:r w:rsidRPr="001416ED">
        <w:rPr>
          <w:rFonts w:eastAsiaTheme="minorHAnsi"/>
          <w:b/>
          <w:lang w:val="uk-UA" w:eastAsia="en-US"/>
        </w:rPr>
        <w:t>хворих на ГХ,</w:t>
      </w:r>
      <w:r w:rsidR="00A13420" w:rsidRPr="001416ED">
        <w:rPr>
          <w:rFonts w:eastAsiaTheme="minorHAnsi"/>
          <w:b/>
          <w:lang w:val="uk-UA" w:eastAsia="en-US"/>
        </w:rPr>
        <w:t xml:space="preserve"> при носійстві </w:t>
      </w:r>
      <w:r w:rsidR="00E6164F">
        <w:rPr>
          <w:rFonts w:eastAsiaTheme="minorHAnsi"/>
          <w:b/>
          <w:lang w:val="uk-UA" w:eastAsia="en-US"/>
        </w:rPr>
        <w:t>поліморфних варіантів гена</w:t>
      </w:r>
      <w:r w:rsidR="00A13420" w:rsidRPr="001416ED">
        <w:rPr>
          <w:rFonts w:eastAsiaTheme="minorHAnsi"/>
          <w:b/>
          <w:lang w:val="uk-UA" w:eastAsia="en-US"/>
        </w:rPr>
        <w:t>ЕТ-1</w:t>
      </w:r>
      <w:r w:rsidR="008A2E2D" w:rsidRPr="001416ED">
        <w:rPr>
          <w:rFonts w:eastAsiaTheme="minorHAnsi"/>
          <w:b/>
          <w:lang w:val="uk-UA" w:eastAsia="en-US"/>
        </w:rPr>
        <w:t>,</w:t>
      </w:r>
      <w:r w:rsidRPr="001416ED">
        <w:rPr>
          <w:rFonts w:eastAsiaTheme="minorHAnsi"/>
          <w:b/>
          <w:lang w:val="uk-UA" w:eastAsia="en-US"/>
        </w:rPr>
        <w:t xml:space="preserve"> п</w:t>
      </w:r>
      <w:r w:rsidR="008A2E2D" w:rsidRPr="001416ED">
        <w:rPr>
          <w:rFonts w:eastAsiaTheme="minorHAnsi"/>
          <w:b/>
          <w:lang w:val="uk-UA" w:eastAsia="en-US"/>
        </w:rPr>
        <w:t>моль/мл</w:t>
      </w:r>
      <w:r w:rsidRPr="001416ED">
        <w:rPr>
          <w:rFonts w:eastAsiaTheme="minorHAnsi"/>
          <w:b/>
          <w:lang w:val="uk-UA" w:eastAsia="en-US"/>
        </w:rPr>
        <w:t xml:space="preserve"> (M</w:t>
      </w:r>
      <w:r w:rsidR="007A07A9" w:rsidRPr="001416ED">
        <w:rPr>
          <w:rFonts w:eastAsiaTheme="minorHAnsi"/>
          <w:b/>
          <w:lang w:val="uk-UA" w:eastAsia="en-US"/>
        </w:rPr>
        <w:t xml:space="preserve"> ± </w:t>
      </w:r>
      <w:r w:rsidRPr="001416ED">
        <w:rPr>
          <w:rFonts w:eastAsiaTheme="minorHAnsi"/>
          <w:b/>
          <w:lang w:val="uk-UA" w:eastAsia="en-US"/>
        </w:rPr>
        <w:t>m)</w:t>
      </w:r>
    </w:p>
    <w:tbl>
      <w:tblPr>
        <w:tblStyle w:val="af5"/>
        <w:tblW w:w="0" w:type="auto"/>
        <w:tblInd w:w="108" w:type="dxa"/>
        <w:tblLook w:val="04A0" w:firstRow="1" w:lastRow="0" w:firstColumn="1" w:lastColumn="0" w:noHBand="0" w:noVBand="1"/>
      </w:tblPr>
      <w:tblGrid>
        <w:gridCol w:w="2268"/>
        <w:gridCol w:w="3119"/>
        <w:gridCol w:w="2977"/>
        <w:gridCol w:w="1666"/>
      </w:tblGrid>
      <w:tr w:rsidR="004F36BE" w:rsidRPr="001416ED" w:rsidTr="00F47B5B">
        <w:tc>
          <w:tcPr>
            <w:tcW w:w="2268" w:type="dxa"/>
          </w:tcPr>
          <w:p w:rsidR="004F36BE" w:rsidRPr="001416ED" w:rsidRDefault="004F36BE" w:rsidP="00A01981">
            <w:pPr>
              <w:spacing w:line="360" w:lineRule="auto"/>
              <w:jc w:val="center"/>
              <w:rPr>
                <w:rFonts w:eastAsiaTheme="minorHAnsi"/>
                <w:b/>
                <w:lang w:val="uk-UA" w:eastAsia="en-US"/>
              </w:rPr>
            </w:pPr>
            <w:r w:rsidRPr="001416ED">
              <w:rPr>
                <w:b/>
              </w:rPr>
              <w:t>Група</w:t>
            </w:r>
          </w:p>
        </w:tc>
        <w:tc>
          <w:tcPr>
            <w:tcW w:w="3119" w:type="dxa"/>
          </w:tcPr>
          <w:p w:rsidR="004F36BE" w:rsidRPr="001416ED" w:rsidRDefault="004F36BE" w:rsidP="00A01981">
            <w:pPr>
              <w:spacing w:line="360" w:lineRule="auto"/>
              <w:jc w:val="center"/>
              <w:rPr>
                <w:rFonts w:eastAsiaTheme="minorHAnsi"/>
                <w:b/>
                <w:lang w:val="uk-UA" w:eastAsia="en-US"/>
              </w:rPr>
            </w:pPr>
            <w:r w:rsidRPr="001416ED">
              <w:rPr>
                <w:b/>
              </w:rPr>
              <w:t xml:space="preserve">Носії генотипу </w:t>
            </w:r>
            <w:r w:rsidRPr="001416ED">
              <w:rPr>
                <w:b/>
                <w:lang w:val="en-US"/>
              </w:rPr>
              <w:t>Lys</w:t>
            </w:r>
            <w:r w:rsidRPr="001416ED">
              <w:rPr>
                <w:b/>
                <w:lang w:val="uk-UA"/>
              </w:rPr>
              <w:t>/</w:t>
            </w:r>
            <w:r w:rsidRPr="001416ED">
              <w:rPr>
                <w:b/>
                <w:lang w:val="en-US"/>
              </w:rPr>
              <w:t>Lys</w:t>
            </w:r>
          </w:p>
        </w:tc>
        <w:tc>
          <w:tcPr>
            <w:tcW w:w="2977" w:type="dxa"/>
          </w:tcPr>
          <w:p w:rsidR="004F36BE" w:rsidRPr="001416ED" w:rsidRDefault="004F36BE" w:rsidP="00A01981">
            <w:pPr>
              <w:spacing w:line="360" w:lineRule="auto"/>
              <w:jc w:val="center"/>
              <w:rPr>
                <w:rFonts w:eastAsiaTheme="minorHAnsi"/>
                <w:b/>
                <w:lang w:val="uk-UA" w:eastAsia="en-US"/>
              </w:rPr>
            </w:pPr>
            <w:r w:rsidRPr="001416ED">
              <w:rPr>
                <w:b/>
              </w:rPr>
              <w:t xml:space="preserve">Носії алелі </w:t>
            </w:r>
            <w:r w:rsidRPr="001416ED">
              <w:rPr>
                <w:b/>
                <w:lang w:val="en-US"/>
              </w:rPr>
              <w:t>Asn</w:t>
            </w:r>
          </w:p>
        </w:tc>
        <w:tc>
          <w:tcPr>
            <w:tcW w:w="1666" w:type="dxa"/>
          </w:tcPr>
          <w:p w:rsidR="004F36BE" w:rsidRPr="001416ED" w:rsidRDefault="004F36BE" w:rsidP="00A01981">
            <w:pPr>
              <w:spacing w:line="360" w:lineRule="auto"/>
              <w:jc w:val="center"/>
              <w:rPr>
                <w:rFonts w:eastAsiaTheme="minorHAnsi"/>
                <w:b/>
                <w:lang w:val="uk-UA" w:eastAsia="en-US"/>
              </w:rPr>
            </w:pPr>
            <w:r w:rsidRPr="001416ED">
              <w:rPr>
                <w:b/>
              </w:rPr>
              <w:t>р</w:t>
            </w:r>
          </w:p>
        </w:tc>
      </w:tr>
      <w:tr w:rsidR="004F36BE" w:rsidRPr="001416ED" w:rsidTr="00F47B5B">
        <w:tc>
          <w:tcPr>
            <w:tcW w:w="2268" w:type="dxa"/>
          </w:tcPr>
          <w:p w:rsidR="004F36BE" w:rsidRPr="001416ED" w:rsidRDefault="004F36BE" w:rsidP="00A01981">
            <w:pPr>
              <w:spacing w:line="360" w:lineRule="auto"/>
            </w:pPr>
            <w:r w:rsidRPr="001416ED">
              <w:rPr>
                <w:lang w:val="uk-UA"/>
              </w:rPr>
              <w:t xml:space="preserve">Група контролю </w:t>
            </w:r>
            <w:r w:rsidRPr="001416ED">
              <w:t>(</w:t>
            </w:r>
            <w:r w:rsidRPr="001416ED">
              <w:rPr>
                <w:lang w:val="en-US"/>
              </w:rPr>
              <w:t>n</w:t>
            </w:r>
            <w:r w:rsidRPr="001416ED">
              <w:t>=79</w:t>
            </w:r>
            <w:r w:rsidRPr="001416ED">
              <w:rPr>
                <w:lang w:val="en-US"/>
              </w:rPr>
              <w:t>)</w:t>
            </w:r>
          </w:p>
        </w:tc>
        <w:tc>
          <w:tcPr>
            <w:tcW w:w="3119" w:type="dxa"/>
          </w:tcPr>
          <w:p w:rsidR="004F36BE" w:rsidRPr="001416ED" w:rsidRDefault="004F36BE" w:rsidP="00A01981">
            <w:pPr>
              <w:spacing w:line="360" w:lineRule="auto"/>
              <w:jc w:val="center"/>
            </w:pPr>
            <w:r w:rsidRPr="001416ED">
              <w:t>2,02</w:t>
            </w:r>
            <w:r w:rsidR="007A07A9" w:rsidRPr="001416ED">
              <w:t xml:space="preserve"> ± </w:t>
            </w:r>
            <w:r w:rsidRPr="001416ED">
              <w:t>0,29</w:t>
            </w:r>
          </w:p>
          <w:p w:rsidR="004F36BE" w:rsidRPr="001416ED" w:rsidRDefault="004F36BE" w:rsidP="00A01981">
            <w:pPr>
              <w:spacing w:line="360" w:lineRule="auto"/>
              <w:jc w:val="center"/>
              <w:rPr>
                <w:lang w:val="en-US"/>
              </w:rPr>
            </w:pPr>
            <w:r w:rsidRPr="001416ED">
              <w:t xml:space="preserve">  (</w:t>
            </w:r>
            <w:r w:rsidRPr="001416ED">
              <w:rPr>
                <w:lang w:val="en-US"/>
              </w:rPr>
              <w:t>n</w:t>
            </w:r>
            <w:r w:rsidRPr="001416ED">
              <w:t>=52</w:t>
            </w:r>
            <w:r w:rsidRPr="001416ED">
              <w:rPr>
                <w:lang w:val="en-US"/>
              </w:rPr>
              <w:t>)</w:t>
            </w:r>
            <w:r w:rsidRPr="001416ED">
              <w:t xml:space="preserve">  (1)</w:t>
            </w:r>
          </w:p>
        </w:tc>
        <w:tc>
          <w:tcPr>
            <w:tcW w:w="2977" w:type="dxa"/>
          </w:tcPr>
          <w:p w:rsidR="004F36BE" w:rsidRPr="001416ED" w:rsidRDefault="004F36BE" w:rsidP="00A01981">
            <w:pPr>
              <w:spacing w:line="360" w:lineRule="auto"/>
              <w:jc w:val="center"/>
            </w:pPr>
            <w:r w:rsidRPr="001416ED">
              <w:t>2,98</w:t>
            </w:r>
            <w:r w:rsidR="007A07A9" w:rsidRPr="001416ED">
              <w:t xml:space="preserve"> ± </w:t>
            </w:r>
            <w:r w:rsidRPr="001416ED">
              <w:t>0,08</w:t>
            </w:r>
          </w:p>
          <w:p w:rsidR="004F36BE" w:rsidRPr="001416ED" w:rsidRDefault="004F36BE" w:rsidP="00A01981">
            <w:pPr>
              <w:spacing w:line="360" w:lineRule="auto"/>
              <w:jc w:val="center"/>
              <w:rPr>
                <w:lang w:val="en-US"/>
              </w:rPr>
            </w:pPr>
            <w:r w:rsidRPr="001416ED">
              <w:t>(</w:t>
            </w:r>
            <w:r w:rsidRPr="001416ED">
              <w:rPr>
                <w:lang w:val="en-US"/>
              </w:rPr>
              <w:t>n</w:t>
            </w:r>
            <w:r w:rsidRPr="001416ED">
              <w:t>=27</w:t>
            </w:r>
            <w:r w:rsidRPr="001416ED">
              <w:rPr>
                <w:lang w:val="en-US"/>
              </w:rPr>
              <w:t>)</w:t>
            </w:r>
            <w:r w:rsidRPr="001416ED">
              <w:t xml:space="preserve"> (4)</w:t>
            </w:r>
          </w:p>
        </w:tc>
        <w:tc>
          <w:tcPr>
            <w:tcW w:w="1666" w:type="dxa"/>
          </w:tcPr>
          <w:p w:rsidR="004F36BE" w:rsidRPr="001416ED" w:rsidRDefault="004F36BE" w:rsidP="007515A6">
            <w:pPr>
              <w:spacing w:line="360" w:lineRule="auto"/>
              <w:jc w:val="center"/>
              <w:rPr>
                <w:lang w:val="en-US"/>
              </w:rPr>
            </w:pPr>
            <w:r w:rsidRPr="001416ED">
              <w:t>р</w:t>
            </w:r>
            <w:r w:rsidRPr="001416ED">
              <w:rPr>
                <w:vertAlign w:val="subscript"/>
              </w:rPr>
              <w:t>4</w:t>
            </w:r>
            <w:r w:rsidR="00BC0119" w:rsidRPr="001416ED">
              <w:rPr>
                <w:vertAlign w:val="subscript"/>
              </w:rPr>
              <w:t>–</w:t>
            </w:r>
            <w:r w:rsidRPr="001416ED">
              <w:rPr>
                <w:vertAlign w:val="subscript"/>
              </w:rPr>
              <w:t>1</w:t>
            </w:r>
            <w:r w:rsidRPr="001416ED">
              <w:t>&lt;0,0001</w:t>
            </w:r>
          </w:p>
        </w:tc>
      </w:tr>
      <w:tr w:rsidR="004F36BE" w:rsidRPr="001416ED" w:rsidTr="00F47B5B">
        <w:tc>
          <w:tcPr>
            <w:tcW w:w="2268" w:type="dxa"/>
          </w:tcPr>
          <w:p w:rsidR="00F47B5B" w:rsidRPr="001416ED" w:rsidRDefault="004F36BE" w:rsidP="00A01981">
            <w:pPr>
              <w:spacing w:line="360" w:lineRule="auto"/>
              <w:rPr>
                <w:lang w:val="uk-UA"/>
              </w:rPr>
            </w:pPr>
            <w:r w:rsidRPr="001416ED">
              <w:rPr>
                <w:lang w:val="uk-UA"/>
              </w:rPr>
              <w:t xml:space="preserve">Пацієнти з </w:t>
            </w:r>
          </w:p>
          <w:p w:rsidR="004F36BE" w:rsidRPr="001416ED" w:rsidRDefault="004F36BE" w:rsidP="00A01981">
            <w:pPr>
              <w:spacing w:line="360" w:lineRule="auto"/>
              <w:rPr>
                <w:lang w:val="uk-UA"/>
              </w:rPr>
            </w:pPr>
            <w:r w:rsidRPr="001416ED">
              <w:rPr>
                <w:lang w:val="uk-UA"/>
              </w:rPr>
              <w:t>ГХ ІІ ст. (</w:t>
            </w:r>
            <w:r w:rsidRPr="001416ED">
              <w:rPr>
                <w:lang w:val="en-US"/>
              </w:rPr>
              <w:t>n</w:t>
            </w:r>
            <w:r w:rsidRPr="001416ED">
              <w:rPr>
                <w:lang w:val="uk-UA"/>
              </w:rPr>
              <w:t>=62)</w:t>
            </w:r>
          </w:p>
        </w:tc>
        <w:tc>
          <w:tcPr>
            <w:tcW w:w="3119" w:type="dxa"/>
          </w:tcPr>
          <w:p w:rsidR="004F36BE" w:rsidRPr="001416ED" w:rsidRDefault="004F36BE" w:rsidP="00A01981">
            <w:pPr>
              <w:spacing w:line="360" w:lineRule="auto"/>
              <w:jc w:val="center"/>
            </w:pPr>
            <w:r w:rsidRPr="001416ED">
              <w:t>4,68</w:t>
            </w:r>
            <w:r w:rsidR="007A07A9" w:rsidRPr="001416ED">
              <w:t xml:space="preserve"> ± </w:t>
            </w:r>
            <w:r w:rsidRPr="001416ED">
              <w:t xml:space="preserve">0,12    </w:t>
            </w:r>
          </w:p>
          <w:p w:rsidR="004F36BE" w:rsidRPr="001416ED" w:rsidRDefault="004F36BE" w:rsidP="00A01981">
            <w:pPr>
              <w:spacing w:line="360" w:lineRule="auto"/>
              <w:jc w:val="center"/>
            </w:pPr>
            <w:r w:rsidRPr="001416ED">
              <w:t>(</w:t>
            </w:r>
            <w:r w:rsidRPr="001416ED">
              <w:rPr>
                <w:lang w:val="en-US"/>
              </w:rPr>
              <w:t>n</w:t>
            </w:r>
            <w:r w:rsidRPr="001416ED">
              <w:t>=35</w:t>
            </w:r>
            <w:r w:rsidRPr="001416ED">
              <w:rPr>
                <w:lang w:val="en-US"/>
              </w:rPr>
              <w:t>)</w:t>
            </w:r>
            <w:r w:rsidRPr="001416ED">
              <w:t xml:space="preserve"> (2)</w:t>
            </w:r>
          </w:p>
        </w:tc>
        <w:tc>
          <w:tcPr>
            <w:tcW w:w="2977" w:type="dxa"/>
          </w:tcPr>
          <w:p w:rsidR="004F36BE" w:rsidRPr="001416ED" w:rsidRDefault="004F36BE" w:rsidP="00A01981">
            <w:pPr>
              <w:spacing w:line="360" w:lineRule="auto"/>
              <w:jc w:val="center"/>
            </w:pPr>
            <w:r w:rsidRPr="001416ED">
              <w:t>5,90</w:t>
            </w:r>
            <w:r w:rsidR="007A07A9" w:rsidRPr="001416ED">
              <w:t xml:space="preserve"> ± </w:t>
            </w:r>
            <w:r w:rsidRPr="001416ED">
              <w:t>0,11</w:t>
            </w:r>
          </w:p>
          <w:p w:rsidR="004F36BE" w:rsidRPr="001416ED" w:rsidRDefault="004F36BE" w:rsidP="00A01981">
            <w:pPr>
              <w:spacing w:line="360" w:lineRule="auto"/>
              <w:jc w:val="center"/>
            </w:pPr>
            <w:r w:rsidRPr="001416ED">
              <w:t>(</w:t>
            </w:r>
            <w:r w:rsidRPr="001416ED">
              <w:rPr>
                <w:lang w:val="en-US"/>
              </w:rPr>
              <w:t>n</w:t>
            </w:r>
            <w:r w:rsidRPr="001416ED">
              <w:t>=27</w:t>
            </w:r>
            <w:r w:rsidRPr="001416ED">
              <w:rPr>
                <w:lang w:val="en-US"/>
              </w:rPr>
              <w:t>)</w:t>
            </w:r>
            <w:r w:rsidRPr="001416ED">
              <w:t xml:space="preserve"> (5)</w:t>
            </w:r>
          </w:p>
        </w:tc>
        <w:tc>
          <w:tcPr>
            <w:tcW w:w="1666" w:type="dxa"/>
          </w:tcPr>
          <w:p w:rsidR="004F36BE" w:rsidRPr="001416ED" w:rsidRDefault="004F36BE" w:rsidP="007515A6">
            <w:pPr>
              <w:spacing w:line="360" w:lineRule="auto"/>
              <w:jc w:val="center"/>
            </w:pPr>
            <w:r w:rsidRPr="001416ED">
              <w:t>р</w:t>
            </w:r>
            <w:r w:rsidRPr="001416ED">
              <w:rPr>
                <w:vertAlign w:val="subscript"/>
              </w:rPr>
              <w:t>5</w:t>
            </w:r>
            <w:r w:rsidR="00BC0119" w:rsidRPr="001416ED">
              <w:rPr>
                <w:vertAlign w:val="subscript"/>
              </w:rPr>
              <w:t>–</w:t>
            </w:r>
            <w:r w:rsidRPr="001416ED">
              <w:rPr>
                <w:vertAlign w:val="subscript"/>
              </w:rPr>
              <w:t>2</w:t>
            </w:r>
            <w:r w:rsidRPr="001416ED">
              <w:t>&lt;0,0001</w:t>
            </w:r>
          </w:p>
        </w:tc>
      </w:tr>
      <w:tr w:rsidR="004F36BE" w:rsidRPr="001416ED" w:rsidTr="00F47B5B">
        <w:tc>
          <w:tcPr>
            <w:tcW w:w="2268" w:type="dxa"/>
          </w:tcPr>
          <w:p w:rsidR="00F47B5B" w:rsidRPr="001416ED" w:rsidRDefault="00FB51E5" w:rsidP="00A01981">
            <w:pPr>
              <w:spacing w:line="360" w:lineRule="auto"/>
              <w:rPr>
                <w:lang w:val="uk-UA"/>
              </w:rPr>
            </w:pPr>
            <w:r w:rsidRPr="001416ED">
              <w:rPr>
                <w:lang w:val="uk-UA"/>
              </w:rPr>
              <w:t>Пацієнти з</w:t>
            </w:r>
          </w:p>
          <w:p w:rsidR="004F36BE" w:rsidRPr="001416ED" w:rsidRDefault="00FB51E5" w:rsidP="00A01981">
            <w:pPr>
              <w:spacing w:line="360" w:lineRule="auto"/>
              <w:rPr>
                <w:lang w:val="uk-UA"/>
              </w:rPr>
            </w:pPr>
            <w:r w:rsidRPr="001416ED">
              <w:rPr>
                <w:lang w:val="uk-UA"/>
              </w:rPr>
              <w:t>ГХ ІІІ ст.</w:t>
            </w:r>
            <w:r w:rsidR="00043307" w:rsidRPr="001416ED">
              <w:rPr>
                <w:lang w:val="uk-UA"/>
              </w:rPr>
              <w:t xml:space="preserve"> </w:t>
            </w:r>
            <w:r w:rsidR="004F36BE" w:rsidRPr="001416ED">
              <w:rPr>
                <w:lang w:val="uk-UA"/>
              </w:rPr>
              <w:t>(</w:t>
            </w:r>
            <w:r w:rsidR="004F36BE" w:rsidRPr="001416ED">
              <w:rPr>
                <w:lang w:val="en-US"/>
              </w:rPr>
              <w:t>n</w:t>
            </w:r>
            <w:r w:rsidR="004F36BE" w:rsidRPr="001416ED">
              <w:rPr>
                <w:lang w:val="uk-UA"/>
              </w:rPr>
              <w:t>=50)</w:t>
            </w:r>
          </w:p>
        </w:tc>
        <w:tc>
          <w:tcPr>
            <w:tcW w:w="3119" w:type="dxa"/>
          </w:tcPr>
          <w:p w:rsidR="004F36BE" w:rsidRPr="001416ED" w:rsidRDefault="004F36BE" w:rsidP="00A01981">
            <w:pPr>
              <w:spacing w:line="360" w:lineRule="auto"/>
              <w:jc w:val="center"/>
            </w:pPr>
            <w:r w:rsidRPr="001416ED">
              <w:t>4,88</w:t>
            </w:r>
            <w:r w:rsidR="007A07A9" w:rsidRPr="001416ED">
              <w:t xml:space="preserve"> ± </w:t>
            </w:r>
            <w:r w:rsidRPr="001416ED">
              <w:t xml:space="preserve">0,09    </w:t>
            </w:r>
          </w:p>
          <w:p w:rsidR="004F36BE" w:rsidRPr="001416ED" w:rsidRDefault="004F36BE" w:rsidP="00A01981">
            <w:pPr>
              <w:spacing w:line="360" w:lineRule="auto"/>
              <w:jc w:val="center"/>
            </w:pPr>
            <w:r w:rsidRPr="001416ED">
              <w:t>(</w:t>
            </w:r>
            <w:r w:rsidRPr="001416ED">
              <w:rPr>
                <w:lang w:val="en-US"/>
              </w:rPr>
              <w:t>n</w:t>
            </w:r>
            <w:r w:rsidRPr="001416ED">
              <w:t>=33</w:t>
            </w:r>
            <w:r w:rsidRPr="001416ED">
              <w:rPr>
                <w:lang w:val="en-US"/>
              </w:rPr>
              <w:t>)</w:t>
            </w:r>
            <w:r w:rsidRPr="001416ED">
              <w:t xml:space="preserve"> (3)</w:t>
            </w:r>
          </w:p>
        </w:tc>
        <w:tc>
          <w:tcPr>
            <w:tcW w:w="2977" w:type="dxa"/>
          </w:tcPr>
          <w:p w:rsidR="004F36BE" w:rsidRPr="001416ED" w:rsidRDefault="004F36BE" w:rsidP="00A01981">
            <w:pPr>
              <w:spacing w:line="360" w:lineRule="auto"/>
              <w:jc w:val="center"/>
            </w:pPr>
            <w:r w:rsidRPr="001416ED">
              <w:t>5,93</w:t>
            </w:r>
            <w:r w:rsidR="007A07A9" w:rsidRPr="001416ED">
              <w:t xml:space="preserve"> ± </w:t>
            </w:r>
            <w:r w:rsidRPr="001416ED">
              <w:t>0,18</w:t>
            </w:r>
          </w:p>
          <w:p w:rsidR="004F36BE" w:rsidRPr="001416ED" w:rsidRDefault="004F36BE" w:rsidP="00A01981">
            <w:pPr>
              <w:spacing w:line="360" w:lineRule="auto"/>
              <w:jc w:val="center"/>
            </w:pPr>
            <w:r w:rsidRPr="001416ED">
              <w:t>(</w:t>
            </w:r>
            <w:r w:rsidRPr="001416ED">
              <w:rPr>
                <w:lang w:val="en-US"/>
              </w:rPr>
              <w:t>n</w:t>
            </w:r>
            <w:r w:rsidRPr="001416ED">
              <w:t>=17</w:t>
            </w:r>
            <w:r w:rsidRPr="001416ED">
              <w:rPr>
                <w:lang w:val="en-US"/>
              </w:rPr>
              <w:t>)</w:t>
            </w:r>
            <w:r w:rsidRPr="001416ED">
              <w:t xml:space="preserve"> (6)</w:t>
            </w:r>
          </w:p>
        </w:tc>
        <w:tc>
          <w:tcPr>
            <w:tcW w:w="1666" w:type="dxa"/>
          </w:tcPr>
          <w:p w:rsidR="004F36BE" w:rsidRPr="001416ED" w:rsidRDefault="004F36BE" w:rsidP="007515A6">
            <w:pPr>
              <w:spacing w:line="360" w:lineRule="auto"/>
              <w:jc w:val="center"/>
            </w:pPr>
            <w:r w:rsidRPr="001416ED">
              <w:t>р</w:t>
            </w:r>
            <w:r w:rsidRPr="001416ED">
              <w:rPr>
                <w:vertAlign w:val="subscript"/>
              </w:rPr>
              <w:t>6</w:t>
            </w:r>
            <w:r w:rsidR="00BC0119" w:rsidRPr="001416ED">
              <w:rPr>
                <w:vertAlign w:val="subscript"/>
              </w:rPr>
              <w:t>–</w:t>
            </w:r>
            <w:r w:rsidRPr="001416ED">
              <w:rPr>
                <w:vertAlign w:val="subscript"/>
              </w:rPr>
              <w:t>3</w:t>
            </w:r>
            <w:r w:rsidRPr="001416ED">
              <w:t>&lt;0,0001</w:t>
            </w:r>
          </w:p>
        </w:tc>
      </w:tr>
      <w:tr w:rsidR="004F36BE" w:rsidRPr="001416ED" w:rsidTr="00F47B5B">
        <w:tc>
          <w:tcPr>
            <w:tcW w:w="2268" w:type="dxa"/>
          </w:tcPr>
          <w:p w:rsidR="004F36BE" w:rsidRPr="001416ED" w:rsidRDefault="004F36BE" w:rsidP="00A01981">
            <w:pPr>
              <w:spacing w:line="360" w:lineRule="auto"/>
            </w:pPr>
            <w:r w:rsidRPr="001416ED">
              <w:t>р</w:t>
            </w:r>
          </w:p>
        </w:tc>
        <w:tc>
          <w:tcPr>
            <w:tcW w:w="3119" w:type="dxa"/>
          </w:tcPr>
          <w:p w:rsidR="004F36BE" w:rsidRPr="001416ED" w:rsidRDefault="004F36BE" w:rsidP="00A01981">
            <w:pPr>
              <w:spacing w:line="360" w:lineRule="auto"/>
              <w:jc w:val="center"/>
            </w:pPr>
            <w:r w:rsidRPr="001416ED">
              <w:t>р</w:t>
            </w:r>
            <w:r w:rsidRPr="001416ED">
              <w:rPr>
                <w:vertAlign w:val="subscript"/>
              </w:rPr>
              <w:t>2</w:t>
            </w:r>
            <w:r w:rsidR="00BC0119" w:rsidRPr="001416ED">
              <w:rPr>
                <w:vertAlign w:val="subscript"/>
              </w:rPr>
              <w:t>–</w:t>
            </w:r>
            <w:r w:rsidRPr="001416ED">
              <w:rPr>
                <w:vertAlign w:val="subscript"/>
              </w:rPr>
              <w:t>1</w:t>
            </w:r>
            <w:r w:rsidRPr="001416ED">
              <w:t>&lt;0,0001</w:t>
            </w:r>
            <w:r w:rsidR="007515A6" w:rsidRPr="001416ED">
              <w:rPr>
                <w:lang w:val="uk-UA"/>
              </w:rPr>
              <w:t>;</w:t>
            </w:r>
            <w:r w:rsidR="009F36B4" w:rsidRPr="001416ED">
              <w:rPr>
                <w:lang w:val="uk-UA"/>
              </w:rPr>
              <w:t xml:space="preserve"> </w:t>
            </w:r>
            <w:r w:rsidRPr="001416ED">
              <w:t>р</w:t>
            </w:r>
            <w:r w:rsidRPr="001416ED">
              <w:rPr>
                <w:vertAlign w:val="subscript"/>
              </w:rPr>
              <w:t>3</w:t>
            </w:r>
            <w:r w:rsidR="00BC0119" w:rsidRPr="001416ED">
              <w:rPr>
                <w:vertAlign w:val="subscript"/>
              </w:rPr>
              <w:t>–</w:t>
            </w:r>
            <w:r w:rsidRPr="001416ED">
              <w:rPr>
                <w:vertAlign w:val="subscript"/>
              </w:rPr>
              <w:t>1</w:t>
            </w:r>
            <w:r w:rsidRPr="001416ED">
              <w:t>&lt;0,0001</w:t>
            </w:r>
          </w:p>
          <w:p w:rsidR="004F36BE" w:rsidRPr="001416ED" w:rsidRDefault="004F36BE" w:rsidP="00A01981">
            <w:pPr>
              <w:spacing w:line="360" w:lineRule="auto"/>
              <w:jc w:val="center"/>
            </w:pPr>
            <w:r w:rsidRPr="001416ED">
              <w:t>р</w:t>
            </w:r>
            <w:r w:rsidRPr="001416ED">
              <w:rPr>
                <w:vertAlign w:val="subscript"/>
              </w:rPr>
              <w:t>3</w:t>
            </w:r>
            <w:r w:rsidR="00BC0119" w:rsidRPr="001416ED">
              <w:rPr>
                <w:vertAlign w:val="subscript"/>
              </w:rPr>
              <w:t>–</w:t>
            </w:r>
            <w:r w:rsidRPr="001416ED">
              <w:rPr>
                <w:vertAlign w:val="subscript"/>
              </w:rPr>
              <w:t>2</w:t>
            </w:r>
            <w:r w:rsidRPr="001416ED">
              <w:t>&gt;0,05</w:t>
            </w:r>
          </w:p>
        </w:tc>
        <w:tc>
          <w:tcPr>
            <w:tcW w:w="2977" w:type="dxa"/>
          </w:tcPr>
          <w:p w:rsidR="007515A6" w:rsidRPr="001416ED" w:rsidRDefault="004F36BE" w:rsidP="00A01981">
            <w:pPr>
              <w:spacing w:line="360" w:lineRule="auto"/>
              <w:jc w:val="center"/>
              <w:rPr>
                <w:lang w:val="uk-UA"/>
              </w:rPr>
            </w:pPr>
            <w:r w:rsidRPr="001416ED">
              <w:t>р</w:t>
            </w:r>
            <w:r w:rsidRPr="001416ED">
              <w:rPr>
                <w:vertAlign w:val="subscript"/>
              </w:rPr>
              <w:t>5</w:t>
            </w:r>
            <w:r w:rsidR="00BC0119" w:rsidRPr="001416ED">
              <w:rPr>
                <w:vertAlign w:val="subscript"/>
              </w:rPr>
              <w:t>–</w:t>
            </w:r>
            <w:r w:rsidRPr="001416ED">
              <w:rPr>
                <w:vertAlign w:val="subscript"/>
              </w:rPr>
              <w:t>4</w:t>
            </w:r>
            <w:r w:rsidRPr="001416ED">
              <w:t>&lt;0,0001</w:t>
            </w:r>
            <w:r w:rsidR="007515A6" w:rsidRPr="001416ED">
              <w:rPr>
                <w:lang w:val="uk-UA"/>
              </w:rPr>
              <w:t>;</w:t>
            </w:r>
            <w:r w:rsidR="009F36B4" w:rsidRPr="001416ED">
              <w:rPr>
                <w:lang w:val="uk-UA"/>
              </w:rPr>
              <w:t xml:space="preserve"> </w:t>
            </w:r>
            <w:r w:rsidR="007515A6" w:rsidRPr="001416ED">
              <w:t>р</w:t>
            </w:r>
            <w:r w:rsidR="007515A6" w:rsidRPr="001416ED">
              <w:rPr>
                <w:vertAlign w:val="subscript"/>
              </w:rPr>
              <w:t>6</w:t>
            </w:r>
            <w:r w:rsidR="00BC0119" w:rsidRPr="001416ED">
              <w:rPr>
                <w:vertAlign w:val="subscript"/>
              </w:rPr>
              <w:t>–</w:t>
            </w:r>
            <w:r w:rsidR="00AD2E40" w:rsidRPr="001416ED">
              <w:rPr>
                <w:vertAlign w:val="subscript"/>
                <w:lang w:val="uk-UA"/>
              </w:rPr>
              <w:t>5</w:t>
            </w:r>
            <w:r w:rsidR="007515A6" w:rsidRPr="001416ED">
              <w:t>&gt;0,05</w:t>
            </w:r>
          </w:p>
          <w:p w:rsidR="004F36BE" w:rsidRPr="001416ED" w:rsidRDefault="004F36BE" w:rsidP="00AD2E40">
            <w:pPr>
              <w:spacing w:line="360" w:lineRule="auto"/>
              <w:jc w:val="center"/>
            </w:pPr>
            <w:r w:rsidRPr="001416ED">
              <w:t>р</w:t>
            </w:r>
            <w:r w:rsidRPr="001416ED">
              <w:rPr>
                <w:vertAlign w:val="subscript"/>
              </w:rPr>
              <w:t>6</w:t>
            </w:r>
            <w:r w:rsidR="00BC0119" w:rsidRPr="001416ED">
              <w:rPr>
                <w:vertAlign w:val="subscript"/>
              </w:rPr>
              <w:t>–</w:t>
            </w:r>
            <w:r w:rsidR="00AD2E40" w:rsidRPr="001416ED">
              <w:rPr>
                <w:vertAlign w:val="subscript"/>
                <w:lang w:val="uk-UA"/>
              </w:rPr>
              <w:t>4</w:t>
            </w:r>
            <w:r w:rsidRPr="001416ED">
              <w:t>&lt;0,0001</w:t>
            </w:r>
          </w:p>
        </w:tc>
        <w:tc>
          <w:tcPr>
            <w:tcW w:w="1666" w:type="dxa"/>
          </w:tcPr>
          <w:p w:rsidR="004F36BE" w:rsidRPr="001416ED" w:rsidRDefault="004F36BE" w:rsidP="00A01981">
            <w:pPr>
              <w:spacing w:line="360" w:lineRule="auto"/>
              <w:jc w:val="center"/>
            </w:pPr>
          </w:p>
        </w:tc>
      </w:tr>
    </w:tbl>
    <w:p w:rsidR="004F36BE" w:rsidRPr="001416ED" w:rsidRDefault="004F36BE" w:rsidP="004F36BE">
      <w:pPr>
        <w:spacing w:before="240" w:line="360" w:lineRule="auto"/>
        <w:ind w:firstLine="709"/>
        <w:jc w:val="both"/>
        <w:rPr>
          <w:rFonts w:eastAsiaTheme="minorHAnsi"/>
          <w:lang w:val="uk-UA" w:eastAsia="en-US"/>
        </w:rPr>
      </w:pPr>
      <w:r w:rsidRPr="001416ED">
        <w:rPr>
          <w:rFonts w:eastAsiaTheme="minorHAnsi"/>
          <w:lang w:val="uk-UA" w:eastAsia="en-US"/>
        </w:rPr>
        <w:t>У чоловіків з ГХ ІІ ст</w:t>
      </w:r>
      <w:r w:rsidR="00043307" w:rsidRPr="001416ED">
        <w:rPr>
          <w:rFonts w:eastAsiaTheme="minorHAnsi"/>
          <w:lang w:val="uk-UA" w:eastAsia="en-US"/>
        </w:rPr>
        <w:t xml:space="preserve">. </w:t>
      </w:r>
      <w:r w:rsidRPr="001416ED">
        <w:rPr>
          <w:rFonts w:eastAsiaTheme="minorHAnsi"/>
          <w:lang w:val="uk-UA" w:eastAsia="en-US"/>
        </w:rPr>
        <w:t xml:space="preserve">та у пацієнтів з </w:t>
      </w:r>
      <w:r w:rsidR="00081C6E" w:rsidRPr="001416ED">
        <w:rPr>
          <w:rFonts w:eastAsiaTheme="minorHAnsi"/>
          <w:lang w:val="uk-UA" w:eastAsia="en-US"/>
        </w:rPr>
        <w:t>ГХ ІІІ ст.</w:t>
      </w:r>
      <w:r w:rsidRPr="001416ED">
        <w:rPr>
          <w:rFonts w:eastAsiaTheme="minorHAnsi"/>
          <w:lang w:val="uk-UA" w:eastAsia="en-US"/>
        </w:rPr>
        <w:t xml:space="preserve"> рівень СНП достовірно вище, ніж в групі контролю при носійстві усіх </w:t>
      </w:r>
      <w:r w:rsidR="00E6164F">
        <w:rPr>
          <w:rFonts w:eastAsiaTheme="minorHAnsi"/>
          <w:lang w:val="uk-UA" w:eastAsia="en-US"/>
        </w:rPr>
        <w:t>поліморфн</w:t>
      </w:r>
      <w:r w:rsidR="00955D78">
        <w:rPr>
          <w:rFonts w:eastAsiaTheme="minorHAnsi"/>
          <w:lang w:val="uk-UA" w:eastAsia="en-US"/>
        </w:rPr>
        <w:t>их</w:t>
      </w:r>
      <w:r w:rsidR="00E6164F">
        <w:rPr>
          <w:rFonts w:eastAsiaTheme="minorHAnsi"/>
          <w:lang w:val="uk-UA" w:eastAsia="en-US"/>
        </w:rPr>
        <w:t xml:space="preserve"> варіант</w:t>
      </w:r>
      <w:r w:rsidR="00955D78">
        <w:rPr>
          <w:rFonts w:eastAsiaTheme="minorHAnsi"/>
          <w:lang w:val="uk-UA" w:eastAsia="en-US"/>
        </w:rPr>
        <w:t>ів</w:t>
      </w:r>
      <w:r w:rsidR="00E6164F">
        <w:rPr>
          <w:rFonts w:eastAsiaTheme="minorHAnsi"/>
          <w:lang w:val="uk-UA" w:eastAsia="en-US"/>
        </w:rPr>
        <w:t xml:space="preserve"> гена</w:t>
      </w:r>
      <w:r w:rsidRPr="001416ED">
        <w:rPr>
          <w:rFonts w:eastAsiaTheme="minorHAnsi"/>
          <w:lang w:val="uk-UA" w:eastAsia="en-US"/>
        </w:rPr>
        <w:t xml:space="preserve"> ЕТ</w:t>
      </w:r>
      <w:r w:rsidR="00BC0119" w:rsidRPr="001416ED">
        <w:rPr>
          <w:rFonts w:eastAsiaTheme="minorHAnsi"/>
          <w:lang w:val="uk-UA" w:eastAsia="en-US"/>
        </w:rPr>
        <w:t>–</w:t>
      </w:r>
      <w:r w:rsidRPr="001416ED">
        <w:rPr>
          <w:rFonts w:eastAsiaTheme="minorHAnsi"/>
          <w:lang w:val="uk-UA" w:eastAsia="en-US"/>
        </w:rPr>
        <w:t>1.  Однак</w:t>
      </w:r>
      <w:r w:rsidR="00043307" w:rsidRPr="001416ED">
        <w:rPr>
          <w:rFonts w:eastAsiaTheme="minorHAnsi"/>
          <w:lang w:val="uk-UA" w:eastAsia="en-US"/>
        </w:rPr>
        <w:t>,</w:t>
      </w:r>
      <w:r w:rsidRPr="001416ED">
        <w:rPr>
          <w:rFonts w:eastAsiaTheme="minorHAnsi"/>
          <w:lang w:val="uk-UA" w:eastAsia="en-US"/>
        </w:rPr>
        <w:t xml:space="preserve"> вірогідної різниці у плазмовій концентрації пептиду між пацієнтами з ГХ різної </w:t>
      </w:r>
      <w:r w:rsidR="00046A18" w:rsidRPr="001416ED">
        <w:rPr>
          <w:rFonts w:eastAsiaTheme="minorHAnsi"/>
          <w:lang w:val="uk-UA" w:eastAsia="en-US"/>
        </w:rPr>
        <w:t>стадії</w:t>
      </w:r>
      <w:r w:rsidRPr="001416ED">
        <w:rPr>
          <w:rFonts w:eastAsiaTheme="minorHAnsi"/>
          <w:lang w:val="uk-UA" w:eastAsia="en-US"/>
        </w:rPr>
        <w:t>, що є нос</w:t>
      </w:r>
      <w:r w:rsidR="004446A4" w:rsidRPr="001416ED">
        <w:rPr>
          <w:rFonts w:eastAsiaTheme="minorHAnsi"/>
          <w:lang w:val="uk-UA" w:eastAsia="en-US"/>
        </w:rPr>
        <w:t>ія</w:t>
      </w:r>
      <w:r w:rsidRPr="001416ED">
        <w:rPr>
          <w:rFonts w:eastAsiaTheme="minorHAnsi"/>
          <w:lang w:val="uk-UA" w:eastAsia="en-US"/>
        </w:rPr>
        <w:t xml:space="preserve">ми генотипу </w:t>
      </w:r>
      <w:r w:rsidRPr="001416ED">
        <w:rPr>
          <w:lang w:val="en-US"/>
        </w:rPr>
        <w:t>Lys</w:t>
      </w:r>
      <w:r w:rsidRPr="001416ED">
        <w:rPr>
          <w:lang w:val="uk-UA"/>
        </w:rPr>
        <w:t>/</w:t>
      </w:r>
      <w:r w:rsidRPr="001416ED">
        <w:rPr>
          <w:lang w:val="en-US"/>
        </w:rPr>
        <w:t>Lys</w:t>
      </w:r>
      <w:r w:rsidRPr="001416ED">
        <w:rPr>
          <w:lang w:val="uk-UA"/>
        </w:rPr>
        <w:t xml:space="preserve"> та алелі Asn не виявлено. Цікавим був той факт, що носії алелі Asn мають достовірно вищий рівень СНП, ніж носії генотипу </w:t>
      </w:r>
      <w:r w:rsidRPr="001416ED">
        <w:rPr>
          <w:lang w:val="en-US"/>
        </w:rPr>
        <w:t>Lys</w:t>
      </w:r>
      <w:r w:rsidRPr="001416ED">
        <w:rPr>
          <w:lang w:val="uk-UA"/>
        </w:rPr>
        <w:t>/</w:t>
      </w:r>
      <w:r w:rsidRPr="001416ED">
        <w:rPr>
          <w:lang w:val="en-US"/>
        </w:rPr>
        <w:t>Lys</w:t>
      </w:r>
      <w:r w:rsidRPr="001416ED">
        <w:rPr>
          <w:lang w:val="uk-UA"/>
        </w:rPr>
        <w:t xml:space="preserve"> у хворих з ГХ </w:t>
      </w:r>
      <w:r w:rsidR="00A63A7A" w:rsidRPr="001416ED">
        <w:rPr>
          <w:lang w:val="uk-UA"/>
        </w:rPr>
        <w:t>ІІ та ІІІ стадії</w:t>
      </w:r>
      <w:r w:rsidRPr="001416ED">
        <w:rPr>
          <w:lang w:val="uk-UA"/>
        </w:rPr>
        <w:t>, що може вказувати на в</w:t>
      </w:r>
      <w:r w:rsidR="00BC3918" w:rsidRPr="001416ED">
        <w:rPr>
          <w:lang w:val="uk-UA"/>
        </w:rPr>
        <w:t>ідповідну реакцію ендотелію на більшу</w:t>
      </w:r>
      <w:r w:rsidRPr="001416ED">
        <w:rPr>
          <w:lang w:val="uk-UA"/>
        </w:rPr>
        <w:t xml:space="preserve"> концентраці</w:t>
      </w:r>
      <w:r w:rsidR="00507625" w:rsidRPr="001416ED">
        <w:rPr>
          <w:lang w:val="uk-UA"/>
        </w:rPr>
        <w:t>ю</w:t>
      </w:r>
      <w:r w:rsidRPr="001416ED">
        <w:rPr>
          <w:lang w:val="uk-UA"/>
        </w:rPr>
        <w:t xml:space="preserve"> вазоконстриктора. </w:t>
      </w:r>
      <w:r w:rsidRPr="001416ED">
        <w:rPr>
          <w:rFonts w:eastAsiaTheme="minorHAnsi"/>
          <w:lang w:val="uk-UA" w:eastAsia="en-US"/>
        </w:rPr>
        <w:t xml:space="preserve">При подальшому вивченні рівня СНП встановлено, що </w:t>
      </w:r>
      <w:r w:rsidR="00B96A04" w:rsidRPr="001416ED">
        <w:rPr>
          <w:rFonts w:eastAsiaTheme="minorHAnsi"/>
          <w:lang w:val="uk-UA" w:eastAsia="en-US"/>
        </w:rPr>
        <w:t xml:space="preserve">як і при </w:t>
      </w:r>
      <w:r w:rsidR="00B84518" w:rsidRPr="001416ED">
        <w:rPr>
          <w:rFonts w:eastAsiaTheme="minorHAnsi"/>
          <w:lang w:val="uk-UA" w:eastAsia="en-US"/>
        </w:rPr>
        <w:t>дослідженні</w:t>
      </w:r>
      <w:r w:rsidR="00B96A04" w:rsidRPr="001416ED">
        <w:rPr>
          <w:rFonts w:eastAsiaTheme="minorHAnsi"/>
          <w:lang w:val="uk-UA" w:eastAsia="en-US"/>
        </w:rPr>
        <w:t xml:space="preserve"> концентрації ЕТ</w:t>
      </w:r>
      <w:r w:rsidR="00BC0119" w:rsidRPr="001416ED">
        <w:rPr>
          <w:rFonts w:eastAsiaTheme="minorHAnsi"/>
          <w:lang w:val="uk-UA" w:eastAsia="en-US"/>
        </w:rPr>
        <w:t>–</w:t>
      </w:r>
      <w:r w:rsidR="00B96A04" w:rsidRPr="001416ED">
        <w:rPr>
          <w:rFonts w:eastAsiaTheme="minorHAnsi"/>
          <w:lang w:val="uk-UA" w:eastAsia="en-US"/>
        </w:rPr>
        <w:t xml:space="preserve">1 </w:t>
      </w:r>
      <w:r w:rsidRPr="001416ED">
        <w:rPr>
          <w:rFonts w:eastAsiaTheme="minorHAnsi"/>
          <w:lang w:val="uk-UA" w:eastAsia="en-US"/>
        </w:rPr>
        <w:t xml:space="preserve">достовірної різниці у плазмових концентраціях пептиду у чоловіків з ГХ різної </w:t>
      </w:r>
      <w:r w:rsidR="00046A18" w:rsidRPr="001416ED">
        <w:rPr>
          <w:rFonts w:eastAsiaTheme="minorHAnsi"/>
          <w:lang w:val="uk-UA" w:eastAsia="en-US"/>
        </w:rPr>
        <w:t>стадії</w:t>
      </w:r>
      <w:r w:rsidRPr="001416ED">
        <w:rPr>
          <w:rFonts w:eastAsiaTheme="minorHAnsi"/>
          <w:lang w:val="uk-UA" w:eastAsia="en-US"/>
        </w:rPr>
        <w:t xml:space="preserve"> при різних ступенях АГ</w:t>
      </w:r>
      <w:r w:rsidR="00D5710C" w:rsidRPr="001416ED">
        <w:rPr>
          <w:rFonts w:eastAsiaTheme="minorHAnsi"/>
          <w:lang w:val="uk-UA" w:eastAsia="en-US"/>
        </w:rPr>
        <w:t xml:space="preserve"> не було. Тобто, зміни концентрації СНП у носії</w:t>
      </w:r>
      <w:r w:rsidR="00043307" w:rsidRPr="001416ED">
        <w:rPr>
          <w:rFonts w:eastAsiaTheme="minorHAnsi"/>
          <w:lang w:val="uk-UA" w:eastAsia="en-US"/>
        </w:rPr>
        <w:t>в</w:t>
      </w:r>
      <w:r w:rsidR="00D5710C" w:rsidRPr="001416ED">
        <w:rPr>
          <w:rFonts w:eastAsiaTheme="minorHAnsi"/>
          <w:lang w:val="uk-UA" w:eastAsia="en-US"/>
        </w:rPr>
        <w:t xml:space="preserve"> </w:t>
      </w:r>
      <w:r w:rsidR="00E6164F">
        <w:rPr>
          <w:rFonts w:eastAsiaTheme="minorHAnsi"/>
          <w:lang w:val="uk-UA" w:eastAsia="en-US"/>
        </w:rPr>
        <w:t>поліморфних варіантів гена ЕТ–1</w:t>
      </w:r>
      <w:r w:rsidR="00D5710C" w:rsidRPr="001416ED">
        <w:rPr>
          <w:rFonts w:eastAsiaTheme="minorHAnsi"/>
          <w:lang w:val="uk-UA" w:eastAsia="en-US"/>
        </w:rPr>
        <w:t xml:space="preserve"> відповідали рівням ЕТ</w:t>
      </w:r>
      <w:r w:rsidR="00BC0119" w:rsidRPr="001416ED">
        <w:rPr>
          <w:rFonts w:eastAsiaTheme="minorHAnsi"/>
          <w:lang w:val="uk-UA" w:eastAsia="en-US"/>
        </w:rPr>
        <w:t>–</w:t>
      </w:r>
      <w:r w:rsidR="00D5710C" w:rsidRPr="001416ED">
        <w:rPr>
          <w:rFonts w:eastAsiaTheme="minorHAnsi"/>
          <w:lang w:val="uk-UA" w:eastAsia="en-US"/>
        </w:rPr>
        <w:t>1</w:t>
      </w:r>
      <w:r w:rsidRPr="001416ED">
        <w:rPr>
          <w:rFonts w:eastAsiaTheme="minorHAnsi"/>
          <w:lang w:val="uk-UA" w:eastAsia="en-US"/>
        </w:rPr>
        <w:t>.</w:t>
      </w:r>
    </w:p>
    <w:p w:rsidR="004F36BE" w:rsidRPr="001416ED" w:rsidRDefault="004F36BE" w:rsidP="00FA45EF">
      <w:pPr>
        <w:spacing w:line="360" w:lineRule="auto"/>
        <w:ind w:firstLine="709"/>
        <w:jc w:val="both"/>
        <w:rPr>
          <w:rFonts w:eastAsiaTheme="minorHAnsi"/>
          <w:lang w:val="uk-UA" w:eastAsia="en-US"/>
        </w:rPr>
      </w:pPr>
      <w:r w:rsidRPr="001416ED">
        <w:rPr>
          <w:rFonts w:eastAsiaTheme="minorHAnsi"/>
          <w:lang w:val="uk-UA" w:eastAsia="en-US"/>
        </w:rPr>
        <w:t>З метою детальнішого аналізу рівня СНП у чоловіків з ГХ, даний пептид ви</w:t>
      </w:r>
      <w:r w:rsidR="005D0ED7" w:rsidRPr="001416ED">
        <w:rPr>
          <w:rFonts w:eastAsiaTheme="minorHAnsi"/>
          <w:lang w:val="uk-UA" w:eastAsia="en-US"/>
        </w:rPr>
        <w:t>в</w:t>
      </w:r>
      <w:r w:rsidRPr="001416ED">
        <w:rPr>
          <w:rFonts w:eastAsiaTheme="minorHAnsi"/>
          <w:lang w:val="uk-UA" w:eastAsia="en-US"/>
        </w:rPr>
        <w:t>чався при різному ІМТ</w:t>
      </w:r>
      <w:r w:rsidR="00C229E4" w:rsidRPr="001416ED">
        <w:rPr>
          <w:rFonts w:eastAsiaTheme="minorHAnsi"/>
          <w:lang w:val="uk-UA" w:eastAsia="en-US"/>
        </w:rPr>
        <w:t>.</w:t>
      </w:r>
      <w:r w:rsidR="00FA45EF" w:rsidRPr="001416ED">
        <w:rPr>
          <w:rFonts w:eastAsiaTheme="minorHAnsi"/>
          <w:lang w:val="uk-UA" w:eastAsia="en-US"/>
        </w:rPr>
        <w:t xml:space="preserve"> </w:t>
      </w:r>
      <w:r w:rsidRPr="001416ED">
        <w:rPr>
          <w:rFonts w:eastAsiaTheme="minorHAnsi"/>
          <w:lang w:val="uk-UA" w:eastAsia="en-US"/>
        </w:rPr>
        <w:t xml:space="preserve">Встановлено, що у чоловіків з ГХ </w:t>
      </w:r>
      <w:r w:rsidR="00D71647" w:rsidRPr="001416ED">
        <w:rPr>
          <w:rFonts w:eastAsiaTheme="minorHAnsi"/>
          <w:lang w:val="uk-UA" w:eastAsia="en-US"/>
        </w:rPr>
        <w:t xml:space="preserve">ІІ ст. та з </w:t>
      </w:r>
      <w:r w:rsidR="00C34030" w:rsidRPr="001416ED">
        <w:rPr>
          <w:rFonts w:eastAsiaTheme="minorHAnsi"/>
          <w:lang w:val="uk-UA" w:eastAsia="en-US"/>
        </w:rPr>
        <w:t xml:space="preserve">ГХ ІІІ ст. </w:t>
      </w:r>
      <w:r w:rsidRPr="001416ED">
        <w:rPr>
          <w:rFonts w:eastAsiaTheme="minorHAnsi"/>
          <w:lang w:val="uk-UA" w:eastAsia="en-US"/>
        </w:rPr>
        <w:t xml:space="preserve">рівень СНП, при </w:t>
      </w:r>
      <w:r w:rsidR="00D71647" w:rsidRPr="001416ED">
        <w:rPr>
          <w:rFonts w:eastAsiaTheme="minorHAnsi"/>
          <w:lang w:val="uk-UA" w:eastAsia="en-US"/>
        </w:rPr>
        <w:t>нормальній масі тіла (5,19</w:t>
      </w:r>
      <w:r w:rsidR="007A07A9" w:rsidRPr="001416ED">
        <w:rPr>
          <w:rFonts w:eastAsiaTheme="minorHAnsi"/>
          <w:lang w:val="uk-UA" w:eastAsia="en-US"/>
        </w:rPr>
        <w:t xml:space="preserve"> ± </w:t>
      </w:r>
      <w:r w:rsidR="00D71647" w:rsidRPr="001416ED">
        <w:rPr>
          <w:rFonts w:eastAsiaTheme="minorHAnsi"/>
          <w:lang w:val="uk-UA" w:eastAsia="en-US"/>
        </w:rPr>
        <w:t>0,17</w:t>
      </w:r>
      <w:r w:rsidR="00662A69" w:rsidRPr="001416ED">
        <w:rPr>
          <w:rFonts w:eastAsiaTheme="minorHAnsi"/>
          <w:lang w:val="uk-UA" w:eastAsia="en-US"/>
        </w:rPr>
        <w:t>)</w:t>
      </w:r>
      <w:r w:rsidR="00D71647" w:rsidRPr="001416ED">
        <w:rPr>
          <w:rFonts w:eastAsiaTheme="minorHAnsi"/>
          <w:lang w:val="uk-UA" w:eastAsia="en-US"/>
        </w:rPr>
        <w:t xml:space="preserve"> </w:t>
      </w:r>
      <w:r w:rsidR="00A61777" w:rsidRPr="001416ED">
        <w:rPr>
          <w:rFonts w:eastAsiaTheme="minorHAnsi"/>
          <w:lang w:val="uk-UA" w:eastAsia="en-US"/>
        </w:rPr>
        <w:t>п</w:t>
      </w:r>
      <w:r w:rsidR="008A2E2D" w:rsidRPr="001416ED">
        <w:rPr>
          <w:rFonts w:eastAsiaTheme="minorHAnsi"/>
          <w:lang w:val="uk-UA" w:eastAsia="en-US"/>
        </w:rPr>
        <w:t>моль</w:t>
      </w:r>
      <w:r w:rsidR="00A61777" w:rsidRPr="001416ED">
        <w:rPr>
          <w:rFonts w:eastAsiaTheme="minorHAnsi"/>
          <w:lang w:val="uk-UA" w:eastAsia="en-US"/>
        </w:rPr>
        <w:t>/мл</w:t>
      </w:r>
      <w:r w:rsidR="00D71647" w:rsidRPr="001416ED">
        <w:rPr>
          <w:rFonts w:eastAsiaTheme="minorHAnsi"/>
          <w:lang w:val="uk-UA" w:eastAsia="en-US"/>
        </w:rPr>
        <w:t xml:space="preserve"> та </w:t>
      </w:r>
      <w:r w:rsidR="00662A69" w:rsidRPr="001416ED">
        <w:rPr>
          <w:rFonts w:eastAsiaTheme="minorHAnsi"/>
          <w:lang w:val="uk-UA" w:eastAsia="en-US"/>
        </w:rPr>
        <w:t>(</w:t>
      </w:r>
      <w:r w:rsidR="00D71647" w:rsidRPr="001416ED">
        <w:rPr>
          <w:rFonts w:eastAsiaTheme="minorHAnsi"/>
          <w:lang w:val="uk-UA" w:eastAsia="en-US"/>
        </w:rPr>
        <w:t>4,88</w:t>
      </w:r>
      <w:r w:rsidR="007A07A9" w:rsidRPr="001416ED">
        <w:rPr>
          <w:rFonts w:eastAsiaTheme="minorHAnsi"/>
          <w:lang w:val="uk-UA" w:eastAsia="en-US"/>
        </w:rPr>
        <w:t xml:space="preserve"> ± </w:t>
      </w:r>
      <w:r w:rsidR="00D71647" w:rsidRPr="001416ED">
        <w:rPr>
          <w:rFonts w:eastAsiaTheme="minorHAnsi"/>
          <w:lang w:val="uk-UA" w:eastAsia="en-US"/>
        </w:rPr>
        <w:t>0,17</w:t>
      </w:r>
      <w:r w:rsidR="00662A69" w:rsidRPr="001416ED">
        <w:rPr>
          <w:rFonts w:eastAsiaTheme="minorHAnsi"/>
          <w:lang w:val="uk-UA" w:eastAsia="en-US"/>
        </w:rPr>
        <w:t>)</w:t>
      </w:r>
      <w:r w:rsidR="00D71647" w:rsidRPr="001416ED">
        <w:rPr>
          <w:rFonts w:eastAsiaTheme="minorHAnsi"/>
          <w:lang w:val="uk-UA" w:eastAsia="en-US"/>
        </w:rPr>
        <w:t xml:space="preserve"> </w:t>
      </w:r>
      <w:r w:rsidR="008A2E2D" w:rsidRPr="001416ED">
        <w:rPr>
          <w:rFonts w:eastAsiaTheme="minorHAnsi"/>
          <w:lang w:val="uk-UA" w:eastAsia="en-US"/>
        </w:rPr>
        <w:lastRenderedPageBreak/>
        <w:t>пмоль/мл</w:t>
      </w:r>
      <w:r w:rsidR="00D71647" w:rsidRPr="001416ED">
        <w:rPr>
          <w:rFonts w:eastAsiaTheme="minorHAnsi"/>
          <w:lang w:val="uk-UA" w:eastAsia="en-US"/>
        </w:rPr>
        <w:t>, відповідно)</w:t>
      </w:r>
      <w:r w:rsidR="00894747" w:rsidRPr="001416ED">
        <w:rPr>
          <w:rFonts w:eastAsiaTheme="minorHAnsi"/>
          <w:lang w:val="uk-UA" w:eastAsia="en-US"/>
        </w:rPr>
        <w:t xml:space="preserve"> та</w:t>
      </w:r>
      <w:r w:rsidR="00D71647" w:rsidRPr="001416ED">
        <w:rPr>
          <w:rFonts w:eastAsiaTheme="minorHAnsi"/>
          <w:vertAlign w:val="superscript"/>
          <w:lang w:val="uk-UA" w:eastAsia="en-US"/>
        </w:rPr>
        <w:t xml:space="preserve"> </w:t>
      </w:r>
      <w:r w:rsidR="00D71647" w:rsidRPr="001416ED">
        <w:rPr>
          <w:rFonts w:eastAsiaTheme="minorHAnsi"/>
          <w:lang w:val="uk-UA" w:eastAsia="en-US"/>
        </w:rPr>
        <w:t>надмірній масі тіла (5,04</w:t>
      </w:r>
      <w:r w:rsidR="007A07A9" w:rsidRPr="001416ED">
        <w:rPr>
          <w:rFonts w:eastAsiaTheme="minorHAnsi"/>
          <w:lang w:val="uk-UA" w:eastAsia="en-US"/>
        </w:rPr>
        <w:t xml:space="preserve"> ± </w:t>
      </w:r>
      <w:r w:rsidR="00D71647" w:rsidRPr="001416ED">
        <w:rPr>
          <w:rFonts w:eastAsiaTheme="minorHAnsi"/>
          <w:lang w:val="uk-UA" w:eastAsia="en-US"/>
        </w:rPr>
        <w:t>0,19</w:t>
      </w:r>
      <w:r w:rsidR="00662A69" w:rsidRPr="001416ED">
        <w:rPr>
          <w:rFonts w:eastAsiaTheme="minorHAnsi"/>
          <w:lang w:val="uk-UA" w:eastAsia="en-US"/>
        </w:rPr>
        <w:t>)</w:t>
      </w:r>
      <w:r w:rsidR="00D71647" w:rsidRPr="001416ED">
        <w:rPr>
          <w:rFonts w:eastAsiaTheme="minorHAnsi"/>
          <w:lang w:val="uk-UA" w:eastAsia="en-US"/>
        </w:rPr>
        <w:t xml:space="preserve"> </w:t>
      </w:r>
      <w:r w:rsidR="008A2E2D" w:rsidRPr="001416ED">
        <w:rPr>
          <w:rFonts w:eastAsiaTheme="minorHAnsi"/>
          <w:lang w:val="uk-UA" w:eastAsia="en-US"/>
        </w:rPr>
        <w:t xml:space="preserve">пмоль/мл </w:t>
      </w:r>
      <w:r w:rsidR="00D71647" w:rsidRPr="001416ED">
        <w:rPr>
          <w:rFonts w:eastAsiaTheme="minorHAnsi"/>
          <w:lang w:val="uk-UA" w:eastAsia="en-US"/>
        </w:rPr>
        <w:t xml:space="preserve">та </w:t>
      </w:r>
      <w:r w:rsidR="00662A69" w:rsidRPr="001416ED">
        <w:rPr>
          <w:rFonts w:eastAsiaTheme="minorHAnsi"/>
          <w:lang w:val="uk-UA" w:eastAsia="en-US"/>
        </w:rPr>
        <w:t>(</w:t>
      </w:r>
      <w:r w:rsidR="00D71647" w:rsidRPr="001416ED">
        <w:rPr>
          <w:rFonts w:eastAsiaTheme="minorHAnsi"/>
          <w:lang w:val="uk-UA" w:eastAsia="en-US"/>
        </w:rPr>
        <w:t>5,35</w:t>
      </w:r>
      <w:r w:rsidR="007A07A9" w:rsidRPr="001416ED">
        <w:rPr>
          <w:rFonts w:eastAsiaTheme="minorHAnsi"/>
          <w:lang w:val="uk-UA" w:eastAsia="en-US"/>
        </w:rPr>
        <w:t xml:space="preserve"> ± </w:t>
      </w:r>
      <w:r w:rsidR="00D71647" w:rsidRPr="001416ED">
        <w:rPr>
          <w:rFonts w:eastAsiaTheme="minorHAnsi"/>
          <w:lang w:val="uk-UA" w:eastAsia="en-US"/>
        </w:rPr>
        <w:t>0,21</w:t>
      </w:r>
      <w:r w:rsidR="00662A69" w:rsidRPr="001416ED">
        <w:rPr>
          <w:rFonts w:eastAsiaTheme="minorHAnsi"/>
          <w:lang w:val="uk-UA" w:eastAsia="en-US"/>
        </w:rPr>
        <w:t>)</w:t>
      </w:r>
      <w:r w:rsidR="00D71647" w:rsidRPr="001416ED">
        <w:rPr>
          <w:rFonts w:eastAsiaTheme="minorHAnsi"/>
          <w:lang w:val="uk-UA" w:eastAsia="en-US"/>
        </w:rPr>
        <w:t xml:space="preserve"> </w:t>
      </w:r>
      <w:r w:rsidR="008A2E2D" w:rsidRPr="001416ED">
        <w:rPr>
          <w:rFonts w:eastAsiaTheme="minorHAnsi"/>
          <w:lang w:val="uk-UA" w:eastAsia="en-US"/>
        </w:rPr>
        <w:t>пмоль/мл</w:t>
      </w:r>
      <w:r w:rsidR="00D71647" w:rsidRPr="001416ED">
        <w:rPr>
          <w:rFonts w:eastAsiaTheme="minorHAnsi"/>
          <w:lang w:val="uk-UA" w:eastAsia="en-US"/>
        </w:rPr>
        <w:t>, відповідно)</w:t>
      </w:r>
      <w:r w:rsidR="00D71647" w:rsidRPr="001416ED">
        <w:rPr>
          <w:rFonts w:eastAsiaTheme="minorHAnsi"/>
          <w:vertAlign w:val="superscript"/>
          <w:lang w:val="uk-UA" w:eastAsia="en-US"/>
        </w:rPr>
        <w:t xml:space="preserve"> </w:t>
      </w:r>
      <w:r w:rsidRPr="001416ED">
        <w:rPr>
          <w:rFonts w:eastAsiaTheme="minorHAnsi"/>
          <w:lang w:val="uk-UA" w:eastAsia="en-US"/>
        </w:rPr>
        <w:t>вище, ніж в групі контролю</w:t>
      </w:r>
      <w:r w:rsidR="000B60D6" w:rsidRPr="001416ED">
        <w:rPr>
          <w:rFonts w:eastAsiaTheme="minorHAnsi"/>
          <w:lang w:val="uk-UA" w:eastAsia="en-US"/>
        </w:rPr>
        <w:t xml:space="preserve"> (2,39</w:t>
      </w:r>
      <w:r w:rsidR="007A07A9" w:rsidRPr="001416ED">
        <w:rPr>
          <w:rFonts w:eastAsiaTheme="minorHAnsi"/>
          <w:lang w:val="uk-UA" w:eastAsia="en-US"/>
        </w:rPr>
        <w:t xml:space="preserve"> ± </w:t>
      </w:r>
      <w:r w:rsidR="000B60D6" w:rsidRPr="001416ED">
        <w:rPr>
          <w:rFonts w:eastAsiaTheme="minorHAnsi"/>
          <w:lang w:val="uk-UA" w:eastAsia="en-US"/>
        </w:rPr>
        <w:t>0,08</w:t>
      </w:r>
      <w:r w:rsidR="00662A69" w:rsidRPr="001416ED">
        <w:rPr>
          <w:rFonts w:eastAsiaTheme="minorHAnsi"/>
          <w:lang w:val="uk-UA" w:eastAsia="en-US"/>
        </w:rPr>
        <w:t>)</w:t>
      </w:r>
      <w:r w:rsidR="000B60D6" w:rsidRPr="001416ED">
        <w:rPr>
          <w:rFonts w:eastAsiaTheme="minorHAnsi"/>
          <w:lang w:val="uk-UA" w:eastAsia="en-US"/>
        </w:rPr>
        <w:t xml:space="preserve"> </w:t>
      </w:r>
      <w:r w:rsidR="008A2E2D" w:rsidRPr="001416ED">
        <w:rPr>
          <w:rFonts w:eastAsiaTheme="minorHAnsi"/>
          <w:lang w:val="uk-UA" w:eastAsia="en-US"/>
        </w:rPr>
        <w:t>пмоль/мл</w:t>
      </w:r>
      <w:r w:rsidR="00043307" w:rsidRPr="001416ED">
        <w:rPr>
          <w:rFonts w:eastAsiaTheme="minorHAnsi"/>
          <w:lang w:val="uk-UA" w:eastAsia="en-US"/>
        </w:rPr>
        <w:t xml:space="preserve"> та</w:t>
      </w:r>
      <w:r w:rsidR="000B60D6" w:rsidRPr="001416ED">
        <w:rPr>
          <w:rFonts w:eastAsiaTheme="minorHAnsi"/>
          <w:lang w:val="uk-UA" w:eastAsia="en-US"/>
        </w:rPr>
        <w:t xml:space="preserve"> </w:t>
      </w:r>
      <w:r w:rsidR="00662A69" w:rsidRPr="001416ED">
        <w:rPr>
          <w:rFonts w:eastAsiaTheme="minorHAnsi"/>
          <w:lang w:val="uk-UA" w:eastAsia="en-US"/>
        </w:rPr>
        <w:t>(</w:t>
      </w:r>
      <w:r w:rsidR="000B60D6" w:rsidRPr="001416ED">
        <w:rPr>
          <w:rFonts w:eastAsiaTheme="minorHAnsi"/>
          <w:lang w:val="uk-UA" w:eastAsia="en-US"/>
        </w:rPr>
        <w:t>2,26</w:t>
      </w:r>
      <w:r w:rsidR="007A07A9" w:rsidRPr="001416ED">
        <w:rPr>
          <w:rFonts w:eastAsiaTheme="minorHAnsi"/>
          <w:lang w:val="uk-UA" w:eastAsia="en-US"/>
        </w:rPr>
        <w:t xml:space="preserve"> ± </w:t>
      </w:r>
      <w:r w:rsidR="000B60D6" w:rsidRPr="001416ED">
        <w:rPr>
          <w:rFonts w:eastAsiaTheme="minorHAnsi"/>
          <w:lang w:val="uk-UA" w:eastAsia="en-US"/>
        </w:rPr>
        <w:t>0,09</w:t>
      </w:r>
      <w:r w:rsidR="00662A69" w:rsidRPr="001416ED">
        <w:rPr>
          <w:rFonts w:eastAsiaTheme="minorHAnsi"/>
          <w:lang w:val="uk-UA" w:eastAsia="en-US"/>
        </w:rPr>
        <w:t>)</w:t>
      </w:r>
      <w:r w:rsidR="000B60D6" w:rsidRPr="001416ED">
        <w:rPr>
          <w:rFonts w:eastAsiaTheme="minorHAnsi"/>
          <w:lang w:val="uk-UA" w:eastAsia="en-US"/>
        </w:rPr>
        <w:t xml:space="preserve"> </w:t>
      </w:r>
      <w:r w:rsidR="008A2E2D" w:rsidRPr="001416ED">
        <w:rPr>
          <w:rFonts w:eastAsiaTheme="minorHAnsi"/>
          <w:lang w:val="uk-UA" w:eastAsia="en-US"/>
        </w:rPr>
        <w:t>пмоль/мл</w:t>
      </w:r>
      <w:r w:rsidR="005D0ED7" w:rsidRPr="001416ED">
        <w:rPr>
          <w:rFonts w:eastAsiaTheme="minorHAnsi"/>
          <w:lang w:val="uk-UA" w:eastAsia="en-US"/>
        </w:rPr>
        <w:t>, відповідно</w:t>
      </w:r>
      <w:r w:rsidR="000B60D6" w:rsidRPr="001416ED">
        <w:rPr>
          <w:rFonts w:eastAsiaTheme="minorHAnsi"/>
          <w:lang w:val="uk-UA" w:eastAsia="en-US"/>
        </w:rPr>
        <w:t>)</w:t>
      </w:r>
      <w:r w:rsidR="00C53AB0" w:rsidRPr="001416ED">
        <w:rPr>
          <w:rFonts w:eastAsiaTheme="minorHAnsi"/>
          <w:lang w:val="uk-UA" w:eastAsia="en-US"/>
        </w:rPr>
        <w:t xml:space="preserve"> (р</w:t>
      </w:r>
      <w:r w:rsidR="00CD588E" w:rsidRPr="001416ED">
        <w:rPr>
          <w:rFonts w:eastAsiaTheme="minorHAnsi"/>
          <w:lang w:val="uk-UA" w:eastAsia="en-US"/>
        </w:rPr>
        <w:t>˂</w:t>
      </w:r>
      <w:r w:rsidR="00C53AB0" w:rsidRPr="001416ED">
        <w:rPr>
          <w:rFonts w:eastAsiaTheme="minorHAnsi"/>
          <w:lang w:val="uk-UA" w:eastAsia="en-US"/>
        </w:rPr>
        <w:t>0,0001)</w:t>
      </w:r>
      <w:r w:rsidRPr="001416ED">
        <w:rPr>
          <w:rFonts w:eastAsiaTheme="minorHAnsi"/>
          <w:lang w:val="uk-UA" w:eastAsia="en-US"/>
        </w:rPr>
        <w:t xml:space="preserve">, однак вірогідної різниці у рівнях пептиду між пацієнтами з </w:t>
      </w:r>
      <w:r w:rsidR="00043307" w:rsidRPr="001416ED">
        <w:rPr>
          <w:rFonts w:eastAsiaTheme="minorHAnsi"/>
          <w:lang w:val="uk-UA" w:eastAsia="en-US"/>
        </w:rPr>
        <w:t>ГХ ІІ та ІІІ ст.</w:t>
      </w:r>
      <w:r w:rsidR="000761E1" w:rsidRPr="001416ED">
        <w:rPr>
          <w:rFonts w:eastAsiaTheme="minorHAnsi"/>
          <w:lang w:val="uk-UA" w:eastAsia="en-US"/>
        </w:rPr>
        <w:t xml:space="preserve"> немає.</w:t>
      </w:r>
      <w:r w:rsidRPr="001416ED">
        <w:rPr>
          <w:rFonts w:eastAsiaTheme="minorHAnsi"/>
          <w:lang w:val="uk-UA" w:eastAsia="en-US"/>
        </w:rPr>
        <w:t xml:space="preserve"> Не виявлено також різниці у концентрації СНП між пацієнтами з різним ІМТ в </w:t>
      </w:r>
      <w:r w:rsidR="00C316F9" w:rsidRPr="001416ED">
        <w:rPr>
          <w:rFonts w:eastAsiaTheme="minorHAnsi"/>
          <w:lang w:val="uk-UA" w:eastAsia="en-US"/>
        </w:rPr>
        <w:t>кожній</w:t>
      </w:r>
      <w:r w:rsidRPr="001416ED">
        <w:rPr>
          <w:rFonts w:eastAsiaTheme="minorHAnsi"/>
          <w:lang w:val="uk-UA" w:eastAsia="en-US"/>
        </w:rPr>
        <w:t xml:space="preserve"> груп</w:t>
      </w:r>
      <w:r w:rsidR="00C316F9" w:rsidRPr="001416ED">
        <w:rPr>
          <w:rFonts w:eastAsiaTheme="minorHAnsi"/>
          <w:lang w:val="uk-UA" w:eastAsia="en-US"/>
        </w:rPr>
        <w:t>і</w:t>
      </w:r>
      <w:r w:rsidRPr="001416ED">
        <w:rPr>
          <w:rFonts w:eastAsiaTheme="minorHAnsi"/>
          <w:lang w:val="uk-UA" w:eastAsia="en-US"/>
        </w:rPr>
        <w:t xml:space="preserve"> дослідження. </w:t>
      </w:r>
    </w:p>
    <w:p w:rsidR="004F36BE" w:rsidRPr="001416ED" w:rsidRDefault="004F36BE" w:rsidP="004F36BE">
      <w:pPr>
        <w:spacing w:line="360" w:lineRule="auto"/>
        <w:ind w:firstLine="709"/>
        <w:jc w:val="both"/>
        <w:rPr>
          <w:rFonts w:eastAsiaTheme="minorHAnsi"/>
          <w:lang w:val="uk-UA" w:eastAsia="en-US"/>
        </w:rPr>
      </w:pPr>
      <w:r w:rsidRPr="001416ED">
        <w:rPr>
          <w:rFonts w:eastAsiaTheme="minorHAnsi"/>
          <w:lang w:val="uk-UA" w:eastAsia="en-US"/>
        </w:rPr>
        <w:t xml:space="preserve">Для оцінки адекватності </w:t>
      </w:r>
      <w:r w:rsidR="00286DFF" w:rsidRPr="001416ED">
        <w:rPr>
          <w:rFonts w:eastAsiaTheme="minorHAnsi"/>
          <w:lang w:val="uk-UA" w:eastAsia="en-US"/>
        </w:rPr>
        <w:t>при</w:t>
      </w:r>
      <w:r w:rsidRPr="001416ED">
        <w:rPr>
          <w:rFonts w:eastAsiaTheme="minorHAnsi"/>
          <w:lang w:val="uk-UA" w:eastAsia="en-US"/>
        </w:rPr>
        <w:t>росту концентрації вазодилятатора СНП відносно концентрації ЕТ</w:t>
      </w:r>
      <w:r w:rsidR="00BC0119" w:rsidRPr="001416ED">
        <w:rPr>
          <w:rFonts w:eastAsiaTheme="minorHAnsi"/>
          <w:lang w:val="uk-UA" w:eastAsia="en-US"/>
        </w:rPr>
        <w:t>–</w:t>
      </w:r>
      <w:r w:rsidRPr="001416ED">
        <w:rPr>
          <w:rFonts w:eastAsiaTheme="minorHAnsi"/>
          <w:lang w:val="uk-UA" w:eastAsia="en-US"/>
        </w:rPr>
        <w:t>1 визначався коефіцієнт СНП/ЕТ</w:t>
      </w:r>
      <w:r w:rsidR="00BC0119" w:rsidRPr="001416ED">
        <w:rPr>
          <w:rFonts w:eastAsiaTheme="minorHAnsi"/>
          <w:lang w:val="uk-UA" w:eastAsia="en-US"/>
        </w:rPr>
        <w:t>–</w:t>
      </w:r>
      <w:r w:rsidRPr="001416ED">
        <w:rPr>
          <w:rFonts w:eastAsiaTheme="minorHAnsi"/>
          <w:lang w:val="uk-UA" w:eastAsia="en-US"/>
        </w:rPr>
        <w:t xml:space="preserve">1 при </w:t>
      </w:r>
      <w:r w:rsidR="00286DFF" w:rsidRPr="001416ED">
        <w:rPr>
          <w:rFonts w:eastAsiaTheme="minorHAnsi"/>
          <w:lang w:val="uk-UA" w:eastAsia="en-US"/>
        </w:rPr>
        <w:t>ГХ ІІ та ІІІ ст.</w:t>
      </w:r>
      <w:r w:rsidRPr="001416ED">
        <w:rPr>
          <w:rFonts w:eastAsiaTheme="minorHAnsi"/>
          <w:lang w:val="uk-UA" w:eastAsia="en-US"/>
        </w:rPr>
        <w:t xml:space="preserve"> та при носійстві </w:t>
      </w:r>
      <w:r w:rsidR="00E6164F">
        <w:rPr>
          <w:rFonts w:eastAsiaTheme="minorHAnsi"/>
          <w:lang w:val="uk-UA" w:eastAsia="en-US"/>
        </w:rPr>
        <w:t>поліморфних варіантів гена ЕТ–1</w:t>
      </w:r>
      <w:r w:rsidRPr="001416ED">
        <w:rPr>
          <w:rFonts w:eastAsiaTheme="minorHAnsi"/>
          <w:lang w:val="uk-UA" w:eastAsia="en-US"/>
        </w:rPr>
        <w:t xml:space="preserve"> (табл. 4.</w:t>
      </w:r>
      <w:r w:rsidR="00EC6DB5" w:rsidRPr="001416ED">
        <w:rPr>
          <w:rFonts w:eastAsiaTheme="minorHAnsi"/>
          <w:lang w:val="uk-UA" w:eastAsia="en-US"/>
        </w:rPr>
        <w:t>8</w:t>
      </w:r>
      <w:r w:rsidRPr="001416ED">
        <w:rPr>
          <w:rFonts w:eastAsiaTheme="minorHAnsi"/>
          <w:lang w:val="uk-UA" w:eastAsia="en-US"/>
        </w:rPr>
        <w:t>)</w:t>
      </w:r>
      <w:r w:rsidR="002F59D4" w:rsidRPr="001416ED">
        <w:rPr>
          <w:rFonts w:eastAsiaTheme="minorHAnsi"/>
          <w:lang w:val="uk-UA" w:eastAsia="en-US"/>
        </w:rPr>
        <w:t xml:space="preserve">. </w:t>
      </w:r>
    </w:p>
    <w:p w:rsidR="004F36BE" w:rsidRPr="001416ED" w:rsidRDefault="004F36BE" w:rsidP="00EC6DB5">
      <w:pPr>
        <w:spacing w:line="360" w:lineRule="auto"/>
        <w:ind w:firstLine="709"/>
        <w:jc w:val="right"/>
        <w:rPr>
          <w:rFonts w:eastAsiaTheme="minorHAnsi"/>
          <w:b/>
          <w:lang w:val="uk-UA" w:eastAsia="en-US"/>
        </w:rPr>
      </w:pPr>
      <w:r w:rsidRPr="001416ED">
        <w:rPr>
          <w:rFonts w:eastAsiaTheme="minorHAnsi"/>
          <w:b/>
          <w:lang w:val="uk-UA" w:eastAsia="en-US"/>
        </w:rPr>
        <w:t>Таблиця 4.</w:t>
      </w:r>
      <w:r w:rsidR="00EC6DB5" w:rsidRPr="001416ED">
        <w:rPr>
          <w:rFonts w:eastAsiaTheme="minorHAnsi"/>
          <w:b/>
          <w:lang w:val="uk-UA" w:eastAsia="en-US"/>
        </w:rPr>
        <w:t>8</w:t>
      </w:r>
    </w:p>
    <w:p w:rsidR="004F36BE" w:rsidRPr="001416ED" w:rsidRDefault="004F36BE" w:rsidP="004F36BE">
      <w:pPr>
        <w:spacing w:line="360" w:lineRule="auto"/>
        <w:ind w:firstLine="709"/>
        <w:jc w:val="center"/>
        <w:rPr>
          <w:rFonts w:eastAsiaTheme="minorHAnsi"/>
          <w:b/>
          <w:lang w:val="uk-UA" w:eastAsia="en-US"/>
        </w:rPr>
      </w:pPr>
      <w:r w:rsidRPr="001416ED">
        <w:rPr>
          <w:rFonts w:eastAsiaTheme="minorHAnsi"/>
          <w:b/>
          <w:lang w:val="uk-UA" w:eastAsia="en-US"/>
        </w:rPr>
        <w:t>Коефіцієнт СНП/ЕТ</w:t>
      </w:r>
      <w:r w:rsidR="00BC0119" w:rsidRPr="001416ED">
        <w:rPr>
          <w:rFonts w:eastAsiaTheme="minorHAnsi"/>
          <w:b/>
          <w:lang w:val="uk-UA" w:eastAsia="en-US"/>
        </w:rPr>
        <w:t>–</w:t>
      </w:r>
      <w:r w:rsidRPr="001416ED">
        <w:rPr>
          <w:rFonts w:eastAsiaTheme="minorHAnsi"/>
          <w:b/>
          <w:lang w:val="uk-UA" w:eastAsia="en-US"/>
        </w:rPr>
        <w:t xml:space="preserve">1 у чоловіків групи </w:t>
      </w:r>
      <w:r w:rsidR="00472F94" w:rsidRPr="001416ED">
        <w:rPr>
          <w:rFonts w:eastAsiaTheme="minorHAnsi"/>
          <w:b/>
          <w:lang w:val="uk-UA" w:eastAsia="en-US"/>
        </w:rPr>
        <w:t>контролю</w:t>
      </w:r>
      <w:r w:rsidRPr="001416ED">
        <w:rPr>
          <w:rFonts w:eastAsiaTheme="minorHAnsi"/>
          <w:b/>
          <w:lang w:val="uk-UA" w:eastAsia="en-US"/>
        </w:rPr>
        <w:t xml:space="preserve">, хворих на ГХ ІІ ст. та </w:t>
      </w:r>
      <w:r w:rsidR="00C34030" w:rsidRPr="001416ED">
        <w:rPr>
          <w:rFonts w:eastAsiaTheme="minorHAnsi"/>
          <w:b/>
          <w:lang w:val="uk-UA" w:eastAsia="en-US"/>
        </w:rPr>
        <w:t xml:space="preserve">ГХ ІІІ ст. </w:t>
      </w:r>
      <w:r w:rsidRPr="001416ED">
        <w:rPr>
          <w:rFonts w:eastAsiaTheme="minorHAnsi"/>
          <w:b/>
          <w:lang w:val="uk-UA" w:eastAsia="en-US"/>
        </w:rPr>
        <w:t xml:space="preserve">при носійстві </w:t>
      </w:r>
      <w:r w:rsidR="00E6164F">
        <w:rPr>
          <w:rFonts w:eastAsiaTheme="minorHAnsi"/>
          <w:b/>
          <w:lang w:val="uk-UA" w:eastAsia="en-US"/>
        </w:rPr>
        <w:t>поліморфних варіантів гена ЕТ–1</w:t>
      </w:r>
      <w:r w:rsidRPr="001416ED">
        <w:rPr>
          <w:rFonts w:eastAsiaTheme="minorHAnsi"/>
          <w:b/>
          <w:lang w:val="uk-UA" w:eastAsia="en-US"/>
        </w:rPr>
        <w:t xml:space="preserve">, </w:t>
      </w:r>
      <w:r w:rsidRPr="001416ED">
        <w:rPr>
          <w:lang w:val="uk-UA"/>
        </w:rPr>
        <w:t xml:space="preserve"> </w:t>
      </w:r>
      <w:r w:rsidRPr="001416ED">
        <w:rPr>
          <w:rFonts w:eastAsiaTheme="minorHAnsi"/>
          <w:b/>
          <w:lang w:val="uk-UA" w:eastAsia="en-US"/>
        </w:rPr>
        <w:t>ум.од.  (M</w:t>
      </w:r>
      <w:r w:rsidR="007A07A9" w:rsidRPr="001416ED">
        <w:rPr>
          <w:rFonts w:eastAsiaTheme="minorHAnsi"/>
          <w:b/>
          <w:lang w:val="uk-UA" w:eastAsia="en-US"/>
        </w:rPr>
        <w:t xml:space="preserve"> ± </w:t>
      </w:r>
      <w:r w:rsidRPr="001416ED">
        <w:rPr>
          <w:rFonts w:eastAsiaTheme="minorHAnsi"/>
          <w:b/>
          <w:lang w:val="uk-UA" w:eastAsia="en-US"/>
        </w:rPr>
        <w:t xml:space="preserve">m) </w:t>
      </w:r>
    </w:p>
    <w:tbl>
      <w:tblPr>
        <w:tblStyle w:val="af5"/>
        <w:tblW w:w="10138" w:type="dxa"/>
        <w:tblLook w:val="04A0" w:firstRow="1" w:lastRow="0" w:firstColumn="1" w:lastColumn="0" w:noHBand="0" w:noVBand="1"/>
      </w:tblPr>
      <w:tblGrid>
        <w:gridCol w:w="2235"/>
        <w:gridCol w:w="3118"/>
        <w:gridCol w:w="3119"/>
        <w:gridCol w:w="1666"/>
      </w:tblGrid>
      <w:tr w:rsidR="004F36BE" w:rsidRPr="001416ED" w:rsidTr="00F47B5B">
        <w:tc>
          <w:tcPr>
            <w:tcW w:w="2235" w:type="dxa"/>
          </w:tcPr>
          <w:p w:rsidR="004F36BE" w:rsidRPr="001416ED" w:rsidRDefault="004F36BE" w:rsidP="00A01981">
            <w:pPr>
              <w:spacing w:line="360" w:lineRule="auto"/>
              <w:jc w:val="center"/>
              <w:rPr>
                <w:b/>
              </w:rPr>
            </w:pPr>
            <w:r w:rsidRPr="001416ED">
              <w:rPr>
                <w:b/>
              </w:rPr>
              <w:t>Група</w:t>
            </w:r>
          </w:p>
        </w:tc>
        <w:tc>
          <w:tcPr>
            <w:tcW w:w="3118" w:type="dxa"/>
          </w:tcPr>
          <w:p w:rsidR="004F36BE" w:rsidRPr="001416ED" w:rsidRDefault="004F36BE" w:rsidP="00A01981">
            <w:pPr>
              <w:spacing w:line="360" w:lineRule="auto"/>
              <w:jc w:val="center"/>
              <w:rPr>
                <w:b/>
                <w:lang w:val="en-US"/>
              </w:rPr>
            </w:pPr>
            <w:r w:rsidRPr="001416ED">
              <w:rPr>
                <w:b/>
              </w:rPr>
              <w:t xml:space="preserve">Носії генотипу </w:t>
            </w:r>
            <w:r w:rsidRPr="001416ED">
              <w:rPr>
                <w:b/>
                <w:lang w:val="en-US"/>
              </w:rPr>
              <w:t>Lys</w:t>
            </w:r>
            <w:r w:rsidRPr="001416ED">
              <w:rPr>
                <w:b/>
              </w:rPr>
              <w:t>/</w:t>
            </w:r>
            <w:r w:rsidRPr="001416ED">
              <w:rPr>
                <w:b/>
                <w:lang w:val="en-US"/>
              </w:rPr>
              <w:t>Lys</w:t>
            </w:r>
          </w:p>
        </w:tc>
        <w:tc>
          <w:tcPr>
            <w:tcW w:w="3119" w:type="dxa"/>
          </w:tcPr>
          <w:p w:rsidR="004F36BE" w:rsidRPr="001416ED" w:rsidRDefault="004F36BE" w:rsidP="00A01981">
            <w:pPr>
              <w:spacing w:line="360" w:lineRule="auto"/>
              <w:jc w:val="center"/>
              <w:rPr>
                <w:b/>
                <w:lang w:val="en-US"/>
              </w:rPr>
            </w:pPr>
            <w:r w:rsidRPr="001416ED">
              <w:rPr>
                <w:b/>
              </w:rPr>
              <w:t xml:space="preserve">Носії алелі </w:t>
            </w:r>
            <w:r w:rsidRPr="001416ED">
              <w:rPr>
                <w:b/>
                <w:lang w:val="en-US"/>
              </w:rPr>
              <w:t>Asn</w:t>
            </w:r>
          </w:p>
        </w:tc>
        <w:tc>
          <w:tcPr>
            <w:tcW w:w="1666" w:type="dxa"/>
          </w:tcPr>
          <w:p w:rsidR="004F36BE" w:rsidRPr="001416ED" w:rsidRDefault="004F36BE" w:rsidP="00A01981">
            <w:pPr>
              <w:spacing w:line="360" w:lineRule="auto"/>
              <w:jc w:val="center"/>
              <w:rPr>
                <w:b/>
                <w:lang w:val="en-US"/>
              </w:rPr>
            </w:pPr>
            <w:r w:rsidRPr="001416ED">
              <w:rPr>
                <w:b/>
              </w:rPr>
              <w:t>р</w:t>
            </w:r>
          </w:p>
        </w:tc>
      </w:tr>
      <w:tr w:rsidR="004F36BE" w:rsidRPr="001416ED" w:rsidTr="00F47B5B">
        <w:tc>
          <w:tcPr>
            <w:tcW w:w="2235" w:type="dxa"/>
          </w:tcPr>
          <w:p w:rsidR="004F36BE" w:rsidRPr="001416ED" w:rsidRDefault="004F36BE" w:rsidP="00F47B5B">
            <w:pPr>
              <w:spacing w:line="360" w:lineRule="auto"/>
            </w:pPr>
            <w:r w:rsidRPr="001416ED">
              <w:t>Група ко</w:t>
            </w:r>
            <w:r w:rsidRPr="001416ED">
              <w:rPr>
                <w:lang w:val="uk-UA"/>
              </w:rPr>
              <w:t>н</w:t>
            </w:r>
            <w:r w:rsidRPr="001416ED">
              <w:t>тролю (</w:t>
            </w:r>
            <w:r w:rsidRPr="001416ED">
              <w:rPr>
                <w:lang w:val="en-US"/>
              </w:rPr>
              <w:t>n</w:t>
            </w:r>
            <w:r w:rsidRPr="001416ED">
              <w:t>=79</w:t>
            </w:r>
            <w:r w:rsidRPr="001416ED">
              <w:rPr>
                <w:lang w:val="en-US"/>
              </w:rPr>
              <w:t>)</w:t>
            </w:r>
          </w:p>
        </w:tc>
        <w:tc>
          <w:tcPr>
            <w:tcW w:w="3118" w:type="dxa"/>
          </w:tcPr>
          <w:p w:rsidR="004F36BE" w:rsidRPr="001416ED" w:rsidRDefault="004F36BE" w:rsidP="00A01981">
            <w:pPr>
              <w:spacing w:line="360" w:lineRule="auto"/>
              <w:jc w:val="center"/>
            </w:pPr>
            <w:r w:rsidRPr="001416ED">
              <w:t>1,49</w:t>
            </w:r>
            <w:r w:rsidR="007A07A9" w:rsidRPr="001416ED">
              <w:t xml:space="preserve"> ± </w:t>
            </w:r>
            <w:r w:rsidRPr="001416ED">
              <w:t>0,04</w:t>
            </w:r>
          </w:p>
          <w:p w:rsidR="004F36BE" w:rsidRPr="001416ED" w:rsidRDefault="004F36BE" w:rsidP="00A01981">
            <w:pPr>
              <w:spacing w:line="360" w:lineRule="auto"/>
              <w:jc w:val="center"/>
            </w:pPr>
            <w:r w:rsidRPr="001416ED">
              <w:t xml:space="preserve">  (</w:t>
            </w:r>
            <w:r w:rsidRPr="001416ED">
              <w:rPr>
                <w:lang w:val="en-US"/>
              </w:rPr>
              <w:t>n</w:t>
            </w:r>
            <w:r w:rsidRPr="001416ED">
              <w:t>=52</w:t>
            </w:r>
            <w:r w:rsidRPr="001416ED">
              <w:rPr>
                <w:lang w:val="en-US"/>
              </w:rPr>
              <w:t>)</w:t>
            </w:r>
            <w:r w:rsidRPr="001416ED">
              <w:t xml:space="preserve">  (1)</w:t>
            </w:r>
          </w:p>
        </w:tc>
        <w:tc>
          <w:tcPr>
            <w:tcW w:w="3119" w:type="dxa"/>
          </w:tcPr>
          <w:p w:rsidR="004F36BE" w:rsidRPr="001416ED" w:rsidRDefault="004F36BE" w:rsidP="00A01981">
            <w:pPr>
              <w:spacing w:line="360" w:lineRule="auto"/>
              <w:jc w:val="center"/>
            </w:pPr>
            <w:r w:rsidRPr="001416ED">
              <w:t>1,22</w:t>
            </w:r>
            <w:r w:rsidR="007A07A9" w:rsidRPr="001416ED">
              <w:t xml:space="preserve"> ± </w:t>
            </w:r>
            <w:r w:rsidRPr="001416ED">
              <w:t>0,05</w:t>
            </w:r>
          </w:p>
          <w:p w:rsidR="004F36BE" w:rsidRPr="001416ED" w:rsidRDefault="004F36BE" w:rsidP="00A01981">
            <w:pPr>
              <w:spacing w:line="360" w:lineRule="auto"/>
              <w:jc w:val="center"/>
            </w:pPr>
            <w:r w:rsidRPr="001416ED">
              <w:t>(</w:t>
            </w:r>
            <w:r w:rsidRPr="001416ED">
              <w:rPr>
                <w:lang w:val="en-US"/>
              </w:rPr>
              <w:t>n</w:t>
            </w:r>
            <w:r w:rsidRPr="001416ED">
              <w:t>=27</w:t>
            </w:r>
            <w:r w:rsidRPr="001416ED">
              <w:rPr>
                <w:lang w:val="en-US"/>
              </w:rPr>
              <w:t>)</w:t>
            </w:r>
            <w:r w:rsidRPr="001416ED">
              <w:t xml:space="preserve"> (4)</w:t>
            </w:r>
          </w:p>
        </w:tc>
        <w:tc>
          <w:tcPr>
            <w:tcW w:w="1666" w:type="dxa"/>
          </w:tcPr>
          <w:p w:rsidR="004F36BE" w:rsidRPr="001416ED" w:rsidRDefault="004F36BE" w:rsidP="00A01981">
            <w:pPr>
              <w:spacing w:line="360" w:lineRule="auto"/>
              <w:jc w:val="center"/>
            </w:pPr>
            <w:r w:rsidRPr="001416ED">
              <w:t>р</w:t>
            </w:r>
            <w:r w:rsidRPr="001416ED">
              <w:rPr>
                <w:vertAlign w:val="subscript"/>
              </w:rPr>
              <w:t>4</w:t>
            </w:r>
            <w:r w:rsidR="00BC0119" w:rsidRPr="001416ED">
              <w:rPr>
                <w:vertAlign w:val="subscript"/>
              </w:rPr>
              <w:t>–</w:t>
            </w:r>
            <w:r w:rsidRPr="001416ED">
              <w:rPr>
                <w:vertAlign w:val="subscript"/>
              </w:rPr>
              <w:t>1</w:t>
            </w:r>
            <w:r w:rsidRPr="001416ED">
              <w:t>&lt;0,0001</w:t>
            </w:r>
          </w:p>
          <w:p w:rsidR="004F36BE" w:rsidRPr="001416ED" w:rsidRDefault="004F36BE" w:rsidP="00A01981">
            <w:pPr>
              <w:spacing w:line="360" w:lineRule="auto"/>
              <w:jc w:val="center"/>
            </w:pPr>
          </w:p>
        </w:tc>
      </w:tr>
      <w:tr w:rsidR="004F36BE" w:rsidRPr="001416ED" w:rsidTr="00F47B5B">
        <w:tc>
          <w:tcPr>
            <w:tcW w:w="2235" w:type="dxa"/>
          </w:tcPr>
          <w:p w:rsidR="00A3762B" w:rsidRPr="001416ED" w:rsidRDefault="004F36BE" w:rsidP="00A01981">
            <w:pPr>
              <w:spacing w:line="360" w:lineRule="auto"/>
              <w:rPr>
                <w:lang w:val="uk-UA"/>
              </w:rPr>
            </w:pPr>
            <w:r w:rsidRPr="001416ED">
              <w:rPr>
                <w:lang w:val="uk-UA"/>
              </w:rPr>
              <w:t>Пацієнти з</w:t>
            </w:r>
          </w:p>
          <w:p w:rsidR="004F36BE" w:rsidRPr="001416ED" w:rsidRDefault="004F36BE" w:rsidP="00A01981">
            <w:pPr>
              <w:spacing w:line="360" w:lineRule="auto"/>
              <w:rPr>
                <w:lang w:val="uk-UA"/>
              </w:rPr>
            </w:pPr>
            <w:r w:rsidRPr="001416ED">
              <w:rPr>
                <w:lang w:val="uk-UA"/>
              </w:rPr>
              <w:t xml:space="preserve">ГХ ІІ ст. </w:t>
            </w:r>
            <w:r w:rsidRPr="001416ED">
              <w:t>(</w:t>
            </w:r>
            <w:r w:rsidRPr="001416ED">
              <w:rPr>
                <w:lang w:val="en-US"/>
              </w:rPr>
              <w:t>n</w:t>
            </w:r>
            <w:r w:rsidRPr="001416ED">
              <w:t>=62)</w:t>
            </w:r>
          </w:p>
        </w:tc>
        <w:tc>
          <w:tcPr>
            <w:tcW w:w="3118" w:type="dxa"/>
          </w:tcPr>
          <w:p w:rsidR="004F36BE" w:rsidRPr="001416ED" w:rsidRDefault="004F36BE" w:rsidP="00A01981">
            <w:pPr>
              <w:spacing w:line="360" w:lineRule="auto"/>
              <w:jc w:val="center"/>
            </w:pPr>
            <w:r w:rsidRPr="001416ED">
              <w:t>0,40</w:t>
            </w:r>
            <w:r w:rsidR="007A07A9" w:rsidRPr="001416ED">
              <w:t xml:space="preserve"> ± </w:t>
            </w:r>
            <w:r w:rsidRPr="001416ED">
              <w:t xml:space="preserve">0,003   </w:t>
            </w:r>
          </w:p>
          <w:p w:rsidR="004F36BE" w:rsidRPr="001416ED" w:rsidRDefault="004F36BE" w:rsidP="00A01981">
            <w:pPr>
              <w:spacing w:line="360" w:lineRule="auto"/>
              <w:jc w:val="center"/>
            </w:pPr>
            <w:r w:rsidRPr="001416ED">
              <w:t>(</w:t>
            </w:r>
            <w:r w:rsidRPr="001416ED">
              <w:rPr>
                <w:lang w:val="en-US"/>
              </w:rPr>
              <w:t>n</w:t>
            </w:r>
            <w:r w:rsidRPr="001416ED">
              <w:t>=35</w:t>
            </w:r>
            <w:r w:rsidRPr="001416ED">
              <w:rPr>
                <w:lang w:val="en-US"/>
              </w:rPr>
              <w:t>)</w:t>
            </w:r>
            <w:r w:rsidRPr="001416ED">
              <w:t xml:space="preserve"> (2)</w:t>
            </w:r>
          </w:p>
        </w:tc>
        <w:tc>
          <w:tcPr>
            <w:tcW w:w="3119" w:type="dxa"/>
          </w:tcPr>
          <w:p w:rsidR="004F36BE" w:rsidRPr="001416ED" w:rsidRDefault="004F36BE" w:rsidP="00A01981">
            <w:pPr>
              <w:spacing w:line="360" w:lineRule="auto"/>
              <w:jc w:val="center"/>
            </w:pPr>
            <w:r w:rsidRPr="001416ED">
              <w:t>0,42</w:t>
            </w:r>
            <w:r w:rsidR="007A07A9" w:rsidRPr="001416ED">
              <w:t xml:space="preserve"> ± </w:t>
            </w:r>
            <w:r w:rsidRPr="001416ED">
              <w:t>0,004</w:t>
            </w:r>
          </w:p>
          <w:p w:rsidR="004F36BE" w:rsidRPr="001416ED" w:rsidRDefault="004F36BE" w:rsidP="00A01981">
            <w:pPr>
              <w:spacing w:line="360" w:lineRule="auto"/>
              <w:jc w:val="center"/>
            </w:pPr>
            <w:r w:rsidRPr="001416ED">
              <w:t>(</w:t>
            </w:r>
            <w:r w:rsidRPr="001416ED">
              <w:rPr>
                <w:lang w:val="en-US"/>
              </w:rPr>
              <w:t>n</w:t>
            </w:r>
            <w:r w:rsidRPr="001416ED">
              <w:t>=27</w:t>
            </w:r>
            <w:r w:rsidRPr="001416ED">
              <w:rPr>
                <w:lang w:val="en-US"/>
              </w:rPr>
              <w:t>)</w:t>
            </w:r>
            <w:r w:rsidRPr="001416ED">
              <w:t xml:space="preserve"> (5)</w:t>
            </w:r>
          </w:p>
        </w:tc>
        <w:tc>
          <w:tcPr>
            <w:tcW w:w="1666" w:type="dxa"/>
          </w:tcPr>
          <w:p w:rsidR="004F36BE" w:rsidRPr="001416ED" w:rsidRDefault="004F36BE" w:rsidP="00A01981">
            <w:pPr>
              <w:spacing w:line="360" w:lineRule="auto"/>
              <w:jc w:val="center"/>
            </w:pPr>
            <w:r w:rsidRPr="001416ED">
              <w:t>р</w:t>
            </w:r>
            <w:r w:rsidRPr="001416ED">
              <w:rPr>
                <w:vertAlign w:val="subscript"/>
              </w:rPr>
              <w:t>5</w:t>
            </w:r>
            <w:r w:rsidR="00BC0119" w:rsidRPr="001416ED">
              <w:rPr>
                <w:vertAlign w:val="subscript"/>
              </w:rPr>
              <w:t>–</w:t>
            </w:r>
            <w:r w:rsidRPr="001416ED">
              <w:rPr>
                <w:vertAlign w:val="subscript"/>
              </w:rPr>
              <w:t>2</w:t>
            </w:r>
            <w:r w:rsidRPr="001416ED">
              <w:t>&gt;0,05</w:t>
            </w:r>
          </w:p>
          <w:p w:rsidR="004F36BE" w:rsidRPr="001416ED" w:rsidRDefault="004F36BE" w:rsidP="00A01981">
            <w:pPr>
              <w:spacing w:line="360" w:lineRule="auto"/>
              <w:jc w:val="center"/>
            </w:pPr>
          </w:p>
        </w:tc>
      </w:tr>
      <w:tr w:rsidR="00953668" w:rsidRPr="001416ED" w:rsidTr="00F47B5B">
        <w:tc>
          <w:tcPr>
            <w:tcW w:w="2235" w:type="dxa"/>
          </w:tcPr>
          <w:p w:rsidR="00A3762B" w:rsidRPr="001416ED" w:rsidRDefault="00953668" w:rsidP="00F47B5B">
            <w:pPr>
              <w:spacing w:line="360" w:lineRule="auto"/>
              <w:rPr>
                <w:lang w:val="uk-UA"/>
              </w:rPr>
            </w:pPr>
            <w:r w:rsidRPr="001416ED">
              <w:rPr>
                <w:lang w:val="uk-UA"/>
              </w:rPr>
              <w:t xml:space="preserve">Пацієнти з </w:t>
            </w:r>
          </w:p>
          <w:p w:rsidR="00953668" w:rsidRPr="001416ED" w:rsidRDefault="00953668" w:rsidP="00F47B5B">
            <w:pPr>
              <w:spacing w:line="360" w:lineRule="auto"/>
              <w:rPr>
                <w:lang w:val="uk-UA"/>
              </w:rPr>
            </w:pPr>
            <w:r w:rsidRPr="001416ED">
              <w:rPr>
                <w:lang w:val="uk-UA"/>
              </w:rPr>
              <w:t xml:space="preserve">ГХ </w:t>
            </w:r>
            <w:r w:rsidR="00F47B5B" w:rsidRPr="001416ED">
              <w:rPr>
                <w:lang w:val="uk-UA"/>
              </w:rPr>
              <w:t>І</w:t>
            </w:r>
            <w:r w:rsidR="004A4E68" w:rsidRPr="001416ED">
              <w:rPr>
                <w:lang w:val="uk-UA"/>
              </w:rPr>
              <w:t>ІІ</w:t>
            </w:r>
            <w:r w:rsidRPr="001416ED">
              <w:rPr>
                <w:lang w:val="uk-UA"/>
              </w:rPr>
              <w:t xml:space="preserve"> ст. (</w:t>
            </w:r>
            <w:r w:rsidRPr="001416ED">
              <w:rPr>
                <w:lang w:val="en-US"/>
              </w:rPr>
              <w:t>n</w:t>
            </w:r>
            <w:r w:rsidRPr="001416ED">
              <w:rPr>
                <w:lang w:val="uk-UA"/>
              </w:rPr>
              <w:t>=50)</w:t>
            </w:r>
          </w:p>
        </w:tc>
        <w:tc>
          <w:tcPr>
            <w:tcW w:w="3118" w:type="dxa"/>
          </w:tcPr>
          <w:p w:rsidR="00953668" w:rsidRPr="001416ED" w:rsidRDefault="00953668" w:rsidP="005F1F66">
            <w:pPr>
              <w:spacing w:line="360" w:lineRule="auto"/>
              <w:jc w:val="center"/>
            </w:pPr>
            <w:r w:rsidRPr="001416ED">
              <w:t>0,38</w:t>
            </w:r>
            <w:r w:rsidR="007A07A9" w:rsidRPr="001416ED">
              <w:t xml:space="preserve"> ± </w:t>
            </w:r>
            <w:r w:rsidRPr="001416ED">
              <w:t xml:space="preserve">0,006   </w:t>
            </w:r>
          </w:p>
          <w:p w:rsidR="00953668" w:rsidRPr="001416ED" w:rsidRDefault="00953668" w:rsidP="005F1F66">
            <w:pPr>
              <w:spacing w:line="360" w:lineRule="auto"/>
              <w:jc w:val="center"/>
            </w:pPr>
            <w:r w:rsidRPr="001416ED">
              <w:t>(</w:t>
            </w:r>
            <w:r w:rsidRPr="001416ED">
              <w:rPr>
                <w:lang w:val="en-US"/>
              </w:rPr>
              <w:t>n</w:t>
            </w:r>
            <w:r w:rsidRPr="001416ED">
              <w:t>=33</w:t>
            </w:r>
            <w:r w:rsidRPr="001416ED">
              <w:rPr>
                <w:lang w:val="en-US"/>
              </w:rPr>
              <w:t>)</w:t>
            </w:r>
            <w:r w:rsidRPr="001416ED">
              <w:t xml:space="preserve"> (3)</w:t>
            </w:r>
          </w:p>
        </w:tc>
        <w:tc>
          <w:tcPr>
            <w:tcW w:w="3119" w:type="dxa"/>
          </w:tcPr>
          <w:p w:rsidR="00953668" w:rsidRPr="001416ED" w:rsidRDefault="00953668" w:rsidP="005F1F66">
            <w:pPr>
              <w:spacing w:line="360" w:lineRule="auto"/>
              <w:jc w:val="center"/>
            </w:pPr>
            <w:r w:rsidRPr="001416ED">
              <w:t>0,42</w:t>
            </w:r>
            <w:r w:rsidR="007A07A9" w:rsidRPr="001416ED">
              <w:t xml:space="preserve"> ± </w:t>
            </w:r>
            <w:r w:rsidRPr="001416ED">
              <w:t>0,007</w:t>
            </w:r>
          </w:p>
          <w:p w:rsidR="00953668" w:rsidRPr="001416ED" w:rsidRDefault="00953668" w:rsidP="005F1F66">
            <w:pPr>
              <w:spacing w:line="360" w:lineRule="auto"/>
              <w:jc w:val="center"/>
            </w:pPr>
            <w:r w:rsidRPr="001416ED">
              <w:t>(</w:t>
            </w:r>
            <w:r w:rsidRPr="001416ED">
              <w:rPr>
                <w:lang w:val="en-US"/>
              </w:rPr>
              <w:t>n</w:t>
            </w:r>
            <w:r w:rsidRPr="001416ED">
              <w:t>=17</w:t>
            </w:r>
            <w:r w:rsidRPr="001416ED">
              <w:rPr>
                <w:lang w:val="en-US"/>
              </w:rPr>
              <w:t>)</w:t>
            </w:r>
            <w:r w:rsidRPr="001416ED">
              <w:t xml:space="preserve"> (6)</w:t>
            </w:r>
          </w:p>
        </w:tc>
        <w:tc>
          <w:tcPr>
            <w:tcW w:w="1666" w:type="dxa"/>
          </w:tcPr>
          <w:p w:rsidR="00953668" w:rsidRPr="001416ED" w:rsidRDefault="00953668" w:rsidP="008A2E2D">
            <w:pPr>
              <w:spacing w:line="360" w:lineRule="auto"/>
              <w:jc w:val="center"/>
              <w:rPr>
                <w:rFonts w:eastAsiaTheme="minorHAnsi"/>
                <w:lang w:val="uk-UA" w:eastAsia="en-US"/>
              </w:rPr>
            </w:pPr>
            <w:r w:rsidRPr="001416ED">
              <w:t>р</w:t>
            </w:r>
            <w:r w:rsidRPr="001416ED">
              <w:rPr>
                <w:vertAlign w:val="subscript"/>
              </w:rPr>
              <w:t>6</w:t>
            </w:r>
            <w:r w:rsidR="00BC0119" w:rsidRPr="001416ED">
              <w:rPr>
                <w:vertAlign w:val="subscript"/>
              </w:rPr>
              <w:t>–</w:t>
            </w:r>
            <w:r w:rsidRPr="001416ED">
              <w:rPr>
                <w:vertAlign w:val="subscript"/>
              </w:rPr>
              <w:t>3</w:t>
            </w:r>
            <w:r w:rsidRPr="001416ED">
              <w:t>&gt;0,05</w:t>
            </w:r>
          </w:p>
        </w:tc>
      </w:tr>
      <w:tr w:rsidR="006C2DEB" w:rsidRPr="001416ED" w:rsidTr="00F47B5B">
        <w:tc>
          <w:tcPr>
            <w:tcW w:w="2235" w:type="dxa"/>
          </w:tcPr>
          <w:p w:rsidR="006C2DEB" w:rsidRPr="001416ED" w:rsidRDefault="006C2DEB" w:rsidP="0015449B">
            <w:pPr>
              <w:spacing w:line="360" w:lineRule="auto"/>
            </w:pPr>
            <w:r w:rsidRPr="001416ED">
              <w:t>р</w:t>
            </w:r>
          </w:p>
        </w:tc>
        <w:tc>
          <w:tcPr>
            <w:tcW w:w="3118" w:type="dxa"/>
          </w:tcPr>
          <w:p w:rsidR="006C2DEB" w:rsidRPr="001416ED" w:rsidRDefault="006C2DEB" w:rsidP="0015449B">
            <w:pPr>
              <w:spacing w:line="360" w:lineRule="auto"/>
              <w:jc w:val="center"/>
              <w:rPr>
                <w:lang w:val="uk-UA"/>
              </w:rPr>
            </w:pPr>
            <w:r w:rsidRPr="001416ED">
              <w:t>р</w:t>
            </w:r>
            <w:r w:rsidRPr="001416ED">
              <w:rPr>
                <w:vertAlign w:val="subscript"/>
              </w:rPr>
              <w:t>2–1</w:t>
            </w:r>
            <w:r w:rsidRPr="001416ED">
              <w:t>&lt;0,0001</w:t>
            </w:r>
            <w:r w:rsidRPr="001416ED">
              <w:rPr>
                <w:lang w:val="uk-UA"/>
              </w:rPr>
              <w:t>;</w:t>
            </w:r>
            <w:r w:rsidR="009479A2" w:rsidRPr="001416ED">
              <w:rPr>
                <w:lang w:val="uk-UA"/>
              </w:rPr>
              <w:t xml:space="preserve"> </w:t>
            </w:r>
            <w:r w:rsidRPr="001416ED">
              <w:t>р</w:t>
            </w:r>
            <w:r w:rsidRPr="001416ED">
              <w:rPr>
                <w:vertAlign w:val="subscript"/>
              </w:rPr>
              <w:t>3–1</w:t>
            </w:r>
            <w:r w:rsidRPr="001416ED">
              <w:t>&lt;0,0001</w:t>
            </w:r>
            <w:r w:rsidR="00A4245E" w:rsidRPr="001416ED">
              <w:rPr>
                <w:lang w:val="uk-UA"/>
              </w:rPr>
              <w:t>;</w:t>
            </w:r>
          </w:p>
          <w:p w:rsidR="006C2DEB" w:rsidRPr="001416ED" w:rsidRDefault="006C2DEB" w:rsidP="0015449B">
            <w:pPr>
              <w:spacing w:line="360" w:lineRule="auto"/>
              <w:jc w:val="center"/>
            </w:pPr>
            <w:r w:rsidRPr="001416ED">
              <w:t>р</w:t>
            </w:r>
            <w:r w:rsidRPr="001416ED">
              <w:rPr>
                <w:vertAlign w:val="subscript"/>
              </w:rPr>
              <w:t>3–2</w:t>
            </w:r>
            <w:r w:rsidRPr="001416ED">
              <w:t>&gt;0,05</w:t>
            </w:r>
          </w:p>
        </w:tc>
        <w:tc>
          <w:tcPr>
            <w:tcW w:w="3119" w:type="dxa"/>
          </w:tcPr>
          <w:p w:rsidR="006C2DEB" w:rsidRPr="001416ED" w:rsidRDefault="006C2DEB" w:rsidP="0015449B">
            <w:pPr>
              <w:spacing w:line="360" w:lineRule="auto"/>
              <w:jc w:val="center"/>
              <w:rPr>
                <w:lang w:val="uk-UA"/>
              </w:rPr>
            </w:pPr>
            <w:r w:rsidRPr="001416ED">
              <w:t>р</w:t>
            </w:r>
            <w:r w:rsidRPr="001416ED">
              <w:rPr>
                <w:vertAlign w:val="subscript"/>
              </w:rPr>
              <w:t>5–4</w:t>
            </w:r>
            <w:r w:rsidRPr="001416ED">
              <w:t>&lt;0,0001</w:t>
            </w:r>
            <w:r w:rsidRPr="001416ED">
              <w:rPr>
                <w:lang w:val="uk-UA"/>
              </w:rPr>
              <w:t>;</w:t>
            </w:r>
            <w:r w:rsidR="009479A2" w:rsidRPr="001416ED">
              <w:rPr>
                <w:lang w:val="uk-UA"/>
              </w:rPr>
              <w:t xml:space="preserve"> </w:t>
            </w:r>
            <w:r w:rsidR="00A4245E" w:rsidRPr="001416ED">
              <w:t>р</w:t>
            </w:r>
            <w:r w:rsidR="00A4245E" w:rsidRPr="001416ED">
              <w:rPr>
                <w:vertAlign w:val="subscript"/>
              </w:rPr>
              <w:t>6–4</w:t>
            </w:r>
            <w:r w:rsidR="00A4245E" w:rsidRPr="001416ED">
              <w:t>&lt;0,0001</w:t>
            </w:r>
            <w:r w:rsidR="00A4245E" w:rsidRPr="001416ED">
              <w:rPr>
                <w:lang w:val="uk-UA"/>
              </w:rPr>
              <w:t>;</w:t>
            </w:r>
          </w:p>
          <w:p w:rsidR="006C2DEB" w:rsidRPr="001416ED" w:rsidRDefault="00A4245E" w:rsidP="00A4245E">
            <w:pPr>
              <w:spacing w:line="360" w:lineRule="auto"/>
              <w:jc w:val="center"/>
            </w:pPr>
            <w:r w:rsidRPr="001416ED">
              <w:t>р</w:t>
            </w:r>
            <w:r w:rsidRPr="001416ED">
              <w:rPr>
                <w:vertAlign w:val="subscript"/>
              </w:rPr>
              <w:t>6–</w:t>
            </w:r>
            <w:r w:rsidRPr="001416ED">
              <w:rPr>
                <w:vertAlign w:val="subscript"/>
                <w:lang w:val="uk-UA"/>
              </w:rPr>
              <w:t>5</w:t>
            </w:r>
            <w:r w:rsidRPr="001416ED">
              <w:t>&gt;0,05</w:t>
            </w:r>
          </w:p>
        </w:tc>
        <w:tc>
          <w:tcPr>
            <w:tcW w:w="1666" w:type="dxa"/>
          </w:tcPr>
          <w:p w:rsidR="006C2DEB" w:rsidRPr="001416ED" w:rsidRDefault="006C2DEB" w:rsidP="0015449B">
            <w:pPr>
              <w:spacing w:before="240" w:line="360" w:lineRule="auto"/>
              <w:jc w:val="both"/>
              <w:rPr>
                <w:rFonts w:eastAsiaTheme="minorHAnsi"/>
                <w:lang w:val="uk-UA" w:eastAsia="en-US"/>
              </w:rPr>
            </w:pPr>
          </w:p>
        </w:tc>
      </w:tr>
    </w:tbl>
    <w:p w:rsidR="00F911B7" w:rsidRPr="001416ED" w:rsidRDefault="004F36BE" w:rsidP="004F36BE">
      <w:pPr>
        <w:spacing w:before="240" w:line="360" w:lineRule="auto"/>
        <w:ind w:firstLine="709"/>
        <w:jc w:val="both"/>
        <w:rPr>
          <w:rFonts w:eastAsiaTheme="minorHAnsi"/>
          <w:lang w:val="uk-UA" w:eastAsia="en-US"/>
        </w:rPr>
      </w:pPr>
      <w:r w:rsidRPr="001416ED">
        <w:rPr>
          <w:rFonts w:eastAsiaTheme="minorHAnsi"/>
          <w:lang w:val="uk-UA" w:eastAsia="en-US"/>
        </w:rPr>
        <w:t xml:space="preserve">Аналіз отриманих даних показав, що у носіїв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xml:space="preserve"> та алелі Asn коефіцієнт СНП/ЕТ</w:t>
      </w:r>
      <w:r w:rsidR="00BC0119" w:rsidRPr="001416ED">
        <w:rPr>
          <w:rFonts w:eastAsiaTheme="minorHAnsi"/>
          <w:lang w:val="uk-UA" w:eastAsia="en-US"/>
        </w:rPr>
        <w:t>–</w:t>
      </w:r>
      <w:r w:rsidRPr="001416ED">
        <w:rPr>
          <w:rFonts w:eastAsiaTheme="minorHAnsi"/>
          <w:lang w:val="uk-UA" w:eastAsia="en-US"/>
        </w:rPr>
        <w:t xml:space="preserve">1 достовірно нижче у осіб з ГХ різної </w:t>
      </w:r>
      <w:r w:rsidR="00046A18" w:rsidRPr="001416ED">
        <w:rPr>
          <w:rFonts w:eastAsiaTheme="minorHAnsi"/>
          <w:lang w:val="uk-UA" w:eastAsia="en-US"/>
        </w:rPr>
        <w:t>стадії</w:t>
      </w:r>
      <w:r w:rsidRPr="001416ED">
        <w:rPr>
          <w:rFonts w:eastAsiaTheme="minorHAnsi"/>
          <w:lang w:val="uk-UA" w:eastAsia="en-US"/>
        </w:rPr>
        <w:t xml:space="preserve">, ніж в групі контролю, однак немає вірогідної різниці у співвідношенні пептидів між чоловіками з ГХ </w:t>
      </w:r>
      <w:r w:rsidR="00A63A7A" w:rsidRPr="001416ED">
        <w:rPr>
          <w:rFonts w:eastAsiaTheme="minorHAnsi"/>
          <w:lang w:val="uk-UA" w:eastAsia="en-US"/>
        </w:rPr>
        <w:t>ІІ та ІІІ стадії</w:t>
      </w:r>
      <w:r w:rsidR="00286DFF" w:rsidRPr="001416ED">
        <w:rPr>
          <w:rFonts w:eastAsiaTheme="minorHAnsi"/>
          <w:lang w:val="uk-UA" w:eastAsia="en-US"/>
        </w:rPr>
        <w:t>.</w:t>
      </w:r>
      <w:r w:rsidRPr="001416ED">
        <w:rPr>
          <w:rFonts w:eastAsiaTheme="minorHAnsi"/>
          <w:lang w:val="uk-UA" w:eastAsia="en-US"/>
        </w:rPr>
        <w:t xml:space="preserve"> Аналогічні дані були отримані співробітницею кафедри внутрішньої медицини медичного факультету №2 </w:t>
      </w:r>
      <w:r w:rsidR="00286DFF" w:rsidRPr="001416ED">
        <w:rPr>
          <w:rFonts w:eastAsiaTheme="minorHAnsi"/>
          <w:lang w:val="uk-UA" w:eastAsia="en-US"/>
        </w:rPr>
        <w:t xml:space="preserve">О. О. </w:t>
      </w:r>
      <w:r w:rsidRPr="001416ED">
        <w:rPr>
          <w:rFonts w:eastAsiaTheme="minorHAnsi"/>
          <w:lang w:val="uk-UA" w:eastAsia="en-US"/>
        </w:rPr>
        <w:t>Сакович, в роботі якої</w:t>
      </w:r>
      <w:r w:rsidR="00E76968" w:rsidRPr="001416ED">
        <w:rPr>
          <w:rFonts w:eastAsiaTheme="minorHAnsi"/>
          <w:lang w:val="uk-UA" w:eastAsia="en-US"/>
        </w:rPr>
        <w:t>,</w:t>
      </w:r>
      <w:r w:rsidRPr="001416ED">
        <w:rPr>
          <w:rFonts w:eastAsiaTheme="minorHAnsi"/>
          <w:lang w:val="uk-UA" w:eastAsia="en-US"/>
        </w:rPr>
        <w:t xml:space="preserve"> при обстеженні жінок показано, що у пацієнток з ГХ </w:t>
      </w:r>
      <w:r w:rsidR="00A63A7A" w:rsidRPr="001416ED">
        <w:rPr>
          <w:rFonts w:eastAsiaTheme="minorHAnsi"/>
          <w:lang w:val="uk-UA" w:eastAsia="en-US"/>
        </w:rPr>
        <w:t>ІІ та ІІІ стадії</w:t>
      </w:r>
      <w:r w:rsidRPr="001416ED">
        <w:rPr>
          <w:rFonts w:eastAsiaTheme="minorHAnsi"/>
          <w:lang w:val="uk-UA" w:eastAsia="en-US"/>
        </w:rPr>
        <w:t xml:space="preserve"> коефіцієнт СНП/ЕТ</w:t>
      </w:r>
      <w:r w:rsidR="00BC0119" w:rsidRPr="001416ED">
        <w:rPr>
          <w:rFonts w:eastAsiaTheme="minorHAnsi"/>
          <w:lang w:val="uk-UA" w:eastAsia="en-US"/>
        </w:rPr>
        <w:t>–</w:t>
      </w:r>
      <w:r w:rsidRPr="001416ED">
        <w:rPr>
          <w:rFonts w:eastAsiaTheme="minorHAnsi"/>
          <w:lang w:val="uk-UA" w:eastAsia="en-US"/>
        </w:rPr>
        <w:t xml:space="preserve">1 достовірно нижче, ніж у групі </w:t>
      </w:r>
      <w:r w:rsidR="00472F94" w:rsidRPr="001416ED">
        <w:rPr>
          <w:rFonts w:eastAsiaTheme="minorHAnsi"/>
          <w:lang w:val="uk-UA" w:eastAsia="en-US"/>
        </w:rPr>
        <w:t>контролю</w:t>
      </w:r>
      <w:r w:rsidRPr="001416ED">
        <w:rPr>
          <w:rFonts w:eastAsiaTheme="minorHAnsi"/>
          <w:lang w:val="uk-UA" w:eastAsia="en-US"/>
        </w:rPr>
        <w:t>, проте немає вірогідної різниці між групами хворих з ГХ</w:t>
      </w:r>
      <w:r w:rsidR="00E76968" w:rsidRPr="001416ED">
        <w:rPr>
          <w:rFonts w:eastAsiaTheme="minorHAnsi"/>
          <w:lang w:val="uk-UA" w:eastAsia="en-US"/>
        </w:rPr>
        <w:t xml:space="preserve"> при носійстві </w:t>
      </w:r>
      <w:r w:rsidR="00E6164F">
        <w:rPr>
          <w:rFonts w:eastAsiaTheme="minorHAnsi"/>
          <w:lang w:val="uk-UA" w:eastAsia="en-US"/>
        </w:rPr>
        <w:t>поліморфних варіантів гена АТ1–Р</w:t>
      </w:r>
      <w:r w:rsidR="00E76968" w:rsidRPr="001416ED">
        <w:rPr>
          <w:rFonts w:eastAsiaTheme="minorHAnsi"/>
          <w:lang w:val="uk-UA" w:eastAsia="en-US"/>
        </w:rPr>
        <w:t xml:space="preserve"> </w:t>
      </w:r>
      <w:r w:rsidRPr="001416ED">
        <w:rPr>
          <w:rFonts w:eastAsiaTheme="minorHAnsi"/>
          <w:lang w:val="uk-UA" w:eastAsia="en-US"/>
        </w:rPr>
        <w:t xml:space="preserve"> [</w:t>
      </w:r>
      <w:r w:rsidR="001023F3" w:rsidRPr="001416ED">
        <w:rPr>
          <w:rFonts w:eastAsiaTheme="minorHAnsi"/>
          <w:lang w:val="uk-UA" w:eastAsia="en-US"/>
        </w:rPr>
        <w:t>7</w:t>
      </w:r>
      <w:r w:rsidR="003A06B3" w:rsidRPr="001416ED">
        <w:rPr>
          <w:rFonts w:eastAsiaTheme="minorHAnsi"/>
          <w:lang w:val="uk-UA" w:eastAsia="en-US"/>
        </w:rPr>
        <w:t>3</w:t>
      </w:r>
      <w:r w:rsidRPr="001416ED">
        <w:rPr>
          <w:rFonts w:eastAsiaTheme="minorHAnsi"/>
          <w:lang w:val="uk-UA" w:eastAsia="en-US"/>
        </w:rPr>
        <w:t>]. Подібні результати були показані у осіб жін</w:t>
      </w:r>
      <w:r w:rsidR="00286DFF" w:rsidRPr="001416ED">
        <w:rPr>
          <w:rFonts w:eastAsiaTheme="minorHAnsi"/>
          <w:lang w:val="uk-UA" w:eastAsia="en-US"/>
        </w:rPr>
        <w:t xml:space="preserve">очої статі з ГХ І та ІІ </w:t>
      </w:r>
      <w:r w:rsidR="00286DFF" w:rsidRPr="001416ED">
        <w:rPr>
          <w:rFonts w:eastAsiaTheme="minorHAnsi"/>
          <w:lang w:val="uk-UA" w:eastAsia="en-US"/>
        </w:rPr>
        <w:lastRenderedPageBreak/>
        <w:t xml:space="preserve">стадій, де </w:t>
      </w:r>
      <w:r w:rsidRPr="001416ED">
        <w:rPr>
          <w:rFonts w:eastAsiaTheme="minorHAnsi"/>
          <w:lang w:val="uk-UA" w:eastAsia="en-US"/>
        </w:rPr>
        <w:t>СНП/ЕТ</w:t>
      </w:r>
      <w:r w:rsidR="00BC0119" w:rsidRPr="001416ED">
        <w:rPr>
          <w:rFonts w:eastAsiaTheme="minorHAnsi"/>
          <w:lang w:val="uk-UA" w:eastAsia="en-US"/>
        </w:rPr>
        <w:t>–</w:t>
      </w:r>
      <w:r w:rsidRPr="001416ED">
        <w:rPr>
          <w:rFonts w:eastAsiaTheme="minorHAnsi"/>
          <w:lang w:val="uk-UA" w:eastAsia="en-US"/>
        </w:rPr>
        <w:t xml:space="preserve">1 був достовірно нижче, ніж в групі контролю, однак вірогідної різниці у </w:t>
      </w:r>
      <w:r w:rsidR="004446A4" w:rsidRPr="001416ED">
        <w:rPr>
          <w:rFonts w:eastAsiaTheme="minorHAnsi"/>
          <w:lang w:val="uk-UA" w:eastAsia="en-US"/>
        </w:rPr>
        <w:t>показнику</w:t>
      </w:r>
      <w:r w:rsidRPr="001416ED">
        <w:rPr>
          <w:rFonts w:eastAsiaTheme="minorHAnsi"/>
          <w:lang w:val="uk-UA" w:eastAsia="en-US"/>
        </w:rPr>
        <w:t xml:space="preserve"> між жінками з ГХ І та ІІ стадії не виявлено [</w:t>
      </w:r>
      <w:r w:rsidR="003A06B3" w:rsidRPr="001416ED">
        <w:rPr>
          <w:rFonts w:eastAsiaTheme="minorHAnsi"/>
          <w:lang w:val="uk-UA" w:eastAsia="en-US"/>
        </w:rPr>
        <w:t>4</w:t>
      </w:r>
      <w:r w:rsidRPr="001416ED">
        <w:rPr>
          <w:rFonts w:eastAsiaTheme="minorHAnsi"/>
          <w:lang w:val="uk-UA" w:eastAsia="en-US"/>
        </w:rPr>
        <w:t xml:space="preserve">].  </w:t>
      </w:r>
    </w:p>
    <w:p w:rsidR="004F36BE" w:rsidRPr="001416ED" w:rsidRDefault="004F36BE" w:rsidP="003A06B3">
      <w:pPr>
        <w:spacing w:line="360" w:lineRule="auto"/>
        <w:ind w:firstLine="709"/>
        <w:jc w:val="both"/>
        <w:rPr>
          <w:rFonts w:eastAsiaTheme="minorHAnsi"/>
          <w:lang w:val="uk-UA" w:eastAsia="en-US"/>
        </w:rPr>
      </w:pPr>
      <w:r w:rsidRPr="001416ED">
        <w:rPr>
          <w:rFonts w:eastAsiaTheme="minorHAnsi"/>
          <w:lang w:val="uk-UA" w:eastAsia="en-US"/>
        </w:rPr>
        <w:t>В даній науковій роботі вперше визначений рівень коефіцієнту СНП/ЕТ</w:t>
      </w:r>
      <w:r w:rsidR="00BC0119" w:rsidRPr="001416ED">
        <w:rPr>
          <w:rFonts w:eastAsiaTheme="minorHAnsi"/>
          <w:lang w:val="uk-UA" w:eastAsia="en-US"/>
        </w:rPr>
        <w:t>–</w:t>
      </w:r>
      <w:r w:rsidRPr="001416ED">
        <w:rPr>
          <w:rFonts w:eastAsiaTheme="minorHAnsi"/>
          <w:lang w:val="uk-UA" w:eastAsia="en-US"/>
        </w:rPr>
        <w:t xml:space="preserve">1 у чоловіків з ГХ </w:t>
      </w:r>
      <w:r w:rsidR="00A63A7A" w:rsidRPr="001416ED">
        <w:rPr>
          <w:rFonts w:eastAsiaTheme="minorHAnsi"/>
          <w:lang w:val="uk-UA" w:eastAsia="en-US"/>
        </w:rPr>
        <w:t>ІІ та ІІІ стадії</w:t>
      </w:r>
      <w:r w:rsidRPr="001416ED">
        <w:rPr>
          <w:rFonts w:eastAsiaTheme="minorHAnsi"/>
          <w:lang w:val="uk-UA" w:eastAsia="en-US"/>
        </w:rPr>
        <w:t xml:space="preserve"> при носійстві </w:t>
      </w:r>
      <w:r w:rsidR="00E6164F">
        <w:rPr>
          <w:rFonts w:eastAsiaTheme="minorHAnsi"/>
          <w:lang w:val="uk-UA" w:eastAsia="en-US"/>
        </w:rPr>
        <w:t>поліморфних варіантів гена ЕТ–1</w:t>
      </w:r>
      <w:r w:rsidRPr="001416ED">
        <w:rPr>
          <w:rFonts w:eastAsiaTheme="minorHAnsi"/>
          <w:lang w:val="uk-UA" w:eastAsia="en-US"/>
        </w:rPr>
        <w:t>. Достовірної різниці у показнику СНП/ЕТ</w:t>
      </w:r>
      <w:r w:rsidR="00BC0119" w:rsidRPr="001416ED">
        <w:rPr>
          <w:rFonts w:eastAsiaTheme="minorHAnsi"/>
          <w:lang w:val="uk-UA" w:eastAsia="en-US"/>
        </w:rPr>
        <w:t>–</w:t>
      </w:r>
      <w:r w:rsidRPr="001416ED">
        <w:rPr>
          <w:rFonts w:eastAsiaTheme="minorHAnsi"/>
          <w:lang w:val="uk-UA" w:eastAsia="en-US"/>
        </w:rPr>
        <w:t xml:space="preserve">1 між носіями </w:t>
      </w:r>
      <w:r w:rsidR="00E6164F">
        <w:rPr>
          <w:rFonts w:eastAsiaTheme="minorHAnsi"/>
          <w:lang w:val="uk-UA" w:eastAsia="en-US"/>
        </w:rPr>
        <w:t>поліморфних варіантів гена ЕТ–1</w:t>
      </w:r>
      <w:r w:rsidRPr="001416ED">
        <w:rPr>
          <w:rFonts w:eastAsiaTheme="minorHAnsi"/>
          <w:lang w:val="uk-UA" w:eastAsia="en-US"/>
        </w:rPr>
        <w:t xml:space="preserve"> у пацієнтів з ГХ різної </w:t>
      </w:r>
      <w:r w:rsidR="00046A18" w:rsidRPr="001416ED">
        <w:rPr>
          <w:rFonts w:eastAsiaTheme="minorHAnsi"/>
          <w:lang w:val="uk-UA" w:eastAsia="en-US"/>
        </w:rPr>
        <w:t>стадії</w:t>
      </w:r>
      <w:r w:rsidRPr="001416ED">
        <w:rPr>
          <w:rFonts w:eastAsiaTheme="minorHAnsi"/>
          <w:lang w:val="uk-UA" w:eastAsia="en-US"/>
        </w:rPr>
        <w:t xml:space="preserve"> не виявлено.</w:t>
      </w:r>
      <w:r w:rsidR="00515B7F" w:rsidRPr="001416ED">
        <w:rPr>
          <w:rFonts w:eastAsiaTheme="minorHAnsi"/>
          <w:lang w:val="uk-UA" w:eastAsia="en-US"/>
        </w:rPr>
        <w:t xml:space="preserve"> Таким чином, коефіцієнт СНП/ЕТ</w:t>
      </w:r>
      <w:r w:rsidR="00BC0119" w:rsidRPr="001416ED">
        <w:rPr>
          <w:rFonts w:eastAsiaTheme="minorHAnsi"/>
          <w:lang w:val="uk-UA" w:eastAsia="en-US"/>
        </w:rPr>
        <w:t>–</w:t>
      </w:r>
      <w:r w:rsidR="00515B7F" w:rsidRPr="001416ED">
        <w:rPr>
          <w:rFonts w:eastAsiaTheme="minorHAnsi"/>
          <w:lang w:val="uk-UA" w:eastAsia="en-US"/>
        </w:rPr>
        <w:t>1</w:t>
      </w:r>
      <w:r w:rsidR="00A554D7" w:rsidRPr="001416ED">
        <w:rPr>
          <w:rFonts w:eastAsiaTheme="minorHAnsi"/>
          <w:lang w:val="uk-UA" w:eastAsia="en-US"/>
        </w:rPr>
        <w:t>,</w:t>
      </w:r>
      <w:r w:rsidR="00515B7F" w:rsidRPr="001416ED">
        <w:rPr>
          <w:rFonts w:eastAsiaTheme="minorHAnsi"/>
          <w:lang w:val="uk-UA" w:eastAsia="en-US"/>
        </w:rPr>
        <w:t xml:space="preserve"> не залежно від успадкування </w:t>
      </w:r>
      <w:r w:rsidR="00E6164F">
        <w:rPr>
          <w:rFonts w:eastAsiaTheme="minorHAnsi"/>
          <w:lang w:val="uk-UA" w:eastAsia="en-US"/>
        </w:rPr>
        <w:t>поліморфного варіанту гена</w:t>
      </w:r>
      <w:r w:rsidR="00515B7F" w:rsidRPr="001416ED">
        <w:rPr>
          <w:rFonts w:eastAsiaTheme="minorHAnsi"/>
          <w:lang w:val="uk-UA" w:eastAsia="en-US"/>
        </w:rPr>
        <w:t xml:space="preserve"> ЕТ</w:t>
      </w:r>
      <w:r w:rsidR="00BC0119" w:rsidRPr="001416ED">
        <w:rPr>
          <w:rFonts w:eastAsiaTheme="minorHAnsi"/>
          <w:lang w:val="uk-UA" w:eastAsia="en-US"/>
        </w:rPr>
        <w:t>–</w:t>
      </w:r>
      <w:r w:rsidR="00515B7F" w:rsidRPr="001416ED">
        <w:rPr>
          <w:rFonts w:eastAsiaTheme="minorHAnsi"/>
          <w:lang w:val="uk-UA" w:eastAsia="en-US"/>
        </w:rPr>
        <w:t>1</w:t>
      </w:r>
      <w:r w:rsidR="00A554D7" w:rsidRPr="001416ED">
        <w:rPr>
          <w:rFonts w:eastAsiaTheme="minorHAnsi"/>
          <w:lang w:val="uk-UA" w:eastAsia="en-US"/>
        </w:rPr>
        <w:t>,</w:t>
      </w:r>
      <w:r w:rsidR="00515B7F" w:rsidRPr="001416ED">
        <w:rPr>
          <w:rFonts w:eastAsiaTheme="minorHAnsi"/>
          <w:lang w:val="uk-UA" w:eastAsia="en-US"/>
        </w:rPr>
        <w:t xml:space="preserve"> відбиває порушення процесів парціальної</w:t>
      </w:r>
      <w:r w:rsidR="00A554D7" w:rsidRPr="001416ED">
        <w:rPr>
          <w:rFonts w:eastAsiaTheme="minorHAnsi"/>
          <w:lang w:val="uk-UA" w:eastAsia="en-US"/>
        </w:rPr>
        <w:t xml:space="preserve"> вазорелаксації та вазоконстрикції при ЕГ. Подальший дисбаланс функції ендотелію залежить від інших біологічно активних речовин, що на неї </w:t>
      </w:r>
      <w:r w:rsidR="004203D6" w:rsidRPr="001416ED">
        <w:rPr>
          <w:rFonts w:eastAsiaTheme="minorHAnsi"/>
          <w:lang w:val="uk-UA" w:eastAsia="en-US"/>
        </w:rPr>
        <w:t>впливають.</w:t>
      </w:r>
    </w:p>
    <w:p w:rsidR="00D02878" w:rsidRPr="001416ED" w:rsidRDefault="002B06E9" w:rsidP="00D02878">
      <w:pPr>
        <w:spacing w:before="240" w:line="360" w:lineRule="auto"/>
        <w:ind w:firstLine="708"/>
        <w:jc w:val="both"/>
        <w:rPr>
          <w:b/>
          <w:lang w:val="uk-UA"/>
        </w:rPr>
      </w:pPr>
      <w:r w:rsidRPr="001416ED">
        <w:rPr>
          <w:b/>
          <w:lang w:val="uk-UA"/>
        </w:rPr>
        <w:t>4.</w:t>
      </w:r>
      <w:r w:rsidR="004F36BE" w:rsidRPr="001416ED">
        <w:rPr>
          <w:b/>
          <w:lang w:val="uk-UA"/>
        </w:rPr>
        <w:t>4</w:t>
      </w:r>
      <w:r w:rsidR="000C3C75" w:rsidRPr="001416ED">
        <w:rPr>
          <w:b/>
          <w:lang w:val="uk-UA"/>
        </w:rPr>
        <w:t>.</w:t>
      </w:r>
      <w:r w:rsidRPr="001416ED">
        <w:rPr>
          <w:b/>
          <w:lang w:val="uk-UA"/>
        </w:rPr>
        <w:t xml:space="preserve"> </w:t>
      </w:r>
      <w:r w:rsidR="00D02878" w:rsidRPr="001416ED">
        <w:rPr>
          <w:b/>
          <w:lang w:val="uk-UA"/>
        </w:rPr>
        <w:t xml:space="preserve">Показники ліпідного спектру і глюкози крові у чоловіків з ГХ  ІІ та ІІІ стадії, мешканців Подільського регіону України, носіїв </w:t>
      </w:r>
      <w:r w:rsidR="00E6164F">
        <w:rPr>
          <w:b/>
          <w:lang w:val="uk-UA"/>
        </w:rPr>
        <w:t>поліморфних варіантів гена</w:t>
      </w:r>
      <w:r w:rsidR="00992C5E">
        <w:rPr>
          <w:b/>
          <w:lang w:val="uk-UA"/>
        </w:rPr>
        <w:t xml:space="preserve"> </w:t>
      </w:r>
      <w:r w:rsidR="000C3C75" w:rsidRPr="001416ED">
        <w:rPr>
          <w:b/>
          <w:lang w:val="uk-UA"/>
        </w:rPr>
        <w:t>ендотеліну</w:t>
      </w:r>
      <w:r w:rsidR="00D02878" w:rsidRPr="001416ED">
        <w:rPr>
          <w:b/>
          <w:lang w:val="uk-UA"/>
        </w:rPr>
        <w:t>–1</w:t>
      </w:r>
    </w:p>
    <w:p w:rsidR="00DA0599" w:rsidRPr="001416ED" w:rsidRDefault="00DA0599" w:rsidP="00D02878">
      <w:pPr>
        <w:spacing w:before="240" w:line="360" w:lineRule="auto"/>
        <w:ind w:firstLine="708"/>
        <w:jc w:val="both"/>
        <w:rPr>
          <w:rFonts w:eastAsiaTheme="minorHAnsi"/>
          <w:bCs/>
          <w:kern w:val="11"/>
          <w:lang w:val="uk-UA" w:eastAsia="en-US"/>
        </w:rPr>
      </w:pPr>
      <w:r w:rsidRPr="001416ED">
        <w:rPr>
          <w:rFonts w:eastAsiaTheme="minorHAnsi"/>
          <w:bCs/>
          <w:kern w:val="11"/>
          <w:lang w:val="uk-UA" w:eastAsia="en-US"/>
        </w:rPr>
        <w:t>Відомо, що ендотелійзалежна вазодил</w:t>
      </w:r>
      <w:r w:rsidR="004446A4" w:rsidRPr="001416ED">
        <w:rPr>
          <w:rFonts w:eastAsiaTheme="minorHAnsi"/>
          <w:bCs/>
          <w:kern w:val="11"/>
          <w:lang w:val="uk-UA" w:eastAsia="en-US"/>
        </w:rPr>
        <w:t>я</w:t>
      </w:r>
      <w:r w:rsidRPr="001416ED">
        <w:rPr>
          <w:rFonts w:eastAsiaTheme="minorHAnsi"/>
          <w:bCs/>
          <w:kern w:val="11"/>
          <w:lang w:val="uk-UA" w:eastAsia="en-US"/>
        </w:rPr>
        <w:t xml:space="preserve">тація має зв’язок з рівнем ХС плазми крові, тому у пацієнтів з тяжкими формами порушення ліпідного обміну </w:t>
      </w:r>
      <w:r w:rsidR="00E2419D" w:rsidRPr="001416ED">
        <w:rPr>
          <w:rFonts w:eastAsiaTheme="minorHAnsi"/>
          <w:bCs/>
          <w:kern w:val="11"/>
          <w:lang w:val="uk-UA" w:eastAsia="en-US"/>
        </w:rPr>
        <w:t>виявляють</w:t>
      </w:r>
      <w:r w:rsidRPr="001416ED">
        <w:rPr>
          <w:rFonts w:eastAsiaTheme="minorHAnsi"/>
          <w:bCs/>
          <w:kern w:val="11"/>
          <w:lang w:val="uk-UA" w:eastAsia="en-US"/>
        </w:rPr>
        <w:t xml:space="preserve"> більш виражений ступінь ЕД.</w:t>
      </w:r>
      <w:r w:rsidR="00E2419D" w:rsidRPr="001416ED">
        <w:rPr>
          <w:rFonts w:eastAsiaTheme="minorHAnsi"/>
          <w:bCs/>
          <w:kern w:val="11"/>
          <w:lang w:val="uk-UA" w:eastAsia="en-US"/>
        </w:rPr>
        <w:t xml:space="preserve"> Цей процес відбувається за рахунок </w:t>
      </w:r>
      <w:r w:rsidRPr="001416ED">
        <w:rPr>
          <w:rFonts w:eastAsiaTheme="minorHAnsi"/>
          <w:bCs/>
          <w:kern w:val="11"/>
          <w:lang w:val="uk-UA" w:eastAsia="en-US"/>
        </w:rPr>
        <w:t>окиснен</w:t>
      </w:r>
      <w:r w:rsidR="00E2419D" w:rsidRPr="001416ED">
        <w:rPr>
          <w:rFonts w:eastAsiaTheme="minorHAnsi"/>
          <w:bCs/>
          <w:kern w:val="11"/>
          <w:lang w:val="uk-UA" w:eastAsia="en-US"/>
        </w:rPr>
        <w:t>ня</w:t>
      </w:r>
      <w:r w:rsidRPr="001416ED">
        <w:rPr>
          <w:rFonts w:eastAsiaTheme="minorHAnsi"/>
          <w:bCs/>
          <w:kern w:val="11"/>
          <w:lang w:val="uk-UA" w:eastAsia="en-US"/>
        </w:rPr>
        <w:t xml:space="preserve"> </w:t>
      </w:r>
      <w:r w:rsidR="0009067D" w:rsidRPr="001416ED">
        <w:rPr>
          <w:rFonts w:eastAsiaTheme="minorHAnsi"/>
          <w:bCs/>
          <w:kern w:val="11"/>
          <w:lang w:val="uk-UA" w:eastAsia="en-US"/>
        </w:rPr>
        <w:t>ХС</w:t>
      </w:r>
      <w:r w:rsidRPr="001416ED">
        <w:rPr>
          <w:rFonts w:eastAsiaTheme="minorHAnsi"/>
          <w:bCs/>
          <w:kern w:val="11"/>
          <w:lang w:val="uk-UA" w:eastAsia="en-US"/>
        </w:rPr>
        <w:t>ЛПНЩ,</w:t>
      </w:r>
      <w:r w:rsidR="00E2419D" w:rsidRPr="001416ED">
        <w:rPr>
          <w:rFonts w:eastAsiaTheme="minorHAnsi"/>
          <w:bCs/>
          <w:kern w:val="11"/>
          <w:lang w:val="uk-UA" w:eastAsia="en-US"/>
        </w:rPr>
        <w:t xml:space="preserve"> що сприя</w:t>
      </w:r>
      <w:r w:rsidR="00F911B7" w:rsidRPr="001416ED">
        <w:rPr>
          <w:rFonts w:eastAsiaTheme="minorHAnsi"/>
          <w:bCs/>
          <w:kern w:val="11"/>
          <w:lang w:val="uk-UA" w:eastAsia="en-US"/>
        </w:rPr>
        <w:t xml:space="preserve">є </w:t>
      </w:r>
      <w:r w:rsidRPr="001416ED">
        <w:rPr>
          <w:rFonts w:eastAsiaTheme="minorHAnsi"/>
          <w:bCs/>
          <w:kern w:val="11"/>
          <w:lang w:val="uk-UA" w:eastAsia="en-US"/>
        </w:rPr>
        <w:t>вивільнен</w:t>
      </w:r>
      <w:r w:rsidR="0095018F" w:rsidRPr="001416ED">
        <w:rPr>
          <w:rFonts w:eastAsiaTheme="minorHAnsi"/>
          <w:bCs/>
          <w:kern w:val="11"/>
          <w:lang w:val="uk-UA" w:eastAsia="en-US"/>
        </w:rPr>
        <w:t>н</w:t>
      </w:r>
      <w:r w:rsidR="00E2419D" w:rsidRPr="001416ED">
        <w:rPr>
          <w:rFonts w:eastAsiaTheme="minorHAnsi"/>
          <w:bCs/>
          <w:kern w:val="11"/>
          <w:lang w:val="uk-UA" w:eastAsia="en-US"/>
        </w:rPr>
        <w:t>ю</w:t>
      </w:r>
      <w:r w:rsidR="00BC3A36" w:rsidRPr="001416ED">
        <w:rPr>
          <w:rFonts w:eastAsiaTheme="minorHAnsi"/>
          <w:bCs/>
          <w:kern w:val="11"/>
          <w:lang w:val="uk-UA" w:eastAsia="en-US"/>
        </w:rPr>
        <w:t xml:space="preserve"> вільних радикалів </w:t>
      </w:r>
      <w:r w:rsidR="00E42F39" w:rsidRPr="001416ED">
        <w:rPr>
          <w:rFonts w:eastAsiaTheme="minorHAnsi"/>
          <w:bCs/>
          <w:kern w:val="11"/>
          <w:lang w:val="uk-UA" w:eastAsia="en-US"/>
        </w:rPr>
        <w:t>[</w:t>
      </w:r>
      <w:r w:rsidR="00D16D38" w:rsidRPr="001416ED">
        <w:rPr>
          <w:rFonts w:eastAsiaTheme="minorHAnsi"/>
          <w:bCs/>
          <w:kern w:val="11"/>
          <w:lang w:val="uk-UA" w:eastAsia="en-US"/>
        </w:rPr>
        <w:t>1</w:t>
      </w:r>
      <w:r w:rsidR="003A06B3" w:rsidRPr="001416ED">
        <w:rPr>
          <w:rFonts w:eastAsiaTheme="minorHAnsi"/>
          <w:bCs/>
          <w:kern w:val="11"/>
          <w:lang w:val="uk-UA" w:eastAsia="en-US"/>
        </w:rPr>
        <w:t>08</w:t>
      </w:r>
      <w:r w:rsidRPr="001416ED">
        <w:rPr>
          <w:rFonts w:eastAsiaTheme="minorHAnsi"/>
          <w:bCs/>
          <w:kern w:val="11"/>
          <w:lang w:val="uk-UA" w:eastAsia="en-US"/>
        </w:rPr>
        <w:t xml:space="preserve">, </w:t>
      </w:r>
      <w:r w:rsidR="00D16D38" w:rsidRPr="001416ED">
        <w:rPr>
          <w:rFonts w:eastAsiaTheme="minorHAnsi"/>
          <w:bCs/>
          <w:kern w:val="11"/>
          <w:lang w:val="uk-UA" w:eastAsia="en-US"/>
        </w:rPr>
        <w:t>1</w:t>
      </w:r>
      <w:r w:rsidR="003A06B3" w:rsidRPr="001416ED">
        <w:rPr>
          <w:rFonts w:eastAsiaTheme="minorHAnsi"/>
          <w:bCs/>
          <w:kern w:val="11"/>
          <w:lang w:val="uk-UA" w:eastAsia="en-US"/>
        </w:rPr>
        <w:t>46</w:t>
      </w:r>
      <w:r w:rsidRPr="001416ED">
        <w:rPr>
          <w:rFonts w:eastAsiaTheme="minorHAnsi"/>
          <w:bCs/>
          <w:kern w:val="11"/>
          <w:lang w:val="uk-UA" w:eastAsia="en-US"/>
        </w:rPr>
        <w:t>].</w:t>
      </w:r>
      <w:r w:rsidRPr="001416ED">
        <w:rPr>
          <w:rFonts w:eastAsiaTheme="minorHAnsi"/>
          <w:b/>
          <w:bCs/>
          <w:kern w:val="11"/>
          <w:lang w:val="uk-UA" w:eastAsia="en-US"/>
        </w:rPr>
        <w:t xml:space="preserve"> </w:t>
      </w:r>
      <w:r w:rsidR="00BC3A36" w:rsidRPr="001416ED">
        <w:rPr>
          <w:rFonts w:eastAsiaTheme="minorHAnsi"/>
          <w:bCs/>
          <w:kern w:val="11"/>
          <w:lang w:val="uk-UA" w:eastAsia="en-US"/>
        </w:rPr>
        <w:t>Встановлено, що рівень ЕТ</w:t>
      </w:r>
      <w:r w:rsidR="00BC0119" w:rsidRPr="001416ED">
        <w:rPr>
          <w:rFonts w:eastAsiaTheme="minorHAnsi"/>
          <w:bCs/>
          <w:kern w:val="11"/>
          <w:lang w:val="uk-UA" w:eastAsia="en-US"/>
        </w:rPr>
        <w:t>–</w:t>
      </w:r>
      <w:r w:rsidR="00BC3A36" w:rsidRPr="001416ED">
        <w:rPr>
          <w:rFonts w:eastAsiaTheme="minorHAnsi"/>
          <w:bCs/>
          <w:kern w:val="11"/>
          <w:lang w:val="uk-UA" w:eastAsia="en-US"/>
        </w:rPr>
        <w:t xml:space="preserve">1 в плазмі крові достовірно знижується у </w:t>
      </w:r>
      <w:r w:rsidR="004446A4" w:rsidRPr="001416ED">
        <w:rPr>
          <w:rFonts w:eastAsiaTheme="minorHAnsi"/>
          <w:bCs/>
          <w:kern w:val="11"/>
          <w:lang w:val="uk-UA" w:eastAsia="en-US"/>
        </w:rPr>
        <w:t>пацієнтів, що приймали поліненас</w:t>
      </w:r>
      <w:r w:rsidR="00BC3A36" w:rsidRPr="001416ED">
        <w:rPr>
          <w:rFonts w:eastAsiaTheme="minorHAnsi"/>
          <w:bCs/>
          <w:kern w:val="11"/>
          <w:lang w:val="uk-UA" w:eastAsia="en-US"/>
        </w:rPr>
        <w:t>ичені жирні кислоти, при початков</w:t>
      </w:r>
      <w:r w:rsidR="004446A4" w:rsidRPr="001416ED">
        <w:rPr>
          <w:rFonts w:eastAsiaTheme="minorHAnsi"/>
          <w:bCs/>
          <w:kern w:val="11"/>
          <w:lang w:val="uk-UA" w:eastAsia="en-US"/>
        </w:rPr>
        <w:t>их</w:t>
      </w:r>
      <w:r w:rsidR="00BC3A36" w:rsidRPr="001416ED">
        <w:rPr>
          <w:rFonts w:eastAsiaTheme="minorHAnsi"/>
          <w:bCs/>
          <w:kern w:val="11"/>
          <w:lang w:val="uk-UA" w:eastAsia="en-US"/>
        </w:rPr>
        <w:t xml:space="preserve"> високих показниках ХС, ТГ, ХСЛПНЩ,ХЛПДНЩ та низьк</w:t>
      </w:r>
      <w:r w:rsidR="00F911B7" w:rsidRPr="001416ED">
        <w:rPr>
          <w:rFonts w:eastAsiaTheme="minorHAnsi"/>
          <w:bCs/>
          <w:kern w:val="11"/>
          <w:lang w:val="uk-UA" w:eastAsia="en-US"/>
        </w:rPr>
        <w:t>ому</w:t>
      </w:r>
      <w:r w:rsidR="00BC3A36" w:rsidRPr="001416ED">
        <w:rPr>
          <w:rFonts w:eastAsiaTheme="minorHAnsi"/>
          <w:bCs/>
          <w:kern w:val="11"/>
          <w:lang w:val="uk-UA" w:eastAsia="en-US"/>
        </w:rPr>
        <w:t xml:space="preserve"> ХСЛПВЩ, що підтверджує зворотний зв'язок між плазмовою концентрацією ЕТ</w:t>
      </w:r>
      <w:r w:rsidR="00BC0119" w:rsidRPr="001416ED">
        <w:rPr>
          <w:rFonts w:eastAsiaTheme="minorHAnsi"/>
          <w:bCs/>
          <w:kern w:val="11"/>
          <w:lang w:val="uk-UA" w:eastAsia="en-US"/>
        </w:rPr>
        <w:t>–</w:t>
      </w:r>
      <w:r w:rsidR="00BC3A36" w:rsidRPr="001416ED">
        <w:rPr>
          <w:rFonts w:eastAsiaTheme="minorHAnsi"/>
          <w:bCs/>
          <w:kern w:val="11"/>
          <w:lang w:val="uk-UA" w:eastAsia="en-US"/>
        </w:rPr>
        <w:t>1 та показниками ліпідного обміну</w:t>
      </w:r>
      <w:r w:rsidR="00245BF8" w:rsidRPr="001416ED">
        <w:rPr>
          <w:rFonts w:eastAsiaTheme="minorHAnsi"/>
          <w:bCs/>
          <w:kern w:val="11"/>
          <w:lang w:val="uk-UA" w:eastAsia="en-US"/>
        </w:rPr>
        <w:t xml:space="preserve"> [</w:t>
      </w:r>
      <w:r w:rsidR="00E42F39" w:rsidRPr="001416ED">
        <w:rPr>
          <w:rFonts w:eastAsiaTheme="minorHAnsi"/>
          <w:bCs/>
          <w:kern w:val="11"/>
          <w:lang w:val="uk-UA" w:eastAsia="en-US"/>
        </w:rPr>
        <w:t>4</w:t>
      </w:r>
      <w:r w:rsidR="00477E78" w:rsidRPr="001416ED">
        <w:rPr>
          <w:rFonts w:eastAsiaTheme="minorHAnsi"/>
          <w:bCs/>
          <w:kern w:val="11"/>
          <w:lang w:val="uk-UA" w:eastAsia="en-US"/>
        </w:rPr>
        <w:t>5</w:t>
      </w:r>
      <w:r w:rsidR="004811C7" w:rsidRPr="001416ED">
        <w:rPr>
          <w:rFonts w:eastAsiaTheme="minorHAnsi"/>
          <w:bCs/>
          <w:kern w:val="11"/>
          <w:lang w:val="uk-UA" w:eastAsia="en-US"/>
        </w:rPr>
        <w:t>]</w:t>
      </w:r>
      <w:r w:rsidR="00BC3A36" w:rsidRPr="001416ED">
        <w:rPr>
          <w:rFonts w:eastAsiaTheme="minorHAnsi"/>
          <w:bCs/>
          <w:kern w:val="11"/>
          <w:lang w:val="uk-UA" w:eastAsia="en-US"/>
        </w:rPr>
        <w:t>.  Проте</w:t>
      </w:r>
      <w:r w:rsidR="00F911B7" w:rsidRPr="001416ED">
        <w:rPr>
          <w:rFonts w:eastAsiaTheme="minorHAnsi"/>
          <w:bCs/>
          <w:kern w:val="11"/>
          <w:lang w:val="uk-UA" w:eastAsia="en-US"/>
        </w:rPr>
        <w:t>,</w:t>
      </w:r>
      <w:r w:rsidR="00BC3A36" w:rsidRPr="001416ED">
        <w:rPr>
          <w:rFonts w:eastAsiaTheme="minorHAnsi"/>
          <w:bCs/>
          <w:kern w:val="11"/>
          <w:lang w:val="uk-UA" w:eastAsia="en-US"/>
        </w:rPr>
        <w:t xml:space="preserve"> ліпідний спектр крові у пацієнтів з ГХ при поліморфізмі гена ЕТ</w:t>
      </w:r>
      <w:r w:rsidR="00BC0119" w:rsidRPr="001416ED">
        <w:rPr>
          <w:rFonts w:eastAsiaTheme="minorHAnsi"/>
          <w:bCs/>
          <w:kern w:val="11"/>
          <w:lang w:val="uk-UA" w:eastAsia="en-US"/>
        </w:rPr>
        <w:t>–</w:t>
      </w:r>
      <w:r w:rsidR="00BC3A36" w:rsidRPr="001416ED">
        <w:rPr>
          <w:rFonts w:eastAsiaTheme="minorHAnsi"/>
          <w:bCs/>
          <w:kern w:val="11"/>
          <w:lang w:val="uk-UA" w:eastAsia="en-US"/>
        </w:rPr>
        <w:t>1 ще потребує подальшого дослідження, що і стало однією із задач в даній науковій роботі.</w:t>
      </w:r>
    </w:p>
    <w:p w:rsidR="002B06E9" w:rsidRPr="001416ED" w:rsidRDefault="001B276D" w:rsidP="00BC3A36">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При дослідженні ліпідного спектру крові у пацієнтів з ГХ різної </w:t>
      </w:r>
      <w:r w:rsidR="00046A18" w:rsidRPr="001416ED">
        <w:rPr>
          <w:rFonts w:eastAsiaTheme="minorHAnsi"/>
          <w:kern w:val="11"/>
          <w:lang w:val="uk-UA" w:eastAsia="en-US"/>
        </w:rPr>
        <w:t>стадії</w:t>
      </w:r>
      <w:r w:rsidRPr="001416ED">
        <w:rPr>
          <w:rFonts w:eastAsiaTheme="minorHAnsi"/>
          <w:kern w:val="11"/>
          <w:lang w:val="uk-UA" w:eastAsia="en-US"/>
        </w:rPr>
        <w:t>, встановлено, що усі показники достовірно вище</w:t>
      </w:r>
      <w:r w:rsidR="00137FF0" w:rsidRPr="001416ED">
        <w:rPr>
          <w:rFonts w:eastAsiaTheme="minorHAnsi"/>
          <w:kern w:val="11"/>
          <w:lang w:val="uk-UA" w:eastAsia="en-US"/>
        </w:rPr>
        <w:t>,</w:t>
      </w:r>
      <w:r w:rsidR="00CB1A20" w:rsidRPr="001416ED">
        <w:rPr>
          <w:rFonts w:eastAsiaTheme="minorHAnsi"/>
          <w:kern w:val="11"/>
          <w:lang w:val="uk-UA" w:eastAsia="en-US"/>
        </w:rPr>
        <w:t xml:space="preserve"> а</w:t>
      </w:r>
      <w:r w:rsidRPr="001416ED">
        <w:rPr>
          <w:rFonts w:eastAsiaTheme="minorHAnsi"/>
          <w:kern w:val="11"/>
          <w:lang w:val="uk-UA" w:eastAsia="en-US"/>
        </w:rPr>
        <w:t xml:space="preserve"> </w:t>
      </w:r>
      <w:r w:rsidR="00CB1A20" w:rsidRPr="001416ED">
        <w:rPr>
          <w:rFonts w:eastAsiaTheme="minorHAnsi"/>
          <w:kern w:val="11"/>
          <w:lang w:val="uk-UA" w:eastAsia="en-US"/>
        </w:rPr>
        <w:t>ХСЛ</w:t>
      </w:r>
      <w:r w:rsidR="00DD465F" w:rsidRPr="001416ED">
        <w:rPr>
          <w:rFonts w:eastAsiaTheme="minorHAnsi"/>
          <w:kern w:val="11"/>
          <w:lang w:val="uk-UA" w:eastAsia="en-US"/>
        </w:rPr>
        <w:t>П</w:t>
      </w:r>
      <w:r w:rsidR="00CB1A20" w:rsidRPr="001416ED">
        <w:rPr>
          <w:rFonts w:eastAsiaTheme="minorHAnsi"/>
          <w:kern w:val="11"/>
          <w:lang w:val="uk-UA" w:eastAsia="en-US"/>
        </w:rPr>
        <w:t xml:space="preserve">ВЩ нижче, </w:t>
      </w:r>
      <w:r w:rsidRPr="001416ED">
        <w:rPr>
          <w:rFonts w:eastAsiaTheme="minorHAnsi"/>
          <w:kern w:val="11"/>
          <w:lang w:val="uk-UA" w:eastAsia="en-US"/>
        </w:rPr>
        <w:t>ніж в групі ко</w:t>
      </w:r>
      <w:r w:rsidR="00F4311B" w:rsidRPr="001416ED">
        <w:rPr>
          <w:rFonts w:eastAsiaTheme="minorHAnsi"/>
          <w:kern w:val="11"/>
          <w:lang w:val="uk-UA" w:eastAsia="en-US"/>
        </w:rPr>
        <w:t>н</w:t>
      </w:r>
      <w:r w:rsidRPr="001416ED">
        <w:rPr>
          <w:rFonts w:eastAsiaTheme="minorHAnsi"/>
          <w:kern w:val="11"/>
          <w:lang w:val="uk-UA" w:eastAsia="en-US"/>
        </w:rPr>
        <w:t>тролю</w:t>
      </w:r>
      <w:r w:rsidR="00F4311B" w:rsidRPr="001416ED">
        <w:rPr>
          <w:rFonts w:eastAsiaTheme="minorHAnsi"/>
          <w:kern w:val="11"/>
          <w:lang w:val="uk-UA" w:eastAsia="en-US"/>
        </w:rPr>
        <w:t xml:space="preserve"> не залежно від носійства </w:t>
      </w:r>
      <w:r w:rsidR="00E6164F">
        <w:rPr>
          <w:rFonts w:eastAsiaTheme="minorHAnsi"/>
          <w:kern w:val="11"/>
          <w:lang w:val="uk-UA" w:eastAsia="en-US"/>
        </w:rPr>
        <w:t>поліморфного варіанту гена</w:t>
      </w:r>
      <w:r w:rsidR="00F4311B" w:rsidRPr="001416ED">
        <w:rPr>
          <w:rFonts w:eastAsiaTheme="minorHAnsi"/>
          <w:kern w:val="11"/>
          <w:lang w:val="uk-UA" w:eastAsia="en-US"/>
        </w:rPr>
        <w:t xml:space="preserve"> ЕТ</w:t>
      </w:r>
      <w:r w:rsidR="00BC0119" w:rsidRPr="001416ED">
        <w:rPr>
          <w:rFonts w:eastAsiaTheme="minorHAnsi"/>
          <w:kern w:val="11"/>
          <w:lang w:val="uk-UA" w:eastAsia="en-US"/>
        </w:rPr>
        <w:t>–</w:t>
      </w:r>
      <w:r w:rsidR="00F4311B" w:rsidRPr="001416ED">
        <w:rPr>
          <w:rFonts w:eastAsiaTheme="minorHAnsi"/>
          <w:kern w:val="11"/>
          <w:lang w:val="uk-UA" w:eastAsia="en-US"/>
        </w:rPr>
        <w:t>1</w:t>
      </w:r>
      <w:r w:rsidRPr="001416ED">
        <w:rPr>
          <w:rFonts w:eastAsiaTheme="minorHAnsi"/>
          <w:kern w:val="11"/>
          <w:lang w:val="uk-UA" w:eastAsia="en-US"/>
        </w:rPr>
        <w:t>.</w:t>
      </w:r>
      <w:r w:rsidR="00F4311B" w:rsidRPr="001416ED">
        <w:rPr>
          <w:rFonts w:eastAsiaTheme="minorHAnsi"/>
          <w:kern w:val="11"/>
          <w:lang w:val="uk-UA" w:eastAsia="en-US"/>
        </w:rPr>
        <w:t xml:space="preserve"> У носіїв генотипу </w:t>
      </w:r>
      <w:r w:rsidR="00F4311B" w:rsidRPr="001416ED">
        <w:rPr>
          <w:rFonts w:eastAsiaTheme="minorHAnsi"/>
          <w:kern w:val="11"/>
          <w:lang w:val="en-US" w:eastAsia="en-US"/>
        </w:rPr>
        <w:t>Lys</w:t>
      </w:r>
      <w:r w:rsidR="00F4311B" w:rsidRPr="001416ED">
        <w:rPr>
          <w:rFonts w:eastAsiaTheme="minorHAnsi"/>
          <w:kern w:val="11"/>
          <w:lang w:val="uk-UA" w:eastAsia="en-US"/>
        </w:rPr>
        <w:t>/</w:t>
      </w:r>
      <w:r w:rsidR="00F4311B" w:rsidRPr="001416ED">
        <w:rPr>
          <w:rFonts w:eastAsiaTheme="minorHAnsi"/>
          <w:kern w:val="11"/>
          <w:lang w:val="en-US" w:eastAsia="en-US"/>
        </w:rPr>
        <w:t>Lys</w:t>
      </w:r>
      <w:r w:rsidR="00465148" w:rsidRPr="001416ED">
        <w:rPr>
          <w:rFonts w:eastAsiaTheme="minorHAnsi"/>
          <w:kern w:val="11"/>
          <w:lang w:val="uk-UA" w:eastAsia="en-US"/>
        </w:rPr>
        <w:t xml:space="preserve"> рівень </w:t>
      </w:r>
      <w:r w:rsidR="00F4311B" w:rsidRPr="001416ED">
        <w:rPr>
          <w:rFonts w:eastAsiaTheme="minorHAnsi"/>
          <w:kern w:val="11"/>
          <w:lang w:val="uk-UA" w:eastAsia="en-US"/>
        </w:rPr>
        <w:t>ТГ, ХСЛ</w:t>
      </w:r>
      <w:r w:rsidR="00DD465F" w:rsidRPr="001416ED">
        <w:rPr>
          <w:rFonts w:eastAsiaTheme="minorHAnsi"/>
          <w:kern w:val="11"/>
          <w:lang w:val="uk-UA" w:eastAsia="en-US"/>
        </w:rPr>
        <w:t>П</w:t>
      </w:r>
      <w:r w:rsidR="00F4311B" w:rsidRPr="001416ED">
        <w:rPr>
          <w:rFonts w:eastAsiaTheme="minorHAnsi"/>
          <w:kern w:val="11"/>
          <w:lang w:val="uk-UA" w:eastAsia="en-US"/>
        </w:rPr>
        <w:t>НЩ, ХСЛ</w:t>
      </w:r>
      <w:r w:rsidR="00DD465F" w:rsidRPr="001416ED">
        <w:rPr>
          <w:rFonts w:eastAsiaTheme="minorHAnsi"/>
          <w:kern w:val="11"/>
          <w:lang w:val="uk-UA" w:eastAsia="en-US"/>
        </w:rPr>
        <w:t>П</w:t>
      </w:r>
      <w:r w:rsidR="00465148" w:rsidRPr="001416ED">
        <w:rPr>
          <w:rFonts w:eastAsiaTheme="minorHAnsi"/>
          <w:kern w:val="11"/>
          <w:lang w:val="uk-UA" w:eastAsia="en-US"/>
        </w:rPr>
        <w:t>ДНЩ виявилися достовірно вищими</w:t>
      </w:r>
      <w:r w:rsidR="00F4311B" w:rsidRPr="001416ED">
        <w:rPr>
          <w:rFonts w:eastAsiaTheme="minorHAnsi"/>
          <w:kern w:val="11"/>
          <w:lang w:val="uk-UA" w:eastAsia="en-US"/>
        </w:rPr>
        <w:t xml:space="preserve"> у чоловіків з </w:t>
      </w:r>
      <w:r w:rsidR="00376DD5" w:rsidRPr="001416ED">
        <w:rPr>
          <w:rFonts w:eastAsiaTheme="minorHAnsi"/>
          <w:kern w:val="11"/>
          <w:lang w:val="uk-UA" w:eastAsia="en-US"/>
        </w:rPr>
        <w:t xml:space="preserve">ГХ ІІІ ст. </w:t>
      </w:r>
      <w:r w:rsidR="00F4311B" w:rsidRPr="001416ED">
        <w:rPr>
          <w:rFonts w:eastAsiaTheme="minorHAnsi"/>
          <w:kern w:val="11"/>
          <w:lang w:val="uk-UA" w:eastAsia="en-US"/>
        </w:rPr>
        <w:t xml:space="preserve">ніж в пацієнтів з ГХ ІІ ст. Проте у рівні загального </w:t>
      </w:r>
      <w:r w:rsidR="00F4311B" w:rsidRPr="001416ED">
        <w:rPr>
          <w:rFonts w:eastAsiaTheme="minorHAnsi"/>
          <w:kern w:val="11"/>
          <w:lang w:val="uk-UA" w:eastAsia="en-US"/>
        </w:rPr>
        <w:lastRenderedPageBreak/>
        <w:t>ХС та ХСЛ</w:t>
      </w:r>
      <w:r w:rsidR="00DD465F" w:rsidRPr="001416ED">
        <w:rPr>
          <w:rFonts w:eastAsiaTheme="minorHAnsi"/>
          <w:kern w:val="11"/>
          <w:lang w:val="uk-UA" w:eastAsia="en-US"/>
        </w:rPr>
        <w:t>П</w:t>
      </w:r>
      <w:r w:rsidR="00F4311B" w:rsidRPr="001416ED">
        <w:rPr>
          <w:rFonts w:eastAsiaTheme="minorHAnsi"/>
          <w:kern w:val="11"/>
          <w:lang w:val="uk-UA" w:eastAsia="en-US"/>
        </w:rPr>
        <w:t xml:space="preserve">ВЩ вірогідної різниці не встановлено. У носіїв алелі </w:t>
      </w:r>
      <w:r w:rsidR="00F4311B" w:rsidRPr="001416ED">
        <w:rPr>
          <w:rFonts w:eastAsiaTheme="minorHAnsi"/>
          <w:kern w:val="11"/>
          <w:lang w:val="en-US" w:eastAsia="en-US"/>
        </w:rPr>
        <w:t>Asn</w:t>
      </w:r>
      <w:r w:rsidR="00F4311B" w:rsidRPr="001416ED">
        <w:rPr>
          <w:rFonts w:eastAsiaTheme="minorHAnsi"/>
          <w:kern w:val="11"/>
          <w:lang w:val="uk-UA" w:eastAsia="en-US"/>
        </w:rPr>
        <w:t xml:space="preserve"> усі показники ліпідограми, крім ХСЛ</w:t>
      </w:r>
      <w:r w:rsidR="00DD465F" w:rsidRPr="001416ED">
        <w:rPr>
          <w:rFonts w:eastAsiaTheme="minorHAnsi"/>
          <w:kern w:val="11"/>
          <w:lang w:val="uk-UA" w:eastAsia="en-US"/>
        </w:rPr>
        <w:t>П</w:t>
      </w:r>
      <w:r w:rsidR="00F4311B" w:rsidRPr="001416ED">
        <w:rPr>
          <w:rFonts w:eastAsiaTheme="minorHAnsi"/>
          <w:kern w:val="11"/>
          <w:lang w:val="uk-UA" w:eastAsia="en-US"/>
        </w:rPr>
        <w:t xml:space="preserve">ВЩ, достовірно вищі у пацієнтів з </w:t>
      </w:r>
      <w:r w:rsidR="00D66AFA" w:rsidRPr="001416ED">
        <w:rPr>
          <w:rFonts w:eastAsiaTheme="minorHAnsi"/>
          <w:kern w:val="11"/>
          <w:lang w:val="uk-UA" w:eastAsia="en-US"/>
        </w:rPr>
        <w:t>ГХ ІІІ ст.</w:t>
      </w:r>
      <w:r w:rsidR="00F4311B" w:rsidRPr="001416ED">
        <w:rPr>
          <w:rFonts w:eastAsiaTheme="minorHAnsi"/>
          <w:kern w:val="11"/>
          <w:lang w:val="uk-UA" w:eastAsia="en-US"/>
        </w:rPr>
        <w:t xml:space="preserve"> ніж у чоловіків з ГХ ІІ ст.</w:t>
      </w:r>
      <w:r w:rsidR="00836F7B" w:rsidRPr="001416ED">
        <w:rPr>
          <w:rFonts w:eastAsiaTheme="minorHAnsi"/>
          <w:kern w:val="11"/>
          <w:lang w:val="uk-UA" w:eastAsia="en-US"/>
        </w:rPr>
        <w:t xml:space="preserve"> Слід відзначити, що у пац</w:t>
      </w:r>
      <w:r w:rsidR="002362C9" w:rsidRPr="001416ED">
        <w:rPr>
          <w:rFonts w:eastAsiaTheme="minorHAnsi"/>
          <w:kern w:val="11"/>
          <w:lang w:val="uk-UA" w:eastAsia="en-US"/>
        </w:rPr>
        <w:t>ієнтів</w:t>
      </w:r>
      <w:r w:rsidR="00836F7B" w:rsidRPr="001416ED">
        <w:rPr>
          <w:rFonts w:eastAsiaTheme="minorHAnsi"/>
          <w:kern w:val="11"/>
          <w:lang w:val="uk-UA" w:eastAsia="en-US"/>
        </w:rPr>
        <w:t xml:space="preserve">, </w:t>
      </w:r>
      <w:r w:rsidR="00E762E5" w:rsidRPr="001416ED">
        <w:rPr>
          <w:rFonts w:eastAsiaTheme="minorHAnsi"/>
          <w:kern w:val="11"/>
          <w:lang w:val="uk-UA" w:eastAsia="en-US"/>
        </w:rPr>
        <w:t>з</w:t>
      </w:r>
      <w:r w:rsidR="00836F7B" w:rsidRPr="001416ED">
        <w:rPr>
          <w:rFonts w:eastAsiaTheme="minorHAnsi"/>
          <w:kern w:val="11"/>
          <w:lang w:val="uk-UA" w:eastAsia="en-US"/>
        </w:rPr>
        <w:t xml:space="preserve"> алел</w:t>
      </w:r>
      <w:r w:rsidR="00E762E5" w:rsidRPr="001416ED">
        <w:rPr>
          <w:rFonts w:eastAsiaTheme="minorHAnsi"/>
          <w:kern w:val="11"/>
          <w:lang w:val="uk-UA" w:eastAsia="en-US"/>
        </w:rPr>
        <w:t>ю</w:t>
      </w:r>
      <w:r w:rsidR="00836F7B" w:rsidRPr="001416ED">
        <w:rPr>
          <w:rFonts w:eastAsiaTheme="minorHAnsi"/>
          <w:kern w:val="11"/>
          <w:lang w:val="uk-UA" w:eastAsia="en-US"/>
        </w:rPr>
        <w:t xml:space="preserve"> </w:t>
      </w:r>
      <w:r w:rsidR="00836F7B" w:rsidRPr="001416ED">
        <w:rPr>
          <w:rFonts w:eastAsiaTheme="minorHAnsi"/>
          <w:kern w:val="11"/>
          <w:lang w:val="en-US" w:eastAsia="en-US"/>
        </w:rPr>
        <w:t>Asn</w:t>
      </w:r>
      <w:r w:rsidR="00836F7B" w:rsidRPr="001416ED">
        <w:rPr>
          <w:rFonts w:eastAsiaTheme="minorHAnsi"/>
          <w:kern w:val="11"/>
          <w:lang w:val="uk-UA" w:eastAsia="en-US"/>
        </w:rPr>
        <w:t xml:space="preserve"> </w:t>
      </w:r>
      <w:r w:rsidR="00F911B7" w:rsidRPr="001416ED">
        <w:rPr>
          <w:rFonts w:eastAsiaTheme="minorHAnsi"/>
          <w:kern w:val="11"/>
          <w:lang w:val="uk-UA" w:eastAsia="en-US"/>
        </w:rPr>
        <w:t xml:space="preserve">проатерогенні </w:t>
      </w:r>
      <w:r w:rsidR="00E762E5" w:rsidRPr="001416ED">
        <w:rPr>
          <w:rFonts w:eastAsiaTheme="minorHAnsi"/>
          <w:kern w:val="11"/>
          <w:lang w:val="uk-UA" w:eastAsia="en-US"/>
        </w:rPr>
        <w:t xml:space="preserve">показники ліпідограми </w:t>
      </w:r>
      <w:r w:rsidR="00836F7B" w:rsidRPr="001416ED">
        <w:rPr>
          <w:rFonts w:eastAsiaTheme="minorHAnsi"/>
          <w:kern w:val="11"/>
          <w:lang w:val="uk-UA" w:eastAsia="en-US"/>
        </w:rPr>
        <w:t xml:space="preserve">вищі, а рівень </w:t>
      </w:r>
      <w:r w:rsidR="00F911B7" w:rsidRPr="001416ED">
        <w:rPr>
          <w:rFonts w:eastAsiaTheme="minorHAnsi"/>
          <w:kern w:val="11"/>
          <w:lang w:val="uk-UA" w:eastAsia="en-US"/>
        </w:rPr>
        <w:t xml:space="preserve">антиатерогенного </w:t>
      </w:r>
      <w:r w:rsidR="00836F7B" w:rsidRPr="001416ED">
        <w:rPr>
          <w:rFonts w:eastAsiaTheme="minorHAnsi"/>
          <w:kern w:val="11"/>
          <w:lang w:val="uk-UA" w:eastAsia="en-US"/>
        </w:rPr>
        <w:t>ХСЛ</w:t>
      </w:r>
      <w:r w:rsidR="00DD465F" w:rsidRPr="001416ED">
        <w:rPr>
          <w:rFonts w:eastAsiaTheme="minorHAnsi"/>
          <w:kern w:val="11"/>
          <w:lang w:val="uk-UA" w:eastAsia="en-US"/>
        </w:rPr>
        <w:t>П</w:t>
      </w:r>
      <w:r w:rsidR="00836F7B" w:rsidRPr="001416ED">
        <w:rPr>
          <w:rFonts w:eastAsiaTheme="minorHAnsi"/>
          <w:kern w:val="11"/>
          <w:lang w:val="uk-UA" w:eastAsia="en-US"/>
        </w:rPr>
        <w:t xml:space="preserve">ВЩ вірогідно нижче, ніж у носіїв генотипу </w:t>
      </w:r>
      <w:r w:rsidR="00836F7B" w:rsidRPr="001416ED">
        <w:rPr>
          <w:rFonts w:eastAsiaTheme="minorHAnsi"/>
          <w:kern w:val="11"/>
          <w:lang w:val="en-US" w:eastAsia="en-US"/>
        </w:rPr>
        <w:t>Lys</w:t>
      </w:r>
      <w:r w:rsidR="00836F7B" w:rsidRPr="001416ED">
        <w:rPr>
          <w:rFonts w:eastAsiaTheme="minorHAnsi"/>
          <w:kern w:val="11"/>
          <w:lang w:val="uk-UA" w:eastAsia="en-US"/>
        </w:rPr>
        <w:t>/</w:t>
      </w:r>
      <w:r w:rsidR="00836F7B" w:rsidRPr="001416ED">
        <w:rPr>
          <w:rFonts w:eastAsiaTheme="minorHAnsi"/>
          <w:kern w:val="11"/>
          <w:lang w:val="en-US" w:eastAsia="en-US"/>
        </w:rPr>
        <w:t>Lys</w:t>
      </w:r>
      <w:r w:rsidR="002362C9" w:rsidRPr="001416ED">
        <w:rPr>
          <w:rFonts w:eastAsiaTheme="minorHAnsi"/>
          <w:kern w:val="11"/>
          <w:lang w:val="uk-UA" w:eastAsia="en-US"/>
        </w:rPr>
        <w:t xml:space="preserve"> (табл. 4.</w:t>
      </w:r>
      <w:r w:rsidR="00EC6DB5" w:rsidRPr="001416ED">
        <w:rPr>
          <w:rFonts w:eastAsiaTheme="minorHAnsi"/>
          <w:kern w:val="11"/>
          <w:lang w:val="uk-UA" w:eastAsia="en-US"/>
        </w:rPr>
        <w:t>9</w:t>
      </w:r>
      <w:r w:rsidR="002362C9" w:rsidRPr="001416ED">
        <w:rPr>
          <w:rFonts w:eastAsiaTheme="minorHAnsi"/>
          <w:kern w:val="11"/>
          <w:lang w:val="uk-UA" w:eastAsia="en-US"/>
        </w:rPr>
        <w:t>)</w:t>
      </w:r>
      <w:r w:rsidR="0099729F">
        <w:rPr>
          <w:rFonts w:eastAsiaTheme="minorHAnsi"/>
          <w:kern w:val="11"/>
          <w:lang w:val="uk-UA" w:eastAsia="en-US"/>
        </w:rPr>
        <w:t>.</w:t>
      </w:r>
    </w:p>
    <w:p w:rsidR="001F4976" w:rsidRPr="001416ED" w:rsidRDefault="001F4976" w:rsidP="00794A4D">
      <w:pPr>
        <w:spacing w:before="240" w:line="360" w:lineRule="auto"/>
        <w:ind w:firstLine="709"/>
        <w:jc w:val="both"/>
        <w:rPr>
          <w:rFonts w:eastAsiaTheme="minorHAnsi"/>
          <w:b/>
          <w:kern w:val="11"/>
          <w:lang w:val="uk-UA" w:eastAsia="en-US"/>
        </w:rPr>
      </w:pPr>
    </w:p>
    <w:p w:rsidR="001F4976" w:rsidRPr="001416ED" w:rsidRDefault="001F4976" w:rsidP="00794A4D">
      <w:pPr>
        <w:spacing w:before="240" w:line="360" w:lineRule="auto"/>
        <w:ind w:firstLine="709"/>
        <w:jc w:val="both"/>
        <w:rPr>
          <w:rFonts w:eastAsiaTheme="minorHAnsi"/>
          <w:b/>
          <w:kern w:val="11"/>
          <w:lang w:val="uk-UA" w:eastAsia="en-US"/>
        </w:rPr>
      </w:pPr>
    </w:p>
    <w:p w:rsidR="00E253F5" w:rsidRPr="001416ED" w:rsidRDefault="00E253F5" w:rsidP="00794A4D">
      <w:pPr>
        <w:spacing w:before="240" w:line="360" w:lineRule="auto"/>
        <w:ind w:firstLine="709"/>
        <w:jc w:val="both"/>
        <w:rPr>
          <w:rFonts w:eastAsiaTheme="minorHAnsi"/>
          <w:b/>
          <w:kern w:val="11"/>
          <w:lang w:val="uk-UA" w:eastAsia="en-US"/>
        </w:rPr>
        <w:sectPr w:rsidR="00E253F5" w:rsidRPr="001416ED" w:rsidSect="009054AA">
          <w:headerReference w:type="default" r:id="rId33"/>
          <w:type w:val="continuous"/>
          <w:pgSz w:w="11907" w:h="16840" w:code="9"/>
          <w:pgMar w:top="1134" w:right="850" w:bottom="1134" w:left="1134" w:header="720" w:footer="720" w:gutter="0"/>
          <w:cols w:space="708"/>
          <w:titlePg/>
          <w:docGrid w:linePitch="381"/>
        </w:sectPr>
      </w:pPr>
    </w:p>
    <w:p w:rsidR="00E253F5" w:rsidRPr="001416ED" w:rsidRDefault="00E253F5" w:rsidP="001D386E">
      <w:pPr>
        <w:spacing w:line="360" w:lineRule="auto"/>
        <w:jc w:val="right"/>
        <w:rPr>
          <w:rFonts w:eastAsiaTheme="minorHAnsi"/>
          <w:b/>
          <w:kern w:val="11"/>
          <w:lang w:val="uk-UA" w:eastAsia="en-US"/>
        </w:rPr>
      </w:pPr>
      <w:r w:rsidRPr="001416ED">
        <w:rPr>
          <w:rFonts w:eastAsiaTheme="minorHAnsi"/>
          <w:b/>
          <w:kern w:val="11"/>
          <w:lang w:val="uk-UA" w:eastAsia="en-US"/>
        </w:rPr>
        <w:lastRenderedPageBreak/>
        <w:t>Табл</w:t>
      </w:r>
      <w:r w:rsidR="00E44C50" w:rsidRPr="001416ED">
        <w:rPr>
          <w:rFonts w:eastAsiaTheme="minorHAnsi"/>
          <w:b/>
          <w:kern w:val="11"/>
          <w:lang w:val="uk-UA" w:eastAsia="en-US"/>
        </w:rPr>
        <w:t>иця 4.</w:t>
      </w:r>
      <w:r w:rsidR="00EC6DB5" w:rsidRPr="001416ED">
        <w:rPr>
          <w:rFonts w:eastAsiaTheme="minorHAnsi"/>
          <w:b/>
          <w:kern w:val="11"/>
          <w:lang w:val="uk-UA" w:eastAsia="en-US"/>
        </w:rPr>
        <w:t>9</w:t>
      </w:r>
    </w:p>
    <w:p w:rsidR="00E253F5" w:rsidRPr="001416ED" w:rsidRDefault="00E253F5" w:rsidP="001D386E">
      <w:pPr>
        <w:spacing w:line="360" w:lineRule="auto"/>
        <w:jc w:val="center"/>
        <w:rPr>
          <w:rFonts w:eastAsiaTheme="minorHAnsi"/>
          <w:b/>
          <w:kern w:val="11"/>
          <w:lang w:val="uk-UA" w:eastAsia="en-US"/>
        </w:rPr>
      </w:pPr>
      <w:r w:rsidRPr="001416ED">
        <w:rPr>
          <w:rFonts w:eastAsiaTheme="minorHAnsi"/>
          <w:b/>
          <w:kern w:val="11"/>
          <w:lang w:val="uk-UA" w:eastAsia="en-US"/>
        </w:rPr>
        <w:t xml:space="preserve">Рівень загального </w:t>
      </w:r>
      <w:r w:rsidR="0099729F">
        <w:rPr>
          <w:rFonts w:eastAsiaTheme="minorHAnsi"/>
          <w:b/>
          <w:kern w:val="11"/>
          <w:lang w:val="uk-UA" w:eastAsia="en-US"/>
        </w:rPr>
        <w:t>ХС</w:t>
      </w:r>
      <w:r w:rsidRPr="001416ED">
        <w:rPr>
          <w:rFonts w:eastAsiaTheme="minorHAnsi"/>
          <w:b/>
          <w:kern w:val="11"/>
          <w:lang w:val="uk-UA" w:eastAsia="en-US"/>
        </w:rPr>
        <w:t xml:space="preserve">, </w:t>
      </w:r>
      <w:r w:rsidR="0099729F">
        <w:rPr>
          <w:rFonts w:eastAsiaTheme="minorHAnsi"/>
          <w:b/>
          <w:kern w:val="11"/>
          <w:lang w:val="uk-UA" w:eastAsia="en-US"/>
        </w:rPr>
        <w:t>ТГ</w:t>
      </w:r>
      <w:r w:rsidRPr="001416ED">
        <w:rPr>
          <w:rFonts w:eastAsiaTheme="minorHAnsi"/>
          <w:b/>
          <w:kern w:val="11"/>
          <w:lang w:val="uk-UA" w:eastAsia="en-US"/>
        </w:rPr>
        <w:t xml:space="preserve">, ХСЛПНЩ, ХСЛПДНЩ, ХСЛПВЩ при носійстві </w:t>
      </w:r>
      <w:r w:rsidR="00E6164F">
        <w:rPr>
          <w:rFonts w:eastAsiaTheme="minorHAnsi"/>
          <w:b/>
          <w:kern w:val="11"/>
          <w:lang w:val="uk-UA" w:eastAsia="en-US"/>
        </w:rPr>
        <w:t>поліморфних варіантів гена ЕТ–1</w:t>
      </w:r>
      <w:r w:rsidRPr="001416ED">
        <w:rPr>
          <w:rFonts w:eastAsiaTheme="minorHAnsi"/>
          <w:b/>
          <w:kern w:val="11"/>
          <w:lang w:val="uk-UA" w:eastAsia="en-US"/>
        </w:rPr>
        <w:t xml:space="preserve"> у чоловіків</w:t>
      </w:r>
      <w:r w:rsidR="00E44C50" w:rsidRPr="001416ED">
        <w:rPr>
          <w:rFonts w:eastAsiaTheme="minorHAnsi"/>
          <w:b/>
          <w:kern w:val="11"/>
          <w:lang w:val="uk-UA" w:eastAsia="en-US"/>
        </w:rPr>
        <w:t xml:space="preserve"> групи </w:t>
      </w:r>
      <w:r w:rsidR="00472F94" w:rsidRPr="001416ED">
        <w:rPr>
          <w:rFonts w:eastAsiaTheme="minorHAnsi"/>
          <w:b/>
          <w:kern w:val="11"/>
          <w:lang w:val="uk-UA" w:eastAsia="en-US"/>
        </w:rPr>
        <w:t>контролю</w:t>
      </w:r>
      <w:r w:rsidRPr="001416ED">
        <w:rPr>
          <w:rFonts w:eastAsiaTheme="minorHAnsi"/>
          <w:b/>
          <w:kern w:val="11"/>
          <w:lang w:val="uk-UA" w:eastAsia="en-US"/>
        </w:rPr>
        <w:t>, хворих на ГХ ІІ ст</w:t>
      </w:r>
      <w:r w:rsidR="00AC6616" w:rsidRPr="001416ED">
        <w:rPr>
          <w:rFonts w:eastAsiaTheme="minorHAnsi"/>
          <w:b/>
          <w:kern w:val="11"/>
          <w:lang w:val="uk-UA" w:eastAsia="en-US"/>
        </w:rPr>
        <w:t>.</w:t>
      </w:r>
      <w:r w:rsidRPr="001416ED">
        <w:rPr>
          <w:rFonts w:eastAsiaTheme="minorHAnsi"/>
          <w:b/>
          <w:kern w:val="11"/>
          <w:lang w:val="uk-UA" w:eastAsia="en-US"/>
        </w:rPr>
        <w:t xml:space="preserve"> та у пацієнті</w:t>
      </w:r>
      <w:r w:rsidR="00E310B7" w:rsidRPr="001416ED">
        <w:rPr>
          <w:rFonts w:eastAsiaTheme="minorHAnsi"/>
          <w:b/>
          <w:kern w:val="11"/>
          <w:lang w:val="uk-UA" w:eastAsia="en-US"/>
        </w:rPr>
        <w:t xml:space="preserve">в з </w:t>
      </w:r>
      <w:r w:rsidR="00D66AFA" w:rsidRPr="001416ED">
        <w:rPr>
          <w:rFonts w:eastAsiaTheme="minorHAnsi"/>
          <w:b/>
          <w:kern w:val="11"/>
          <w:lang w:val="uk-UA" w:eastAsia="en-US"/>
        </w:rPr>
        <w:t>ГХ ІІІ ст.</w:t>
      </w:r>
      <w:r w:rsidR="00F911B7" w:rsidRPr="001416ED">
        <w:rPr>
          <w:rFonts w:eastAsiaTheme="minorHAnsi"/>
          <w:b/>
          <w:kern w:val="11"/>
          <w:lang w:val="uk-UA" w:eastAsia="en-US"/>
        </w:rPr>
        <w:t>,</w:t>
      </w:r>
      <w:r w:rsidR="00E310B7" w:rsidRPr="001416ED">
        <w:rPr>
          <w:rFonts w:eastAsiaTheme="minorHAnsi"/>
          <w:b/>
          <w:kern w:val="11"/>
          <w:lang w:val="uk-UA" w:eastAsia="en-US"/>
        </w:rPr>
        <w:t xml:space="preserve"> ммоль/л</w:t>
      </w:r>
    </w:p>
    <w:tbl>
      <w:tblPr>
        <w:tblStyle w:val="af5"/>
        <w:tblW w:w="16173" w:type="dxa"/>
        <w:jc w:val="center"/>
        <w:tblInd w:w="-176" w:type="dxa"/>
        <w:tblLayout w:type="fixed"/>
        <w:tblLook w:val="04A0" w:firstRow="1" w:lastRow="0" w:firstColumn="1" w:lastColumn="0" w:noHBand="0" w:noVBand="1"/>
      </w:tblPr>
      <w:tblGrid>
        <w:gridCol w:w="1227"/>
        <w:gridCol w:w="1275"/>
        <w:gridCol w:w="1276"/>
        <w:gridCol w:w="1276"/>
        <w:gridCol w:w="1276"/>
        <w:gridCol w:w="1275"/>
        <w:gridCol w:w="1276"/>
        <w:gridCol w:w="1418"/>
        <w:gridCol w:w="1417"/>
        <w:gridCol w:w="1418"/>
        <w:gridCol w:w="1417"/>
        <w:gridCol w:w="1622"/>
      </w:tblGrid>
      <w:tr w:rsidR="00E44C50" w:rsidRPr="001416ED" w:rsidTr="00347B8E">
        <w:trPr>
          <w:jc w:val="center"/>
        </w:trPr>
        <w:tc>
          <w:tcPr>
            <w:tcW w:w="1227" w:type="dxa"/>
            <w:vMerge w:val="restart"/>
          </w:tcPr>
          <w:p w:rsidR="00E44C50" w:rsidRPr="001416ED" w:rsidRDefault="00E44C50" w:rsidP="001D386E">
            <w:pPr>
              <w:spacing w:line="360" w:lineRule="auto"/>
              <w:jc w:val="center"/>
              <w:rPr>
                <w:rFonts w:eastAsiaTheme="minorHAnsi"/>
                <w:kern w:val="11"/>
                <w:sz w:val="24"/>
                <w:szCs w:val="24"/>
                <w:lang w:val="uk-UA" w:eastAsia="en-US"/>
              </w:rPr>
            </w:pPr>
          </w:p>
        </w:tc>
        <w:tc>
          <w:tcPr>
            <w:tcW w:w="6378" w:type="dxa"/>
            <w:gridSpan w:val="5"/>
          </w:tcPr>
          <w:p w:rsidR="00E44C50" w:rsidRPr="001416ED" w:rsidRDefault="000C3C75"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val="uk-UA" w:eastAsia="en-US"/>
              </w:rPr>
              <w:t>Генотип</w:t>
            </w:r>
            <w:r w:rsidR="00E44C50" w:rsidRPr="001416ED">
              <w:rPr>
                <w:rFonts w:eastAsiaTheme="minorHAnsi"/>
                <w:b/>
                <w:kern w:val="11"/>
                <w:sz w:val="24"/>
                <w:szCs w:val="24"/>
                <w:lang w:val="uk-UA" w:eastAsia="en-US"/>
              </w:rPr>
              <w:t xml:space="preserve"> </w:t>
            </w:r>
            <w:r w:rsidR="00E44C50" w:rsidRPr="001416ED">
              <w:rPr>
                <w:rFonts w:eastAsiaTheme="minorHAnsi"/>
                <w:b/>
                <w:kern w:val="11"/>
                <w:sz w:val="24"/>
                <w:szCs w:val="24"/>
                <w:lang w:val="en-US" w:eastAsia="en-US"/>
              </w:rPr>
              <w:t>Lys</w:t>
            </w:r>
            <w:r w:rsidR="00E44C50" w:rsidRPr="001416ED">
              <w:rPr>
                <w:rFonts w:eastAsiaTheme="minorHAnsi"/>
                <w:b/>
                <w:kern w:val="11"/>
                <w:sz w:val="24"/>
                <w:szCs w:val="24"/>
                <w:lang w:val="uk-UA" w:eastAsia="en-US"/>
              </w:rPr>
              <w:t>/</w:t>
            </w:r>
            <w:r w:rsidR="00E44C50" w:rsidRPr="001416ED">
              <w:rPr>
                <w:rFonts w:eastAsiaTheme="minorHAnsi"/>
                <w:b/>
                <w:kern w:val="11"/>
                <w:sz w:val="24"/>
                <w:szCs w:val="24"/>
                <w:lang w:val="en-US" w:eastAsia="en-US"/>
              </w:rPr>
              <w:t>Lys</w:t>
            </w:r>
          </w:p>
        </w:tc>
        <w:tc>
          <w:tcPr>
            <w:tcW w:w="6946" w:type="dxa"/>
            <w:gridSpan w:val="5"/>
          </w:tcPr>
          <w:p w:rsidR="00E44C50" w:rsidRPr="001416ED" w:rsidRDefault="00E44C50"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eastAsia="en-US"/>
              </w:rPr>
              <w:t>Но</w:t>
            </w:r>
            <w:r w:rsidRPr="001416ED">
              <w:rPr>
                <w:rFonts w:eastAsiaTheme="minorHAnsi"/>
                <w:b/>
                <w:kern w:val="11"/>
                <w:sz w:val="24"/>
                <w:szCs w:val="24"/>
                <w:lang w:val="uk-UA" w:eastAsia="en-US"/>
              </w:rPr>
              <w:t xml:space="preserve">сії алелі </w:t>
            </w:r>
            <w:r w:rsidRPr="001416ED">
              <w:rPr>
                <w:rFonts w:eastAsiaTheme="minorHAnsi"/>
                <w:b/>
                <w:kern w:val="11"/>
                <w:sz w:val="24"/>
                <w:szCs w:val="24"/>
                <w:lang w:val="en-US" w:eastAsia="en-US"/>
              </w:rPr>
              <w:t>Asn</w:t>
            </w:r>
          </w:p>
        </w:tc>
        <w:tc>
          <w:tcPr>
            <w:tcW w:w="1622" w:type="dxa"/>
            <w:vMerge w:val="restart"/>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р</w:t>
            </w:r>
          </w:p>
        </w:tc>
      </w:tr>
      <w:tr w:rsidR="00E44C50" w:rsidRPr="001416ED" w:rsidTr="00347B8E">
        <w:trPr>
          <w:jc w:val="center"/>
        </w:trPr>
        <w:tc>
          <w:tcPr>
            <w:tcW w:w="1227" w:type="dxa"/>
            <w:vMerge/>
          </w:tcPr>
          <w:p w:rsidR="00E44C50" w:rsidRPr="001416ED" w:rsidRDefault="00E44C50" w:rsidP="001D386E">
            <w:pPr>
              <w:spacing w:line="360" w:lineRule="auto"/>
              <w:rPr>
                <w:rFonts w:eastAsiaTheme="minorHAnsi"/>
                <w:kern w:val="11"/>
                <w:sz w:val="24"/>
                <w:szCs w:val="24"/>
                <w:lang w:val="uk-UA" w:eastAsia="en-US"/>
              </w:rPr>
            </w:pPr>
          </w:p>
        </w:tc>
        <w:tc>
          <w:tcPr>
            <w:tcW w:w="1275"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val="uk-UA" w:eastAsia="en-US"/>
              </w:rPr>
              <w:t>ХС</w:t>
            </w:r>
          </w:p>
        </w:tc>
        <w:tc>
          <w:tcPr>
            <w:tcW w:w="1276" w:type="dxa"/>
          </w:tcPr>
          <w:p w:rsidR="00E44C50" w:rsidRPr="001416ED" w:rsidRDefault="00E44C50"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eastAsia="en-US"/>
              </w:rPr>
              <w:t>ТГ</w:t>
            </w:r>
          </w:p>
        </w:tc>
        <w:tc>
          <w:tcPr>
            <w:tcW w:w="1276"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eastAsia="en-US"/>
              </w:rPr>
              <w:t>ЛПНЩ</w:t>
            </w:r>
          </w:p>
        </w:tc>
        <w:tc>
          <w:tcPr>
            <w:tcW w:w="1276"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ЛП</w:t>
            </w:r>
            <w:r w:rsidRPr="001416ED">
              <w:rPr>
                <w:rFonts w:eastAsiaTheme="minorHAnsi"/>
                <w:b/>
                <w:kern w:val="11"/>
                <w:sz w:val="24"/>
                <w:szCs w:val="24"/>
                <w:lang w:val="uk-UA" w:eastAsia="en-US"/>
              </w:rPr>
              <w:t>Д</w:t>
            </w:r>
            <w:r w:rsidRPr="001416ED">
              <w:rPr>
                <w:rFonts w:eastAsiaTheme="minorHAnsi"/>
                <w:b/>
                <w:kern w:val="11"/>
                <w:sz w:val="24"/>
                <w:szCs w:val="24"/>
                <w:lang w:eastAsia="en-US"/>
              </w:rPr>
              <w:t>НЩ</w:t>
            </w:r>
          </w:p>
        </w:tc>
        <w:tc>
          <w:tcPr>
            <w:tcW w:w="1275"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ЛП</w:t>
            </w:r>
            <w:r w:rsidRPr="001416ED">
              <w:rPr>
                <w:rFonts w:eastAsiaTheme="minorHAnsi"/>
                <w:b/>
                <w:kern w:val="11"/>
                <w:sz w:val="24"/>
                <w:szCs w:val="24"/>
                <w:lang w:val="uk-UA" w:eastAsia="en-US"/>
              </w:rPr>
              <w:t>В</w:t>
            </w:r>
            <w:r w:rsidRPr="001416ED">
              <w:rPr>
                <w:rFonts w:eastAsiaTheme="minorHAnsi"/>
                <w:b/>
                <w:kern w:val="11"/>
                <w:sz w:val="24"/>
                <w:szCs w:val="24"/>
                <w:lang w:eastAsia="en-US"/>
              </w:rPr>
              <w:t>Щ</w:t>
            </w:r>
          </w:p>
        </w:tc>
        <w:tc>
          <w:tcPr>
            <w:tcW w:w="1276"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val="uk-UA" w:eastAsia="en-US"/>
              </w:rPr>
              <w:t>ХС</w:t>
            </w:r>
          </w:p>
        </w:tc>
        <w:tc>
          <w:tcPr>
            <w:tcW w:w="1418" w:type="dxa"/>
          </w:tcPr>
          <w:p w:rsidR="00E44C50" w:rsidRPr="001416ED" w:rsidRDefault="00E44C50"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eastAsia="en-US"/>
              </w:rPr>
              <w:t>ТГ</w:t>
            </w:r>
          </w:p>
        </w:tc>
        <w:tc>
          <w:tcPr>
            <w:tcW w:w="1417"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eastAsia="en-US"/>
              </w:rPr>
            </w:pPr>
            <w:r w:rsidRPr="001416ED">
              <w:rPr>
                <w:rFonts w:eastAsiaTheme="minorHAnsi"/>
                <w:b/>
                <w:kern w:val="11"/>
                <w:sz w:val="24"/>
                <w:szCs w:val="24"/>
                <w:lang w:eastAsia="en-US"/>
              </w:rPr>
              <w:t>ЛПНЩ</w:t>
            </w:r>
          </w:p>
        </w:tc>
        <w:tc>
          <w:tcPr>
            <w:tcW w:w="1418"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ЛП</w:t>
            </w:r>
            <w:r w:rsidRPr="001416ED">
              <w:rPr>
                <w:rFonts w:eastAsiaTheme="minorHAnsi"/>
                <w:b/>
                <w:kern w:val="11"/>
                <w:sz w:val="24"/>
                <w:szCs w:val="24"/>
                <w:lang w:val="uk-UA" w:eastAsia="en-US"/>
              </w:rPr>
              <w:t>Д</w:t>
            </w:r>
            <w:r w:rsidRPr="001416ED">
              <w:rPr>
                <w:rFonts w:eastAsiaTheme="minorHAnsi"/>
                <w:b/>
                <w:kern w:val="11"/>
                <w:sz w:val="24"/>
                <w:szCs w:val="24"/>
                <w:lang w:eastAsia="en-US"/>
              </w:rPr>
              <w:t>НЩ</w:t>
            </w:r>
          </w:p>
        </w:tc>
        <w:tc>
          <w:tcPr>
            <w:tcW w:w="1417" w:type="dxa"/>
          </w:tcPr>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ХС</w:t>
            </w:r>
          </w:p>
          <w:p w:rsidR="00E44C50" w:rsidRPr="001416ED" w:rsidRDefault="00E44C50" w:rsidP="001D386E">
            <w:pPr>
              <w:spacing w:line="360" w:lineRule="auto"/>
              <w:jc w:val="center"/>
              <w:rPr>
                <w:rFonts w:eastAsiaTheme="minorHAnsi"/>
                <w:b/>
                <w:kern w:val="11"/>
                <w:sz w:val="24"/>
                <w:szCs w:val="24"/>
                <w:lang w:val="uk-UA" w:eastAsia="en-US"/>
              </w:rPr>
            </w:pPr>
            <w:r w:rsidRPr="001416ED">
              <w:rPr>
                <w:rFonts w:eastAsiaTheme="minorHAnsi"/>
                <w:b/>
                <w:kern w:val="11"/>
                <w:sz w:val="24"/>
                <w:szCs w:val="24"/>
                <w:lang w:eastAsia="en-US"/>
              </w:rPr>
              <w:t>ЛП</w:t>
            </w:r>
            <w:r w:rsidRPr="001416ED">
              <w:rPr>
                <w:rFonts w:eastAsiaTheme="minorHAnsi"/>
                <w:b/>
                <w:kern w:val="11"/>
                <w:sz w:val="24"/>
                <w:szCs w:val="24"/>
                <w:lang w:val="uk-UA" w:eastAsia="en-US"/>
              </w:rPr>
              <w:t>В</w:t>
            </w:r>
            <w:r w:rsidRPr="001416ED">
              <w:rPr>
                <w:rFonts w:eastAsiaTheme="minorHAnsi"/>
                <w:b/>
                <w:kern w:val="11"/>
                <w:sz w:val="24"/>
                <w:szCs w:val="24"/>
                <w:lang w:eastAsia="en-US"/>
              </w:rPr>
              <w:t>Щ</w:t>
            </w:r>
          </w:p>
        </w:tc>
        <w:tc>
          <w:tcPr>
            <w:tcW w:w="1622" w:type="dxa"/>
            <w:vMerge/>
          </w:tcPr>
          <w:p w:rsidR="00E44C50" w:rsidRPr="001416ED" w:rsidRDefault="00E44C50" w:rsidP="001D386E">
            <w:pPr>
              <w:spacing w:line="360" w:lineRule="auto"/>
              <w:jc w:val="center"/>
              <w:rPr>
                <w:rFonts w:eastAsiaTheme="minorHAnsi"/>
                <w:b/>
                <w:kern w:val="11"/>
                <w:sz w:val="24"/>
                <w:szCs w:val="24"/>
                <w:lang w:eastAsia="en-US"/>
              </w:rPr>
            </w:pPr>
          </w:p>
        </w:tc>
      </w:tr>
      <w:tr w:rsidR="00E44C50" w:rsidRPr="001416ED" w:rsidTr="00347B8E">
        <w:trPr>
          <w:trHeight w:val="897"/>
          <w:jc w:val="center"/>
        </w:trPr>
        <w:tc>
          <w:tcPr>
            <w:tcW w:w="1227" w:type="dxa"/>
          </w:tcPr>
          <w:p w:rsidR="00E253F5" w:rsidRPr="001416ED" w:rsidRDefault="00E44C50" w:rsidP="001D386E">
            <w:pPr>
              <w:spacing w:line="360" w:lineRule="auto"/>
              <w:rPr>
                <w:rFonts w:eastAsiaTheme="minorHAnsi"/>
                <w:kern w:val="11"/>
                <w:sz w:val="24"/>
                <w:szCs w:val="24"/>
                <w:lang w:val="uk-UA" w:eastAsia="en-US"/>
              </w:rPr>
            </w:pPr>
            <w:r w:rsidRPr="001416ED">
              <w:rPr>
                <w:rFonts w:eastAsiaTheme="minorHAnsi"/>
                <w:kern w:val="11"/>
                <w:sz w:val="24"/>
                <w:szCs w:val="24"/>
                <w:lang w:val="uk-UA" w:eastAsia="en-US"/>
              </w:rPr>
              <w:t xml:space="preserve">Група </w:t>
            </w:r>
            <w:r w:rsidR="00472F94" w:rsidRPr="001416ED">
              <w:rPr>
                <w:rFonts w:eastAsiaTheme="minorHAnsi"/>
                <w:kern w:val="11"/>
                <w:sz w:val="24"/>
                <w:szCs w:val="24"/>
                <w:lang w:val="uk-UA" w:eastAsia="en-US"/>
              </w:rPr>
              <w:t>контролю</w:t>
            </w:r>
            <w:r w:rsidR="00E253F5" w:rsidRPr="001416ED">
              <w:rPr>
                <w:rFonts w:eastAsiaTheme="minorHAnsi"/>
                <w:kern w:val="11"/>
                <w:sz w:val="24"/>
                <w:szCs w:val="24"/>
                <w:lang w:val="uk-UA" w:eastAsia="en-US"/>
              </w:rPr>
              <w:t xml:space="preserve"> (</w:t>
            </w:r>
            <w:r w:rsidR="00E253F5" w:rsidRPr="001416ED">
              <w:rPr>
                <w:rFonts w:eastAsiaTheme="minorHAnsi"/>
                <w:kern w:val="11"/>
                <w:sz w:val="24"/>
                <w:szCs w:val="24"/>
                <w:lang w:val="en-US" w:eastAsia="en-US"/>
              </w:rPr>
              <w:t>n</w:t>
            </w:r>
            <w:r w:rsidR="00E253F5" w:rsidRPr="001416ED">
              <w:rPr>
                <w:rFonts w:eastAsiaTheme="minorHAnsi"/>
                <w:kern w:val="11"/>
                <w:sz w:val="24"/>
                <w:szCs w:val="24"/>
                <w:lang w:val="uk-UA" w:eastAsia="en-US"/>
              </w:rPr>
              <w:t>=79</w:t>
            </w:r>
            <w:r w:rsidR="00E253F5" w:rsidRPr="001416ED">
              <w:rPr>
                <w:rFonts w:eastAsiaTheme="minorHAnsi"/>
                <w:kern w:val="11"/>
                <w:sz w:val="24"/>
                <w:szCs w:val="24"/>
                <w:lang w:val="en-US" w:eastAsia="en-US"/>
              </w:rPr>
              <w:t>)</w:t>
            </w:r>
          </w:p>
        </w:tc>
        <w:tc>
          <w:tcPr>
            <w:tcW w:w="1275"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4,68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0,05 (</w:t>
            </w:r>
            <w:r w:rsidRPr="001416ED">
              <w:rPr>
                <w:rFonts w:eastAsiaTheme="minorHAnsi"/>
                <w:kern w:val="11"/>
                <w:sz w:val="24"/>
                <w:szCs w:val="24"/>
                <w:lang w:val="en-US" w:eastAsia="en-US"/>
              </w:rPr>
              <w:t>n=</w:t>
            </w:r>
            <w:r w:rsidRPr="001416ED">
              <w:rPr>
                <w:rFonts w:eastAsiaTheme="minorHAnsi"/>
                <w:kern w:val="11"/>
                <w:sz w:val="24"/>
                <w:szCs w:val="24"/>
                <w:lang w:val="uk-UA" w:eastAsia="en-US"/>
              </w:rPr>
              <w:t>52)</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1,49</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0,03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52)</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(4)</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1,50</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0,05</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val="uk-UA" w:eastAsia="en-US"/>
              </w:rPr>
              <w:t>52)</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(7)</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0,54</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0,02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52)</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(10)</w:t>
            </w:r>
          </w:p>
        </w:tc>
        <w:tc>
          <w:tcPr>
            <w:tcW w:w="1275"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1,70</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0,03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52)</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(13)</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5,08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0,05 </w:t>
            </w:r>
          </w:p>
          <w:p w:rsidR="00E253F5" w:rsidRPr="001416ED" w:rsidRDefault="00E253F5" w:rsidP="001D386E">
            <w:pPr>
              <w:spacing w:line="360" w:lineRule="auto"/>
              <w:jc w:val="center"/>
              <w:rPr>
                <w:rFonts w:eastAsiaTheme="minorHAnsi"/>
                <w:kern w:val="11"/>
                <w:sz w:val="24"/>
                <w:szCs w:val="24"/>
                <w:lang w:val="en-US"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(16)</w:t>
            </w:r>
          </w:p>
        </w:tc>
        <w:tc>
          <w:tcPr>
            <w:tcW w:w="1418"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1,69</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0,02 </w:t>
            </w:r>
          </w:p>
          <w:p w:rsidR="00E253F5" w:rsidRPr="001416ED" w:rsidRDefault="00E253F5" w:rsidP="001D386E">
            <w:pPr>
              <w:spacing w:line="360" w:lineRule="auto"/>
              <w:jc w:val="center"/>
              <w:rPr>
                <w:rFonts w:eastAsiaTheme="minorHAnsi"/>
                <w:kern w:val="11"/>
                <w:sz w:val="24"/>
                <w:szCs w:val="24"/>
                <w:lang w:val="en-US"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(19)</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2,35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0,08</w:t>
            </w:r>
          </w:p>
          <w:p w:rsidR="00E253F5" w:rsidRPr="001416ED" w:rsidRDefault="00E253F5" w:rsidP="001D386E">
            <w:pPr>
              <w:spacing w:line="360" w:lineRule="auto"/>
              <w:jc w:val="center"/>
              <w:rPr>
                <w:rFonts w:eastAsiaTheme="minorHAnsi"/>
                <w:kern w:val="11"/>
                <w:sz w:val="24"/>
                <w:szCs w:val="24"/>
                <w:lang w:val="en-US"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(22)</w:t>
            </w:r>
          </w:p>
        </w:tc>
        <w:tc>
          <w:tcPr>
            <w:tcW w:w="1418" w:type="dxa"/>
          </w:tcPr>
          <w:p w:rsidR="00E253F5" w:rsidRPr="001416ED" w:rsidRDefault="00E253F5" w:rsidP="001D386E">
            <w:pPr>
              <w:spacing w:line="360" w:lineRule="auto"/>
              <w:jc w:val="center"/>
              <w:rPr>
                <w:rFonts w:eastAsiaTheme="minorHAnsi"/>
                <w:kern w:val="11"/>
                <w:sz w:val="24"/>
                <w:szCs w:val="24"/>
                <w:lang w:val="en-US" w:eastAsia="en-US"/>
              </w:rPr>
            </w:pPr>
            <w:r w:rsidRPr="001416ED">
              <w:rPr>
                <w:rFonts w:eastAsiaTheme="minorHAnsi"/>
                <w:kern w:val="11"/>
                <w:sz w:val="24"/>
                <w:szCs w:val="24"/>
                <w:lang w:eastAsia="en-US"/>
              </w:rPr>
              <w:t>0,78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0,02 (</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(25)</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1,47</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0,04</w:t>
            </w:r>
          </w:p>
          <w:p w:rsidR="00E253F5" w:rsidRPr="001416ED" w:rsidRDefault="00E253F5" w:rsidP="001D386E">
            <w:pPr>
              <w:spacing w:line="360" w:lineRule="auto"/>
              <w:jc w:val="center"/>
              <w:rPr>
                <w:rFonts w:eastAsiaTheme="minorHAnsi"/>
                <w:kern w:val="11"/>
                <w:sz w:val="24"/>
                <w:szCs w:val="24"/>
                <w:lang w:val="en-US"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(28)</w:t>
            </w:r>
          </w:p>
        </w:tc>
        <w:tc>
          <w:tcPr>
            <w:tcW w:w="1622" w:type="dxa"/>
          </w:tcPr>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16</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w:t>
            </w:r>
            <w:r w:rsidRPr="001416ED">
              <w:rPr>
                <w:rFonts w:eastAsiaTheme="minorHAnsi"/>
                <w:kern w:val="11"/>
                <w:sz w:val="24"/>
                <w:szCs w:val="24"/>
                <w:lang w:val="uk-UA" w:eastAsia="en-US"/>
              </w:rPr>
              <w:t>&lt;0,0001</w:t>
            </w:r>
          </w:p>
          <w:p w:rsidR="00E253F5" w:rsidRPr="001416ED" w:rsidRDefault="00E253F5" w:rsidP="001D386E">
            <w:pPr>
              <w:spacing w:line="360" w:lineRule="auto"/>
              <w:rPr>
                <w:rFonts w:eastAsiaTheme="minorHAnsi"/>
                <w:kern w:val="11"/>
                <w:sz w:val="24"/>
                <w:szCs w:val="24"/>
                <w:lang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19</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4</w:t>
            </w:r>
            <w:r w:rsidRPr="001416ED">
              <w:rPr>
                <w:rFonts w:eastAsiaTheme="minorHAnsi"/>
                <w:kern w:val="11"/>
                <w:sz w:val="24"/>
                <w:szCs w:val="24"/>
                <w:lang w:val="uk-UA" w:eastAsia="en-US"/>
              </w:rPr>
              <w:t xml:space="preserve">&lt;0,01 </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22</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7</w:t>
            </w:r>
            <w:r w:rsidR="0009067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25</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10</w:t>
            </w:r>
            <w:r w:rsidRPr="001416ED">
              <w:rPr>
                <w:rFonts w:eastAsiaTheme="minorHAnsi"/>
                <w:kern w:val="11"/>
                <w:sz w:val="24"/>
                <w:szCs w:val="24"/>
                <w:lang w:val="uk-UA" w:eastAsia="en-US"/>
              </w:rPr>
              <w:t>&lt;0,0001</w:t>
            </w:r>
          </w:p>
          <w:p w:rsidR="00E253F5" w:rsidRPr="001416ED" w:rsidRDefault="00E253F5" w:rsidP="001D386E">
            <w:pPr>
              <w:spacing w:line="360" w:lineRule="auto"/>
              <w:rPr>
                <w:rFonts w:eastAsiaTheme="minorHAnsi"/>
                <w:b/>
                <w:kern w:val="11"/>
                <w:sz w:val="24"/>
                <w:szCs w:val="24"/>
                <w:lang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28</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13</w:t>
            </w:r>
            <w:r w:rsidRPr="001416ED">
              <w:rPr>
                <w:rFonts w:eastAsiaTheme="minorHAnsi"/>
                <w:kern w:val="11"/>
                <w:sz w:val="24"/>
                <w:szCs w:val="24"/>
                <w:lang w:val="uk-UA" w:eastAsia="en-US"/>
              </w:rPr>
              <w:t>&lt;0,001</w:t>
            </w:r>
          </w:p>
        </w:tc>
      </w:tr>
      <w:tr w:rsidR="00E44C50" w:rsidRPr="001416ED" w:rsidTr="00347B8E">
        <w:trPr>
          <w:jc w:val="center"/>
        </w:trPr>
        <w:tc>
          <w:tcPr>
            <w:tcW w:w="1227" w:type="dxa"/>
          </w:tcPr>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val="uk-UA" w:eastAsia="en-US"/>
              </w:rPr>
              <w:t>Пацієнти з ГХ ІІ</w:t>
            </w:r>
            <w:r w:rsidR="00AC6616" w:rsidRPr="001416ED">
              <w:rPr>
                <w:rFonts w:eastAsiaTheme="minorHAnsi"/>
                <w:kern w:val="11"/>
                <w:sz w:val="24"/>
                <w:szCs w:val="24"/>
                <w:lang w:val="uk-UA" w:eastAsia="en-US"/>
              </w:rPr>
              <w:t xml:space="preserve"> </w:t>
            </w:r>
            <w:r w:rsidRPr="001416ED">
              <w:rPr>
                <w:rFonts w:eastAsiaTheme="minorHAnsi"/>
                <w:kern w:val="11"/>
                <w:sz w:val="24"/>
                <w:szCs w:val="24"/>
                <w:lang w:val="uk-UA" w:eastAsia="en-US"/>
              </w:rPr>
              <w:t>ст. (</w:t>
            </w:r>
            <w:r w:rsidRPr="001416ED">
              <w:rPr>
                <w:rFonts w:eastAsiaTheme="minorHAnsi"/>
                <w:kern w:val="11"/>
                <w:sz w:val="24"/>
                <w:szCs w:val="24"/>
                <w:lang w:val="en-US" w:eastAsia="en-US"/>
              </w:rPr>
              <w:t>n</w:t>
            </w:r>
            <w:r w:rsidRPr="001416ED">
              <w:rPr>
                <w:rFonts w:eastAsiaTheme="minorHAnsi"/>
                <w:kern w:val="11"/>
                <w:sz w:val="24"/>
                <w:szCs w:val="24"/>
                <w:lang w:val="uk-UA" w:eastAsia="en-US"/>
              </w:rPr>
              <w:t>=62)</w:t>
            </w:r>
          </w:p>
        </w:tc>
        <w:tc>
          <w:tcPr>
            <w:tcW w:w="1275"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5,58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0,05</w:t>
            </w:r>
            <w:r w:rsidRPr="001416ED">
              <w:rPr>
                <w:rFonts w:eastAsiaTheme="minorHAnsi"/>
                <w:kern w:val="11"/>
                <w:sz w:val="24"/>
                <w:szCs w:val="24"/>
                <w:lang w:val="en-US" w:eastAsia="en-US"/>
              </w:rPr>
              <w:t xml:space="preserve"> </w:t>
            </w: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35)</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1,65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0,04</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val="en-US" w:eastAsia="en-US"/>
              </w:rPr>
              <w:t xml:space="preserve"> </w:t>
            </w: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35)</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(5)</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3,05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0,09</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val="en-US" w:eastAsia="en-US"/>
              </w:rPr>
              <w:t xml:space="preserve"> </w:t>
            </w: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35)</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(8)</w:t>
            </w:r>
          </w:p>
        </w:tc>
        <w:tc>
          <w:tcPr>
            <w:tcW w:w="1276"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1,28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0,06</w:t>
            </w:r>
            <w:r w:rsidRPr="001416ED">
              <w:rPr>
                <w:rFonts w:eastAsiaTheme="minorHAnsi"/>
                <w:kern w:val="11"/>
                <w:sz w:val="24"/>
                <w:szCs w:val="24"/>
                <w:lang w:val="en-US" w:eastAsia="en-US"/>
              </w:rPr>
              <w:t xml:space="preserve">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35)</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(11)</w:t>
            </w:r>
          </w:p>
        </w:tc>
        <w:tc>
          <w:tcPr>
            <w:tcW w:w="1275"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1,29</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0,04</w:t>
            </w:r>
            <w:r w:rsidRPr="001416ED">
              <w:rPr>
                <w:rFonts w:eastAsiaTheme="minorHAnsi"/>
                <w:kern w:val="11"/>
                <w:sz w:val="24"/>
                <w:szCs w:val="24"/>
                <w:lang w:val="en-US" w:eastAsia="en-US"/>
              </w:rPr>
              <w:t xml:space="preserve">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val="uk-UA" w:eastAsia="en-US"/>
              </w:rPr>
              <w:t>35)</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(14)</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6,20</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0,09</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val="uk-UA" w:eastAsia="en-US"/>
              </w:rPr>
              <w:t>27)</w:t>
            </w:r>
            <w:r w:rsidRPr="001416ED">
              <w:rPr>
                <w:rFonts w:eastAsiaTheme="minorHAnsi"/>
                <w:kern w:val="11"/>
                <w:sz w:val="24"/>
                <w:szCs w:val="24"/>
                <w:lang w:eastAsia="en-US"/>
              </w:rPr>
              <w:t xml:space="preserve">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(17)</w:t>
            </w:r>
          </w:p>
        </w:tc>
        <w:tc>
          <w:tcPr>
            <w:tcW w:w="1418"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2,23</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0,07</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27)</w:t>
            </w:r>
            <w:r w:rsidRPr="001416ED">
              <w:rPr>
                <w:rFonts w:eastAsiaTheme="minorHAnsi"/>
                <w:kern w:val="11"/>
                <w:sz w:val="24"/>
                <w:szCs w:val="24"/>
                <w:lang w:eastAsia="en-US"/>
              </w:rPr>
              <w:t xml:space="preserve">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(20)</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4,50</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0,18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27)</w:t>
            </w:r>
            <w:r w:rsidRPr="001416ED">
              <w:rPr>
                <w:rFonts w:eastAsiaTheme="minorHAnsi"/>
                <w:kern w:val="11"/>
                <w:sz w:val="24"/>
                <w:szCs w:val="24"/>
                <w:lang w:eastAsia="en-US"/>
              </w:rPr>
              <w:t xml:space="preserve">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(23)</w:t>
            </w:r>
          </w:p>
        </w:tc>
        <w:tc>
          <w:tcPr>
            <w:tcW w:w="1418"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1,87</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0,05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27)</w:t>
            </w:r>
            <w:r w:rsidRPr="001416ED">
              <w:rPr>
                <w:rFonts w:eastAsiaTheme="minorHAnsi"/>
                <w:kern w:val="11"/>
                <w:sz w:val="24"/>
                <w:szCs w:val="24"/>
                <w:lang w:eastAsia="en-US"/>
              </w:rPr>
              <w:t xml:space="preserve">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(26)</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0,78</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0,05 </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27)</w:t>
            </w:r>
            <w:r w:rsidRPr="001416ED">
              <w:rPr>
                <w:rFonts w:eastAsiaTheme="minorHAnsi"/>
                <w:kern w:val="11"/>
                <w:sz w:val="24"/>
                <w:szCs w:val="24"/>
                <w:lang w:eastAsia="en-US"/>
              </w:rPr>
              <w:t xml:space="preserve">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(29)</w:t>
            </w:r>
          </w:p>
        </w:tc>
        <w:tc>
          <w:tcPr>
            <w:tcW w:w="1622" w:type="dxa"/>
          </w:tcPr>
          <w:p w:rsidR="00E253F5" w:rsidRPr="001416ED" w:rsidRDefault="00E253F5" w:rsidP="001D386E">
            <w:pPr>
              <w:spacing w:line="360" w:lineRule="auto"/>
              <w:rPr>
                <w:rFonts w:eastAsiaTheme="minorHAnsi"/>
                <w:b/>
                <w:kern w:val="11"/>
                <w:sz w:val="24"/>
                <w:szCs w:val="24"/>
                <w:lang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17</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2</w:t>
            </w:r>
            <w:r w:rsidRPr="001416ED">
              <w:rPr>
                <w:rFonts w:eastAsiaTheme="minorHAnsi"/>
                <w:kern w:val="11"/>
                <w:sz w:val="24"/>
                <w:szCs w:val="24"/>
                <w:lang w:val="uk-UA" w:eastAsia="en-US"/>
              </w:rPr>
              <w:t>&lt;0,0001</w:t>
            </w:r>
            <w:r w:rsidRPr="001416ED">
              <w:rPr>
                <w:rFonts w:eastAsiaTheme="minorHAnsi"/>
                <w:b/>
                <w:kern w:val="11"/>
                <w:sz w:val="24"/>
                <w:szCs w:val="24"/>
                <w:lang w:eastAsia="en-US"/>
              </w:rPr>
              <w:t xml:space="preserve"> </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b/>
                <w:kern w:val="11"/>
                <w:sz w:val="24"/>
                <w:szCs w:val="24"/>
                <w:lang w:eastAsia="en-US"/>
              </w:rPr>
              <w:t xml:space="preserve"> </w:t>
            </w: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20</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en-US" w:eastAsia="en-US"/>
              </w:rPr>
              <w:t>5</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val="uk-UA" w:eastAsia="en-US"/>
              </w:rPr>
              <w:t>0</w:t>
            </w:r>
            <w:r w:rsidRPr="001416ED">
              <w:rPr>
                <w:rFonts w:eastAsiaTheme="minorHAnsi"/>
                <w:kern w:val="11"/>
                <w:sz w:val="24"/>
                <w:szCs w:val="24"/>
                <w:lang w:val="en-US" w:eastAsia="en-US"/>
              </w:rPr>
              <w:t>1</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 xml:space="preserve"> р</w:t>
            </w:r>
            <w:r w:rsidRPr="001416ED">
              <w:rPr>
                <w:rFonts w:eastAsiaTheme="minorHAnsi"/>
                <w:kern w:val="11"/>
                <w:sz w:val="24"/>
                <w:szCs w:val="24"/>
                <w:vertAlign w:val="subscript"/>
                <w:lang w:eastAsia="en-US"/>
              </w:rPr>
              <w:t>23</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8</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26</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11</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p w:rsidR="00E253F5" w:rsidRPr="001416ED" w:rsidRDefault="00E253F5" w:rsidP="00347B8E">
            <w:pPr>
              <w:spacing w:line="360" w:lineRule="auto"/>
              <w:rPr>
                <w:rFonts w:eastAsiaTheme="minorHAnsi"/>
                <w:b/>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29</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14</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tc>
      </w:tr>
      <w:tr w:rsidR="00E44C50" w:rsidRPr="001416ED" w:rsidTr="00347B8E">
        <w:trPr>
          <w:jc w:val="center"/>
        </w:trPr>
        <w:tc>
          <w:tcPr>
            <w:tcW w:w="1227" w:type="dxa"/>
          </w:tcPr>
          <w:p w:rsidR="00E253F5" w:rsidRPr="001416ED" w:rsidRDefault="002D2879" w:rsidP="001D386E">
            <w:pPr>
              <w:spacing w:line="360" w:lineRule="auto"/>
              <w:rPr>
                <w:rFonts w:eastAsiaTheme="minorHAnsi"/>
                <w:kern w:val="11"/>
                <w:sz w:val="24"/>
                <w:szCs w:val="24"/>
                <w:lang w:val="uk-UA" w:eastAsia="en-US"/>
              </w:rPr>
            </w:pPr>
            <w:r w:rsidRPr="001416ED">
              <w:rPr>
                <w:rFonts w:eastAsiaTheme="minorHAnsi"/>
                <w:kern w:val="11"/>
                <w:sz w:val="24"/>
                <w:szCs w:val="24"/>
                <w:lang w:val="uk-UA" w:eastAsia="en-US"/>
              </w:rPr>
              <w:t xml:space="preserve">Пацієнти з </w:t>
            </w:r>
            <w:r w:rsidR="00A63A7A" w:rsidRPr="001416ED">
              <w:rPr>
                <w:rFonts w:eastAsiaTheme="minorHAnsi"/>
                <w:kern w:val="11"/>
                <w:sz w:val="24"/>
                <w:szCs w:val="24"/>
                <w:lang w:val="uk-UA" w:eastAsia="en-US"/>
              </w:rPr>
              <w:t>ГХ ІІІ ст</w:t>
            </w:r>
            <w:r w:rsidR="00F911B7" w:rsidRPr="001416ED">
              <w:rPr>
                <w:rFonts w:eastAsiaTheme="minorHAnsi"/>
                <w:kern w:val="11"/>
                <w:sz w:val="24"/>
                <w:szCs w:val="24"/>
                <w:lang w:val="uk-UA" w:eastAsia="en-US"/>
              </w:rPr>
              <w:t xml:space="preserve">. </w:t>
            </w:r>
            <w:r w:rsidR="00E253F5" w:rsidRPr="001416ED">
              <w:rPr>
                <w:rFonts w:eastAsiaTheme="minorHAnsi"/>
                <w:kern w:val="11"/>
                <w:sz w:val="24"/>
                <w:szCs w:val="24"/>
                <w:lang w:val="uk-UA" w:eastAsia="en-US"/>
              </w:rPr>
              <w:t>(</w:t>
            </w:r>
            <w:r w:rsidR="00E253F5" w:rsidRPr="001416ED">
              <w:rPr>
                <w:rFonts w:eastAsiaTheme="minorHAnsi"/>
                <w:kern w:val="11"/>
                <w:sz w:val="24"/>
                <w:szCs w:val="24"/>
                <w:lang w:val="en-US" w:eastAsia="en-US"/>
              </w:rPr>
              <w:t>n</w:t>
            </w:r>
            <w:r w:rsidR="00E253F5" w:rsidRPr="001416ED">
              <w:rPr>
                <w:rFonts w:eastAsiaTheme="minorHAnsi"/>
                <w:kern w:val="11"/>
                <w:sz w:val="24"/>
                <w:szCs w:val="24"/>
                <w:lang w:val="uk-UA" w:eastAsia="en-US"/>
              </w:rPr>
              <w:t>=50)</w:t>
            </w:r>
          </w:p>
          <w:p w:rsidR="009244AC" w:rsidRPr="001416ED" w:rsidRDefault="009244AC" w:rsidP="001D386E">
            <w:pPr>
              <w:spacing w:line="360" w:lineRule="auto"/>
              <w:rPr>
                <w:rFonts w:eastAsiaTheme="minorHAnsi"/>
                <w:kern w:val="11"/>
                <w:sz w:val="24"/>
                <w:szCs w:val="24"/>
                <w:lang w:val="uk-UA" w:eastAsia="en-US"/>
              </w:rPr>
            </w:pPr>
          </w:p>
        </w:tc>
        <w:tc>
          <w:tcPr>
            <w:tcW w:w="1275" w:type="dxa"/>
          </w:tcPr>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5,66</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0,05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33)</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(3)</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1,87</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0,03</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33)</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(6)</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3,75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0,10</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33)</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(9)</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1,46</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0,06</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33)</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(12)</w:t>
            </w:r>
          </w:p>
        </w:tc>
        <w:tc>
          <w:tcPr>
            <w:tcW w:w="1275"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1,35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0,06</w:t>
            </w:r>
          </w:p>
          <w:p w:rsidR="00E253F5" w:rsidRPr="001416ED" w:rsidRDefault="00E253F5" w:rsidP="001D386E">
            <w:pPr>
              <w:spacing w:line="360" w:lineRule="auto"/>
              <w:jc w:val="center"/>
              <w:rPr>
                <w:rFonts w:eastAsiaTheme="minorHAnsi"/>
                <w:kern w:val="11"/>
                <w:sz w:val="24"/>
                <w:szCs w:val="24"/>
                <w:lang w:val="uk-UA"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33)</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(15)</w:t>
            </w:r>
          </w:p>
        </w:tc>
        <w:tc>
          <w:tcPr>
            <w:tcW w:w="1276"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6,71</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0,17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17)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(18)</w:t>
            </w:r>
          </w:p>
        </w:tc>
        <w:tc>
          <w:tcPr>
            <w:tcW w:w="1418"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2,75</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0,14</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17)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(21)</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4,93</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0,20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17)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(24)</w:t>
            </w:r>
          </w:p>
        </w:tc>
        <w:tc>
          <w:tcPr>
            <w:tcW w:w="1418"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2,04</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0,07 (</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17)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(27)</w:t>
            </w:r>
          </w:p>
        </w:tc>
        <w:tc>
          <w:tcPr>
            <w:tcW w:w="1417" w:type="dxa"/>
          </w:tcPr>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0,63</w:t>
            </w:r>
            <w:r w:rsidR="007A07A9" w:rsidRPr="001416ED">
              <w:rPr>
                <w:rFonts w:eastAsiaTheme="minorHAnsi"/>
                <w:kern w:val="11"/>
                <w:sz w:val="24"/>
                <w:szCs w:val="24"/>
                <w:lang w:val="uk-UA" w:eastAsia="en-US"/>
              </w:rPr>
              <w:t xml:space="preserve"> ± </w:t>
            </w:r>
            <w:r w:rsidRPr="001416ED">
              <w:rPr>
                <w:rFonts w:eastAsiaTheme="minorHAnsi"/>
                <w:kern w:val="11"/>
                <w:sz w:val="24"/>
                <w:szCs w:val="24"/>
                <w:lang w:eastAsia="en-US"/>
              </w:rPr>
              <w:t xml:space="preserve">0,06 </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w:t>
            </w:r>
            <w:r w:rsidRPr="001416ED">
              <w:rPr>
                <w:rFonts w:eastAsiaTheme="minorHAnsi"/>
                <w:kern w:val="11"/>
                <w:sz w:val="24"/>
                <w:szCs w:val="24"/>
                <w:lang w:val="en-US" w:eastAsia="en-US"/>
              </w:rPr>
              <w:t>n</w:t>
            </w:r>
            <w:r w:rsidRPr="001416ED">
              <w:rPr>
                <w:rFonts w:eastAsiaTheme="minorHAnsi"/>
                <w:kern w:val="11"/>
                <w:sz w:val="24"/>
                <w:szCs w:val="24"/>
                <w:lang w:eastAsia="en-US"/>
              </w:rPr>
              <w:t>=</w:t>
            </w:r>
            <w:r w:rsidRPr="001416ED">
              <w:rPr>
                <w:rFonts w:eastAsiaTheme="minorHAnsi"/>
                <w:kern w:val="11"/>
                <w:sz w:val="24"/>
                <w:szCs w:val="24"/>
                <w:lang w:val="uk-UA" w:eastAsia="en-US"/>
              </w:rPr>
              <w:t>17)</w:t>
            </w:r>
          </w:p>
          <w:p w:rsidR="00E253F5" w:rsidRPr="001416ED" w:rsidRDefault="00E253F5" w:rsidP="001D386E">
            <w:pPr>
              <w:spacing w:line="360" w:lineRule="auto"/>
              <w:jc w:val="center"/>
              <w:rPr>
                <w:rFonts w:eastAsiaTheme="minorHAnsi"/>
                <w:kern w:val="11"/>
                <w:sz w:val="24"/>
                <w:szCs w:val="24"/>
                <w:lang w:eastAsia="en-US"/>
              </w:rPr>
            </w:pPr>
            <w:r w:rsidRPr="001416ED">
              <w:rPr>
                <w:rFonts w:eastAsiaTheme="minorHAnsi"/>
                <w:kern w:val="11"/>
                <w:sz w:val="24"/>
                <w:szCs w:val="24"/>
                <w:lang w:eastAsia="en-US"/>
              </w:rPr>
              <w:t xml:space="preserve"> (30)</w:t>
            </w:r>
          </w:p>
        </w:tc>
        <w:tc>
          <w:tcPr>
            <w:tcW w:w="1622" w:type="dxa"/>
          </w:tcPr>
          <w:p w:rsidR="00E253F5" w:rsidRPr="001416ED" w:rsidRDefault="00E253F5" w:rsidP="001D386E">
            <w:pPr>
              <w:spacing w:line="360" w:lineRule="auto"/>
              <w:rPr>
                <w:rFonts w:eastAsiaTheme="minorHAnsi"/>
                <w:b/>
                <w:kern w:val="11"/>
                <w:sz w:val="24"/>
                <w:szCs w:val="24"/>
                <w:lang w:eastAsia="en-US"/>
              </w:rPr>
            </w:pPr>
            <w:r w:rsidRPr="001416ED">
              <w:rPr>
                <w:rFonts w:eastAsiaTheme="minorHAnsi"/>
                <w:kern w:val="11"/>
                <w:sz w:val="24"/>
                <w:szCs w:val="24"/>
                <w:lang w:val="uk-UA" w:eastAsia="en-US"/>
              </w:rPr>
              <w:t xml:space="preserve"> </w:t>
            </w:r>
            <w:r w:rsidRPr="001416ED">
              <w:rPr>
                <w:rFonts w:eastAsiaTheme="minorHAnsi"/>
                <w:kern w:val="11"/>
                <w:sz w:val="24"/>
                <w:szCs w:val="24"/>
                <w:lang w:eastAsia="en-US"/>
              </w:rPr>
              <w:t>р</w:t>
            </w:r>
            <w:r w:rsidRPr="001416ED">
              <w:rPr>
                <w:rFonts w:eastAsiaTheme="minorHAnsi"/>
                <w:kern w:val="11"/>
                <w:sz w:val="24"/>
                <w:szCs w:val="24"/>
                <w:vertAlign w:val="subscript"/>
                <w:lang w:eastAsia="en-US"/>
              </w:rPr>
              <w:t>18</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3</w:t>
            </w:r>
            <w:r w:rsidRPr="001416ED">
              <w:rPr>
                <w:rFonts w:eastAsiaTheme="minorHAnsi"/>
                <w:kern w:val="11"/>
                <w:sz w:val="24"/>
                <w:szCs w:val="24"/>
                <w:lang w:val="uk-UA" w:eastAsia="en-US"/>
              </w:rPr>
              <w:t>&lt;0,0001</w:t>
            </w:r>
            <w:r w:rsidRPr="001416ED">
              <w:rPr>
                <w:rFonts w:eastAsiaTheme="minorHAnsi"/>
                <w:b/>
                <w:kern w:val="11"/>
                <w:sz w:val="24"/>
                <w:szCs w:val="24"/>
                <w:lang w:eastAsia="en-US"/>
              </w:rPr>
              <w:t xml:space="preserve"> </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b/>
                <w:kern w:val="11"/>
                <w:sz w:val="24"/>
                <w:szCs w:val="24"/>
                <w:lang w:eastAsia="en-US"/>
              </w:rPr>
              <w:t xml:space="preserve"> </w:t>
            </w: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21</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6</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val="uk-UA" w:eastAsia="en-US"/>
              </w:rPr>
              <w:t>0</w:t>
            </w:r>
            <w:r w:rsidRPr="001416ED">
              <w:rPr>
                <w:rFonts w:eastAsiaTheme="minorHAnsi"/>
                <w:kern w:val="11"/>
                <w:sz w:val="24"/>
                <w:szCs w:val="24"/>
                <w:lang w:val="en-US" w:eastAsia="en-US"/>
              </w:rPr>
              <w:t>1</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 xml:space="preserve"> р</w:t>
            </w:r>
            <w:r w:rsidRPr="001416ED">
              <w:rPr>
                <w:rFonts w:eastAsiaTheme="minorHAnsi"/>
                <w:kern w:val="11"/>
                <w:sz w:val="24"/>
                <w:szCs w:val="24"/>
                <w:vertAlign w:val="subscript"/>
                <w:lang w:eastAsia="en-US"/>
              </w:rPr>
              <w:t>24</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9</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p w:rsidR="00E253F5" w:rsidRPr="001416ED" w:rsidRDefault="00E253F5" w:rsidP="001D386E">
            <w:pPr>
              <w:spacing w:line="360" w:lineRule="auto"/>
              <w:rPr>
                <w:rFonts w:eastAsiaTheme="minorHAnsi"/>
                <w:kern w:val="11"/>
                <w:sz w:val="24"/>
                <w:szCs w:val="24"/>
                <w:lang w:val="uk-UA"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27</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12</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p w:rsidR="00E253F5" w:rsidRPr="001416ED" w:rsidRDefault="00E253F5" w:rsidP="00347B8E">
            <w:pPr>
              <w:spacing w:line="360" w:lineRule="auto"/>
              <w:rPr>
                <w:rFonts w:eastAsiaTheme="minorHAnsi"/>
                <w:b/>
                <w:kern w:val="11"/>
                <w:sz w:val="24"/>
                <w:szCs w:val="24"/>
                <w:lang w:eastAsia="en-US"/>
              </w:rPr>
            </w:pPr>
            <w:r w:rsidRPr="001416ED">
              <w:rPr>
                <w:rFonts w:eastAsiaTheme="minorHAnsi"/>
                <w:kern w:val="11"/>
                <w:sz w:val="24"/>
                <w:szCs w:val="24"/>
                <w:lang w:eastAsia="en-US"/>
              </w:rPr>
              <w:t>р</w:t>
            </w:r>
            <w:r w:rsidRPr="001416ED">
              <w:rPr>
                <w:rFonts w:eastAsiaTheme="minorHAnsi"/>
                <w:kern w:val="11"/>
                <w:sz w:val="24"/>
                <w:szCs w:val="24"/>
                <w:vertAlign w:val="subscript"/>
                <w:lang w:eastAsia="en-US"/>
              </w:rPr>
              <w:t>30</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15</w:t>
            </w:r>
            <w:r w:rsidRPr="001416ED">
              <w:rPr>
                <w:rFonts w:eastAsiaTheme="minorHAnsi"/>
                <w:kern w:val="11"/>
                <w:sz w:val="24"/>
                <w:szCs w:val="24"/>
                <w:lang w:val="uk-UA" w:eastAsia="en-US"/>
              </w:rPr>
              <w:t>&lt;0,0</w:t>
            </w:r>
            <w:r w:rsidRPr="001416ED">
              <w:rPr>
                <w:rFonts w:eastAsiaTheme="minorHAnsi"/>
                <w:kern w:val="11"/>
                <w:sz w:val="24"/>
                <w:szCs w:val="24"/>
                <w:lang w:val="en-US" w:eastAsia="en-US"/>
              </w:rPr>
              <w:t>0</w:t>
            </w:r>
            <w:r w:rsidRPr="001416ED">
              <w:rPr>
                <w:rFonts w:eastAsiaTheme="minorHAnsi"/>
                <w:kern w:val="11"/>
                <w:sz w:val="24"/>
                <w:szCs w:val="24"/>
                <w:lang w:eastAsia="en-US"/>
              </w:rPr>
              <w:t>0</w:t>
            </w:r>
            <w:r w:rsidRPr="001416ED">
              <w:rPr>
                <w:rFonts w:eastAsiaTheme="minorHAnsi"/>
                <w:kern w:val="11"/>
                <w:sz w:val="24"/>
                <w:szCs w:val="24"/>
                <w:lang w:val="en-US" w:eastAsia="en-US"/>
              </w:rPr>
              <w:t>1</w:t>
            </w:r>
          </w:p>
        </w:tc>
      </w:tr>
    </w:tbl>
    <w:p w:rsidR="002D2879" w:rsidRPr="001416ED" w:rsidRDefault="00401CE8" w:rsidP="00401CE8">
      <w:pPr>
        <w:spacing w:line="360" w:lineRule="auto"/>
        <w:contextualSpacing/>
        <w:jc w:val="right"/>
        <w:rPr>
          <w:i/>
          <w:lang w:val="uk-UA"/>
        </w:rPr>
      </w:pPr>
      <w:r w:rsidRPr="001416ED">
        <w:rPr>
          <w:i/>
          <w:lang w:val="uk-UA"/>
        </w:rPr>
        <w:t xml:space="preserve"> </w:t>
      </w:r>
    </w:p>
    <w:p w:rsidR="002D2879" w:rsidRPr="001416ED" w:rsidRDefault="002D2879" w:rsidP="00401CE8">
      <w:pPr>
        <w:spacing w:line="360" w:lineRule="auto"/>
        <w:contextualSpacing/>
        <w:jc w:val="right"/>
        <w:rPr>
          <w:i/>
          <w:lang w:val="uk-UA"/>
        </w:rPr>
      </w:pPr>
    </w:p>
    <w:p w:rsidR="00401CE8" w:rsidRPr="001416ED" w:rsidRDefault="00401CE8" w:rsidP="00401CE8">
      <w:pPr>
        <w:spacing w:line="360" w:lineRule="auto"/>
        <w:contextualSpacing/>
        <w:jc w:val="right"/>
        <w:rPr>
          <w:i/>
          <w:lang w:val="uk-UA"/>
        </w:rPr>
      </w:pPr>
      <w:r w:rsidRPr="001416ED">
        <w:rPr>
          <w:i/>
          <w:lang w:val="uk-UA"/>
        </w:rPr>
        <w:lastRenderedPageBreak/>
        <w:t xml:space="preserve"> </w:t>
      </w:r>
      <w:r w:rsidRPr="001416ED">
        <w:rPr>
          <w:i/>
        </w:rPr>
        <w:t>Продовження табл.</w:t>
      </w:r>
      <w:r w:rsidRPr="001416ED">
        <w:rPr>
          <w:i/>
          <w:lang w:val="uk-UA"/>
        </w:rPr>
        <w:t xml:space="preserve"> 4.</w:t>
      </w:r>
      <w:r w:rsidR="00EC6DB5" w:rsidRPr="001416ED">
        <w:rPr>
          <w:i/>
          <w:lang w:val="uk-UA"/>
        </w:rPr>
        <w:t>9</w:t>
      </w:r>
    </w:p>
    <w:tbl>
      <w:tblPr>
        <w:tblStyle w:val="af5"/>
        <w:tblW w:w="16160" w:type="dxa"/>
        <w:tblInd w:w="-743" w:type="dxa"/>
        <w:tblLayout w:type="fixed"/>
        <w:tblLook w:val="04A0" w:firstRow="1" w:lastRow="0" w:firstColumn="1" w:lastColumn="0" w:noHBand="0" w:noVBand="1"/>
      </w:tblPr>
      <w:tblGrid>
        <w:gridCol w:w="1277"/>
        <w:gridCol w:w="1275"/>
        <w:gridCol w:w="1276"/>
        <w:gridCol w:w="1276"/>
        <w:gridCol w:w="1276"/>
        <w:gridCol w:w="1324"/>
        <w:gridCol w:w="1227"/>
        <w:gridCol w:w="1418"/>
        <w:gridCol w:w="1275"/>
        <w:gridCol w:w="1276"/>
        <w:gridCol w:w="1418"/>
        <w:gridCol w:w="1842"/>
      </w:tblGrid>
      <w:tr w:rsidR="00401CE8" w:rsidRPr="001416ED" w:rsidTr="00401CE8">
        <w:tc>
          <w:tcPr>
            <w:tcW w:w="1277" w:type="dxa"/>
          </w:tcPr>
          <w:p w:rsidR="00401CE8" w:rsidRPr="001416ED" w:rsidRDefault="00401CE8" w:rsidP="007A3C1A">
            <w:pPr>
              <w:spacing w:line="360" w:lineRule="auto"/>
              <w:rPr>
                <w:rFonts w:eastAsiaTheme="minorHAnsi"/>
                <w:kern w:val="11"/>
                <w:sz w:val="24"/>
                <w:szCs w:val="24"/>
                <w:lang w:val="uk-UA" w:eastAsia="en-US"/>
              </w:rPr>
            </w:pPr>
            <w:r w:rsidRPr="001416ED">
              <w:rPr>
                <w:rFonts w:eastAsiaTheme="minorHAnsi"/>
                <w:kern w:val="11"/>
                <w:sz w:val="24"/>
                <w:szCs w:val="24"/>
                <w:lang w:val="uk-UA" w:eastAsia="en-US"/>
              </w:rPr>
              <w:t>р</w:t>
            </w:r>
          </w:p>
        </w:tc>
        <w:tc>
          <w:tcPr>
            <w:tcW w:w="1275"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w:t>
            </w:r>
            <w:r w:rsidR="005E5347"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3</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w:t>
            </w:r>
            <w:r w:rsidR="005E5347"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3</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w:t>
            </w:r>
            <w:r w:rsidRPr="001416ED">
              <w:rPr>
                <w:rFonts w:eastAsiaTheme="minorHAnsi"/>
                <w:kern w:val="11"/>
                <w:sz w:val="24"/>
                <w:szCs w:val="24"/>
                <w:lang w:val="uk-UA" w:eastAsia="en-US"/>
              </w:rPr>
              <w:t>&gt;0,05</w:t>
            </w:r>
          </w:p>
        </w:tc>
        <w:tc>
          <w:tcPr>
            <w:tcW w:w="1276"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5</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4</w:t>
            </w:r>
            <w:r w:rsidRPr="001416ED">
              <w:rPr>
                <w:rFonts w:eastAsiaTheme="minorHAnsi"/>
                <w:kern w:val="11"/>
                <w:sz w:val="24"/>
                <w:szCs w:val="24"/>
                <w:lang w:val="uk-UA" w:eastAsia="en-US"/>
              </w:rPr>
              <w:t>&lt;0,01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6</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4</w:t>
            </w:r>
            <w:r w:rsidR="005E5347"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6</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5</w:t>
            </w:r>
            <w:r w:rsidRPr="001416ED">
              <w:rPr>
                <w:rFonts w:eastAsiaTheme="minorHAnsi"/>
                <w:kern w:val="11"/>
                <w:sz w:val="24"/>
                <w:szCs w:val="24"/>
                <w:lang w:val="uk-UA" w:eastAsia="en-US"/>
              </w:rPr>
              <w:t>&lt;0,01</w:t>
            </w:r>
          </w:p>
        </w:tc>
        <w:tc>
          <w:tcPr>
            <w:tcW w:w="1276"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8</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7</w:t>
            </w:r>
            <w:r w:rsidR="005E5347" w:rsidRPr="001416ED">
              <w:rPr>
                <w:rFonts w:eastAsiaTheme="minorHAnsi"/>
                <w:kern w:val="11"/>
                <w:sz w:val="24"/>
                <w:szCs w:val="24"/>
                <w:lang w:val="uk-UA" w:eastAsia="en-US"/>
              </w:rPr>
              <w:t>&lt;0,00</w:t>
            </w:r>
            <w:r w:rsidRPr="001416ED">
              <w:rPr>
                <w:rFonts w:eastAsiaTheme="minorHAnsi"/>
                <w:kern w:val="11"/>
                <w:sz w:val="24"/>
                <w:szCs w:val="24"/>
                <w:lang w:val="uk-UA" w:eastAsia="en-US"/>
              </w:rPr>
              <w:t>01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9</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7</w:t>
            </w:r>
            <w:r w:rsidR="005E5347" w:rsidRPr="001416ED">
              <w:rPr>
                <w:rFonts w:eastAsiaTheme="minorHAnsi"/>
                <w:kern w:val="11"/>
                <w:sz w:val="24"/>
                <w:szCs w:val="24"/>
                <w:lang w:val="uk-UA" w:eastAsia="en-US"/>
              </w:rPr>
              <w:t>&lt;0,0</w:t>
            </w:r>
            <w:r w:rsidRPr="001416ED">
              <w:rPr>
                <w:rFonts w:eastAsiaTheme="minorHAnsi"/>
                <w:kern w:val="11"/>
                <w:sz w:val="24"/>
                <w:szCs w:val="24"/>
                <w:lang w:val="uk-UA" w:eastAsia="en-US"/>
              </w:rPr>
              <w:t>001</w:t>
            </w:r>
          </w:p>
          <w:p w:rsidR="00401CE8" w:rsidRPr="001416ED" w:rsidRDefault="00401CE8" w:rsidP="007A3C1A">
            <w:pPr>
              <w:spacing w:line="360" w:lineRule="auto"/>
              <w:jc w:val="center"/>
              <w:rPr>
                <w:rFonts w:eastAsiaTheme="minorHAnsi"/>
                <w:b/>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9</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8</w:t>
            </w:r>
            <w:r w:rsidR="005E5347"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tc>
        <w:tc>
          <w:tcPr>
            <w:tcW w:w="1276"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11</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10</w:t>
            </w:r>
            <w:r w:rsidR="005E5347"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12</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10</w:t>
            </w:r>
            <w:r w:rsidR="005E5347" w:rsidRPr="001416ED">
              <w:rPr>
                <w:rFonts w:eastAsiaTheme="minorHAnsi"/>
                <w:kern w:val="11"/>
                <w:sz w:val="24"/>
                <w:szCs w:val="24"/>
                <w:lang w:val="uk-UA" w:eastAsia="en-US"/>
              </w:rPr>
              <w:t>&lt;0,0</w:t>
            </w:r>
            <w:r w:rsidRPr="001416ED">
              <w:rPr>
                <w:rFonts w:eastAsiaTheme="minorHAnsi"/>
                <w:kern w:val="11"/>
                <w:sz w:val="24"/>
                <w:szCs w:val="24"/>
                <w:lang w:val="uk-UA" w:eastAsia="en-US"/>
              </w:rPr>
              <w:t>001</w:t>
            </w:r>
          </w:p>
          <w:p w:rsidR="00401CE8" w:rsidRPr="001416ED" w:rsidRDefault="00401CE8" w:rsidP="007A3C1A">
            <w:pPr>
              <w:spacing w:line="360" w:lineRule="auto"/>
              <w:jc w:val="center"/>
              <w:rPr>
                <w:rFonts w:eastAsiaTheme="minorHAnsi"/>
                <w:b/>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12</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10</w:t>
            </w:r>
            <w:r w:rsidRPr="001416ED">
              <w:rPr>
                <w:rFonts w:eastAsiaTheme="minorHAnsi"/>
                <w:kern w:val="11"/>
                <w:sz w:val="24"/>
                <w:szCs w:val="24"/>
                <w:lang w:val="uk-UA" w:eastAsia="en-US"/>
              </w:rPr>
              <w:t>&lt;0,01</w:t>
            </w:r>
          </w:p>
        </w:tc>
        <w:tc>
          <w:tcPr>
            <w:tcW w:w="1324"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14</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13</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15</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13</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15</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14</w:t>
            </w:r>
            <w:r w:rsidRPr="001416ED">
              <w:rPr>
                <w:rFonts w:eastAsiaTheme="minorHAnsi"/>
                <w:kern w:val="11"/>
                <w:sz w:val="24"/>
                <w:szCs w:val="24"/>
                <w:lang w:val="uk-UA" w:eastAsia="en-US"/>
              </w:rPr>
              <w:t>&gt;0,05</w:t>
            </w:r>
          </w:p>
        </w:tc>
        <w:tc>
          <w:tcPr>
            <w:tcW w:w="1227"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17</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16</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18</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16</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18</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17</w:t>
            </w:r>
            <w:r w:rsidRPr="001416ED">
              <w:rPr>
                <w:rFonts w:eastAsiaTheme="minorHAnsi"/>
                <w:kern w:val="11"/>
                <w:sz w:val="24"/>
                <w:szCs w:val="24"/>
                <w:lang w:val="uk-UA" w:eastAsia="en-US"/>
              </w:rPr>
              <w:t>&lt;0,0</w:t>
            </w:r>
            <w:r w:rsidRPr="001416ED">
              <w:rPr>
                <w:rFonts w:eastAsiaTheme="minorHAnsi"/>
                <w:kern w:val="11"/>
                <w:sz w:val="24"/>
                <w:szCs w:val="24"/>
                <w:lang w:eastAsia="en-US"/>
              </w:rPr>
              <w:t>001</w:t>
            </w:r>
          </w:p>
        </w:tc>
        <w:tc>
          <w:tcPr>
            <w:tcW w:w="1418"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20</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19</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21</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19</w:t>
            </w:r>
            <w:r w:rsidRPr="001416ED">
              <w:rPr>
                <w:rFonts w:eastAsiaTheme="minorHAnsi"/>
                <w:kern w:val="11"/>
                <w:sz w:val="24"/>
                <w:szCs w:val="24"/>
                <w:lang w:val="uk-UA" w:eastAsia="en-US"/>
              </w:rPr>
              <w:t>&lt;</w:t>
            </w:r>
            <w:r w:rsidR="00AC0CBD" w:rsidRPr="001416ED">
              <w:rPr>
                <w:rFonts w:eastAsiaTheme="minorHAnsi"/>
                <w:kern w:val="11"/>
                <w:sz w:val="24"/>
                <w:szCs w:val="24"/>
                <w:lang w:val="uk-UA" w:eastAsia="en-US"/>
              </w:rPr>
              <w: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21</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20</w:t>
            </w:r>
            <w:r w:rsidRPr="001416ED">
              <w:rPr>
                <w:rFonts w:eastAsiaTheme="minorHAnsi"/>
                <w:kern w:val="11"/>
                <w:sz w:val="24"/>
                <w:szCs w:val="24"/>
                <w:lang w:val="uk-UA" w:eastAsia="en-US"/>
              </w:rPr>
              <w:t>&lt;0,0</w:t>
            </w:r>
            <w:r w:rsidR="00AC0CBD" w:rsidRPr="001416ED">
              <w:rPr>
                <w:rFonts w:eastAsiaTheme="minorHAnsi"/>
                <w:kern w:val="11"/>
                <w:sz w:val="24"/>
                <w:szCs w:val="24"/>
                <w:lang w:eastAsia="en-US"/>
              </w:rPr>
              <w:t>00</w:t>
            </w:r>
            <w:r w:rsidRPr="001416ED">
              <w:rPr>
                <w:rFonts w:eastAsiaTheme="minorHAnsi"/>
                <w:kern w:val="11"/>
                <w:sz w:val="24"/>
                <w:szCs w:val="24"/>
                <w:lang w:eastAsia="en-US"/>
              </w:rPr>
              <w:t>1</w:t>
            </w:r>
          </w:p>
        </w:tc>
        <w:tc>
          <w:tcPr>
            <w:tcW w:w="1275"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23</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22</w:t>
            </w:r>
            <w:r w:rsidR="00AC0CBD" w:rsidRPr="001416ED">
              <w:rPr>
                <w:rFonts w:eastAsiaTheme="minorHAnsi"/>
                <w:kern w:val="11"/>
                <w:sz w:val="24"/>
                <w:szCs w:val="24"/>
                <w:lang w:val="uk-UA" w:eastAsia="en-US"/>
              </w:rPr>
              <w:t>&lt;0,0</w:t>
            </w:r>
            <w:r w:rsidRPr="001416ED">
              <w:rPr>
                <w:rFonts w:eastAsiaTheme="minorHAnsi"/>
                <w:kern w:val="11"/>
                <w:sz w:val="24"/>
                <w:szCs w:val="24"/>
                <w:lang w:val="uk-UA" w:eastAsia="en-US"/>
              </w:rPr>
              <w:t>001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24</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22</w:t>
            </w:r>
            <w:r w:rsidR="00AC0CBD" w:rsidRPr="001416ED">
              <w:rPr>
                <w:rFonts w:eastAsiaTheme="minorHAnsi"/>
                <w:kern w:val="11"/>
                <w:sz w:val="24"/>
                <w:szCs w:val="24"/>
                <w:lang w:val="uk-UA" w:eastAsia="en-US"/>
              </w:rPr>
              <w:t>&lt;0,0</w:t>
            </w:r>
            <w:r w:rsidRPr="001416ED">
              <w:rPr>
                <w:rFonts w:eastAsiaTheme="minorHAnsi"/>
                <w:kern w:val="11"/>
                <w:sz w:val="24"/>
                <w:szCs w:val="24"/>
                <w:lang w:val="uk-UA" w:eastAsia="en-US"/>
              </w:rPr>
              <w:t>001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24</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23</w:t>
            </w:r>
            <w:r w:rsidRPr="001416ED">
              <w:rPr>
                <w:rFonts w:eastAsiaTheme="minorHAnsi"/>
                <w:kern w:val="11"/>
                <w:sz w:val="24"/>
                <w:szCs w:val="24"/>
                <w:lang w:val="uk-UA" w:eastAsia="en-US"/>
              </w:rPr>
              <w:t>&lt;0,0</w:t>
            </w:r>
            <w:r w:rsidRPr="001416ED">
              <w:rPr>
                <w:rFonts w:eastAsiaTheme="minorHAnsi"/>
                <w:kern w:val="11"/>
                <w:sz w:val="24"/>
                <w:szCs w:val="24"/>
                <w:lang w:eastAsia="en-US"/>
              </w:rPr>
              <w:t>5</w:t>
            </w:r>
          </w:p>
        </w:tc>
        <w:tc>
          <w:tcPr>
            <w:tcW w:w="1276"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26</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25</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27</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25</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27</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eastAsia="en-US"/>
              </w:rPr>
              <w:t>26</w:t>
            </w:r>
            <w:r w:rsidRPr="001416ED">
              <w:rPr>
                <w:rFonts w:eastAsiaTheme="minorHAnsi"/>
                <w:kern w:val="11"/>
                <w:sz w:val="24"/>
                <w:szCs w:val="24"/>
                <w:lang w:val="uk-UA" w:eastAsia="en-US"/>
              </w:rPr>
              <w:t>&lt;0,0</w:t>
            </w:r>
            <w:r w:rsidRPr="001416ED">
              <w:rPr>
                <w:rFonts w:eastAsiaTheme="minorHAnsi"/>
                <w:kern w:val="11"/>
                <w:sz w:val="24"/>
                <w:szCs w:val="24"/>
                <w:lang w:eastAsia="en-US"/>
              </w:rPr>
              <w:t>5</w:t>
            </w:r>
          </w:p>
        </w:tc>
        <w:tc>
          <w:tcPr>
            <w:tcW w:w="1418" w:type="dxa"/>
          </w:tcPr>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29</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28</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kern w:val="11"/>
                <w:sz w:val="24"/>
                <w:szCs w:val="24"/>
                <w:lang w:val="uk-UA"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30</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28</w:t>
            </w:r>
            <w:r w:rsidR="00AC0CBD" w:rsidRPr="001416ED">
              <w:rPr>
                <w:rFonts w:eastAsiaTheme="minorHAnsi"/>
                <w:kern w:val="11"/>
                <w:sz w:val="24"/>
                <w:szCs w:val="24"/>
                <w:lang w:val="uk-UA" w:eastAsia="en-US"/>
              </w:rPr>
              <w:t>&lt;0,000</w:t>
            </w:r>
            <w:r w:rsidRPr="001416ED">
              <w:rPr>
                <w:rFonts w:eastAsiaTheme="minorHAnsi"/>
                <w:kern w:val="11"/>
                <w:sz w:val="24"/>
                <w:szCs w:val="24"/>
                <w:lang w:val="uk-UA" w:eastAsia="en-US"/>
              </w:rPr>
              <w:t>1</w:t>
            </w:r>
          </w:p>
          <w:p w:rsidR="00401CE8" w:rsidRPr="001416ED" w:rsidRDefault="00401CE8" w:rsidP="007A3C1A">
            <w:pPr>
              <w:spacing w:line="360" w:lineRule="auto"/>
              <w:jc w:val="center"/>
              <w:rPr>
                <w:rFonts w:eastAsiaTheme="minorHAnsi"/>
                <w:b/>
                <w:kern w:val="11"/>
                <w:sz w:val="24"/>
                <w:szCs w:val="24"/>
                <w:lang w:eastAsia="en-US"/>
              </w:rPr>
            </w:pPr>
            <w:r w:rsidRPr="001416ED">
              <w:rPr>
                <w:rFonts w:eastAsiaTheme="minorHAnsi"/>
                <w:kern w:val="11"/>
                <w:sz w:val="24"/>
                <w:szCs w:val="24"/>
                <w:lang w:val="uk-UA" w:eastAsia="en-US"/>
              </w:rPr>
              <w:t>р</w:t>
            </w:r>
            <w:r w:rsidRPr="001416ED">
              <w:rPr>
                <w:rFonts w:eastAsiaTheme="minorHAnsi"/>
                <w:kern w:val="11"/>
                <w:sz w:val="24"/>
                <w:szCs w:val="24"/>
                <w:vertAlign w:val="subscript"/>
                <w:lang w:val="uk-UA" w:eastAsia="en-US"/>
              </w:rPr>
              <w:t>30</w:t>
            </w:r>
            <w:r w:rsidR="00BC0119" w:rsidRPr="001416ED">
              <w:rPr>
                <w:rFonts w:eastAsiaTheme="minorHAnsi"/>
                <w:kern w:val="11"/>
                <w:sz w:val="24"/>
                <w:szCs w:val="24"/>
                <w:vertAlign w:val="subscript"/>
                <w:lang w:val="uk-UA" w:eastAsia="en-US"/>
              </w:rPr>
              <w:t>–</w:t>
            </w:r>
            <w:r w:rsidRPr="001416ED">
              <w:rPr>
                <w:rFonts w:eastAsiaTheme="minorHAnsi"/>
                <w:kern w:val="11"/>
                <w:sz w:val="24"/>
                <w:szCs w:val="24"/>
                <w:vertAlign w:val="subscript"/>
                <w:lang w:val="uk-UA" w:eastAsia="en-US"/>
              </w:rPr>
              <w:t>29</w:t>
            </w:r>
            <w:r w:rsidRPr="001416ED">
              <w:rPr>
                <w:rFonts w:eastAsiaTheme="minorHAnsi"/>
                <w:kern w:val="11"/>
                <w:sz w:val="24"/>
                <w:szCs w:val="24"/>
                <w:lang w:val="uk-UA" w:eastAsia="en-US"/>
              </w:rPr>
              <w:t>&gt;0,05</w:t>
            </w:r>
          </w:p>
        </w:tc>
        <w:tc>
          <w:tcPr>
            <w:tcW w:w="1842" w:type="dxa"/>
          </w:tcPr>
          <w:p w:rsidR="00401CE8" w:rsidRPr="001416ED" w:rsidRDefault="00401CE8" w:rsidP="007A3C1A">
            <w:pPr>
              <w:spacing w:line="360" w:lineRule="auto"/>
              <w:rPr>
                <w:rFonts w:eastAsiaTheme="minorHAnsi"/>
                <w:b/>
                <w:kern w:val="11"/>
                <w:sz w:val="24"/>
                <w:szCs w:val="24"/>
                <w:lang w:eastAsia="en-US"/>
              </w:rPr>
            </w:pPr>
          </w:p>
        </w:tc>
      </w:tr>
    </w:tbl>
    <w:p w:rsidR="00401CE8" w:rsidRPr="001416ED" w:rsidRDefault="00401CE8" w:rsidP="00E253F5">
      <w:pPr>
        <w:spacing w:line="276" w:lineRule="auto"/>
        <w:jc w:val="right"/>
        <w:rPr>
          <w:rFonts w:eastAsiaTheme="minorHAnsi"/>
          <w:kern w:val="11"/>
          <w:lang w:val="uk-UA" w:eastAsia="en-US"/>
        </w:rPr>
      </w:pPr>
    </w:p>
    <w:p w:rsidR="00401CE8" w:rsidRPr="001416ED" w:rsidRDefault="00401CE8" w:rsidP="00401CE8">
      <w:pPr>
        <w:spacing w:line="276" w:lineRule="auto"/>
        <w:rPr>
          <w:rFonts w:eastAsiaTheme="minorHAnsi"/>
          <w:b/>
          <w:kern w:val="11"/>
          <w:lang w:val="uk-UA" w:eastAsia="en-US"/>
        </w:rPr>
        <w:sectPr w:rsidR="00401CE8" w:rsidRPr="001416ED" w:rsidSect="00E253F5">
          <w:type w:val="continuous"/>
          <w:pgSz w:w="16840" w:h="11907" w:orient="landscape" w:code="9"/>
          <w:pgMar w:top="851" w:right="1134" w:bottom="1134" w:left="1134" w:header="720" w:footer="720" w:gutter="0"/>
          <w:cols w:space="708"/>
          <w:titlePg/>
          <w:docGrid w:linePitch="381"/>
        </w:sectPr>
      </w:pPr>
    </w:p>
    <w:p w:rsidR="004D407F" w:rsidRPr="001416ED" w:rsidRDefault="004D407F" w:rsidP="004D407F">
      <w:pPr>
        <w:spacing w:before="240" w:line="360" w:lineRule="auto"/>
        <w:ind w:firstLine="708"/>
        <w:jc w:val="both"/>
        <w:rPr>
          <w:b/>
          <w:lang w:val="uk-UA"/>
        </w:rPr>
      </w:pPr>
      <w:r w:rsidRPr="001416ED">
        <w:rPr>
          <w:b/>
          <w:lang w:val="uk-UA"/>
        </w:rPr>
        <w:lastRenderedPageBreak/>
        <w:t xml:space="preserve">4.5. </w:t>
      </w:r>
      <w:r w:rsidR="00970339" w:rsidRPr="001416ED">
        <w:rPr>
          <w:b/>
          <w:lang w:val="uk-UA"/>
        </w:rPr>
        <w:t>Варіанти дерматогліфів на пальцях кистей чоловіків з ГХ різної стадії</w:t>
      </w:r>
      <w:r w:rsidR="00F911B7" w:rsidRPr="001416ED">
        <w:rPr>
          <w:b/>
          <w:lang w:val="uk-UA"/>
        </w:rPr>
        <w:t>,</w:t>
      </w:r>
      <w:r w:rsidR="00970339" w:rsidRPr="001416ED">
        <w:rPr>
          <w:b/>
          <w:lang w:val="uk-UA"/>
        </w:rPr>
        <w:t xml:space="preserve"> мешканців По</w:t>
      </w:r>
      <w:r w:rsidR="0099729F">
        <w:rPr>
          <w:b/>
          <w:lang w:val="uk-UA"/>
        </w:rPr>
        <w:t>ді</w:t>
      </w:r>
      <w:r w:rsidR="00970339" w:rsidRPr="001416ED">
        <w:rPr>
          <w:b/>
          <w:lang w:val="uk-UA"/>
        </w:rPr>
        <w:t>льського регіону</w:t>
      </w:r>
    </w:p>
    <w:p w:rsidR="002D1BA4" w:rsidRPr="001416ED" w:rsidRDefault="001D26D6" w:rsidP="004937E4">
      <w:pPr>
        <w:spacing w:line="360" w:lineRule="auto"/>
        <w:ind w:firstLine="708"/>
        <w:jc w:val="both"/>
        <w:rPr>
          <w:lang w:val="uk-UA"/>
        </w:rPr>
      </w:pPr>
      <w:r w:rsidRPr="001416ED">
        <w:rPr>
          <w:lang w:val="uk-UA"/>
        </w:rPr>
        <w:t>Як згадувалось вище, нервова, серцево</w:t>
      </w:r>
      <w:r w:rsidR="00BC0119" w:rsidRPr="001416ED">
        <w:rPr>
          <w:lang w:val="uk-UA"/>
        </w:rPr>
        <w:t>–</w:t>
      </w:r>
      <w:r w:rsidRPr="001416ED">
        <w:rPr>
          <w:lang w:val="uk-UA"/>
        </w:rPr>
        <w:t>судинн</w:t>
      </w:r>
      <w:r w:rsidR="007F40B5" w:rsidRPr="001416ED">
        <w:rPr>
          <w:lang w:val="uk-UA"/>
        </w:rPr>
        <w:t>а системи і шкіра формуються в</w:t>
      </w:r>
      <w:r w:rsidRPr="001416ED">
        <w:rPr>
          <w:lang w:val="uk-UA"/>
        </w:rPr>
        <w:t xml:space="preserve"> один і той самий час. </w:t>
      </w:r>
      <w:r w:rsidR="00882791" w:rsidRPr="001416ED">
        <w:rPr>
          <w:lang w:val="uk-UA"/>
        </w:rPr>
        <w:t>Тому</w:t>
      </w:r>
      <w:r w:rsidR="00477E78" w:rsidRPr="001416ED">
        <w:rPr>
          <w:lang w:val="uk-UA"/>
        </w:rPr>
        <w:t>,</w:t>
      </w:r>
      <w:r w:rsidR="00882791" w:rsidRPr="001416ED">
        <w:rPr>
          <w:lang w:val="uk-UA"/>
        </w:rPr>
        <w:t xml:space="preserve"> була розрахована частота  малюнків на обох кистях у чоловіків з ГХ різної </w:t>
      </w:r>
      <w:r w:rsidR="00046A18" w:rsidRPr="001416ED">
        <w:rPr>
          <w:lang w:val="uk-UA"/>
        </w:rPr>
        <w:t>стадії</w:t>
      </w:r>
      <w:r w:rsidR="004E40F0" w:rsidRPr="001416ED">
        <w:rPr>
          <w:lang w:val="uk-UA"/>
        </w:rPr>
        <w:t>.</w:t>
      </w:r>
      <w:r w:rsidR="00A142C5" w:rsidRPr="001416ED">
        <w:rPr>
          <w:lang w:val="uk-UA"/>
        </w:rPr>
        <w:t xml:space="preserve"> Дослідження дерматогліфічних малюнків пальців обох кистей проводилось спільно з аспіранткою кафедри внутрішньої медицини медичного факультету №2 ВНМУ ім. М.І. Пирогова </w:t>
      </w:r>
      <w:r w:rsidR="00D323C7" w:rsidRPr="001416ED">
        <w:rPr>
          <w:lang w:val="uk-UA"/>
        </w:rPr>
        <w:t xml:space="preserve">       Ю. П. </w:t>
      </w:r>
      <w:r w:rsidR="00A142C5" w:rsidRPr="001416ED">
        <w:rPr>
          <w:lang w:val="uk-UA"/>
        </w:rPr>
        <w:t>Пашковою</w:t>
      </w:r>
      <w:r w:rsidR="008112B3">
        <w:rPr>
          <w:lang w:val="uk-UA"/>
        </w:rPr>
        <w:t>.</w:t>
      </w:r>
      <w:r w:rsidR="00A142C5" w:rsidRPr="001416ED">
        <w:rPr>
          <w:lang w:val="uk-UA"/>
        </w:rPr>
        <w:t xml:space="preserve"> </w:t>
      </w:r>
    </w:p>
    <w:p w:rsidR="00A8743C" w:rsidRPr="001416ED" w:rsidRDefault="00BE7F41" w:rsidP="00FA733F">
      <w:pPr>
        <w:spacing w:line="360" w:lineRule="auto"/>
        <w:ind w:firstLine="709"/>
        <w:jc w:val="both"/>
        <w:rPr>
          <w:rFonts w:eastAsiaTheme="minorHAnsi"/>
          <w:kern w:val="11"/>
          <w:vertAlign w:val="subscript"/>
          <w:lang w:val="uk-UA" w:eastAsia="en-US"/>
        </w:rPr>
      </w:pPr>
      <w:r w:rsidRPr="001416ED">
        <w:rPr>
          <w:rFonts w:eastAsiaTheme="minorHAnsi"/>
          <w:kern w:val="11"/>
          <w:lang w:val="uk-UA" w:eastAsia="en-US"/>
        </w:rPr>
        <w:t>У чоловіків з ГХ ІІ ст.</w:t>
      </w:r>
      <w:r w:rsidR="004A10C3" w:rsidRPr="001416ED">
        <w:rPr>
          <w:rFonts w:eastAsiaTheme="minorHAnsi"/>
          <w:kern w:val="11"/>
          <w:lang w:val="uk-UA" w:eastAsia="en-US"/>
        </w:rPr>
        <w:t xml:space="preserve"> та </w:t>
      </w:r>
      <w:r w:rsidR="00D323C7" w:rsidRPr="001416ED">
        <w:rPr>
          <w:rFonts w:eastAsiaTheme="minorHAnsi"/>
          <w:kern w:val="11"/>
          <w:lang w:val="uk-UA" w:eastAsia="en-US"/>
        </w:rPr>
        <w:t>ІІІ</w:t>
      </w:r>
      <w:r w:rsidR="004A10C3" w:rsidRPr="001416ED">
        <w:rPr>
          <w:rFonts w:eastAsiaTheme="minorHAnsi"/>
          <w:kern w:val="11"/>
          <w:lang w:val="uk-UA" w:eastAsia="en-US"/>
        </w:rPr>
        <w:t xml:space="preserve"> ст.</w:t>
      </w:r>
      <w:r w:rsidRPr="001416ED">
        <w:rPr>
          <w:rFonts w:eastAsiaTheme="minorHAnsi"/>
          <w:kern w:val="11"/>
          <w:lang w:val="uk-UA" w:eastAsia="en-US"/>
        </w:rPr>
        <w:t xml:space="preserve"> частота  пальцевих малюнків</w:t>
      </w:r>
      <w:r w:rsidR="00036E80" w:rsidRPr="001416ED">
        <w:rPr>
          <w:rFonts w:eastAsiaTheme="minorHAnsi"/>
          <w:kern w:val="11"/>
          <w:lang w:val="uk-UA" w:eastAsia="en-US"/>
        </w:rPr>
        <w:t xml:space="preserve"> на обох кистях</w:t>
      </w:r>
      <w:r w:rsidRPr="001416ED">
        <w:rPr>
          <w:rFonts w:eastAsiaTheme="minorHAnsi"/>
          <w:kern w:val="11"/>
          <w:lang w:val="uk-UA" w:eastAsia="en-US"/>
        </w:rPr>
        <w:t xml:space="preserve"> має такий вигляд: </w:t>
      </w:r>
      <w:r w:rsidRPr="001416ED">
        <w:rPr>
          <w:rFonts w:eastAsiaTheme="minorHAnsi"/>
          <w:kern w:val="11"/>
          <w:lang w:val="en-US" w:eastAsia="en-US"/>
        </w:rPr>
        <w:t>U</w:t>
      </w:r>
      <w:r w:rsidRPr="001416ED">
        <w:rPr>
          <w:rFonts w:eastAsiaTheme="minorHAnsi"/>
          <w:kern w:val="11"/>
          <w:lang w:val="uk-UA" w:eastAsia="en-US"/>
        </w:rPr>
        <w:t>&gt;</w:t>
      </w:r>
      <w:r w:rsidRPr="001416ED">
        <w:rPr>
          <w:rFonts w:eastAsiaTheme="minorHAnsi"/>
          <w:kern w:val="11"/>
          <w:lang w:val="en-US" w:eastAsia="en-US"/>
        </w:rPr>
        <w:t>W</w:t>
      </w:r>
      <w:r w:rsidRPr="001416ED">
        <w:rPr>
          <w:rFonts w:eastAsiaTheme="minorHAnsi"/>
          <w:kern w:val="11"/>
          <w:lang w:val="uk-UA" w:eastAsia="en-US"/>
        </w:rPr>
        <w:t>&gt;</w:t>
      </w:r>
      <w:r w:rsidRPr="001416ED">
        <w:rPr>
          <w:rFonts w:eastAsiaTheme="minorHAnsi"/>
          <w:kern w:val="11"/>
          <w:lang w:val="en-US" w:eastAsia="en-US"/>
        </w:rPr>
        <w:t>A</w:t>
      </w:r>
      <w:r w:rsidRPr="001416ED">
        <w:rPr>
          <w:rFonts w:eastAsiaTheme="minorHAnsi"/>
          <w:kern w:val="11"/>
          <w:lang w:val="uk-UA" w:eastAsia="en-US"/>
        </w:rPr>
        <w:t>&gt;</w:t>
      </w:r>
      <w:r w:rsidRPr="001416ED">
        <w:rPr>
          <w:rFonts w:eastAsiaTheme="minorHAnsi"/>
          <w:kern w:val="11"/>
          <w:lang w:val="en-US" w:eastAsia="en-US"/>
        </w:rPr>
        <w:t>R</w:t>
      </w:r>
      <w:r w:rsidR="004A10C3" w:rsidRPr="001416ED">
        <w:rPr>
          <w:rFonts w:eastAsiaTheme="minorHAnsi"/>
          <w:kern w:val="11"/>
          <w:lang w:val="uk-UA" w:eastAsia="en-US"/>
        </w:rPr>
        <w:t xml:space="preserve"> (</w:t>
      </w:r>
      <w:r w:rsidRPr="001416ED">
        <w:rPr>
          <w:rFonts w:eastAsiaTheme="minorHAnsi"/>
          <w:kern w:val="11"/>
          <w:lang w:val="uk-UA" w:eastAsia="en-US"/>
        </w:rPr>
        <w:t>357; 193; 40; 30 випадків)</w:t>
      </w:r>
      <w:r w:rsidR="00AF0516" w:rsidRPr="001416ED">
        <w:rPr>
          <w:rFonts w:eastAsiaTheme="minorHAnsi"/>
          <w:kern w:val="11"/>
          <w:sz w:val="24"/>
          <w:szCs w:val="24"/>
          <w:lang w:val="uk-UA" w:eastAsia="en-US"/>
        </w:rPr>
        <w:t xml:space="preserve"> </w:t>
      </w:r>
      <w:r w:rsidR="00FA733F" w:rsidRPr="001416ED">
        <w:rPr>
          <w:rFonts w:eastAsiaTheme="minorHAnsi"/>
          <w:kern w:val="11"/>
          <w:sz w:val="24"/>
          <w:szCs w:val="24"/>
          <w:lang w:val="uk-UA" w:eastAsia="en-US"/>
        </w:rPr>
        <w:t>(</w:t>
      </w:r>
      <w:r w:rsidR="00AF0516" w:rsidRPr="001416ED">
        <w:rPr>
          <w:rFonts w:eastAsiaTheme="minorHAnsi"/>
          <w:kern w:val="11"/>
          <w:lang w:val="uk-UA" w:eastAsia="en-US"/>
        </w:rPr>
        <w:t>р</w:t>
      </w:r>
      <w:r w:rsidR="00AF0516" w:rsidRPr="001416ED">
        <w:rPr>
          <w:rFonts w:eastAsiaTheme="minorHAnsi"/>
          <w:kern w:val="11"/>
          <w:vertAlign w:val="subscript"/>
          <w:lang w:val="en-US" w:eastAsia="en-US"/>
        </w:rPr>
        <w:t>W</w:t>
      </w:r>
      <w:r w:rsidR="00AF0516" w:rsidRPr="001416ED">
        <w:rPr>
          <w:rFonts w:eastAsiaTheme="minorHAnsi"/>
          <w:kern w:val="11"/>
          <w:vertAlign w:val="subscript"/>
          <w:lang w:val="uk-UA" w:eastAsia="en-US"/>
        </w:rPr>
        <w:t>-</w:t>
      </w:r>
      <w:r w:rsidR="00AF0516"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AF0516" w:rsidRPr="001416ED">
        <w:rPr>
          <w:rFonts w:eastAsiaTheme="minorHAnsi"/>
          <w:kern w:val="11"/>
          <w:lang w:val="uk-UA" w:eastAsia="en-US"/>
        </w:rPr>
        <w:t>1; р</w:t>
      </w:r>
      <w:r w:rsidR="00AF0516" w:rsidRPr="001416ED">
        <w:rPr>
          <w:rFonts w:eastAsiaTheme="minorHAnsi"/>
          <w:kern w:val="11"/>
          <w:vertAlign w:val="subscript"/>
          <w:lang w:val="en-US" w:eastAsia="en-US"/>
        </w:rPr>
        <w:t>A</w:t>
      </w:r>
      <w:r w:rsidR="00AF0516" w:rsidRPr="001416ED">
        <w:rPr>
          <w:rFonts w:eastAsiaTheme="minorHAnsi"/>
          <w:kern w:val="11"/>
          <w:vertAlign w:val="subscript"/>
          <w:lang w:val="uk-UA" w:eastAsia="en-US"/>
        </w:rPr>
        <w:t>-</w:t>
      </w:r>
      <w:r w:rsidR="00AF0516"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AF0516" w:rsidRPr="001416ED">
        <w:rPr>
          <w:rFonts w:eastAsiaTheme="minorHAnsi"/>
          <w:kern w:val="11"/>
          <w:lang w:val="uk-UA" w:eastAsia="en-US"/>
        </w:rPr>
        <w:t>1; р</w:t>
      </w:r>
      <w:r w:rsidR="00AF0516" w:rsidRPr="001416ED">
        <w:rPr>
          <w:rFonts w:eastAsiaTheme="minorHAnsi"/>
          <w:kern w:val="11"/>
          <w:vertAlign w:val="subscript"/>
          <w:lang w:val="en-US" w:eastAsia="en-US"/>
        </w:rPr>
        <w:t>R</w:t>
      </w:r>
      <w:r w:rsidR="00AF0516" w:rsidRPr="001416ED">
        <w:rPr>
          <w:rFonts w:eastAsiaTheme="minorHAnsi"/>
          <w:kern w:val="11"/>
          <w:vertAlign w:val="subscript"/>
          <w:lang w:val="uk-UA" w:eastAsia="en-US"/>
        </w:rPr>
        <w:t>-</w:t>
      </w:r>
      <w:r w:rsidR="00AF0516"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AF0516" w:rsidRPr="001416ED">
        <w:rPr>
          <w:rFonts w:eastAsiaTheme="minorHAnsi"/>
          <w:kern w:val="11"/>
          <w:lang w:val="uk-UA" w:eastAsia="en-US"/>
        </w:rPr>
        <w:t>1; р</w:t>
      </w:r>
      <w:r w:rsidR="00AF0516" w:rsidRPr="001416ED">
        <w:rPr>
          <w:rFonts w:eastAsiaTheme="minorHAnsi"/>
          <w:kern w:val="11"/>
          <w:vertAlign w:val="subscript"/>
          <w:lang w:val="en-US" w:eastAsia="en-US"/>
        </w:rPr>
        <w:t>A</w:t>
      </w:r>
      <w:r w:rsidR="00AF0516" w:rsidRPr="001416ED">
        <w:rPr>
          <w:rFonts w:eastAsiaTheme="minorHAnsi"/>
          <w:kern w:val="11"/>
          <w:vertAlign w:val="subscript"/>
          <w:lang w:val="uk-UA" w:eastAsia="en-US"/>
        </w:rPr>
        <w:t>-</w:t>
      </w:r>
      <w:r w:rsidR="00AF0516" w:rsidRPr="001416ED">
        <w:rPr>
          <w:rFonts w:eastAsiaTheme="minorHAnsi"/>
          <w:kern w:val="11"/>
          <w:vertAlign w:val="subscript"/>
          <w:lang w:val="en-US" w:eastAsia="en-US"/>
        </w:rPr>
        <w:t>W</w:t>
      </w:r>
      <w:r w:rsidR="001B5AFF" w:rsidRPr="001416ED">
        <w:rPr>
          <w:rFonts w:eastAsiaTheme="minorHAnsi"/>
          <w:kern w:val="11"/>
          <w:lang w:val="uk-UA" w:eastAsia="en-US"/>
        </w:rPr>
        <w:t>&lt;0,000</w:t>
      </w:r>
      <w:r w:rsidR="00AF0516" w:rsidRPr="001416ED">
        <w:rPr>
          <w:rFonts w:eastAsiaTheme="minorHAnsi"/>
          <w:kern w:val="11"/>
          <w:lang w:val="uk-UA" w:eastAsia="en-US"/>
        </w:rPr>
        <w:t>1;</w:t>
      </w:r>
      <w:r w:rsidR="00FA733F" w:rsidRPr="001416ED">
        <w:rPr>
          <w:rFonts w:eastAsiaTheme="minorHAnsi"/>
          <w:kern w:val="11"/>
          <w:lang w:val="uk-UA" w:eastAsia="en-US"/>
        </w:rPr>
        <w:t xml:space="preserve"> р</w:t>
      </w:r>
      <w:r w:rsidR="00FA733F" w:rsidRPr="001416ED">
        <w:rPr>
          <w:rFonts w:eastAsiaTheme="minorHAnsi"/>
          <w:kern w:val="11"/>
          <w:vertAlign w:val="subscript"/>
          <w:lang w:val="en-US" w:eastAsia="en-US"/>
        </w:rPr>
        <w:t>R</w:t>
      </w:r>
      <w:r w:rsidR="00AF0516"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W</w:t>
      </w:r>
      <w:r w:rsidR="001B5AFF" w:rsidRPr="001416ED">
        <w:rPr>
          <w:rFonts w:eastAsiaTheme="minorHAnsi"/>
          <w:kern w:val="11"/>
          <w:lang w:val="uk-UA" w:eastAsia="en-US"/>
        </w:rPr>
        <w:t>&lt;0,000</w:t>
      </w:r>
      <w:r w:rsidR="00AF0516" w:rsidRPr="001416ED">
        <w:rPr>
          <w:rFonts w:eastAsiaTheme="minorHAnsi"/>
          <w:kern w:val="11"/>
          <w:lang w:val="uk-UA" w:eastAsia="en-US"/>
        </w:rPr>
        <w:t>1;</w:t>
      </w:r>
      <w:r w:rsidR="00FA733F" w:rsidRPr="001416ED">
        <w:rPr>
          <w:rFonts w:eastAsiaTheme="minorHAnsi"/>
          <w:kern w:val="11"/>
          <w:lang w:val="uk-UA" w:eastAsia="en-US"/>
        </w:rPr>
        <w:t xml:space="preserve"> </w:t>
      </w:r>
      <w:r w:rsidR="00AF0516" w:rsidRPr="001416ED">
        <w:rPr>
          <w:rFonts w:eastAsiaTheme="minorHAnsi"/>
          <w:kern w:val="11"/>
          <w:lang w:val="uk-UA" w:eastAsia="en-US"/>
        </w:rPr>
        <w:t>р</w:t>
      </w:r>
      <w:r w:rsidR="00FA733F" w:rsidRPr="001416ED">
        <w:rPr>
          <w:rFonts w:eastAsiaTheme="minorHAnsi"/>
          <w:kern w:val="11"/>
          <w:vertAlign w:val="subscript"/>
          <w:lang w:val="en-US" w:eastAsia="en-US"/>
        </w:rPr>
        <w:t>R</w:t>
      </w:r>
      <w:r w:rsidR="00AF0516"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A</w:t>
      </w:r>
      <w:r w:rsidR="00AF0516" w:rsidRPr="001416ED">
        <w:rPr>
          <w:rFonts w:eastAsiaTheme="minorHAnsi"/>
          <w:kern w:val="11"/>
          <w:lang w:val="uk-UA" w:eastAsia="en-US"/>
        </w:rPr>
        <w:t>&gt;0,05</w:t>
      </w:r>
      <w:r w:rsidR="00FA733F" w:rsidRPr="001416ED">
        <w:rPr>
          <w:rFonts w:eastAsiaTheme="minorHAnsi"/>
          <w:kern w:val="11"/>
          <w:lang w:val="uk-UA" w:eastAsia="en-US"/>
        </w:rPr>
        <w:t>)</w:t>
      </w:r>
      <w:r w:rsidR="007572FF" w:rsidRPr="001416ED">
        <w:rPr>
          <w:rFonts w:eastAsiaTheme="minorHAnsi"/>
          <w:kern w:val="11"/>
          <w:lang w:val="uk-UA" w:eastAsia="en-US"/>
        </w:rPr>
        <w:t xml:space="preserve"> </w:t>
      </w:r>
      <w:r w:rsidR="004A10C3" w:rsidRPr="001416ED">
        <w:rPr>
          <w:rFonts w:eastAsiaTheme="minorHAnsi"/>
          <w:kern w:val="11"/>
          <w:lang w:val="uk-UA" w:eastAsia="en-US"/>
        </w:rPr>
        <w:t>і</w:t>
      </w:r>
      <w:r w:rsidRPr="001416ED">
        <w:rPr>
          <w:rFonts w:eastAsiaTheme="minorHAnsi"/>
          <w:kern w:val="11"/>
          <w:lang w:val="uk-UA" w:eastAsia="en-US"/>
        </w:rPr>
        <w:t xml:space="preserve"> (207; 135; 23; 65 випадків)</w:t>
      </w:r>
      <w:r w:rsidR="00FA733F" w:rsidRPr="001416ED">
        <w:rPr>
          <w:rFonts w:eastAsiaTheme="minorHAnsi"/>
          <w:kern w:val="11"/>
          <w:lang w:val="uk-UA" w:eastAsia="en-US"/>
        </w:rPr>
        <w:t xml:space="preserve"> (р</w:t>
      </w:r>
      <w:r w:rsidR="00FA733F" w:rsidRPr="001416ED">
        <w:rPr>
          <w:rFonts w:eastAsiaTheme="minorHAnsi"/>
          <w:kern w:val="11"/>
          <w:vertAlign w:val="subscript"/>
          <w:lang w:val="en-US" w:eastAsia="en-US"/>
        </w:rPr>
        <w:t>W</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U</w:t>
      </w:r>
      <w:r w:rsidR="00FA733F" w:rsidRPr="001416ED">
        <w:rPr>
          <w:rFonts w:eastAsiaTheme="minorHAnsi"/>
          <w:kern w:val="11"/>
          <w:lang w:val="uk-UA" w:eastAsia="en-US"/>
        </w:rPr>
        <w:t>&lt;0,001; р</w:t>
      </w:r>
      <w:r w:rsidR="00FA733F" w:rsidRPr="001416ED">
        <w:rPr>
          <w:rFonts w:eastAsiaTheme="minorHAnsi"/>
          <w:kern w:val="11"/>
          <w:vertAlign w:val="subscript"/>
          <w:lang w:val="en-US" w:eastAsia="en-US"/>
        </w:rPr>
        <w:t>A</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FA733F" w:rsidRPr="001416ED">
        <w:rPr>
          <w:rFonts w:eastAsiaTheme="minorHAnsi"/>
          <w:kern w:val="11"/>
          <w:lang w:val="uk-UA" w:eastAsia="en-US"/>
        </w:rPr>
        <w:t>1; р</w:t>
      </w:r>
      <w:r w:rsidR="00FA733F" w:rsidRPr="001416ED">
        <w:rPr>
          <w:rFonts w:eastAsiaTheme="minorHAnsi"/>
          <w:kern w:val="11"/>
          <w:vertAlign w:val="subscript"/>
          <w:lang w:val="en-US" w:eastAsia="en-US"/>
        </w:rPr>
        <w:t>R</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FA733F" w:rsidRPr="001416ED">
        <w:rPr>
          <w:rFonts w:eastAsiaTheme="minorHAnsi"/>
          <w:kern w:val="11"/>
          <w:lang w:val="uk-UA" w:eastAsia="en-US"/>
        </w:rPr>
        <w:t>1; р</w:t>
      </w:r>
      <w:r w:rsidR="00FA733F" w:rsidRPr="001416ED">
        <w:rPr>
          <w:rFonts w:eastAsiaTheme="minorHAnsi"/>
          <w:kern w:val="11"/>
          <w:vertAlign w:val="subscript"/>
          <w:lang w:val="en-US" w:eastAsia="en-US"/>
        </w:rPr>
        <w:t>A</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W</w:t>
      </w:r>
      <w:r w:rsidR="00FA733F" w:rsidRPr="001416ED">
        <w:rPr>
          <w:rFonts w:eastAsiaTheme="minorHAnsi"/>
          <w:kern w:val="11"/>
          <w:lang w:val="uk-UA" w:eastAsia="en-US"/>
        </w:rPr>
        <w:t>&lt;0,01; р</w:t>
      </w:r>
      <w:r w:rsidR="00FA733F" w:rsidRPr="001416ED">
        <w:rPr>
          <w:rFonts w:eastAsiaTheme="minorHAnsi"/>
          <w:kern w:val="11"/>
          <w:vertAlign w:val="subscript"/>
          <w:lang w:val="en-US" w:eastAsia="en-US"/>
        </w:rPr>
        <w:t>R</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W</w:t>
      </w:r>
      <w:r w:rsidR="00FA733F" w:rsidRPr="001416ED">
        <w:rPr>
          <w:rFonts w:eastAsiaTheme="minorHAnsi"/>
          <w:kern w:val="11"/>
          <w:lang w:val="uk-UA" w:eastAsia="en-US"/>
        </w:rPr>
        <w:t>&lt;0,01; р</w:t>
      </w:r>
      <w:r w:rsidR="00FA733F" w:rsidRPr="001416ED">
        <w:rPr>
          <w:rFonts w:eastAsiaTheme="minorHAnsi"/>
          <w:kern w:val="11"/>
          <w:vertAlign w:val="subscript"/>
          <w:lang w:val="en-US" w:eastAsia="en-US"/>
        </w:rPr>
        <w:t>R</w:t>
      </w:r>
      <w:r w:rsidR="00FA733F" w:rsidRPr="001416ED">
        <w:rPr>
          <w:rFonts w:eastAsiaTheme="minorHAnsi"/>
          <w:kern w:val="11"/>
          <w:vertAlign w:val="subscript"/>
          <w:lang w:val="uk-UA" w:eastAsia="en-US"/>
        </w:rPr>
        <w:t>-</w:t>
      </w:r>
      <w:r w:rsidR="00FA733F" w:rsidRPr="001416ED">
        <w:rPr>
          <w:rFonts w:eastAsiaTheme="minorHAnsi"/>
          <w:kern w:val="11"/>
          <w:vertAlign w:val="subscript"/>
          <w:lang w:val="en-US" w:eastAsia="en-US"/>
        </w:rPr>
        <w:t>A</w:t>
      </w:r>
      <w:r w:rsidR="00FA733F" w:rsidRPr="001416ED">
        <w:rPr>
          <w:rFonts w:eastAsiaTheme="minorHAnsi"/>
          <w:kern w:val="11"/>
          <w:lang w:val="uk-UA" w:eastAsia="en-US"/>
        </w:rPr>
        <w:t>&gt;0,05)</w:t>
      </w:r>
      <w:r w:rsidR="006E72C8" w:rsidRPr="001416ED">
        <w:rPr>
          <w:rFonts w:eastAsiaTheme="minorHAnsi"/>
          <w:kern w:val="11"/>
          <w:lang w:val="uk-UA" w:eastAsia="en-US"/>
        </w:rPr>
        <w:t xml:space="preserve">. </w:t>
      </w:r>
      <w:r w:rsidR="00036E80" w:rsidRPr="001416ED">
        <w:rPr>
          <w:lang w:val="uk-UA"/>
        </w:rPr>
        <w:t xml:space="preserve">У чоловіків з ГХ різної </w:t>
      </w:r>
      <w:r w:rsidR="00046A18" w:rsidRPr="001416ED">
        <w:rPr>
          <w:lang w:val="uk-UA"/>
        </w:rPr>
        <w:t>стадії</w:t>
      </w:r>
      <w:r w:rsidR="00036E80" w:rsidRPr="001416ED">
        <w:rPr>
          <w:lang w:val="uk-UA"/>
        </w:rPr>
        <w:t>, як і у представників контрольної групи, д</w:t>
      </w:r>
      <w:r w:rsidR="00A8743C" w:rsidRPr="001416ED">
        <w:rPr>
          <w:lang w:val="uk-UA"/>
        </w:rPr>
        <w:t xml:space="preserve">остовірно частіше зустрічається малюнок ульнарна петля. </w:t>
      </w:r>
      <w:r w:rsidR="001E081B" w:rsidRPr="001416ED">
        <w:rPr>
          <w:lang w:val="uk-UA"/>
        </w:rPr>
        <w:t xml:space="preserve">Встановлено, що у чоловіків з </w:t>
      </w:r>
      <w:r w:rsidR="00A63A7A" w:rsidRPr="001416ED">
        <w:rPr>
          <w:lang w:val="uk-UA"/>
        </w:rPr>
        <w:t>ГХ ІІІ ст</w:t>
      </w:r>
      <w:r w:rsidR="006D11C5" w:rsidRPr="001416ED">
        <w:rPr>
          <w:lang w:val="uk-UA"/>
        </w:rPr>
        <w:t xml:space="preserve">. </w:t>
      </w:r>
      <w:r w:rsidR="001E081B" w:rsidRPr="001416ED">
        <w:rPr>
          <w:lang w:val="uk-UA"/>
        </w:rPr>
        <w:t>ульнарна петля зустрічається достовірно частіше, ніж в групі ко</w:t>
      </w:r>
      <w:r w:rsidR="002D0BF2" w:rsidRPr="001416ED">
        <w:rPr>
          <w:lang w:val="uk-UA"/>
        </w:rPr>
        <w:t>н</w:t>
      </w:r>
      <w:r w:rsidR="001E081B" w:rsidRPr="001416ED">
        <w:rPr>
          <w:lang w:val="uk-UA"/>
        </w:rPr>
        <w:t>тролю, о</w:t>
      </w:r>
      <w:r w:rsidR="00A8743C" w:rsidRPr="001416ED">
        <w:rPr>
          <w:lang w:val="uk-UA"/>
        </w:rPr>
        <w:t xml:space="preserve">днак, вірогідної різниці у частоті  </w:t>
      </w:r>
      <w:r w:rsidR="001E081B" w:rsidRPr="001416ED">
        <w:rPr>
          <w:lang w:val="uk-UA"/>
        </w:rPr>
        <w:t xml:space="preserve">інших </w:t>
      </w:r>
      <w:r w:rsidR="00A8743C" w:rsidRPr="001416ED">
        <w:rPr>
          <w:lang w:val="uk-UA"/>
        </w:rPr>
        <w:t xml:space="preserve">малюнків між пацієнтами з ГХ </w:t>
      </w:r>
      <w:r w:rsidR="00A63A7A" w:rsidRPr="001416ED">
        <w:rPr>
          <w:lang w:val="uk-UA"/>
        </w:rPr>
        <w:t>ІІ та ІІІ стадії</w:t>
      </w:r>
      <w:r w:rsidR="00A8743C" w:rsidRPr="001416ED">
        <w:rPr>
          <w:lang w:val="uk-UA"/>
        </w:rPr>
        <w:t xml:space="preserve"> </w:t>
      </w:r>
      <w:r w:rsidR="00D323C7" w:rsidRPr="001416ED">
        <w:rPr>
          <w:lang w:val="uk-UA"/>
        </w:rPr>
        <w:t>і</w:t>
      </w:r>
      <w:r w:rsidR="00A8743C" w:rsidRPr="001416ED">
        <w:rPr>
          <w:lang w:val="uk-UA"/>
        </w:rPr>
        <w:t xml:space="preserve"> особами групи контролю не виявлено.</w:t>
      </w:r>
    </w:p>
    <w:p w:rsidR="004A10C3" w:rsidRPr="001416ED" w:rsidRDefault="00A8743C" w:rsidP="004E40F0">
      <w:pPr>
        <w:spacing w:line="360" w:lineRule="auto"/>
        <w:ind w:firstLine="709"/>
        <w:jc w:val="both"/>
        <w:rPr>
          <w:lang w:val="uk-UA"/>
        </w:rPr>
      </w:pPr>
      <w:r w:rsidRPr="001416ED">
        <w:rPr>
          <w:rFonts w:eastAsiaTheme="minorHAnsi"/>
          <w:kern w:val="11"/>
          <w:lang w:val="uk-UA" w:eastAsia="en-US"/>
        </w:rPr>
        <w:t>У чоловіків з ГХ ІІ ст. частота виявле</w:t>
      </w:r>
      <w:r w:rsidR="004446A4" w:rsidRPr="001416ED">
        <w:rPr>
          <w:rFonts w:eastAsiaTheme="minorHAnsi"/>
          <w:kern w:val="11"/>
          <w:lang w:val="uk-UA" w:eastAsia="en-US"/>
        </w:rPr>
        <w:t>н</w:t>
      </w:r>
      <w:r w:rsidRPr="001416ED">
        <w:rPr>
          <w:rFonts w:eastAsiaTheme="minorHAnsi"/>
          <w:kern w:val="11"/>
          <w:lang w:val="uk-UA" w:eastAsia="en-US"/>
        </w:rPr>
        <w:t xml:space="preserve">ня малюнків на пальцях </w:t>
      </w:r>
      <w:r w:rsidR="006D11C5" w:rsidRPr="001416ED">
        <w:rPr>
          <w:rFonts w:eastAsiaTheme="minorHAnsi"/>
          <w:kern w:val="11"/>
          <w:lang w:val="uk-UA" w:eastAsia="en-US"/>
        </w:rPr>
        <w:t>ПК</w:t>
      </w:r>
      <w:r w:rsidRPr="001416ED">
        <w:rPr>
          <w:rFonts w:eastAsiaTheme="minorHAnsi"/>
          <w:kern w:val="11"/>
          <w:lang w:val="uk-UA" w:eastAsia="en-US"/>
        </w:rPr>
        <w:t xml:space="preserve"> становить </w:t>
      </w:r>
      <w:r w:rsidRPr="001416ED">
        <w:rPr>
          <w:rFonts w:eastAsiaTheme="minorHAnsi"/>
          <w:kern w:val="11"/>
          <w:lang w:val="en-US" w:eastAsia="en-US"/>
        </w:rPr>
        <w:t>U</w:t>
      </w:r>
      <w:r w:rsidRPr="001416ED">
        <w:rPr>
          <w:rFonts w:eastAsiaTheme="minorHAnsi"/>
          <w:kern w:val="11"/>
          <w:lang w:val="uk-UA" w:eastAsia="en-US"/>
        </w:rPr>
        <w:t>&gt;</w:t>
      </w:r>
      <w:r w:rsidRPr="001416ED">
        <w:rPr>
          <w:rFonts w:eastAsiaTheme="minorHAnsi"/>
          <w:kern w:val="11"/>
          <w:lang w:val="en-US" w:eastAsia="en-US"/>
        </w:rPr>
        <w:t>W</w:t>
      </w:r>
      <w:r w:rsidRPr="001416ED">
        <w:rPr>
          <w:rFonts w:eastAsiaTheme="minorHAnsi"/>
          <w:kern w:val="11"/>
          <w:lang w:val="uk-UA" w:eastAsia="en-US"/>
        </w:rPr>
        <w:t>&gt;</w:t>
      </w:r>
      <w:r w:rsidRPr="001416ED">
        <w:rPr>
          <w:rFonts w:eastAsiaTheme="minorHAnsi"/>
          <w:kern w:val="11"/>
          <w:lang w:val="en-US" w:eastAsia="en-US"/>
        </w:rPr>
        <w:t>A</w:t>
      </w:r>
      <w:r w:rsidRPr="001416ED">
        <w:rPr>
          <w:rFonts w:eastAsiaTheme="minorHAnsi"/>
          <w:kern w:val="11"/>
          <w:lang w:val="uk-UA" w:eastAsia="en-US"/>
        </w:rPr>
        <w:t>&gt;</w:t>
      </w:r>
      <w:r w:rsidRPr="001416ED">
        <w:rPr>
          <w:rFonts w:eastAsiaTheme="minorHAnsi"/>
          <w:kern w:val="11"/>
          <w:lang w:val="en-US" w:eastAsia="en-US"/>
        </w:rPr>
        <w:t>R</w:t>
      </w:r>
      <w:r w:rsidRPr="001416ED">
        <w:rPr>
          <w:rFonts w:eastAsiaTheme="minorHAnsi"/>
          <w:kern w:val="11"/>
          <w:lang w:val="uk-UA" w:eastAsia="en-US"/>
        </w:rPr>
        <w:t xml:space="preserve"> (відповідно 170; 110; 19; 18 випадків)</w:t>
      </w:r>
      <w:r w:rsidR="007D4BE6" w:rsidRPr="001416ED">
        <w:rPr>
          <w:rFonts w:eastAsiaTheme="minorHAnsi"/>
          <w:kern w:val="11"/>
          <w:lang w:val="uk-UA" w:eastAsia="en-US"/>
        </w:rPr>
        <w:t xml:space="preserve"> (р</w:t>
      </w:r>
      <w:r w:rsidR="007D4BE6" w:rsidRPr="001416ED">
        <w:rPr>
          <w:rFonts w:eastAsiaTheme="minorHAnsi"/>
          <w:kern w:val="11"/>
          <w:vertAlign w:val="subscript"/>
          <w:lang w:val="en-US" w:eastAsia="en-US"/>
        </w:rPr>
        <w:t>W</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U</w:t>
      </w:r>
      <w:r w:rsidR="007D4BE6" w:rsidRPr="001416ED">
        <w:rPr>
          <w:rFonts w:eastAsiaTheme="minorHAnsi"/>
          <w:kern w:val="11"/>
          <w:lang w:val="uk-UA" w:eastAsia="en-US"/>
        </w:rPr>
        <w:t>&lt;0,001; р</w:t>
      </w:r>
      <w:r w:rsidR="007D4BE6" w:rsidRPr="001416ED">
        <w:rPr>
          <w:rFonts w:eastAsiaTheme="minorHAnsi"/>
          <w:kern w:val="11"/>
          <w:vertAlign w:val="subscript"/>
          <w:lang w:val="en-US" w:eastAsia="en-US"/>
        </w:rPr>
        <w:t>A</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7D4BE6" w:rsidRPr="001416ED">
        <w:rPr>
          <w:rFonts w:eastAsiaTheme="minorHAnsi"/>
          <w:kern w:val="11"/>
          <w:lang w:val="uk-UA" w:eastAsia="en-US"/>
        </w:rPr>
        <w:t>1; р</w:t>
      </w:r>
      <w:r w:rsidR="007D4BE6" w:rsidRPr="001416ED">
        <w:rPr>
          <w:rFonts w:eastAsiaTheme="minorHAnsi"/>
          <w:kern w:val="11"/>
          <w:vertAlign w:val="subscript"/>
          <w:lang w:val="en-US" w:eastAsia="en-US"/>
        </w:rPr>
        <w:t>R</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U</w:t>
      </w:r>
      <w:r w:rsidR="001B5AFF" w:rsidRPr="001416ED">
        <w:rPr>
          <w:rFonts w:eastAsiaTheme="minorHAnsi"/>
          <w:kern w:val="11"/>
          <w:lang w:val="uk-UA" w:eastAsia="en-US"/>
        </w:rPr>
        <w:t>&lt;0,000</w:t>
      </w:r>
      <w:r w:rsidR="007D4BE6" w:rsidRPr="001416ED">
        <w:rPr>
          <w:rFonts w:eastAsiaTheme="minorHAnsi"/>
          <w:kern w:val="11"/>
          <w:lang w:val="uk-UA" w:eastAsia="en-US"/>
        </w:rPr>
        <w:t>1; р</w:t>
      </w:r>
      <w:r w:rsidR="007D4BE6" w:rsidRPr="001416ED">
        <w:rPr>
          <w:rFonts w:eastAsiaTheme="minorHAnsi"/>
          <w:kern w:val="11"/>
          <w:vertAlign w:val="subscript"/>
          <w:lang w:val="en-US" w:eastAsia="en-US"/>
        </w:rPr>
        <w:t>A</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W</w:t>
      </w:r>
      <w:r w:rsidR="007D4BE6" w:rsidRPr="001416ED">
        <w:rPr>
          <w:rFonts w:eastAsiaTheme="minorHAnsi"/>
          <w:kern w:val="11"/>
          <w:lang w:val="uk-UA" w:eastAsia="en-US"/>
        </w:rPr>
        <w:t>&lt;0,01; р</w:t>
      </w:r>
      <w:r w:rsidR="007D4BE6" w:rsidRPr="001416ED">
        <w:rPr>
          <w:rFonts w:eastAsiaTheme="minorHAnsi"/>
          <w:kern w:val="11"/>
          <w:vertAlign w:val="subscript"/>
          <w:lang w:val="en-US" w:eastAsia="en-US"/>
        </w:rPr>
        <w:t>R</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W</w:t>
      </w:r>
      <w:r w:rsidR="007D4BE6" w:rsidRPr="001416ED">
        <w:rPr>
          <w:rFonts w:eastAsiaTheme="minorHAnsi"/>
          <w:kern w:val="11"/>
          <w:lang w:val="uk-UA" w:eastAsia="en-US"/>
        </w:rPr>
        <w:t>&lt;0,01; р</w:t>
      </w:r>
      <w:r w:rsidR="007D4BE6" w:rsidRPr="001416ED">
        <w:rPr>
          <w:rFonts w:eastAsiaTheme="minorHAnsi"/>
          <w:kern w:val="11"/>
          <w:vertAlign w:val="subscript"/>
          <w:lang w:val="en-US" w:eastAsia="en-US"/>
        </w:rPr>
        <w:t>R</w:t>
      </w:r>
      <w:r w:rsidR="007D4BE6" w:rsidRPr="001416ED">
        <w:rPr>
          <w:rFonts w:eastAsiaTheme="minorHAnsi"/>
          <w:kern w:val="11"/>
          <w:vertAlign w:val="subscript"/>
          <w:lang w:val="uk-UA" w:eastAsia="en-US"/>
        </w:rPr>
        <w:t>-</w:t>
      </w:r>
      <w:r w:rsidR="007D4BE6" w:rsidRPr="001416ED">
        <w:rPr>
          <w:rFonts w:eastAsiaTheme="minorHAnsi"/>
          <w:kern w:val="11"/>
          <w:vertAlign w:val="subscript"/>
          <w:lang w:val="en-US" w:eastAsia="en-US"/>
        </w:rPr>
        <w:t>A</w:t>
      </w:r>
      <w:r w:rsidR="007D4BE6" w:rsidRPr="001416ED">
        <w:rPr>
          <w:rFonts w:eastAsiaTheme="minorHAnsi"/>
          <w:kern w:val="11"/>
          <w:lang w:val="uk-UA" w:eastAsia="en-US"/>
        </w:rPr>
        <w:t>&gt;0,05)</w:t>
      </w:r>
      <w:r w:rsidRPr="001416ED">
        <w:rPr>
          <w:rFonts w:eastAsiaTheme="minorHAnsi"/>
          <w:kern w:val="11"/>
          <w:lang w:val="uk-UA" w:eastAsia="en-US"/>
        </w:rPr>
        <w:t xml:space="preserve">. </w:t>
      </w:r>
      <w:r w:rsidRPr="001416ED">
        <w:rPr>
          <w:lang w:val="uk-UA"/>
        </w:rPr>
        <w:t xml:space="preserve">У пацієнтів з </w:t>
      </w:r>
      <w:r w:rsidR="002616A7" w:rsidRPr="001416ED">
        <w:rPr>
          <w:lang w:val="uk-UA"/>
        </w:rPr>
        <w:t xml:space="preserve">ГХ ІІІ ст. </w:t>
      </w:r>
      <w:r w:rsidRPr="001416ED">
        <w:rPr>
          <w:lang w:val="uk-UA"/>
        </w:rPr>
        <w:t xml:space="preserve">за сумою пальцевих узорів на </w:t>
      </w:r>
      <w:r w:rsidR="007F0AEB" w:rsidRPr="001416ED">
        <w:rPr>
          <w:lang w:val="uk-UA"/>
        </w:rPr>
        <w:t>ПК</w:t>
      </w:r>
      <w:r w:rsidRPr="001416ED">
        <w:rPr>
          <w:lang w:val="uk-UA"/>
        </w:rPr>
        <w:t xml:space="preserve">, </w:t>
      </w:r>
      <w:r w:rsidR="00D323C7" w:rsidRPr="001416ED">
        <w:rPr>
          <w:lang w:val="uk-UA"/>
        </w:rPr>
        <w:t>частота</w:t>
      </w:r>
      <w:r w:rsidRPr="001416ED">
        <w:rPr>
          <w:lang w:val="uk-UA"/>
        </w:rPr>
        <w:t xml:space="preserve"> окремих малюнків є такою: </w:t>
      </w:r>
      <w:r w:rsidRPr="001416ED">
        <w:rPr>
          <w:lang w:val="en-US"/>
        </w:rPr>
        <w:t>U</w:t>
      </w:r>
      <w:r w:rsidRPr="001416ED">
        <w:rPr>
          <w:lang w:val="uk-UA"/>
        </w:rPr>
        <w:t>&gt;</w:t>
      </w:r>
      <w:r w:rsidRPr="001416ED">
        <w:rPr>
          <w:lang w:val="en-US"/>
        </w:rPr>
        <w:t>W</w:t>
      </w:r>
      <w:r w:rsidRPr="001416ED">
        <w:rPr>
          <w:lang w:val="uk-UA"/>
        </w:rPr>
        <w:t>&gt;</w:t>
      </w:r>
      <w:r w:rsidRPr="001416ED">
        <w:rPr>
          <w:lang w:val="en-US"/>
        </w:rPr>
        <w:t>A</w:t>
      </w:r>
      <w:r w:rsidRPr="001416ED">
        <w:rPr>
          <w:lang w:val="uk-UA"/>
        </w:rPr>
        <w:t>&gt;</w:t>
      </w:r>
      <w:r w:rsidRPr="001416ED">
        <w:rPr>
          <w:lang w:val="en-US"/>
        </w:rPr>
        <w:t>R</w:t>
      </w:r>
      <w:r w:rsidRPr="001416ED">
        <w:rPr>
          <w:lang w:val="uk-UA"/>
        </w:rPr>
        <w:t xml:space="preserve"> (відповідно 99; 80; 34; 2 випадків)</w:t>
      </w:r>
      <w:r w:rsidR="007D4BE6" w:rsidRPr="001416ED">
        <w:rPr>
          <w:rFonts w:eastAsiaTheme="minorHAnsi"/>
          <w:kern w:val="11"/>
          <w:lang w:val="uk-UA" w:eastAsia="en-US"/>
        </w:rPr>
        <w:t xml:space="preserve"> (</w:t>
      </w:r>
      <w:r w:rsidR="007D4BE6" w:rsidRPr="001416ED">
        <w:rPr>
          <w:lang w:val="uk-UA"/>
        </w:rPr>
        <w:t>р</w:t>
      </w:r>
      <w:r w:rsidR="007D4BE6" w:rsidRPr="001416ED">
        <w:rPr>
          <w:vertAlign w:val="subscript"/>
          <w:lang w:val="en-US"/>
        </w:rPr>
        <w:t>W</w:t>
      </w:r>
      <w:r w:rsidR="007D4BE6" w:rsidRPr="001416ED">
        <w:rPr>
          <w:vertAlign w:val="subscript"/>
          <w:lang w:val="uk-UA"/>
        </w:rPr>
        <w:t>-</w:t>
      </w:r>
      <w:r w:rsidR="007D4BE6" w:rsidRPr="001416ED">
        <w:rPr>
          <w:vertAlign w:val="subscript"/>
          <w:lang w:val="en-US"/>
        </w:rPr>
        <w:t>U</w:t>
      </w:r>
      <w:r w:rsidR="007D4BE6" w:rsidRPr="001416ED">
        <w:rPr>
          <w:lang w:val="uk-UA"/>
        </w:rPr>
        <w:t>&gt;0,05; р</w:t>
      </w:r>
      <w:r w:rsidR="007D4BE6" w:rsidRPr="001416ED">
        <w:rPr>
          <w:vertAlign w:val="subscript"/>
          <w:lang w:val="en-US"/>
        </w:rPr>
        <w:t>A</w:t>
      </w:r>
      <w:r w:rsidR="007D4BE6" w:rsidRPr="001416ED">
        <w:rPr>
          <w:vertAlign w:val="subscript"/>
          <w:lang w:val="uk-UA"/>
        </w:rPr>
        <w:t>-</w:t>
      </w:r>
      <w:r w:rsidR="007D4BE6" w:rsidRPr="001416ED">
        <w:rPr>
          <w:vertAlign w:val="subscript"/>
          <w:lang w:val="en-US"/>
        </w:rPr>
        <w:t>U</w:t>
      </w:r>
      <w:r w:rsidR="007D4BE6" w:rsidRPr="001416ED">
        <w:rPr>
          <w:lang w:val="uk-UA"/>
        </w:rPr>
        <w:t>&lt;0,001; р</w:t>
      </w:r>
      <w:r w:rsidR="007D4BE6" w:rsidRPr="001416ED">
        <w:rPr>
          <w:vertAlign w:val="subscript"/>
          <w:lang w:val="en-US"/>
        </w:rPr>
        <w:t>R</w:t>
      </w:r>
      <w:r w:rsidR="007D4BE6" w:rsidRPr="001416ED">
        <w:rPr>
          <w:vertAlign w:val="subscript"/>
          <w:lang w:val="uk-UA"/>
        </w:rPr>
        <w:t>-</w:t>
      </w:r>
      <w:r w:rsidR="007D4BE6" w:rsidRPr="001416ED">
        <w:rPr>
          <w:vertAlign w:val="subscript"/>
          <w:lang w:val="en-US"/>
        </w:rPr>
        <w:t>U</w:t>
      </w:r>
      <w:r w:rsidR="007D4BE6" w:rsidRPr="001416ED">
        <w:rPr>
          <w:lang w:val="uk-UA"/>
        </w:rPr>
        <w:t>&gt;0,05; р</w:t>
      </w:r>
      <w:r w:rsidR="007D4BE6" w:rsidRPr="001416ED">
        <w:rPr>
          <w:vertAlign w:val="subscript"/>
          <w:lang w:val="en-US"/>
        </w:rPr>
        <w:t>A</w:t>
      </w:r>
      <w:r w:rsidR="007D4BE6" w:rsidRPr="001416ED">
        <w:rPr>
          <w:vertAlign w:val="subscript"/>
          <w:lang w:val="uk-UA"/>
        </w:rPr>
        <w:t>-</w:t>
      </w:r>
      <w:r w:rsidR="007D4BE6" w:rsidRPr="001416ED">
        <w:rPr>
          <w:vertAlign w:val="subscript"/>
          <w:lang w:val="en-US"/>
        </w:rPr>
        <w:t>W</w:t>
      </w:r>
      <w:r w:rsidR="007D4BE6" w:rsidRPr="001416ED">
        <w:rPr>
          <w:lang w:val="uk-UA"/>
        </w:rPr>
        <w:t>&lt;0,01; р</w:t>
      </w:r>
      <w:r w:rsidR="007D4BE6" w:rsidRPr="001416ED">
        <w:rPr>
          <w:vertAlign w:val="subscript"/>
          <w:lang w:val="en-US"/>
        </w:rPr>
        <w:t>R</w:t>
      </w:r>
      <w:r w:rsidR="007D4BE6" w:rsidRPr="001416ED">
        <w:rPr>
          <w:vertAlign w:val="subscript"/>
          <w:lang w:val="uk-UA"/>
        </w:rPr>
        <w:t>-</w:t>
      </w:r>
      <w:r w:rsidR="007D4BE6" w:rsidRPr="001416ED">
        <w:rPr>
          <w:vertAlign w:val="subscript"/>
          <w:lang w:val="en-US"/>
        </w:rPr>
        <w:t>W</w:t>
      </w:r>
      <w:r w:rsidR="007D4BE6" w:rsidRPr="001416ED">
        <w:rPr>
          <w:lang w:val="uk-UA"/>
        </w:rPr>
        <w:t>&gt;0,05; р</w:t>
      </w:r>
      <w:r w:rsidR="007D4BE6" w:rsidRPr="001416ED">
        <w:rPr>
          <w:vertAlign w:val="subscript"/>
          <w:lang w:val="en-US"/>
        </w:rPr>
        <w:t>R</w:t>
      </w:r>
      <w:r w:rsidR="007D4BE6" w:rsidRPr="001416ED">
        <w:rPr>
          <w:vertAlign w:val="subscript"/>
          <w:lang w:val="uk-UA"/>
        </w:rPr>
        <w:t>-</w:t>
      </w:r>
      <w:r w:rsidR="007D4BE6" w:rsidRPr="001416ED">
        <w:rPr>
          <w:vertAlign w:val="subscript"/>
          <w:lang w:val="en-US"/>
        </w:rPr>
        <w:t>A</w:t>
      </w:r>
      <w:r w:rsidR="007D4BE6" w:rsidRPr="001416ED">
        <w:rPr>
          <w:lang w:val="uk-UA"/>
        </w:rPr>
        <w:t>&gt;0,05)</w:t>
      </w:r>
      <w:r w:rsidRPr="001416ED">
        <w:rPr>
          <w:lang w:val="uk-UA"/>
        </w:rPr>
        <w:t xml:space="preserve">. Згідно отриманих результатів, домінантним є малюнок ульнарна петля у всіх групах дослідження. </w:t>
      </w:r>
      <w:r w:rsidR="001E081B" w:rsidRPr="001416ED">
        <w:rPr>
          <w:lang w:val="uk-UA"/>
        </w:rPr>
        <w:t xml:space="preserve">У чоловіків з </w:t>
      </w:r>
      <w:r w:rsidR="00C34030" w:rsidRPr="001416ED">
        <w:rPr>
          <w:lang w:val="uk-UA"/>
        </w:rPr>
        <w:t xml:space="preserve">ГХ ІІІ ст. </w:t>
      </w:r>
      <w:r w:rsidR="001E081B" w:rsidRPr="001416ED">
        <w:rPr>
          <w:lang w:val="uk-UA"/>
        </w:rPr>
        <w:t xml:space="preserve">на </w:t>
      </w:r>
      <w:r w:rsidR="007F0AEB" w:rsidRPr="001416ED">
        <w:rPr>
          <w:lang w:val="uk-UA"/>
        </w:rPr>
        <w:t>ПК</w:t>
      </w:r>
      <w:r w:rsidR="001E081B" w:rsidRPr="001416ED">
        <w:rPr>
          <w:lang w:val="uk-UA"/>
        </w:rPr>
        <w:t xml:space="preserve"> достовірно частіше зустрічається малюнок </w:t>
      </w:r>
      <w:r w:rsidR="00FF5B8D" w:rsidRPr="001416ED">
        <w:rPr>
          <w:lang w:val="uk-UA"/>
        </w:rPr>
        <w:t>дуга</w:t>
      </w:r>
      <w:r w:rsidR="001E081B" w:rsidRPr="001416ED">
        <w:rPr>
          <w:lang w:val="uk-UA"/>
        </w:rPr>
        <w:t>, ніж в групі ко</w:t>
      </w:r>
      <w:r w:rsidR="002D0BF2" w:rsidRPr="001416ED">
        <w:rPr>
          <w:lang w:val="uk-UA"/>
        </w:rPr>
        <w:t>н</w:t>
      </w:r>
      <w:r w:rsidR="001E081B" w:rsidRPr="001416ED">
        <w:rPr>
          <w:lang w:val="uk-UA"/>
        </w:rPr>
        <w:t xml:space="preserve">тролю. </w:t>
      </w:r>
      <w:r w:rsidRPr="001416ED">
        <w:rPr>
          <w:lang w:val="uk-UA"/>
        </w:rPr>
        <w:t xml:space="preserve">Вірогідної різниці у частоті виявлення </w:t>
      </w:r>
      <w:r w:rsidR="001E081B" w:rsidRPr="001416ED">
        <w:rPr>
          <w:lang w:val="uk-UA"/>
        </w:rPr>
        <w:t>інших</w:t>
      </w:r>
      <w:r w:rsidRPr="001416ED">
        <w:rPr>
          <w:lang w:val="uk-UA"/>
        </w:rPr>
        <w:t xml:space="preserve"> малюнків на пальцях </w:t>
      </w:r>
      <w:r w:rsidR="006D11C5" w:rsidRPr="001416ED">
        <w:rPr>
          <w:lang w:val="uk-UA"/>
        </w:rPr>
        <w:t>ПК</w:t>
      </w:r>
      <w:r w:rsidRPr="001416ED">
        <w:rPr>
          <w:lang w:val="uk-UA"/>
        </w:rPr>
        <w:t xml:space="preserve"> між пацієнтами з ГХ т</w:t>
      </w:r>
      <w:r w:rsidR="005E6B4D" w:rsidRPr="001416ED">
        <w:rPr>
          <w:lang w:val="uk-UA"/>
        </w:rPr>
        <w:t>а групою контролю не знайдено</w:t>
      </w:r>
      <w:r w:rsidR="004A10C3" w:rsidRPr="001416ED">
        <w:rPr>
          <w:lang w:val="uk-UA"/>
        </w:rPr>
        <w:t>.</w:t>
      </w:r>
    </w:p>
    <w:p w:rsidR="00FE0F2E" w:rsidRPr="001416ED" w:rsidRDefault="005E6B4D" w:rsidP="004E40F0">
      <w:pPr>
        <w:spacing w:line="360" w:lineRule="auto"/>
        <w:ind w:firstLine="709"/>
        <w:jc w:val="both"/>
        <w:rPr>
          <w:rFonts w:eastAsiaTheme="minorHAnsi"/>
          <w:kern w:val="11"/>
          <w:lang w:val="uk-UA" w:eastAsia="en-US"/>
        </w:rPr>
      </w:pPr>
      <w:r w:rsidRPr="001416ED">
        <w:rPr>
          <w:lang w:val="uk-UA"/>
        </w:rPr>
        <w:t xml:space="preserve"> </w:t>
      </w:r>
      <w:r w:rsidR="00A8743C" w:rsidRPr="001416ED">
        <w:rPr>
          <w:rFonts w:eastAsiaTheme="minorHAnsi"/>
          <w:kern w:val="11"/>
          <w:lang w:val="uk-UA" w:eastAsia="en-US"/>
        </w:rPr>
        <w:t xml:space="preserve">У пацієнтів чоловічої статі, що мають ГХ різної </w:t>
      </w:r>
      <w:r w:rsidR="00046A18" w:rsidRPr="001416ED">
        <w:rPr>
          <w:rFonts w:eastAsiaTheme="minorHAnsi"/>
          <w:kern w:val="11"/>
          <w:lang w:val="uk-UA" w:eastAsia="en-US"/>
        </w:rPr>
        <w:t>стадії</w:t>
      </w:r>
      <w:r w:rsidR="00A8743C" w:rsidRPr="001416ED">
        <w:rPr>
          <w:rFonts w:eastAsiaTheme="minorHAnsi"/>
          <w:kern w:val="11"/>
          <w:lang w:val="uk-UA" w:eastAsia="en-US"/>
        </w:rPr>
        <w:t xml:space="preserve">, як і </w:t>
      </w:r>
      <w:r w:rsidR="004A10C3" w:rsidRPr="001416ED">
        <w:rPr>
          <w:rFonts w:eastAsiaTheme="minorHAnsi"/>
          <w:kern w:val="11"/>
          <w:lang w:val="uk-UA" w:eastAsia="en-US"/>
        </w:rPr>
        <w:t>в</w:t>
      </w:r>
      <w:r w:rsidR="00A8743C" w:rsidRPr="001416ED">
        <w:rPr>
          <w:rFonts w:eastAsiaTheme="minorHAnsi"/>
          <w:kern w:val="11"/>
          <w:lang w:val="uk-UA" w:eastAsia="en-US"/>
        </w:rPr>
        <w:t xml:space="preserve"> групі ко</w:t>
      </w:r>
      <w:r w:rsidRPr="001416ED">
        <w:rPr>
          <w:rFonts w:eastAsiaTheme="minorHAnsi"/>
          <w:kern w:val="11"/>
          <w:lang w:val="uk-UA" w:eastAsia="en-US"/>
        </w:rPr>
        <w:t>н</w:t>
      </w:r>
      <w:r w:rsidR="00A8743C" w:rsidRPr="001416ED">
        <w:rPr>
          <w:rFonts w:eastAsiaTheme="minorHAnsi"/>
          <w:kern w:val="11"/>
          <w:lang w:val="uk-UA" w:eastAsia="en-US"/>
        </w:rPr>
        <w:t>тролю на пальця</w:t>
      </w:r>
      <w:r w:rsidR="00891F7E" w:rsidRPr="001416ED">
        <w:rPr>
          <w:rFonts w:eastAsiaTheme="minorHAnsi"/>
          <w:kern w:val="11"/>
          <w:lang w:val="uk-UA" w:eastAsia="en-US"/>
        </w:rPr>
        <w:t>х</w:t>
      </w:r>
      <w:r w:rsidR="00A8743C" w:rsidRPr="001416ED">
        <w:rPr>
          <w:rFonts w:eastAsiaTheme="minorHAnsi"/>
          <w:kern w:val="11"/>
          <w:lang w:val="uk-UA" w:eastAsia="en-US"/>
        </w:rPr>
        <w:t xml:space="preserve"> </w:t>
      </w:r>
      <w:r w:rsidR="006D11C5" w:rsidRPr="001416ED">
        <w:rPr>
          <w:rFonts w:eastAsiaTheme="minorHAnsi"/>
          <w:kern w:val="11"/>
          <w:lang w:val="uk-UA" w:eastAsia="en-US"/>
        </w:rPr>
        <w:t>ЛК</w:t>
      </w:r>
      <w:r w:rsidR="00A8743C" w:rsidRPr="001416ED">
        <w:rPr>
          <w:rFonts w:eastAsiaTheme="minorHAnsi"/>
          <w:kern w:val="11"/>
          <w:lang w:val="uk-UA" w:eastAsia="en-US"/>
        </w:rPr>
        <w:t xml:space="preserve"> переважає малюнок ульнарна петля. Частота  малюнків у чоловіків з ГХ ІІ ст. на </w:t>
      </w:r>
      <w:r w:rsidR="007F0AEB" w:rsidRPr="001416ED">
        <w:rPr>
          <w:rFonts w:eastAsiaTheme="minorHAnsi"/>
          <w:kern w:val="11"/>
          <w:lang w:val="uk-UA" w:eastAsia="en-US"/>
        </w:rPr>
        <w:t>ЛК</w:t>
      </w:r>
      <w:r w:rsidR="00A8743C" w:rsidRPr="001416ED">
        <w:rPr>
          <w:rFonts w:eastAsiaTheme="minorHAnsi"/>
          <w:kern w:val="11"/>
          <w:lang w:val="uk-UA" w:eastAsia="en-US"/>
        </w:rPr>
        <w:t xml:space="preserve"> становить </w:t>
      </w:r>
      <w:r w:rsidR="00A8743C" w:rsidRPr="001416ED">
        <w:rPr>
          <w:rFonts w:eastAsiaTheme="minorHAnsi"/>
          <w:kern w:val="11"/>
          <w:lang w:val="en-US" w:eastAsia="en-US"/>
        </w:rPr>
        <w:t>U</w:t>
      </w:r>
      <w:r w:rsidR="00A8743C" w:rsidRPr="001416ED">
        <w:rPr>
          <w:rFonts w:eastAsiaTheme="minorHAnsi"/>
          <w:kern w:val="11"/>
          <w:lang w:val="uk-UA" w:eastAsia="en-US"/>
        </w:rPr>
        <w:t>&gt;</w:t>
      </w:r>
      <w:r w:rsidR="00A8743C" w:rsidRPr="001416ED">
        <w:rPr>
          <w:rFonts w:eastAsiaTheme="minorHAnsi"/>
          <w:kern w:val="11"/>
          <w:lang w:val="en-US" w:eastAsia="en-US"/>
        </w:rPr>
        <w:t>W</w:t>
      </w:r>
      <w:r w:rsidR="00A8743C" w:rsidRPr="001416ED">
        <w:rPr>
          <w:rFonts w:eastAsiaTheme="minorHAnsi"/>
          <w:kern w:val="11"/>
          <w:lang w:val="uk-UA" w:eastAsia="en-US"/>
        </w:rPr>
        <w:t>&gt;</w:t>
      </w:r>
      <w:r w:rsidR="00A8743C" w:rsidRPr="001416ED">
        <w:rPr>
          <w:rFonts w:eastAsiaTheme="minorHAnsi"/>
          <w:kern w:val="11"/>
          <w:lang w:val="en-US" w:eastAsia="en-US"/>
        </w:rPr>
        <w:t>A</w:t>
      </w:r>
      <w:r w:rsidR="00A8743C" w:rsidRPr="001416ED">
        <w:rPr>
          <w:rFonts w:eastAsiaTheme="minorHAnsi"/>
          <w:kern w:val="11"/>
          <w:lang w:val="uk-UA" w:eastAsia="en-US"/>
        </w:rPr>
        <w:t>&gt;</w:t>
      </w:r>
      <w:r w:rsidR="00A8743C" w:rsidRPr="001416ED">
        <w:rPr>
          <w:rFonts w:eastAsiaTheme="minorHAnsi"/>
          <w:kern w:val="11"/>
          <w:lang w:val="en-US" w:eastAsia="en-US"/>
        </w:rPr>
        <w:t>R</w:t>
      </w:r>
      <w:r w:rsidR="00A8743C" w:rsidRPr="001416ED">
        <w:rPr>
          <w:rFonts w:eastAsiaTheme="minorHAnsi"/>
          <w:kern w:val="11"/>
          <w:lang w:val="uk-UA" w:eastAsia="en-US"/>
        </w:rPr>
        <w:t xml:space="preserve"> (відповідно 187; 83; 21; 22 </w:t>
      </w:r>
      <w:r w:rsidR="00A8743C" w:rsidRPr="001416ED">
        <w:rPr>
          <w:rFonts w:eastAsiaTheme="minorHAnsi"/>
          <w:kern w:val="11"/>
          <w:lang w:val="uk-UA" w:eastAsia="en-US"/>
        </w:rPr>
        <w:lastRenderedPageBreak/>
        <w:t>випадків)</w:t>
      </w:r>
      <w:r w:rsidR="00BD16C0" w:rsidRPr="001416ED">
        <w:rPr>
          <w:rFonts w:eastAsiaTheme="minorHAnsi"/>
          <w:kern w:val="11"/>
          <w:sz w:val="24"/>
          <w:szCs w:val="24"/>
          <w:lang w:val="uk-UA" w:eastAsia="en-US"/>
        </w:rPr>
        <w:t xml:space="preserve"> (</w:t>
      </w:r>
      <w:r w:rsidR="00BD16C0" w:rsidRPr="001416ED">
        <w:rPr>
          <w:rFonts w:eastAsiaTheme="minorHAnsi"/>
          <w:kern w:val="11"/>
          <w:lang w:val="uk-UA" w:eastAsia="en-US"/>
        </w:rPr>
        <w:t>р</w:t>
      </w:r>
      <w:r w:rsidR="00BD16C0" w:rsidRPr="001416ED">
        <w:rPr>
          <w:rFonts w:eastAsiaTheme="minorHAnsi"/>
          <w:kern w:val="11"/>
          <w:vertAlign w:val="subscript"/>
          <w:lang w:val="en-US" w:eastAsia="en-US"/>
        </w:rPr>
        <w:t>W</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U</w:t>
      </w:r>
      <w:r w:rsidR="00BD16C0" w:rsidRPr="001416ED">
        <w:rPr>
          <w:rFonts w:eastAsiaTheme="minorHAnsi"/>
          <w:kern w:val="11"/>
          <w:lang w:val="uk-UA" w:eastAsia="en-US"/>
        </w:rPr>
        <w:t>&lt;0,00</w:t>
      </w:r>
      <w:r w:rsidR="00837B7E" w:rsidRPr="001416ED">
        <w:rPr>
          <w:rFonts w:eastAsiaTheme="minorHAnsi"/>
          <w:kern w:val="11"/>
          <w:lang w:val="uk-UA" w:eastAsia="en-US"/>
        </w:rPr>
        <w:t>0</w:t>
      </w:r>
      <w:r w:rsidR="00BD16C0" w:rsidRPr="001416ED">
        <w:rPr>
          <w:rFonts w:eastAsiaTheme="minorHAnsi"/>
          <w:kern w:val="11"/>
          <w:lang w:val="uk-UA" w:eastAsia="en-US"/>
        </w:rPr>
        <w:t>1; р</w:t>
      </w:r>
      <w:r w:rsidR="00BD16C0" w:rsidRPr="001416ED">
        <w:rPr>
          <w:rFonts w:eastAsiaTheme="minorHAnsi"/>
          <w:kern w:val="11"/>
          <w:vertAlign w:val="subscript"/>
          <w:lang w:val="en-US" w:eastAsia="en-US"/>
        </w:rPr>
        <w:t>A</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U</w:t>
      </w:r>
      <w:r w:rsidR="00837B7E" w:rsidRPr="001416ED">
        <w:rPr>
          <w:rFonts w:eastAsiaTheme="minorHAnsi"/>
          <w:kern w:val="11"/>
          <w:lang w:val="uk-UA" w:eastAsia="en-US"/>
        </w:rPr>
        <w:t>&lt;0,000</w:t>
      </w:r>
      <w:r w:rsidR="00BD16C0" w:rsidRPr="001416ED">
        <w:rPr>
          <w:rFonts w:eastAsiaTheme="minorHAnsi"/>
          <w:kern w:val="11"/>
          <w:lang w:val="uk-UA" w:eastAsia="en-US"/>
        </w:rPr>
        <w:t>1; р</w:t>
      </w:r>
      <w:r w:rsidR="00BD16C0" w:rsidRPr="001416ED">
        <w:rPr>
          <w:rFonts w:eastAsiaTheme="minorHAnsi"/>
          <w:kern w:val="11"/>
          <w:vertAlign w:val="subscript"/>
          <w:lang w:val="en-US" w:eastAsia="en-US"/>
        </w:rPr>
        <w:t>R</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U</w:t>
      </w:r>
      <w:r w:rsidR="00837B7E" w:rsidRPr="001416ED">
        <w:rPr>
          <w:rFonts w:eastAsiaTheme="minorHAnsi"/>
          <w:kern w:val="11"/>
          <w:lang w:val="uk-UA" w:eastAsia="en-US"/>
        </w:rPr>
        <w:t>&lt;0,000</w:t>
      </w:r>
      <w:r w:rsidR="00BD16C0" w:rsidRPr="001416ED">
        <w:rPr>
          <w:rFonts w:eastAsiaTheme="minorHAnsi"/>
          <w:kern w:val="11"/>
          <w:lang w:val="uk-UA" w:eastAsia="en-US"/>
        </w:rPr>
        <w:t>1; р</w:t>
      </w:r>
      <w:r w:rsidR="00BD16C0" w:rsidRPr="001416ED">
        <w:rPr>
          <w:rFonts w:eastAsiaTheme="minorHAnsi"/>
          <w:kern w:val="11"/>
          <w:vertAlign w:val="subscript"/>
          <w:lang w:val="en-US" w:eastAsia="en-US"/>
        </w:rPr>
        <w:t>A</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W</w:t>
      </w:r>
      <w:r w:rsidR="00BD16C0" w:rsidRPr="001416ED">
        <w:rPr>
          <w:rFonts w:eastAsiaTheme="minorHAnsi"/>
          <w:kern w:val="11"/>
          <w:lang w:val="uk-UA" w:eastAsia="en-US"/>
        </w:rPr>
        <w:t>&lt;0,05; р</w:t>
      </w:r>
      <w:r w:rsidR="00BD16C0" w:rsidRPr="001416ED">
        <w:rPr>
          <w:rFonts w:eastAsiaTheme="minorHAnsi"/>
          <w:kern w:val="11"/>
          <w:vertAlign w:val="subscript"/>
          <w:lang w:val="en-US" w:eastAsia="en-US"/>
        </w:rPr>
        <w:t>R</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W</w:t>
      </w:r>
      <w:r w:rsidR="00BD16C0" w:rsidRPr="001416ED">
        <w:rPr>
          <w:rFonts w:eastAsiaTheme="minorHAnsi"/>
          <w:kern w:val="11"/>
          <w:lang w:val="uk-UA" w:eastAsia="en-US"/>
        </w:rPr>
        <w:t>&lt;0,05; р</w:t>
      </w:r>
      <w:r w:rsidR="00BD16C0" w:rsidRPr="001416ED">
        <w:rPr>
          <w:rFonts w:eastAsiaTheme="minorHAnsi"/>
          <w:kern w:val="11"/>
          <w:vertAlign w:val="subscript"/>
          <w:lang w:val="en-US" w:eastAsia="en-US"/>
        </w:rPr>
        <w:t>R</w:t>
      </w:r>
      <w:r w:rsidR="00BD16C0" w:rsidRPr="001416ED">
        <w:rPr>
          <w:rFonts w:eastAsiaTheme="minorHAnsi"/>
          <w:kern w:val="11"/>
          <w:vertAlign w:val="subscript"/>
          <w:lang w:val="uk-UA" w:eastAsia="en-US"/>
        </w:rPr>
        <w:t>-</w:t>
      </w:r>
      <w:r w:rsidR="00BD16C0" w:rsidRPr="001416ED">
        <w:rPr>
          <w:rFonts w:eastAsiaTheme="minorHAnsi"/>
          <w:kern w:val="11"/>
          <w:vertAlign w:val="subscript"/>
          <w:lang w:val="en-US" w:eastAsia="en-US"/>
        </w:rPr>
        <w:t>A</w:t>
      </w:r>
      <w:r w:rsidR="00BD16C0" w:rsidRPr="001416ED">
        <w:rPr>
          <w:rFonts w:eastAsiaTheme="minorHAnsi"/>
          <w:kern w:val="11"/>
          <w:lang w:val="uk-UA" w:eastAsia="en-US"/>
        </w:rPr>
        <w:t>&gt;0,05)</w:t>
      </w:r>
      <w:r w:rsidR="00A8743C" w:rsidRPr="001416ED">
        <w:rPr>
          <w:rFonts w:eastAsiaTheme="minorHAnsi"/>
          <w:kern w:val="11"/>
          <w:lang w:val="uk-UA" w:eastAsia="en-US"/>
        </w:rPr>
        <w:t xml:space="preserve">, у осіб з </w:t>
      </w:r>
      <w:r w:rsidR="00C34030" w:rsidRPr="001416ED">
        <w:rPr>
          <w:rFonts w:eastAsiaTheme="minorHAnsi"/>
          <w:kern w:val="11"/>
          <w:lang w:val="uk-UA" w:eastAsia="en-US"/>
        </w:rPr>
        <w:t xml:space="preserve">ГХ ІІІ ст. </w:t>
      </w:r>
      <w:r w:rsidR="00BC0119" w:rsidRPr="001416ED">
        <w:rPr>
          <w:rFonts w:eastAsiaTheme="minorHAnsi"/>
          <w:kern w:val="11"/>
          <w:lang w:val="uk-UA" w:eastAsia="en-US"/>
        </w:rPr>
        <w:t>–</w:t>
      </w:r>
      <w:r w:rsidR="00A8743C" w:rsidRPr="001416ED">
        <w:rPr>
          <w:rFonts w:eastAsiaTheme="minorHAnsi"/>
          <w:kern w:val="11"/>
          <w:sz w:val="24"/>
          <w:szCs w:val="24"/>
          <w:lang w:val="uk-UA" w:eastAsia="en-US"/>
        </w:rPr>
        <w:t xml:space="preserve"> </w:t>
      </w:r>
      <w:r w:rsidR="00A8743C" w:rsidRPr="001416ED">
        <w:rPr>
          <w:rFonts w:eastAsiaTheme="minorHAnsi"/>
          <w:kern w:val="11"/>
          <w:lang w:val="en-US" w:eastAsia="en-US"/>
        </w:rPr>
        <w:t>U</w:t>
      </w:r>
      <w:r w:rsidR="00A8743C" w:rsidRPr="001416ED">
        <w:rPr>
          <w:rFonts w:eastAsiaTheme="minorHAnsi"/>
          <w:kern w:val="11"/>
          <w:lang w:val="uk-UA" w:eastAsia="en-US"/>
        </w:rPr>
        <w:t>&gt;</w:t>
      </w:r>
      <w:r w:rsidR="00A8743C" w:rsidRPr="001416ED">
        <w:rPr>
          <w:rFonts w:eastAsiaTheme="minorHAnsi"/>
          <w:kern w:val="11"/>
          <w:lang w:val="en-US" w:eastAsia="en-US"/>
        </w:rPr>
        <w:t>W</w:t>
      </w:r>
      <w:r w:rsidR="00A8743C" w:rsidRPr="001416ED">
        <w:rPr>
          <w:rFonts w:eastAsiaTheme="minorHAnsi"/>
          <w:kern w:val="11"/>
          <w:lang w:val="uk-UA" w:eastAsia="en-US"/>
        </w:rPr>
        <w:t>&gt;</w:t>
      </w:r>
      <w:r w:rsidR="00A8743C" w:rsidRPr="001416ED">
        <w:rPr>
          <w:rFonts w:eastAsiaTheme="minorHAnsi"/>
          <w:kern w:val="11"/>
          <w:lang w:val="en-US" w:eastAsia="en-US"/>
        </w:rPr>
        <w:t>A</w:t>
      </w:r>
      <w:r w:rsidR="00A8743C" w:rsidRPr="001416ED">
        <w:rPr>
          <w:rFonts w:eastAsiaTheme="minorHAnsi"/>
          <w:kern w:val="11"/>
          <w:lang w:val="uk-UA" w:eastAsia="en-US"/>
        </w:rPr>
        <w:t>&gt;</w:t>
      </w:r>
      <w:r w:rsidR="00A8743C" w:rsidRPr="001416ED">
        <w:rPr>
          <w:rFonts w:eastAsiaTheme="minorHAnsi"/>
          <w:kern w:val="11"/>
          <w:lang w:val="en-US" w:eastAsia="en-US"/>
        </w:rPr>
        <w:t>R</w:t>
      </w:r>
      <w:r w:rsidR="00A8743C" w:rsidRPr="001416ED">
        <w:rPr>
          <w:rFonts w:eastAsiaTheme="minorHAnsi"/>
          <w:kern w:val="11"/>
          <w:lang w:val="uk-UA" w:eastAsia="en-US"/>
        </w:rPr>
        <w:t xml:space="preserve"> (відповідно 108; 54; 31; 22 випадків)</w:t>
      </w:r>
      <w:r w:rsidR="007D6296" w:rsidRPr="001416ED">
        <w:rPr>
          <w:rFonts w:eastAsiaTheme="minorHAnsi"/>
          <w:kern w:val="11"/>
          <w:sz w:val="24"/>
          <w:szCs w:val="24"/>
          <w:lang w:val="uk-UA" w:eastAsia="en-US"/>
        </w:rPr>
        <w:t xml:space="preserve"> </w:t>
      </w:r>
      <w:r w:rsidR="007E1738" w:rsidRPr="001416ED">
        <w:rPr>
          <w:rFonts w:eastAsiaTheme="minorHAnsi"/>
          <w:kern w:val="11"/>
          <w:sz w:val="24"/>
          <w:szCs w:val="24"/>
          <w:lang w:val="uk-UA" w:eastAsia="en-US"/>
        </w:rPr>
        <w:t>(</w:t>
      </w:r>
      <w:r w:rsidR="007D6296" w:rsidRPr="001416ED">
        <w:rPr>
          <w:rFonts w:eastAsiaTheme="minorHAnsi"/>
          <w:kern w:val="11"/>
          <w:lang w:val="uk-UA" w:eastAsia="en-US"/>
        </w:rPr>
        <w:t>р</w:t>
      </w:r>
      <w:r w:rsidR="007D6296" w:rsidRPr="001416ED">
        <w:rPr>
          <w:rFonts w:eastAsiaTheme="minorHAnsi"/>
          <w:kern w:val="11"/>
          <w:vertAlign w:val="subscript"/>
          <w:lang w:val="en-US" w:eastAsia="en-US"/>
        </w:rPr>
        <w:t>W</w:t>
      </w:r>
      <w:r w:rsidR="007D6296" w:rsidRPr="001416ED">
        <w:rPr>
          <w:rFonts w:eastAsiaTheme="minorHAnsi"/>
          <w:kern w:val="11"/>
          <w:vertAlign w:val="subscript"/>
          <w:lang w:val="uk-UA" w:eastAsia="en-US"/>
        </w:rPr>
        <w:t>-</w:t>
      </w:r>
      <w:r w:rsidR="007D6296" w:rsidRPr="001416ED">
        <w:rPr>
          <w:rFonts w:eastAsiaTheme="minorHAnsi"/>
          <w:kern w:val="11"/>
          <w:vertAlign w:val="subscript"/>
          <w:lang w:val="en-US" w:eastAsia="en-US"/>
        </w:rPr>
        <w:t>U</w:t>
      </w:r>
      <w:r w:rsidR="007D6296" w:rsidRPr="001416ED">
        <w:rPr>
          <w:rFonts w:eastAsiaTheme="minorHAnsi"/>
          <w:kern w:val="11"/>
          <w:lang w:val="uk-UA" w:eastAsia="en-US"/>
        </w:rPr>
        <w:t>&lt;0,001; р</w:t>
      </w:r>
      <w:r w:rsidR="007E1738" w:rsidRPr="001416ED">
        <w:rPr>
          <w:rFonts w:eastAsiaTheme="minorHAnsi"/>
          <w:kern w:val="11"/>
          <w:vertAlign w:val="subscript"/>
          <w:lang w:val="en-US" w:eastAsia="en-US"/>
        </w:rPr>
        <w:t>A</w:t>
      </w:r>
      <w:r w:rsidR="007D6296" w:rsidRPr="001416ED">
        <w:rPr>
          <w:rFonts w:eastAsiaTheme="minorHAnsi"/>
          <w:kern w:val="11"/>
          <w:vertAlign w:val="subscript"/>
          <w:lang w:val="uk-UA" w:eastAsia="en-US"/>
        </w:rPr>
        <w:t>-</w:t>
      </w:r>
      <w:r w:rsidR="007E1738" w:rsidRPr="001416ED">
        <w:rPr>
          <w:rFonts w:eastAsiaTheme="minorHAnsi"/>
          <w:kern w:val="11"/>
          <w:vertAlign w:val="subscript"/>
          <w:lang w:val="en-US" w:eastAsia="en-US"/>
        </w:rPr>
        <w:t>U</w:t>
      </w:r>
      <w:r w:rsidR="007D6296" w:rsidRPr="001416ED">
        <w:rPr>
          <w:rFonts w:eastAsiaTheme="minorHAnsi"/>
          <w:kern w:val="11"/>
          <w:lang w:val="uk-UA" w:eastAsia="en-US"/>
        </w:rPr>
        <w:t>&lt;0,001;</w:t>
      </w:r>
      <w:r w:rsidR="007E1738" w:rsidRPr="001416ED">
        <w:rPr>
          <w:rFonts w:eastAsiaTheme="minorHAnsi"/>
          <w:kern w:val="11"/>
          <w:lang w:val="uk-UA" w:eastAsia="en-US"/>
        </w:rPr>
        <w:t xml:space="preserve"> </w:t>
      </w:r>
      <w:r w:rsidR="007D6296" w:rsidRPr="001416ED">
        <w:rPr>
          <w:rFonts w:eastAsiaTheme="minorHAnsi"/>
          <w:kern w:val="11"/>
          <w:lang w:val="uk-UA" w:eastAsia="en-US"/>
        </w:rPr>
        <w:t>р</w:t>
      </w:r>
      <w:r w:rsidR="007E1738" w:rsidRPr="001416ED">
        <w:rPr>
          <w:rFonts w:eastAsiaTheme="minorHAnsi"/>
          <w:kern w:val="11"/>
          <w:vertAlign w:val="subscript"/>
          <w:lang w:val="en-US" w:eastAsia="en-US"/>
        </w:rPr>
        <w:t>A</w:t>
      </w:r>
      <w:r w:rsidR="007D6296" w:rsidRPr="001416ED">
        <w:rPr>
          <w:rFonts w:eastAsiaTheme="minorHAnsi"/>
          <w:kern w:val="11"/>
          <w:vertAlign w:val="subscript"/>
          <w:lang w:val="uk-UA" w:eastAsia="en-US"/>
        </w:rPr>
        <w:t>-</w:t>
      </w:r>
      <w:r w:rsidR="007E1738" w:rsidRPr="001416ED">
        <w:rPr>
          <w:rFonts w:eastAsiaTheme="minorHAnsi"/>
          <w:kern w:val="11"/>
          <w:vertAlign w:val="subscript"/>
          <w:lang w:val="en-US" w:eastAsia="en-US"/>
        </w:rPr>
        <w:t>U</w:t>
      </w:r>
      <w:r w:rsidR="007D6296" w:rsidRPr="001416ED">
        <w:rPr>
          <w:rFonts w:eastAsiaTheme="minorHAnsi"/>
          <w:kern w:val="11"/>
          <w:lang w:val="uk-UA" w:eastAsia="en-US"/>
        </w:rPr>
        <w:t>&lt;0,001;</w:t>
      </w:r>
      <w:r w:rsidR="007E1738" w:rsidRPr="001416ED">
        <w:rPr>
          <w:rFonts w:eastAsiaTheme="minorHAnsi"/>
          <w:kern w:val="11"/>
          <w:lang w:val="uk-UA" w:eastAsia="en-US"/>
        </w:rPr>
        <w:t xml:space="preserve"> </w:t>
      </w:r>
      <w:r w:rsidR="007D6296" w:rsidRPr="001416ED">
        <w:rPr>
          <w:rFonts w:eastAsiaTheme="minorHAnsi"/>
          <w:kern w:val="11"/>
          <w:lang w:val="uk-UA" w:eastAsia="en-US"/>
        </w:rPr>
        <w:t>р</w:t>
      </w:r>
      <w:r w:rsidR="007E1738" w:rsidRPr="001416ED">
        <w:rPr>
          <w:rFonts w:eastAsiaTheme="minorHAnsi"/>
          <w:kern w:val="11"/>
          <w:vertAlign w:val="subscript"/>
          <w:lang w:val="en-US" w:eastAsia="en-US"/>
        </w:rPr>
        <w:t>A</w:t>
      </w:r>
      <w:r w:rsidR="007D6296" w:rsidRPr="001416ED">
        <w:rPr>
          <w:rFonts w:eastAsiaTheme="minorHAnsi"/>
          <w:kern w:val="11"/>
          <w:vertAlign w:val="subscript"/>
          <w:lang w:val="uk-UA" w:eastAsia="en-US"/>
        </w:rPr>
        <w:t>-</w:t>
      </w:r>
      <w:r w:rsidR="007E1738" w:rsidRPr="001416ED">
        <w:rPr>
          <w:rFonts w:eastAsiaTheme="minorHAnsi"/>
          <w:kern w:val="11"/>
          <w:vertAlign w:val="subscript"/>
          <w:lang w:val="en-US" w:eastAsia="en-US"/>
        </w:rPr>
        <w:t>W</w:t>
      </w:r>
      <w:r w:rsidR="007D6296" w:rsidRPr="001416ED">
        <w:rPr>
          <w:rFonts w:eastAsiaTheme="minorHAnsi"/>
          <w:kern w:val="11"/>
          <w:lang w:val="uk-UA" w:eastAsia="en-US"/>
        </w:rPr>
        <w:t>&gt;0,05;</w:t>
      </w:r>
      <w:r w:rsidR="007E1738" w:rsidRPr="001416ED">
        <w:rPr>
          <w:rFonts w:eastAsiaTheme="minorHAnsi"/>
          <w:kern w:val="11"/>
          <w:lang w:val="uk-UA" w:eastAsia="en-US"/>
        </w:rPr>
        <w:t xml:space="preserve"> </w:t>
      </w:r>
      <w:r w:rsidR="007D6296" w:rsidRPr="001416ED">
        <w:rPr>
          <w:rFonts w:eastAsiaTheme="minorHAnsi"/>
          <w:kern w:val="11"/>
          <w:lang w:val="uk-UA" w:eastAsia="en-US"/>
        </w:rPr>
        <w:t>р</w:t>
      </w:r>
      <w:r w:rsidR="007E1738" w:rsidRPr="001416ED">
        <w:rPr>
          <w:rFonts w:eastAsiaTheme="minorHAnsi"/>
          <w:kern w:val="11"/>
          <w:vertAlign w:val="subscript"/>
          <w:lang w:val="en-US" w:eastAsia="en-US"/>
        </w:rPr>
        <w:t>R</w:t>
      </w:r>
      <w:r w:rsidR="007D6296" w:rsidRPr="001416ED">
        <w:rPr>
          <w:rFonts w:eastAsiaTheme="minorHAnsi"/>
          <w:kern w:val="11"/>
          <w:vertAlign w:val="subscript"/>
          <w:lang w:val="uk-UA" w:eastAsia="en-US"/>
        </w:rPr>
        <w:t>-</w:t>
      </w:r>
      <w:r w:rsidR="007E1738" w:rsidRPr="001416ED">
        <w:rPr>
          <w:rFonts w:eastAsiaTheme="minorHAnsi"/>
          <w:kern w:val="11"/>
          <w:vertAlign w:val="subscript"/>
          <w:lang w:val="en-US" w:eastAsia="en-US"/>
        </w:rPr>
        <w:t>W</w:t>
      </w:r>
      <w:r w:rsidR="007D6296" w:rsidRPr="001416ED">
        <w:rPr>
          <w:rFonts w:eastAsiaTheme="minorHAnsi"/>
          <w:kern w:val="11"/>
          <w:lang w:val="uk-UA" w:eastAsia="en-US"/>
        </w:rPr>
        <w:t>&gt;0,05;</w:t>
      </w:r>
      <w:r w:rsidR="007E1738" w:rsidRPr="001416ED">
        <w:rPr>
          <w:rFonts w:eastAsiaTheme="minorHAnsi"/>
          <w:kern w:val="11"/>
          <w:lang w:val="uk-UA" w:eastAsia="en-US"/>
        </w:rPr>
        <w:t xml:space="preserve"> </w:t>
      </w:r>
      <w:r w:rsidR="007D6296" w:rsidRPr="001416ED">
        <w:rPr>
          <w:rFonts w:eastAsiaTheme="minorHAnsi"/>
          <w:kern w:val="11"/>
          <w:lang w:val="uk-UA" w:eastAsia="en-US"/>
        </w:rPr>
        <w:t>р</w:t>
      </w:r>
      <w:r w:rsidR="007E1738" w:rsidRPr="001416ED">
        <w:rPr>
          <w:rFonts w:eastAsiaTheme="minorHAnsi"/>
          <w:kern w:val="11"/>
          <w:vertAlign w:val="subscript"/>
          <w:lang w:val="en-US" w:eastAsia="en-US"/>
        </w:rPr>
        <w:t>R</w:t>
      </w:r>
      <w:r w:rsidR="007D6296" w:rsidRPr="001416ED">
        <w:rPr>
          <w:rFonts w:eastAsiaTheme="minorHAnsi"/>
          <w:kern w:val="11"/>
          <w:vertAlign w:val="subscript"/>
          <w:lang w:val="uk-UA" w:eastAsia="en-US"/>
        </w:rPr>
        <w:t>-</w:t>
      </w:r>
      <w:r w:rsidR="007E1738" w:rsidRPr="001416ED">
        <w:rPr>
          <w:rFonts w:eastAsiaTheme="minorHAnsi"/>
          <w:kern w:val="11"/>
          <w:vertAlign w:val="subscript"/>
          <w:lang w:val="en-US" w:eastAsia="en-US"/>
        </w:rPr>
        <w:t>A</w:t>
      </w:r>
      <w:r w:rsidR="007D6296" w:rsidRPr="001416ED">
        <w:rPr>
          <w:rFonts w:eastAsiaTheme="minorHAnsi"/>
          <w:kern w:val="11"/>
          <w:lang w:val="uk-UA" w:eastAsia="en-US"/>
        </w:rPr>
        <w:t>&gt;0,05</w:t>
      </w:r>
      <w:r w:rsidR="007E1738" w:rsidRPr="001416ED">
        <w:rPr>
          <w:rFonts w:eastAsiaTheme="minorHAnsi"/>
          <w:kern w:val="11"/>
          <w:lang w:val="uk-UA" w:eastAsia="en-US"/>
        </w:rPr>
        <w:t>)</w:t>
      </w:r>
      <w:r w:rsidR="00A8743C" w:rsidRPr="001416ED">
        <w:rPr>
          <w:rFonts w:eastAsiaTheme="minorHAnsi"/>
          <w:kern w:val="11"/>
          <w:lang w:val="uk-UA" w:eastAsia="en-US"/>
        </w:rPr>
        <w:t xml:space="preserve">. </w:t>
      </w:r>
      <w:r w:rsidR="001E081B" w:rsidRPr="001416ED">
        <w:rPr>
          <w:rFonts w:eastAsiaTheme="minorHAnsi"/>
          <w:kern w:val="11"/>
          <w:lang w:val="uk-UA" w:eastAsia="en-US"/>
        </w:rPr>
        <w:t xml:space="preserve">У чоловіків з ГХ </w:t>
      </w:r>
      <w:r w:rsidR="00D323C7" w:rsidRPr="001416ED">
        <w:rPr>
          <w:rFonts w:eastAsiaTheme="minorHAnsi"/>
          <w:kern w:val="11"/>
          <w:lang w:val="uk-UA" w:eastAsia="en-US"/>
        </w:rPr>
        <w:t>І</w:t>
      </w:r>
      <w:r w:rsidR="004A4E68" w:rsidRPr="001416ED">
        <w:rPr>
          <w:rFonts w:eastAsiaTheme="minorHAnsi"/>
          <w:kern w:val="11"/>
          <w:lang w:val="uk-UA" w:eastAsia="en-US"/>
        </w:rPr>
        <w:t xml:space="preserve">ІІ </w:t>
      </w:r>
      <w:r w:rsidR="001E081B" w:rsidRPr="001416ED">
        <w:rPr>
          <w:rFonts w:eastAsiaTheme="minorHAnsi"/>
          <w:kern w:val="11"/>
          <w:lang w:val="uk-UA" w:eastAsia="en-US"/>
        </w:rPr>
        <w:t xml:space="preserve">ст. на </w:t>
      </w:r>
      <w:r w:rsidR="007F0AEB" w:rsidRPr="001416ED">
        <w:rPr>
          <w:rFonts w:eastAsiaTheme="minorHAnsi"/>
          <w:kern w:val="11"/>
          <w:lang w:val="uk-UA" w:eastAsia="en-US"/>
        </w:rPr>
        <w:t>ЛК</w:t>
      </w:r>
      <w:r w:rsidR="001E081B" w:rsidRPr="001416ED">
        <w:rPr>
          <w:rFonts w:eastAsiaTheme="minorHAnsi"/>
          <w:kern w:val="11"/>
          <w:lang w:val="uk-UA" w:eastAsia="en-US"/>
        </w:rPr>
        <w:t xml:space="preserve"> достовірно частіше зустрічається малюнок </w:t>
      </w:r>
      <w:r w:rsidR="00FF5B8D" w:rsidRPr="001416ED">
        <w:rPr>
          <w:rFonts w:eastAsiaTheme="minorHAnsi"/>
          <w:kern w:val="11"/>
          <w:lang w:val="uk-UA" w:eastAsia="en-US"/>
        </w:rPr>
        <w:t>дуга</w:t>
      </w:r>
      <w:r w:rsidR="001E081B" w:rsidRPr="001416ED">
        <w:rPr>
          <w:rFonts w:eastAsiaTheme="minorHAnsi"/>
          <w:kern w:val="11"/>
          <w:lang w:val="uk-UA" w:eastAsia="en-US"/>
        </w:rPr>
        <w:t xml:space="preserve"> та радіальна петля, ніж в групі контролю, проте н</w:t>
      </w:r>
      <w:r w:rsidR="006562B4" w:rsidRPr="001416ED">
        <w:rPr>
          <w:rFonts w:eastAsiaTheme="minorHAnsi"/>
          <w:kern w:val="11"/>
          <w:lang w:val="uk-UA" w:eastAsia="en-US"/>
        </w:rPr>
        <w:t xml:space="preserve">е виявлено вірогідної різниці у частоті малюнків на пальцях </w:t>
      </w:r>
      <w:r w:rsidR="002C5F19" w:rsidRPr="001416ED">
        <w:rPr>
          <w:rFonts w:eastAsiaTheme="minorHAnsi"/>
          <w:kern w:val="11"/>
          <w:lang w:val="uk-UA" w:eastAsia="en-US"/>
        </w:rPr>
        <w:t xml:space="preserve"> ЛК</w:t>
      </w:r>
      <w:r w:rsidR="006562B4" w:rsidRPr="001416ED">
        <w:rPr>
          <w:rFonts w:eastAsiaTheme="minorHAnsi"/>
          <w:kern w:val="11"/>
          <w:lang w:val="uk-UA" w:eastAsia="en-US"/>
        </w:rPr>
        <w:t xml:space="preserve"> між особами з різних груп дослідження</w:t>
      </w:r>
      <w:r w:rsidR="004E40F0" w:rsidRPr="001416ED">
        <w:rPr>
          <w:rFonts w:eastAsiaTheme="minorHAnsi"/>
          <w:kern w:val="11"/>
          <w:lang w:val="uk-UA" w:eastAsia="en-US"/>
        </w:rPr>
        <w:t>.</w:t>
      </w:r>
    </w:p>
    <w:p w:rsidR="00B83470" w:rsidRPr="001416ED" w:rsidRDefault="006562B4" w:rsidP="004E40F0">
      <w:pPr>
        <w:spacing w:line="360" w:lineRule="auto"/>
        <w:ind w:firstLine="709"/>
        <w:jc w:val="both"/>
        <w:rPr>
          <w:lang w:val="uk-UA"/>
        </w:rPr>
      </w:pPr>
      <w:r w:rsidRPr="001416ED">
        <w:rPr>
          <w:rFonts w:eastAsiaTheme="minorHAnsi"/>
          <w:kern w:val="11"/>
          <w:lang w:val="uk-UA" w:eastAsia="en-US"/>
        </w:rPr>
        <w:t xml:space="preserve"> </w:t>
      </w:r>
      <w:r w:rsidR="00984413" w:rsidRPr="001416ED">
        <w:rPr>
          <w:lang w:val="uk-UA"/>
        </w:rPr>
        <w:t>Б</w:t>
      </w:r>
      <w:r w:rsidR="002F55C5" w:rsidRPr="001416ED">
        <w:rPr>
          <w:lang w:val="uk-UA"/>
        </w:rPr>
        <w:t xml:space="preserve">ули виявлені деякі відмінності у </w:t>
      </w:r>
      <w:r w:rsidR="002D63EC" w:rsidRPr="001416ED">
        <w:rPr>
          <w:lang w:val="uk-UA"/>
        </w:rPr>
        <w:t>ГР</w:t>
      </w:r>
      <w:r w:rsidR="00984413" w:rsidRPr="001416ED">
        <w:rPr>
          <w:lang w:val="uk-UA"/>
        </w:rPr>
        <w:t xml:space="preserve"> </w:t>
      </w:r>
      <w:r w:rsidR="002F55C5" w:rsidRPr="001416ED">
        <w:rPr>
          <w:lang w:val="uk-UA"/>
        </w:rPr>
        <w:t xml:space="preserve">на </w:t>
      </w:r>
      <w:r w:rsidR="006D11C5" w:rsidRPr="001416ED">
        <w:rPr>
          <w:lang w:val="uk-UA"/>
        </w:rPr>
        <w:t>ПК і ЛК</w:t>
      </w:r>
      <w:r w:rsidR="002F55C5" w:rsidRPr="001416ED">
        <w:rPr>
          <w:lang w:val="uk-UA"/>
        </w:rPr>
        <w:t xml:space="preserve"> між особами груп</w:t>
      </w:r>
      <w:r w:rsidR="00984413" w:rsidRPr="001416ED">
        <w:rPr>
          <w:lang w:val="uk-UA"/>
        </w:rPr>
        <w:t>и</w:t>
      </w:r>
      <w:r w:rsidR="002F55C5" w:rsidRPr="001416ED">
        <w:rPr>
          <w:lang w:val="uk-UA"/>
        </w:rPr>
        <w:t xml:space="preserve"> контролю та пацієнтами з ГХ </w:t>
      </w:r>
      <w:r w:rsidR="00A63A7A" w:rsidRPr="001416ED">
        <w:rPr>
          <w:lang w:val="uk-UA"/>
        </w:rPr>
        <w:t>ІІ та ІІІ стадії</w:t>
      </w:r>
      <w:r w:rsidR="00D323C7" w:rsidRPr="001416ED">
        <w:rPr>
          <w:lang w:val="uk-UA"/>
        </w:rPr>
        <w:t>.</w:t>
      </w:r>
      <w:r w:rsidR="005F7EE5" w:rsidRPr="001416ED">
        <w:rPr>
          <w:lang w:val="uk-UA"/>
        </w:rPr>
        <w:t xml:space="preserve"> </w:t>
      </w:r>
      <w:r w:rsidR="0032593C" w:rsidRPr="001416ED">
        <w:rPr>
          <w:lang w:val="uk-UA"/>
        </w:rPr>
        <w:t>Н</w:t>
      </w:r>
      <w:r w:rsidR="00B83470" w:rsidRPr="001416ED">
        <w:rPr>
          <w:lang w:val="uk-UA"/>
        </w:rPr>
        <w:t xml:space="preserve">а усіх пальцях </w:t>
      </w:r>
      <w:r w:rsidR="006D11C5" w:rsidRPr="001416ED">
        <w:rPr>
          <w:lang w:val="uk-UA"/>
        </w:rPr>
        <w:t>ПК та ЛК</w:t>
      </w:r>
      <w:r w:rsidR="00B83470" w:rsidRPr="001416ED">
        <w:rPr>
          <w:lang w:val="uk-UA"/>
        </w:rPr>
        <w:t xml:space="preserve">, окрім першого пальця </w:t>
      </w:r>
      <w:r w:rsidR="006D11C5" w:rsidRPr="001416ED">
        <w:rPr>
          <w:lang w:val="uk-UA"/>
        </w:rPr>
        <w:t>ЛК</w:t>
      </w:r>
      <w:r w:rsidR="00B83470" w:rsidRPr="001416ED">
        <w:rPr>
          <w:lang w:val="uk-UA"/>
        </w:rPr>
        <w:t xml:space="preserve"> у кожній групі дослідження між носіями </w:t>
      </w:r>
      <w:r w:rsidR="00E6164F">
        <w:rPr>
          <w:lang w:val="uk-UA"/>
        </w:rPr>
        <w:t>поліморфних варіантів гена ЕТ–1</w:t>
      </w:r>
      <w:r w:rsidR="00B83470" w:rsidRPr="001416ED">
        <w:rPr>
          <w:lang w:val="uk-UA"/>
        </w:rPr>
        <w:t xml:space="preserve"> у показнику ГР</w:t>
      </w:r>
      <w:r w:rsidR="0032593C" w:rsidRPr="001416ED">
        <w:rPr>
          <w:lang w:val="uk-UA"/>
        </w:rPr>
        <w:t xml:space="preserve"> різниці</w:t>
      </w:r>
      <w:r w:rsidR="00B83470" w:rsidRPr="001416ED">
        <w:rPr>
          <w:lang w:val="uk-UA"/>
        </w:rPr>
        <w:t xml:space="preserve"> не виявлено. Одна</w:t>
      </w:r>
      <w:r w:rsidR="0032593C" w:rsidRPr="001416ED">
        <w:rPr>
          <w:lang w:val="uk-UA"/>
        </w:rPr>
        <w:t>к</w:t>
      </w:r>
      <w:r w:rsidR="00D323C7" w:rsidRPr="001416ED">
        <w:rPr>
          <w:lang w:val="uk-UA"/>
        </w:rPr>
        <w:t>,</w:t>
      </w:r>
      <w:r w:rsidR="0032593C" w:rsidRPr="001416ED">
        <w:rPr>
          <w:lang w:val="uk-UA"/>
        </w:rPr>
        <w:t xml:space="preserve"> на першому пальці </w:t>
      </w:r>
      <w:r w:rsidR="006D11C5" w:rsidRPr="001416ED">
        <w:rPr>
          <w:lang w:val="uk-UA"/>
        </w:rPr>
        <w:t>ЛК</w:t>
      </w:r>
      <w:r w:rsidR="00B83470" w:rsidRPr="001416ED">
        <w:rPr>
          <w:lang w:val="uk-UA"/>
        </w:rPr>
        <w:t xml:space="preserve"> у чоловіків з ГХ ІІ ст. ГР достовірно вище у носіїв алелі Asn</w:t>
      </w:r>
      <w:r w:rsidR="00BE1E65" w:rsidRPr="001416ED">
        <w:rPr>
          <w:lang w:val="uk-UA"/>
        </w:rPr>
        <w:t>, ніж</w:t>
      </w:r>
      <w:r w:rsidR="00B83470" w:rsidRPr="001416ED">
        <w:rPr>
          <w:lang w:val="uk-UA"/>
        </w:rPr>
        <w:t xml:space="preserve"> у осіб з генотипом Lys/Lys гена ЕТ</w:t>
      </w:r>
      <w:r w:rsidR="00BC0119" w:rsidRPr="001416ED">
        <w:rPr>
          <w:lang w:val="uk-UA"/>
        </w:rPr>
        <w:t>–</w:t>
      </w:r>
      <w:r w:rsidR="00B83470" w:rsidRPr="001416ED">
        <w:rPr>
          <w:lang w:val="uk-UA"/>
        </w:rPr>
        <w:t>1.</w:t>
      </w:r>
    </w:p>
    <w:p w:rsidR="00191D74" w:rsidRPr="001416ED" w:rsidRDefault="00191D74" w:rsidP="00191D74">
      <w:pPr>
        <w:spacing w:line="360" w:lineRule="auto"/>
        <w:ind w:firstLine="708"/>
        <w:jc w:val="both"/>
        <w:rPr>
          <w:lang w:val="uk-UA"/>
        </w:rPr>
      </w:pPr>
      <w:r w:rsidRPr="001416ED">
        <w:rPr>
          <w:lang w:val="uk-UA"/>
        </w:rPr>
        <w:t xml:space="preserve">На першому пальці </w:t>
      </w:r>
      <w:r w:rsidR="006D11C5" w:rsidRPr="001416ED">
        <w:rPr>
          <w:lang w:val="uk-UA"/>
        </w:rPr>
        <w:t>ПК</w:t>
      </w:r>
      <w:r w:rsidRPr="001416ED">
        <w:rPr>
          <w:lang w:val="uk-UA"/>
        </w:rPr>
        <w:t xml:space="preserve"> у чоловіків з </w:t>
      </w:r>
      <w:r w:rsidR="00C34030" w:rsidRPr="001416ED">
        <w:rPr>
          <w:lang w:val="uk-UA"/>
        </w:rPr>
        <w:t xml:space="preserve">ГХ ІІІ ст. </w:t>
      </w:r>
      <w:r w:rsidR="00D323C7" w:rsidRPr="001416ED">
        <w:rPr>
          <w:lang w:val="uk-UA"/>
        </w:rPr>
        <w:t>та генотипом Lys/Lys ГР</w:t>
      </w:r>
      <w:r w:rsidRPr="001416ED">
        <w:rPr>
          <w:lang w:val="uk-UA"/>
        </w:rPr>
        <w:t xml:space="preserve"> виявився достовірно вище, ніж у осіб з ГХ ІІ ст., що мають той же варіант генотипу, однак немає різниці з групою ко</w:t>
      </w:r>
      <w:r w:rsidR="00ED6CAE" w:rsidRPr="001416ED">
        <w:rPr>
          <w:lang w:val="uk-UA"/>
        </w:rPr>
        <w:t>н</w:t>
      </w:r>
      <w:r w:rsidRPr="001416ED">
        <w:rPr>
          <w:lang w:val="uk-UA"/>
        </w:rPr>
        <w:t xml:space="preserve">тролю. На другому та третьому пальцях </w:t>
      </w:r>
      <w:r w:rsidR="006D11C5" w:rsidRPr="001416ED">
        <w:rPr>
          <w:lang w:val="uk-UA"/>
        </w:rPr>
        <w:t>ПК</w:t>
      </w:r>
      <w:r w:rsidRPr="001416ED">
        <w:rPr>
          <w:lang w:val="uk-UA"/>
        </w:rPr>
        <w:t xml:space="preserve"> ГР у чоловіків з ГХ ІІ ст. з генотипом Lys/Lys та у носіїв алелі Asn ГР найнижчий </w:t>
      </w:r>
      <w:r w:rsidR="00BE1E65" w:rsidRPr="001416ED">
        <w:rPr>
          <w:lang w:val="uk-UA"/>
        </w:rPr>
        <w:t xml:space="preserve">в </w:t>
      </w:r>
      <w:r w:rsidRPr="001416ED">
        <w:rPr>
          <w:lang w:val="uk-UA"/>
        </w:rPr>
        <w:t>пор</w:t>
      </w:r>
      <w:r w:rsidR="00BE1E65" w:rsidRPr="001416ED">
        <w:rPr>
          <w:lang w:val="uk-UA"/>
        </w:rPr>
        <w:t>і</w:t>
      </w:r>
      <w:r w:rsidRPr="001416ED">
        <w:rPr>
          <w:lang w:val="uk-UA"/>
        </w:rPr>
        <w:t xml:space="preserve">внянні з </w:t>
      </w:r>
      <w:r w:rsidR="00D66AFA" w:rsidRPr="001416ED">
        <w:rPr>
          <w:lang w:val="uk-UA"/>
        </w:rPr>
        <w:t>ГХ ІІІ ст.</w:t>
      </w:r>
      <w:r w:rsidRPr="001416ED">
        <w:rPr>
          <w:lang w:val="uk-UA"/>
        </w:rPr>
        <w:t xml:space="preserve"> та з групою ко</w:t>
      </w:r>
      <w:r w:rsidR="00BE1E65" w:rsidRPr="001416ED">
        <w:rPr>
          <w:lang w:val="uk-UA"/>
        </w:rPr>
        <w:t>н</w:t>
      </w:r>
      <w:r w:rsidRPr="001416ED">
        <w:rPr>
          <w:lang w:val="uk-UA"/>
        </w:rPr>
        <w:t xml:space="preserve">тролю. На четвертому та п’ятому пальцях </w:t>
      </w:r>
      <w:r w:rsidR="006D11C5" w:rsidRPr="001416ED">
        <w:rPr>
          <w:lang w:val="uk-UA"/>
        </w:rPr>
        <w:t>ПК</w:t>
      </w:r>
      <w:r w:rsidRPr="001416ED">
        <w:rPr>
          <w:lang w:val="uk-UA"/>
        </w:rPr>
        <w:t xml:space="preserve"> ГР у осіб з ГХ ІІ ст., що є носіями генотипу Lys/Lys виявився нижче, ніж в групі ко</w:t>
      </w:r>
      <w:r w:rsidR="00BE1E65" w:rsidRPr="001416ED">
        <w:rPr>
          <w:lang w:val="uk-UA"/>
        </w:rPr>
        <w:t>н</w:t>
      </w:r>
      <w:r w:rsidRPr="001416ED">
        <w:rPr>
          <w:lang w:val="uk-UA"/>
        </w:rPr>
        <w:t>тролю, пр</w:t>
      </w:r>
      <w:r w:rsidR="00D323C7" w:rsidRPr="001416ED">
        <w:rPr>
          <w:lang w:val="uk-UA"/>
        </w:rPr>
        <w:t>оте немає різниці з пацієнтами з ГХ І</w:t>
      </w:r>
      <w:r w:rsidR="004A4E68" w:rsidRPr="001416ED">
        <w:rPr>
          <w:lang w:val="uk-UA"/>
        </w:rPr>
        <w:t xml:space="preserve">ІІ </w:t>
      </w:r>
      <w:r w:rsidRPr="001416ED">
        <w:rPr>
          <w:lang w:val="uk-UA"/>
        </w:rPr>
        <w:t xml:space="preserve">ст. Дещо інша ситуація спостерігається у власників алелі Asn </w:t>
      </w:r>
      <w:r w:rsidR="00BC0119" w:rsidRPr="001416ED">
        <w:rPr>
          <w:lang w:val="uk-UA"/>
        </w:rPr>
        <w:t>–</w:t>
      </w:r>
      <w:r w:rsidRPr="001416ED">
        <w:rPr>
          <w:lang w:val="uk-UA"/>
        </w:rPr>
        <w:t xml:space="preserve"> ГР на четвертому пальці у чоловіків з ГХ ІІ ст. нижчий, ніж в пацієнтів з інших груп дослідження – носіїв того ж генотипу, на п’ятому пальці – різниці не досліджено. </w:t>
      </w:r>
    </w:p>
    <w:p w:rsidR="002F55C5" w:rsidRPr="001416ED" w:rsidRDefault="00191D74" w:rsidP="0032593C">
      <w:pPr>
        <w:spacing w:line="360" w:lineRule="auto"/>
        <w:ind w:firstLine="708"/>
        <w:jc w:val="both"/>
        <w:rPr>
          <w:lang w:val="uk-UA"/>
        </w:rPr>
      </w:pPr>
      <w:r w:rsidRPr="001416ED">
        <w:rPr>
          <w:lang w:val="uk-UA"/>
        </w:rPr>
        <w:t xml:space="preserve">У чоловіків з ГХ ІІ ст. та генотипом Lys/Lys на першому пальці </w:t>
      </w:r>
      <w:r w:rsidR="006D11C5" w:rsidRPr="001416ED">
        <w:rPr>
          <w:lang w:val="uk-UA"/>
        </w:rPr>
        <w:t>ЛК</w:t>
      </w:r>
      <w:r w:rsidRPr="001416ED">
        <w:rPr>
          <w:lang w:val="uk-UA"/>
        </w:rPr>
        <w:t xml:space="preserve"> ГР вище, ніж в групі ко</w:t>
      </w:r>
      <w:r w:rsidR="00BE1E65" w:rsidRPr="001416ED">
        <w:rPr>
          <w:lang w:val="uk-UA"/>
        </w:rPr>
        <w:t>н</w:t>
      </w:r>
      <w:r w:rsidRPr="001416ED">
        <w:rPr>
          <w:lang w:val="uk-UA"/>
        </w:rPr>
        <w:t xml:space="preserve">тролю та у чоловіків з </w:t>
      </w:r>
      <w:r w:rsidR="00D66AFA" w:rsidRPr="001416ED">
        <w:rPr>
          <w:lang w:val="uk-UA"/>
        </w:rPr>
        <w:t>ГХ ІІІ ст.</w:t>
      </w:r>
      <w:r w:rsidR="00D64945" w:rsidRPr="001416ED">
        <w:rPr>
          <w:lang w:val="uk-UA"/>
        </w:rPr>
        <w:t>,</w:t>
      </w:r>
      <w:r w:rsidRPr="001416ED">
        <w:rPr>
          <w:lang w:val="uk-UA"/>
        </w:rPr>
        <w:t xml:space="preserve"> по алелі Asn такої різниці не знайдено. На другому пальці </w:t>
      </w:r>
      <w:r w:rsidR="006D11C5" w:rsidRPr="001416ED">
        <w:rPr>
          <w:lang w:val="uk-UA"/>
        </w:rPr>
        <w:t>ЛК</w:t>
      </w:r>
      <w:r w:rsidRPr="001416ED">
        <w:rPr>
          <w:lang w:val="uk-UA"/>
        </w:rPr>
        <w:t xml:space="preserve"> різниці у ГР між особами різних груп досліджень, що є носіями варіантів гена ЕТ</w:t>
      </w:r>
      <w:r w:rsidR="00BC0119" w:rsidRPr="001416ED">
        <w:rPr>
          <w:lang w:val="uk-UA"/>
        </w:rPr>
        <w:t>–</w:t>
      </w:r>
      <w:r w:rsidRPr="001416ED">
        <w:rPr>
          <w:lang w:val="uk-UA"/>
        </w:rPr>
        <w:t xml:space="preserve">1 не встановлено. На третьому пальці </w:t>
      </w:r>
      <w:r w:rsidR="006D11C5" w:rsidRPr="001416ED">
        <w:rPr>
          <w:lang w:val="uk-UA"/>
        </w:rPr>
        <w:t>ЛК</w:t>
      </w:r>
      <w:r w:rsidRPr="001416ED">
        <w:rPr>
          <w:lang w:val="uk-UA"/>
        </w:rPr>
        <w:t xml:space="preserve"> у чоловіків з ГХ </w:t>
      </w:r>
      <w:r w:rsidR="004A4E68" w:rsidRPr="001416ED">
        <w:rPr>
          <w:lang w:val="uk-UA"/>
        </w:rPr>
        <w:t xml:space="preserve">ІІ </w:t>
      </w:r>
      <w:r w:rsidRPr="001416ED">
        <w:rPr>
          <w:lang w:val="uk-UA"/>
        </w:rPr>
        <w:t>ст. як з генотипом Lys/Lys так і у носіїв алелі Asn ГР вірогідно вище, ніж в  групі ко</w:t>
      </w:r>
      <w:r w:rsidR="00BE1E65" w:rsidRPr="001416ED">
        <w:rPr>
          <w:lang w:val="uk-UA"/>
        </w:rPr>
        <w:t>н</w:t>
      </w:r>
      <w:r w:rsidR="00D64945" w:rsidRPr="001416ED">
        <w:rPr>
          <w:lang w:val="uk-UA"/>
        </w:rPr>
        <w:t>тролю</w:t>
      </w:r>
      <w:r w:rsidRPr="001416ED">
        <w:rPr>
          <w:lang w:val="uk-UA"/>
        </w:rPr>
        <w:t xml:space="preserve"> та у пацієнтів з </w:t>
      </w:r>
      <w:r w:rsidR="006D11C5" w:rsidRPr="001416ED">
        <w:rPr>
          <w:lang w:val="uk-UA"/>
        </w:rPr>
        <w:t>ГХ ІІІ ст</w:t>
      </w:r>
      <w:r w:rsidR="00AF62D4" w:rsidRPr="001416ED">
        <w:rPr>
          <w:lang w:val="uk-UA"/>
        </w:rPr>
        <w:t xml:space="preserve">. </w:t>
      </w:r>
      <w:r w:rsidRPr="001416ED">
        <w:rPr>
          <w:lang w:val="uk-UA"/>
        </w:rPr>
        <w:t xml:space="preserve">На четвертому пальці </w:t>
      </w:r>
      <w:r w:rsidR="006D11C5" w:rsidRPr="001416ED">
        <w:rPr>
          <w:lang w:val="uk-UA"/>
        </w:rPr>
        <w:t>ЛК</w:t>
      </w:r>
      <w:r w:rsidRPr="001416ED">
        <w:rPr>
          <w:lang w:val="uk-UA"/>
        </w:rPr>
        <w:t xml:space="preserve"> у чоловіків носіїв генотипу Lys/Lys рівень ГР нижче, ніж</w:t>
      </w:r>
      <w:r w:rsidR="006D11C5" w:rsidRPr="001416ED">
        <w:rPr>
          <w:lang w:val="uk-UA"/>
        </w:rPr>
        <w:t xml:space="preserve"> в</w:t>
      </w:r>
      <w:r w:rsidRPr="001416ED">
        <w:rPr>
          <w:lang w:val="uk-UA"/>
        </w:rPr>
        <w:t xml:space="preserve"> інших групах дослідження при носійстві того ж генотипу. Н</w:t>
      </w:r>
      <w:r w:rsidR="00BE1E65" w:rsidRPr="001416ED">
        <w:rPr>
          <w:lang w:val="uk-UA"/>
        </w:rPr>
        <w:t>а</w:t>
      </w:r>
      <w:r w:rsidRPr="001416ED">
        <w:rPr>
          <w:lang w:val="uk-UA"/>
        </w:rPr>
        <w:t xml:space="preserve"> п’ятому пальці </w:t>
      </w:r>
      <w:r w:rsidR="006D11C5" w:rsidRPr="001416ED">
        <w:rPr>
          <w:lang w:val="uk-UA"/>
        </w:rPr>
        <w:t>ЛК</w:t>
      </w:r>
      <w:r w:rsidRPr="001416ED">
        <w:rPr>
          <w:lang w:val="uk-UA"/>
        </w:rPr>
        <w:t xml:space="preserve"> у </w:t>
      </w:r>
      <w:r w:rsidRPr="001416ED">
        <w:rPr>
          <w:lang w:val="uk-UA"/>
        </w:rPr>
        <w:lastRenderedPageBreak/>
        <w:t xml:space="preserve">чоловіків з ГХ ІІ ст. </w:t>
      </w:r>
      <w:r w:rsidR="00BC0119" w:rsidRPr="001416ED">
        <w:rPr>
          <w:lang w:val="uk-UA"/>
        </w:rPr>
        <w:t>–</w:t>
      </w:r>
      <w:r w:rsidRPr="001416ED">
        <w:rPr>
          <w:lang w:val="uk-UA"/>
        </w:rPr>
        <w:t xml:space="preserve"> носіїв алелі Asn ГР нижче ніж в групі контролю, проте немає різниці з </w:t>
      </w:r>
      <w:r w:rsidR="005E1F0F">
        <w:rPr>
          <w:lang w:val="uk-UA"/>
        </w:rPr>
        <w:t>особами</w:t>
      </w:r>
      <w:r w:rsidR="00D64F81" w:rsidRPr="001416ED">
        <w:rPr>
          <w:lang w:val="uk-UA"/>
        </w:rPr>
        <w:t xml:space="preserve">, що мають </w:t>
      </w:r>
      <w:r w:rsidRPr="001416ED">
        <w:rPr>
          <w:lang w:val="uk-UA"/>
        </w:rPr>
        <w:t xml:space="preserve">ГХ </w:t>
      </w:r>
      <w:r w:rsidR="00D64F81" w:rsidRPr="001416ED">
        <w:rPr>
          <w:lang w:val="uk-UA"/>
        </w:rPr>
        <w:t xml:space="preserve">ІІІ </w:t>
      </w:r>
      <w:r w:rsidRPr="001416ED">
        <w:rPr>
          <w:lang w:val="uk-UA"/>
        </w:rPr>
        <w:t xml:space="preserve">ст. У носіїв всіх </w:t>
      </w:r>
      <w:r w:rsidR="005E1F0F">
        <w:rPr>
          <w:lang w:val="uk-UA"/>
        </w:rPr>
        <w:t xml:space="preserve">поліморфних </w:t>
      </w:r>
      <w:r w:rsidRPr="001416ED">
        <w:rPr>
          <w:lang w:val="uk-UA"/>
        </w:rPr>
        <w:t xml:space="preserve">варіантів </w:t>
      </w:r>
      <w:r w:rsidR="00E6164F">
        <w:rPr>
          <w:lang w:val="uk-UA"/>
        </w:rPr>
        <w:t>гена</w:t>
      </w:r>
      <w:r w:rsidRPr="001416ED">
        <w:rPr>
          <w:lang w:val="uk-UA"/>
        </w:rPr>
        <w:t xml:space="preserve"> ЕТ</w:t>
      </w:r>
      <w:r w:rsidR="00BC0119" w:rsidRPr="001416ED">
        <w:rPr>
          <w:lang w:val="uk-UA"/>
        </w:rPr>
        <w:t>–</w:t>
      </w:r>
      <w:r w:rsidRPr="001416ED">
        <w:rPr>
          <w:lang w:val="uk-UA"/>
        </w:rPr>
        <w:t xml:space="preserve">1 ГР у осіб з ГХ ІІ ст. нижче, ніж в групі </w:t>
      </w:r>
      <w:r w:rsidR="00472F94" w:rsidRPr="001416ED">
        <w:rPr>
          <w:lang w:val="uk-UA"/>
        </w:rPr>
        <w:t>контролю</w:t>
      </w:r>
      <w:r w:rsidRPr="001416ED">
        <w:rPr>
          <w:lang w:val="uk-UA"/>
        </w:rPr>
        <w:t>, одн</w:t>
      </w:r>
      <w:r w:rsidR="00BE1E65" w:rsidRPr="001416ED">
        <w:rPr>
          <w:lang w:val="uk-UA"/>
        </w:rPr>
        <w:t>а</w:t>
      </w:r>
      <w:r w:rsidRPr="001416ED">
        <w:rPr>
          <w:lang w:val="uk-UA"/>
        </w:rPr>
        <w:t>к немає різниці з пацієн</w:t>
      </w:r>
      <w:r w:rsidR="00BE1E65" w:rsidRPr="001416ED">
        <w:rPr>
          <w:lang w:val="uk-UA"/>
        </w:rPr>
        <w:t>т</w:t>
      </w:r>
      <w:r w:rsidRPr="001416ED">
        <w:rPr>
          <w:lang w:val="uk-UA"/>
        </w:rPr>
        <w:t xml:space="preserve">ами з </w:t>
      </w:r>
      <w:r w:rsidR="00803F07" w:rsidRPr="001416ED">
        <w:rPr>
          <w:lang w:val="uk-UA"/>
        </w:rPr>
        <w:t xml:space="preserve">ГХ ІІІ ст. </w:t>
      </w:r>
    </w:p>
    <w:p w:rsidR="00984413" w:rsidRPr="001416ED" w:rsidRDefault="00984413" w:rsidP="00984413">
      <w:pPr>
        <w:spacing w:line="360" w:lineRule="auto"/>
        <w:ind w:firstLine="708"/>
        <w:jc w:val="both"/>
        <w:rPr>
          <w:lang w:val="uk-UA"/>
        </w:rPr>
      </w:pPr>
      <w:r w:rsidRPr="001416ED">
        <w:rPr>
          <w:lang w:val="uk-UA"/>
        </w:rPr>
        <w:t>Дослідженн</w:t>
      </w:r>
      <w:r w:rsidR="00C07CB7" w:rsidRPr="001416ED">
        <w:rPr>
          <w:lang w:val="uk-UA"/>
        </w:rPr>
        <w:t>я</w:t>
      </w:r>
      <w:r w:rsidRPr="001416ED">
        <w:rPr>
          <w:lang w:val="uk-UA"/>
        </w:rPr>
        <w:t xml:space="preserve"> </w:t>
      </w:r>
      <w:r w:rsidR="002D63EC" w:rsidRPr="001416ED">
        <w:rPr>
          <w:lang w:val="uk-UA"/>
        </w:rPr>
        <w:t>ЗГР</w:t>
      </w:r>
      <w:r w:rsidRPr="001416ED">
        <w:rPr>
          <w:lang w:val="uk-UA"/>
        </w:rPr>
        <w:t xml:space="preserve"> на </w:t>
      </w:r>
      <w:r w:rsidR="006D11C5" w:rsidRPr="001416ED">
        <w:rPr>
          <w:lang w:val="uk-UA"/>
        </w:rPr>
        <w:t>ПК і ЛК</w:t>
      </w:r>
      <w:r w:rsidR="005962A7" w:rsidRPr="001416ED">
        <w:rPr>
          <w:lang w:val="uk-UA"/>
        </w:rPr>
        <w:t xml:space="preserve"> при </w:t>
      </w:r>
      <w:r w:rsidR="00F40216">
        <w:rPr>
          <w:lang w:val="uk-UA"/>
        </w:rPr>
        <w:t>різних варіантах гена</w:t>
      </w:r>
      <w:r w:rsidR="005962A7" w:rsidRPr="001416ED">
        <w:rPr>
          <w:lang w:val="uk-UA"/>
        </w:rPr>
        <w:t xml:space="preserve"> ЕТ</w:t>
      </w:r>
      <w:r w:rsidR="00BC0119" w:rsidRPr="001416ED">
        <w:rPr>
          <w:lang w:val="uk-UA"/>
        </w:rPr>
        <w:t>–</w:t>
      </w:r>
      <w:r w:rsidR="005962A7" w:rsidRPr="001416ED">
        <w:rPr>
          <w:lang w:val="uk-UA"/>
        </w:rPr>
        <w:t>1</w:t>
      </w:r>
      <w:r w:rsidRPr="001416ED">
        <w:rPr>
          <w:lang w:val="uk-UA"/>
        </w:rPr>
        <w:t>, показа</w:t>
      </w:r>
      <w:r w:rsidR="00C07CB7" w:rsidRPr="001416ED">
        <w:rPr>
          <w:lang w:val="uk-UA"/>
        </w:rPr>
        <w:t>л</w:t>
      </w:r>
      <w:r w:rsidRPr="001416ED">
        <w:rPr>
          <w:lang w:val="uk-UA"/>
        </w:rPr>
        <w:t xml:space="preserve">о, </w:t>
      </w:r>
      <w:r w:rsidR="00C07CB7" w:rsidRPr="001416ED">
        <w:rPr>
          <w:lang w:val="uk-UA"/>
        </w:rPr>
        <w:t>що у пацієнтів з групи ко</w:t>
      </w:r>
      <w:r w:rsidR="00BE1E65" w:rsidRPr="001416ED">
        <w:rPr>
          <w:lang w:val="uk-UA"/>
        </w:rPr>
        <w:t>н</w:t>
      </w:r>
      <w:r w:rsidR="00C07CB7" w:rsidRPr="001416ED">
        <w:rPr>
          <w:lang w:val="uk-UA"/>
        </w:rPr>
        <w:t xml:space="preserve">тролю та у чоловіків з ГХ ІІ ст. </w:t>
      </w:r>
      <w:r w:rsidR="00BE1E65" w:rsidRPr="001416ED">
        <w:rPr>
          <w:lang w:val="uk-UA"/>
        </w:rPr>
        <w:t xml:space="preserve">він </w:t>
      </w:r>
      <w:r w:rsidR="005723C6" w:rsidRPr="001416ED">
        <w:rPr>
          <w:lang w:val="uk-UA"/>
        </w:rPr>
        <w:t xml:space="preserve">не </w:t>
      </w:r>
      <w:r w:rsidR="00C07CB7" w:rsidRPr="001416ED">
        <w:rPr>
          <w:lang w:val="uk-UA"/>
        </w:rPr>
        <w:t xml:space="preserve">відрізняється, однак у осіб з </w:t>
      </w:r>
      <w:r w:rsidR="00376DD5" w:rsidRPr="001416ED">
        <w:rPr>
          <w:lang w:val="uk-UA"/>
        </w:rPr>
        <w:t xml:space="preserve">ГХ ІІІ ст. </w:t>
      </w:r>
      <w:r w:rsidR="00C07CB7" w:rsidRPr="001416ED">
        <w:rPr>
          <w:lang w:val="uk-UA"/>
        </w:rPr>
        <w:t xml:space="preserve">що є носіями алелі Asn ЗГР на </w:t>
      </w:r>
      <w:r w:rsidR="007F0AEB" w:rsidRPr="001416ED">
        <w:rPr>
          <w:lang w:val="uk-UA"/>
        </w:rPr>
        <w:t>ПК</w:t>
      </w:r>
      <w:r w:rsidR="006D11C5" w:rsidRPr="001416ED">
        <w:rPr>
          <w:lang w:val="uk-UA"/>
        </w:rPr>
        <w:t xml:space="preserve"> достовірно вище, ніж на ЛК</w:t>
      </w:r>
      <w:r w:rsidRPr="001416ED">
        <w:rPr>
          <w:lang w:val="uk-UA"/>
        </w:rPr>
        <w:t>.</w:t>
      </w:r>
      <w:r w:rsidR="00C07CB7" w:rsidRPr="001416ED">
        <w:rPr>
          <w:lang w:val="uk-UA"/>
        </w:rPr>
        <w:t xml:space="preserve"> Аналізуючи ЗГР в кожній групі дослідження при носійстві різних </w:t>
      </w:r>
      <w:r w:rsidR="00F40216">
        <w:rPr>
          <w:lang w:val="uk-UA"/>
        </w:rPr>
        <w:t>варіантів гена</w:t>
      </w:r>
      <w:r w:rsidR="00C07CB7" w:rsidRPr="001416ED">
        <w:rPr>
          <w:lang w:val="uk-UA"/>
        </w:rPr>
        <w:t xml:space="preserve"> ЕТ</w:t>
      </w:r>
      <w:r w:rsidR="00BC0119" w:rsidRPr="001416ED">
        <w:rPr>
          <w:lang w:val="uk-UA"/>
        </w:rPr>
        <w:t>–</w:t>
      </w:r>
      <w:r w:rsidR="00C07CB7" w:rsidRPr="001416ED">
        <w:rPr>
          <w:lang w:val="uk-UA"/>
        </w:rPr>
        <w:t>1 вірогідної різниці не виявлено. Встановлено, що у чоловіків</w:t>
      </w:r>
      <w:r w:rsidR="00E36D7A" w:rsidRPr="001416ED">
        <w:rPr>
          <w:lang w:val="uk-UA"/>
        </w:rPr>
        <w:t xml:space="preserve"> як</w:t>
      </w:r>
      <w:r w:rsidR="00C07CB7" w:rsidRPr="001416ED">
        <w:rPr>
          <w:lang w:val="uk-UA"/>
        </w:rPr>
        <w:t xml:space="preserve"> з генотипом Lys/Lys</w:t>
      </w:r>
      <w:r w:rsidR="00E36D7A" w:rsidRPr="001416ED">
        <w:rPr>
          <w:lang w:val="uk-UA"/>
        </w:rPr>
        <w:t xml:space="preserve"> так і у носіїв алелі Asn</w:t>
      </w:r>
      <w:r w:rsidR="00C07CB7" w:rsidRPr="001416ED">
        <w:rPr>
          <w:lang w:val="uk-UA"/>
        </w:rPr>
        <w:t xml:space="preserve">, що мають ГХ </w:t>
      </w:r>
      <w:r w:rsidR="004A4E68" w:rsidRPr="001416ED">
        <w:rPr>
          <w:lang w:val="uk-UA"/>
        </w:rPr>
        <w:t>ІІ</w:t>
      </w:r>
      <w:r w:rsidR="00130E0F" w:rsidRPr="001416ED">
        <w:rPr>
          <w:lang w:val="uk-UA"/>
        </w:rPr>
        <w:t>І</w:t>
      </w:r>
      <w:r w:rsidR="00E36D7A" w:rsidRPr="001416ED">
        <w:rPr>
          <w:lang w:val="uk-UA"/>
        </w:rPr>
        <w:t xml:space="preserve"> ст. ЗГ</w:t>
      </w:r>
      <w:r w:rsidR="002A0F84" w:rsidRPr="001416ED">
        <w:rPr>
          <w:lang w:val="uk-UA"/>
        </w:rPr>
        <w:t>Р</w:t>
      </w:r>
      <w:r w:rsidR="00E36D7A" w:rsidRPr="001416ED">
        <w:rPr>
          <w:lang w:val="uk-UA"/>
        </w:rPr>
        <w:t xml:space="preserve"> на </w:t>
      </w:r>
      <w:r w:rsidR="006D11C5" w:rsidRPr="001416ED">
        <w:rPr>
          <w:lang w:val="uk-UA"/>
        </w:rPr>
        <w:t>ПК</w:t>
      </w:r>
      <w:r w:rsidR="005F7EE5" w:rsidRPr="001416ED">
        <w:rPr>
          <w:lang w:val="uk-UA"/>
        </w:rPr>
        <w:t xml:space="preserve"> та </w:t>
      </w:r>
      <w:r w:rsidR="007F0AEB" w:rsidRPr="001416ED">
        <w:rPr>
          <w:lang w:val="uk-UA"/>
        </w:rPr>
        <w:t>ЛК</w:t>
      </w:r>
      <w:r w:rsidR="00E36D7A" w:rsidRPr="001416ED">
        <w:rPr>
          <w:lang w:val="uk-UA"/>
        </w:rPr>
        <w:t xml:space="preserve"> достовірно вище, ніж у пацієнтів з ГХ ІІ ст., однак</w:t>
      </w:r>
      <w:r w:rsidR="005F7EE5" w:rsidRPr="001416ED">
        <w:rPr>
          <w:lang w:val="uk-UA"/>
        </w:rPr>
        <w:t xml:space="preserve"> не</w:t>
      </w:r>
      <w:r w:rsidR="00E36D7A" w:rsidRPr="001416ED">
        <w:rPr>
          <w:lang w:val="uk-UA"/>
        </w:rPr>
        <w:t>має різниці з особами групи ко</w:t>
      </w:r>
      <w:r w:rsidR="00BE1E65" w:rsidRPr="001416ED">
        <w:rPr>
          <w:lang w:val="uk-UA"/>
        </w:rPr>
        <w:t>н</w:t>
      </w:r>
      <w:r w:rsidR="00E36D7A" w:rsidRPr="001416ED">
        <w:rPr>
          <w:lang w:val="uk-UA"/>
        </w:rPr>
        <w:t>тролю. А у чоловіків з групи ко</w:t>
      </w:r>
      <w:r w:rsidR="00BE1E65" w:rsidRPr="001416ED">
        <w:rPr>
          <w:lang w:val="uk-UA"/>
        </w:rPr>
        <w:t>н</w:t>
      </w:r>
      <w:r w:rsidR="00E36D7A" w:rsidRPr="001416ED">
        <w:rPr>
          <w:lang w:val="uk-UA"/>
        </w:rPr>
        <w:t xml:space="preserve">тролю рівень ЗГР на </w:t>
      </w:r>
      <w:r w:rsidR="006D11C5" w:rsidRPr="001416ED">
        <w:rPr>
          <w:lang w:val="uk-UA"/>
        </w:rPr>
        <w:t>ПК</w:t>
      </w:r>
      <w:r w:rsidR="00E36D7A" w:rsidRPr="001416ED">
        <w:rPr>
          <w:lang w:val="uk-UA"/>
        </w:rPr>
        <w:t xml:space="preserve"> </w:t>
      </w:r>
      <w:r w:rsidR="005F7EE5" w:rsidRPr="001416ED">
        <w:rPr>
          <w:lang w:val="uk-UA"/>
        </w:rPr>
        <w:t xml:space="preserve">та </w:t>
      </w:r>
      <w:r w:rsidR="007F0AEB" w:rsidRPr="001416ED">
        <w:rPr>
          <w:lang w:val="uk-UA"/>
        </w:rPr>
        <w:t>ЛК</w:t>
      </w:r>
      <w:r w:rsidR="005F7EE5" w:rsidRPr="001416ED">
        <w:rPr>
          <w:lang w:val="uk-UA"/>
        </w:rPr>
        <w:t xml:space="preserve"> </w:t>
      </w:r>
      <w:r w:rsidR="00E36D7A" w:rsidRPr="001416ED">
        <w:rPr>
          <w:lang w:val="uk-UA"/>
        </w:rPr>
        <w:t>вище, ніж п</w:t>
      </w:r>
      <w:r w:rsidR="00BE1E65" w:rsidRPr="001416ED">
        <w:rPr>
          <w:lang w:val="uk-UA"/>
        </w:rPr>
        <w:t>ри ГХ ІІ ст. Тобто, у пацієнтів</w:t>
      </w:r>
      <w:r w:rsidR="00E36D7A" w:rsidRPr="001416ED">
        <w:rPr>
          <w:lang w:val="uk-UA"/>
        </w:rPr>
        <w:t xml:space="preserve"> з ГХ</w:t>
      </w:r>
      <w:r w:rsidR="00130E0F" w:rsidRPr="001416ED">
        <w:rPr>
          <w:lang w:val="uk-UA"/>
        </w:rPr>
        <w:t xml:space="preserve"> ІІ ст.</w:t>
      </w:r>
      <w:r w:rsidR="00E36D7A" w:rsidRPr="001416ED">
        <w:rPr>
          <w:lang w:val="uk-UA"/>
        </w:rPr>
        <w:t xml:space="preserve"> рівень ЗГР на </w:t>
      </w:r>
      <w:r w:rsidR="006D11C5" w:rsidRPr="001416ED">
        <w:rPr>
          <w:lang w:val="uk-UA"/>
        </w:rPr>
        <w:t>ПК</w:t>
      </w:r>
      <w:r w:rsidR="00E36D7A" w:rsidRPr="001416ED">
        <w:rPr>
          <w:lang w:val="uk-UA"/>
        </w:rPr>
        <w:t xml:space="preserve"> </w:t>
      </w:r>
      <w:r w:rsidR="005F7EE5" w:rsidRPr="001416ED">
        <w:rPr>
          <w:lang w:val="uk-UA"/>
        </w:rPr>
        <w:t xml:space="preserve">та </w:t>
      </w:r>
      <w:r w:rsidR="007F0AEB" w:rsidRPr="001416ED">
        <w:rPr>
          <w:lang w:val="uk-UA"/>
        </w:rPr>
        <w:t>ЛК</w:t>
      </w:r>
      <w:r w:rsidR="00E36D7A" w:rsidRPr="001416ED">
        <w:rPr>
          <w:lang w:val="uk-UA"/>
        </w:rPr>
        <w:t xml:space="preserve"> при носійстві всіх поліморфних варіантів гена ЕТ</w:t>
      </w:r>
      <w:r w:rsidR="00BC0119" w:rsidRPr="001416ED">
        <w:rPr>
          <w:lang w:val="uk-UA"/>
        </w:rPr>
        <w:t>–</w:t>
      </w:r>
      <w:r w:rsidR="00E36D7A" w:rsidRPr="001416ED">
        <w:rPr>
          <w:lang w:val="uk-UA"/>
        </w:rPr>
        <w:t>1 виявився найнижчим</w:t>
      </w:r>
      <w:r w:rsidR="005F7EE5" w:rsidRPr="001416ED">
        <w:rPr>
          <w:lang w:val="uk-UA"/>
        </w:rPr>
        <w:t xml:space="preserve"> (табл. 4.</w:t>
      </w:r>
      <w:r w:rsidR="00EC6DB5" w:rsidRPr="001416ED">
        <w:rPr>
          <w:lang w:val="uk-UA"/>
        </w:rPr>
        <w:t>10</w:t>
      </w:r>
      <w:r w:rsidR="005F7EE5" w:rsidRPr="001416ED">
        <w:rPr>
          <w:lang w:val="uk-UA"/>
        </w:rPr>
        <w:t>)</w:t>
      </w:r>
      <w:r w:rsidR="00E36D7A" w:rsidRPr="001416ED">
        <w:rPr>
          <w:lang w:val="uk-UA"/>
        </w:rPr>
        <w:t>.</w:t>
      </w:r>
    </w:p>
    <w:p w:rsidR="00984413" w:rsidRPr="001416ED" w:rsidRDefault="00984413" w:rsidP="00984413">
      <w:pPr>
        <w:spacing w:line="360" w:lineRule="auto"/>
        <w:ind w:firstLine="708"/>
        <w:jc w:val="right"/>
        <w:rPr>
          <w:b/>
          <w:lang w:val="uk-UA"/>
        </w:rPr>
      </w:pPr>
      <w:r w:rsidRPr="001416ED">
        <w:rPr>
          <w:b/>
          <w:lang w:val="uk-UA"/>
        </w:rPr>
        <w:t xml:space="preserve">Таблиця </w:t>
      </w:r>
      <w:r w:rsidR="005F7EE5" w:rsidRPr="001416ED">
        <w:rPr>
          <w:b/>
          <w:lang w:val="uk-UA"/>
        </w:rPr>
        <w:t>4.</w:t>
      </w:r>
      <w:r w:rsidR="00EC6DB5" w:rsidRPr="001416ED">
        <w:rPr>
          <w:b/>
          <w:lang w:val="uk-UA"/>
        </w:rPr>
        <w:t>10</w:t>
      </w:r>
    </w:p>
    <w:p w:rsidR="00984413" w:rsidRPr="001416ED" w:rsidRDefault="00BE1E65" w:rsidP="004E0AD5">
      <w:pPr>
        <w:spacing w:line="360" w:lineRule="auto"/>
        <w:ind w:firstLine="708"/>
        <w:jc w:val="center"/>
        <w:rPr>
          <w:b/>
          <w:lang w:val="uk-UA"/>
        </w:rPr>
      </w:pPr>
      <w:r w:rsidRPr="001416ED">
        <w:rPr>
          <w:b/>
          <w:lang w:val="uk-UA"/>
        </w:rPr>
        <w:t>ЗГР</w:t>
      </w:r>
      <w:r w:rsidR="00984413" w:rsidRPr="001416ED">
        <w:rPr>
          <w:b/>
          <w:lang w:val="uk-UA"/>
        </w:rPr>
        <w:t xml:space="preserve"> на </w:t>
      </w:r>
      <w:r w:rsidR="002F6FC3" w:rsidRPr="001416ED">
        <w:rPr>
          <w:b/>
          <w:lang w:val="uk-UA"/>
        </w:rPr>
        <w:t>ПК і ЛК</w:t>
      </w:r>
      <w:r w:rsidR="00984413" w:rsidRPr="001416ED">
        <w:rPr>
          <w:b/>
          <w:lang w:val="uk-UA"/>
        </w:rPr>
        <w:t xml:space="preserve"> у чоловіків групи контролю, пацієнтів з ГХ </w:t>
      </w:r>
      <w:r w:rsidR="00A63A7A" w:rsidRPr="001416ED">
        <w:rPr>
          <w:b/>
          <w:lang w:val="uk-UA"/>
        </w:rPr>
        <w:t>ІІ та ІІІ стадії</w:t>
      </w:r>
      <w:r w:rsidR="00984413" w:rsidRPr="001416ED">
        <w:rPr>
          <w:b/>
          <w:lang w:val="uk-UA"/>
        </w:rPr>
        <w:t xml:space="preserve"> </w:t>
      </w:r>
      <w:r w:rsidR="00BC0119" w:rsidRPr="001416ED">
        <w:rPr>
          <w:b/>
          <w:lang w:val="uk-UA"/>
        </w:rPr>
        <w:t>–</w:t>
      </w:r>
      <w:r w:rsidRPr="001416ED">
        <w:rPr>
          <w:b/>
          <w:lang w:val="uk-UA"/>
        </w:rPr>
        <w:t xml:space="preserve"> </w:t>
      </w:r>
      <w:r w:rsidR="00984413" w:rsidRPr="001416ED">
        <w:rPr>
          <w:b/>
          <w:lang w:val="uk-UA"/>
        </w:rPr>
        <w:t xml:space="preserve">носіїв </w:t>
      </w:r>
      <w:r w:rsidR="00E6164F">
        <w:rPr>
          <w:b/>
          <w:lang w:val="uk-UA"/>
        </w:rPr>
        <w:t>поліморфних варіантів гена ЕТ–1</w:t>
      </w:r>
      <w:r w:rsidR="00984413" w:rsidRPr="001416ED">
        <w:rPr>
          <w:b/>
          <w:lang w:val="uk-UA"/>
        </w:rPr>
        <w:t>, (M</w:t>
      </w:r>
      <w:r w:rsidR="007A07A9" w:rsidRPr="001416ED">
        <w:rPr>
          <w:b/>
          <w:lang w:val="uk-UA"/>
        </w:rPr>
        <w:t xml:space="preserve"> ± </w:t>
      </w:r>
      <w:r w:rsidR="00984413" w:rsidRPr="001416ED">
        <w:rPr>
          <w:b/>
          <w:lang w:val="uk-UA"/>
        </w:rPr>
        <w:t>m)</w:t>
      </w:r>
    </w:p>
    <w:tbl>
      <w:tblPr>
        <w:tblStyle w:val="af5"/>
        <w:tblW w:w="0" w:type="auto"/>
        <w:tblInd w:w="-34" w:type="dxa"/>
        <w:tblLayout w:type="fixed"/>
        <w:tblLook w:val="04A0" w:firstRow="1" w:lastRow="0" w:firstColumn="1" w:lastColumn="0" w:noHBand="0" w:noVBand="1"/>
      </w:tblPr>
      <w:tblGrid>
        <w:gridCol w:w="1418"/>
        <w:gridCol w:w="2835"/>
        <w:gridCol w:w="2552"/>
        <w:gridCol w:w="2268"/>
        <w:gridCol w:w="1099"/>
      </w:tblGrid>
      <w:tr w:rsidR="009F55CA" w:rsidRPr="001416ED" w:rsidTr="00992C5E">
        <w:tc>
          <w:tcPr>
            <w:tcW w:w="1418" w:type="dxa"/>
          </w:tcPr>
          <w:p w:rsidR="009F55CA" w:rsidRPr="001416ED" w:rsidRDefault="002C27F0" w:rsidP="00130E0F">
            <w:pPr>
              <w:spacing w:line="360" w:lineRule="auto"/>
              <w:jc w:val="center"/>
              <w:rPr>
                <w:b/>
                <w:lang w:val="en-US"/>
              </w:rPr>
            </w:pPr>
            <w:r w:rsidRPr="001416ED">
              <w:rPr>
                <w:b/>
                <w:lang w:val="uk-UA"/>
              </w:rPr>
              <w:t xml:space="preserve">Групи </w:t>
            </w:r>
          </w:p>
        </w:tc>
        <w:tc>
          <w:tcPr>
            <w:tcW w:w="2835" w:type="dxa"/>
          </w:tcPr>
          <w:p w:rsidR="009F55CA" w:rsidRPr="001416ED" w:rsidRDefault="000A5FC2" w:rsidP="00D67B3E">
            <w:pPr>
              <w:spacing w:line="360" w:lineRule="auto"/>
              <w:jc w:val="center"/>
              <w:rPr>
                <w:b/>
                <w:lang w:val="uk-UA"/>
              </w:rPr>
            </w:pPr>
            <w:r>
              <w:rPr>
                <w:b/>
                <w:lang w:val="uk-UA"/>
              </w:rPr>
              <w:t>Поліморфні варіанти гена ЕТ-1</w:t>
            </w:r>
          </w:p>
        </w:tc>
        <w:tc>
          <w:tcPr>
            <w:tcW w:w="2552" w:type="dxa"/>
          </w:tcPr>
          <w:p w:rsidR="009F55CA" w:rsidRPr="001416ED" w:rsidRDefault="009F55CA" w:rsidP="00610F87">
            <w:pPr>
              <w:spacing w:line="360" w:lineRule="auto"/>
              <w:jc w:val="center"/>
              <w:rPr>
                <w:b/>
                <w:lang w:val="uk-UA"/>
              </w:rPr>
            </w:pPr>
            <w:r w:rsidRPr="001416ED">
              <w:rPr>
                <w:b/>
                <w:lang w:val="uk-UA"/>
              </w:rPr>
              <w:t xml:space="preserve">ЗГР </w:t>
            </w:r>
            <w:r w:rsidR="00610F87" w:rsidRPr="001416ED">
              <w:rPr>
                <w:b/>
                <w:lang w:val="uk-UA"/>
              </w:rPr>
              <w:t>на</w:t>
            </w:r>
            <w:r w:rsidRPr="001416ED">
              <w:rPr>
                <w:b/>
                <w:lang w:val="uk-UA"/>
              </w:rPr>
              <w:t xml:space="preserve"> </w:t>
            </w:r>
            <w:r w:rsidR="007F0AEB" w:rsidRPr="001416ED">
              <w:rPr>
                <w:b/>
                <w:lang w:val="uk-UA"/>
              </w:rPr>
              <w:t>ПК</w:t>
            </w:r>
          </w:p>
        </w:tc>
        <w:tc>
          <w:tcPr>
            <w:tcW w:w="2268" w:type="dxa"/>
          </w:tcPr>
          <w:p w:rsidR="009F55CA" w:rsidRPr="001416ED" w:rsidRDefault="009F55CA" w:rsidP="006D11C5">
            <w:pPr>
              <w:spacing w:line="360" w:lineRule="auto"/>
              <w:jc w:val="center"/>
              <w:rPr>
                <w:b/>
                <w:lang w:val="uk-UA"/>
              </w:rPr>
            </w:pPr>
            <w:r w:rsidRPr="001416ED">
              <w:rPr>
                <w:b/>
                <w:lang w:val="uk-UA"/>
              </w:rPr>
              <w:t>ЗГР</w:t>
            </w:r>
            <w:r w:rsidR="00610F87" w:rsidRPr="001416ED">
              <w:rPr>
                <w:b/>
                <w:lang w:val="uk-UA"/>
              </w:rPr>
              <w:t xml:space="preserve"> на</w:t>
            </w:r>
            <w:r w:rsidRPr="001416ED">
              <w:rPr>
                <w:b/>
                <w:lang w:val="uk-UA"/>
              </w:rPr>
              <w:t xml:space="preserve"> </w:t>
            </w:r>
            <w:r w:rsidR="007F0AEB" w:rsidRPr="001416ED">
              <w:rPr>
                <w:b/>
                <w:lang w:val="uk-UA"/>
              </w:rPr>
              <w:t>ЛК</w:t>
            </w:r>
          </w:p>
        </w:tc>
        <w:tc>
          <w:tcPr>
            <w:tcW w:w="1099" w:type="dxa"/>
          </w:tcPr>
          <w:p w:rsidR="009F55CA" w:rsidRPr="001416ED" w:rsidRDefault="009F55CA" w:rsidP="00D67B3E">
            <w:pPr>
              <w:spacing w:line="360" w:lineRule="auto"/>
              <w:jc w:val="center"/>
              <w:rPr>
                <w:b/>
                <w:lang w:val="uk-UA"/>
              </w:rPr>
            </w:pPr>
            <w:r w:rsidRPr="001416ED">
              <w:rPr>
                <w:b/>
                <w:lang w:val="uk-UA"/>
              </w:rPr>
              <w:t>р</w:t>
            </w:r>
          </w:p>
        </w:tc>
      </w:tr>
      <w:tr w:rsidR="009F55CA" w:rsidRPr="001416ED" w:rsidTr="00992C5E">
        <w:tc>
          <w:tcPr>
            <w:tcW w:w="1418" w:type="dxa"/>
            <w:vMerge w:val="restart"/>
          </w:tcPr>
          <w:p w:rsidR="009F55CA" w:rsidRPr="001416ED" w:rsidRDefault="009F55CA" w:rsidP="00D67B3E">
            <w:pPr>
              <w:spacing w:line="360" w:lineRule="auto"/>
              <w:jc w:val="both"/>
              <w:rPr>
                <w:lang w:val="en-US"/>
              </w:rPr>
            </w:pPr>
            <w:r w:rsidRPr="001416ED">
              <w:rPr>
                <w:lang w:val="uk-UA"/>
              </w:rPr>
              <w:t>Група контролю</w:t>
            </w:r>
            <w:r w:rsidR="00130E0F" w:rsidRPr="001416ED">
              <w:rPr>
                <w:lang w:val="uk-UA"/>
              </w:rPr>
              <w:t xml:space="preserve"> </w:t>
            </w:r>
            <w:r w:rsidR="00130E0F" w:rsidRPr="001416ED">
              <w:rPr>
                <w:lang w:val="en-US"/>
              </w:rPr>
              <w:t>(n=79)</w:t>
            </w:r>
          </w:p>
        </w:tc>
        <w:tc>
          <w:tcPr>
            <w:tcW w:w="2835" w:type="dxa"/>
          </w:tcPr>
          <w:p w:rsidR="009F55CA" w:rsidRPr="001416ED" w:rsidRDefault="006D2CC6" w:rsidP="00130E0F">
            <w:pPr>
              <w:spacing w:line="360" w:lineRule="auto"/>
              <w:rPr>
                <w:lang w:val="en-US"/>
              </w:rPr>
            </w:pPr>
            <w:r w:rsidRPr="001416ED">
              <w:rPr>
                <w:lang w:val="uk-UA"/>
              </w:rPr>
              <w:t xml:space="preserve">1. </w:t>
            </w:r>
            <w:r w:rsidR="009F55CA" w:rsidRPr="001416ED">
              <w:rPr>
                <w:lang w:val="uk-UA"/>
              </w:rPr>
              <w:t>Генотип Lys/Lys</w:t>
            </w:r>
            <w:r w:rsidR="00130E0F" w:rsidRPr="001416ED">
              <w:rPr>
                <w:lang w:val="en-US"/>
              </w:rPr>
              <w:t xml:space="preserve"> (n=52)</w:t>
            </w:r>
          </w:p>
        </w:tc>
        <w:tc>
          <w:tcPr>
            <w:tcW w:w="2552" w:type="dxa"/>
          </w:tcPr>
          <w:p w:rsidR="009F55CA" w:rsidRPr="001416ED" w:rsidRDefault="009F55CA" w:rsidP="00D67B3E">
            <w:pPr>
              <w:spacing w:line="360" w:lineRule="auto"/>
              <w:jc w:val="center"/>
              <w:rPr>
                <w:lang w:val="uk-UA"/>
              </w:rPr>
            </w:pPr>
            <w:r w:rsidRPr="001416ED">
              <w:rPr>
                <w:lang w:val="uk-UA"/>
              </w:rPr>
              <w:t>83,08</w:t>
            </w:r>
            <w:r w:rsidR="007A07A9" w:rsidRPr="001416ED">
              <w:t xml:space="preserve"> ± </w:t>
            </w:r>
            <w:r w:rsidRPr="001416ED">
              <w:rPr>
                <w:lang w:val="uk-UA"/>
              </w:rPr>
              <w:t>2,37</w:t>
            </w:r>
          </w:p>
        </w:tc>
        <w:tc>
          <w:tcPr>
            <w:tcW w:w="2268" w:type="dxa"/>
          </w:tcPr>
          <w:p w:rsidR="009F55CA" w:rsidRPr="001416ED" w:rsidRDefault="006D2CC6" w:rsidP="00D67B3E">
            <w:pPr>
              <w:spacing w:line="360" w:lineRule="auto"/>
              <w:jc w:val="center"/>
              <w:rPr>
                <w:lang w:val="uk-UA"/>
              </w:rPr>
            </w:pPr>
            <w:r w:rsidRPr="001416ED">
              <w:rPr>
                <w:lang w:val="uk-UA"/>
              </w:rPr>
              <w:t>80,23</w:t>
            </w:r>
            <w:r w:rsidR="007A07A9" w:rsidRPr="001416ED">
              <w:t xml:space="preserve"> ± </w:t>
            </w:r>
            <w:r w:rsidRPr="001416ED">
              <w:rPr>
                <w:lang w:val="uk-UA"/>
              </w:rPr>
              <w:t>2,29</w:t>
            </w:r>
          </w:p>
        </w:tc>
        <w:tc>
          <w:tcPr>
            <w:tcW w:w="1099" w:type="dxa"/>
          </w:tcPr>
          <w:p w:rsidR="009F55CA" w:rsidRPr="001416ED" w:rsidRDefault="009F55CA" w:rsidP="00B43FD9">
            <w:pPr>
              <w:spacing w:line="360" w:lineRule="auto"/>
              <w:jc w:val="center"/>
              <w:rPr>
                <w:lang w:val="uk-UA"/>
              </w:rPr>
            </w:pPr>
            <w:r w:rsidRPr="001416ED">
              <w:rPr>
                <w:lang w:val="uk-UA"/>
              </w:rPr>
              <w:t>р&gt;0,05</w:t>
            </w:r>
          </w:p>
        </w:tc>
      </w:tr>
      <w:tr w:rsidR="009F55CA" w:rsidRPr="001416ED" w:rsidTr="00992C5E">
        <w:tc>
          <w:tcPr>
            <w:tcW w:w="1418" w:type="dxa"/>
            <w:vMerge/>
          </w:tcPr>
          <w:p w:rsidR="009F55CA" w:rsidRPr="001416ED" w:rsidRDefault="009F55CA" w:rsidP="00D67B3E">
            <w:pPr>
              <w:spacing w:line="360" w:lineRule="auto"/>
              <w:jc w:val="both"/>
              <w:rPr>
                <w:lang w:val="uk-UA"/>
              </w:rPr>
            </w:pPr>
          </w:p>
        </w:tc>
        <w:tc>
          <w:tcPr>
            <w:tcW w:w="2835" w:type="dxa"/>
          </w:tcPr>
          <w:p w:rsidR="004040F8" w:rsidRPr="001416ED" w:rsidRDefault="00130E0F" w:rsidP="00130E0F">
            <w:pPr>
              <w:spacing w:line="360" w:lineRule="auto"/>
              <w:rPr>
                <w:lang w:val="uk-UA"/>
              </w:rPr>
            </w:pPr>
            <w:r w:rsidRPr="001416ED">
              <w:rPr>
                <w:lang w:val="uk-UA"/>
              </w:rPr>
              <w:t xml:space="preserve">2. </w:t>
            </w:r>
            <w:r w:rsidR="009F55CA" w:rsidRPr="001416ED">
              <w:rPr>
                <w:lang w:val="uk-UA"/>
              </w:rPr>
              <w:t>Носії алелі Asn</w:t>
            </w:r>
            <w:r w:rsidRPr="001416ED">
              <w:rPr>
                <w:lang w:val="en-US"/>
              </w:rPr>
              <w:t xml:space="preserve"> (n=27)</w:t>
            </w:r>
          </w:p>
        </w:tc>
        <w:tc>
          <w:tcPr>
            <w:tcW w:w="2552" w:type="dxa"/>
          </w:tcPr>
          <w:p w:rsidR="009F55CA" w:rsidRPr="001416ED" w:rsidRDefault="006D2CC6" w:rsidP="00D67B3E">
            <w:pPr>
              <w:spacing w:line="360" w:lineRule="auto"/>
              <w:jc w:val="center"/>
              <w:rPr>
                <w:lang w:val="uk-UA"/>
              </w:rPr>
            </w:pPr>
            <w:r w:rsidRPr="001416ED">
              <w:rPr>
                <w:lang w:val="uk-UA"/>
              </w:rPr>
              <w:t>85,59</w:t>
            </w:r>
            <w:r w:rsidR="007A07A9" w:rsidRPr="001416ED">
              <w:t xml:space="preserve"> ± </w:t>
            </w:r>
            <w:r w:rsidRPr="001416ED">
              <w:rPr>
                <w:lang w:val="uk-UA"/>
              </w:rPr>
              <w:t>2,29</w:t>
            </w:r>
          </w:p>
        </w:tc>
        <w:tc>
          <w:tcPr>
            <w:tcW w:w="2268" w:type="dxa"/>
          </w:tcPr>
          <w:p w:rsidR="009F55CA" w:rsidRPr="001416ED" w:rsidRDefault="009F55CA" w:rsidP="00D67B3E">
            <w:pPr>
              <w:spacing w:line="360" w:lineRule="auto"/>
              <w:jc w:val="center"/>
              <w:rPr>
                <w:lang w:val="uk-UA"/>
              </w:rPr>
            </w:pPr>
            <w:r w:rsidRPr="001416ED">
              <w:rPr>
                <w:lang w:val="uk-UA"/>
              </w:rPr>
              <w:t>81,00</w:t>
            </w:r>
            <w:r w:rsidR="007A07A9" w:rsidRPr="001416ED">
              <w:t xml:space="preserve"> ± </w:t>
            </w:r>
            <w:r w:rsidRPr="001416ED">
              <w:rPr>
                <w:lang w:val="uk-UA"/>
              </w:rPr>
              <w:t>4,73</w:t>
            </w:r>
          </w:p>
        </w:tc>
        <w:tc>
          <w:tcPr>
            <w:tcW w:w="1099" w:type="dxa"/>
          </w:tcPr>
          <w:p w:rsidR="009F55CA" w:rsidRPr="001416ED" w:rsidRDefault="009F55CA" w:rsidP="00D67B3E">
            <w:pPr>
              <w:spacing w:line="360" w:lineRule="auto"/>
              <w:jc w:val="center"/>
              <w:rPr>
                <w:lang w:val="uk-UA"/>
              </w:rPr>
            </w:pPr>
            <w:r w:rsidRPr="001416ED">
              <w:rPr>
                <w:lang w:val="uk-UA"/>
              </w:rPr>
              <w:t>р&gt;0,05</w:t>
            </w:r>
          </w:p>
        </w:tc>
      </w:tr>
      <w:tr w:rsidR="00610F87" w:rsidRPr="001416ED" w:rsidTr="00992C5E">
        <w:tc>
          <w:tcPr>
            <w:tcW w:w="1418" w:type="dxa"/>
            <w:vMerge w:val="restart"/>
          </w:tcPr>
          <w:p w:rsidR="00610F87" w:rsidRPr="001416ED" w:rsidRDefault="00610F87" w:rsidP="002F6FC3">
            <w:pPr>
              <w:spacing w:line="360" w:lineRule="auto"/>
              <w:rPr>
                <w:lang w:val="uk-UA"/>
              </w:rPr>
            </w:pPr>
            <w:r w:rsidRPr="001416ED">
              <w:rPr>
                <w:lang w:val="uk-UA"/>
              </w:rPr>
              <w:t>ГХ ІІ ст.</w:t>
            </w:r>
            <w:r w:rsidR="00130E0F" w:rsidRPr="001416ED">
              <w:rPr>
                <w:lang w:val="en-US"/>
              </w:rPr>
              <w:t xml:space="preserve"> (n=62)</w:t>
            </w:r>
          </w:p>
        </w:tc>
        <w:tc>
          <w:tcPr>
            <w:tcW w:w="2835" w:type="dxa"/>
          </w:tcPr>
          <w:p w:rsidR="00610F87" w:rsidRPr="001416ED" w:rsidRDefault="00130E0F" w:rsidP="00130E0F">
            <w:pPr>
              <w:spacing w:line="360" w:lineRule="auto"/>
              <w:rPr>
                <w:lang w:val="uk-UA"/>
              </w:rPr>
            </w:pPr>
            <w:r w:rsidRPr="001416ED">
              <w:rPr>
                <w:lang w:val="uk-UA"/>
              </w:rPr>
              <w:t xml:space="preserve">3. </w:t>
            </w:r>
            <w:r w:rsidR="00610F87" w:rsidRPr="001416ED">
              <w:rPr>
                <w:lang w:val="uk-UA"/>
              </w:rPr>
              <w:t>Генотип Lys/Lys</w:t>
            </w:r>
            <w:r w:rsidRPr="001416ED">
              <w:rPr>
                <w:lang w:val="en-US"/>
              </w:rPr>
              <w:t xml:space="preserve"> (n=35)</w:t>
            </w:r>
          </w:p>
        </w:tc>
        <w:tc>
          <w:tcPr>
            <w:tcW w:w="2552" w:type="dxa"/>
          </w:tcPr>
          <w:p w:rsidR="00610F87" w:rsidRPr="001416ED" w:rsidRDefault="00610F87" w:rsidP="005B4AEE">
            <w:pPr>
              <w:spacing w:line="360" w:lineRule="auto"/>
              <w:jc w:val="center"/>
              <w:rPr>
                <w:lang w:val="uk-UA"/>
              </w:rPr>
            </w:pPr>
            <w:r w:rsidRPr="001416ED">
              <w:rPr>
                <w:lang w:val="uk-UA"/>
              </w:rPr>
              <w:t>67,29</w:t>
            </w:r>
            <w:r w:rsidR="007A07A9" w:rsidRPr="001416ED">
              <w:t xml:space="preserve"> ± </w:t>
            </w:r>
            <w:r w:rsidRPr="001416ED">
              <w:rPr>
                <w:lang w:val="uk-UA"/>
              </w:rPr>
              <w:t>4,28</w:t>
            </w:r>
          </w:p>
        </w:tc>
        <w:tc>
          <w:tcPr>
            <w:tcW w:w="2268" w:type="dxa"/>
          </w:tcPr>
          <w:p w:rsidR="00610F87" w:rsidRPr="001416ED" w:rsidRDefault="00610F87" w:rsidP="005B4AEE">
            <w:pPr>
              <w:spacing w:line="360" w:lineRule="auto"/>
              <w:jc w:val="center"/>
              <w:rPr>
                <w:lang w:val="uk-UA"/>
              </w:rPr>
            </w:pPr>
            <w:r w:rsidRPr="001416ED">
              <w:rPr>
                <w:lang w:val="uk-UA"/>
              </w:rPr>
              <w:t>62,11</w:t>
            </w:r>
            <w:r w:rsidR="007A07A9" w:rsidRPr="001416ED">
              <w:t xml:space="preserve"> ± </w:t>
            </w:r>
            <w:r w:rsidRPr="001416ED">
              <w:rPr>
                <w:lang w:val="uk-UA"/>
              </w:rPr>
              <w:t>4,10</w:t>
            </w:r>
          </w:p>
        </w:tc>
        <w:tc>
          <w:tcPr>
            <w:tcW w:w="1099" w:type="dxa"/>
          </w:tcPr>
          <w:p w:rsidR="00610F87" w:rsidRPr="001416ED" w:rsidRDefault="00610F87" w:rsidP="005B4AEE">
            <w:pPr>
              <w:spacing w:line="360" w:lineRule="auto"/>
              <w:jc w:val="center"/>
              <w:rPr>
                <w:lang w:val="uk-UA"/>
              </w:rPr>
            </w:pPr>
            <w:r w:rsidRPr="001416ED">
              <w:rPr>
                <w:lang w:val="uk-UA"/>
              </w:rPr>
              <w:t>р&gt;0,05</w:t>
            </w:r>
          </w:p>
        </w:tc>
      </w:tr>
      <w:tr w:rsidR="00610F87" w:rsidRPr="001416ED" w:rsidTr="00992C5E">
        <w:tc>
          <w:tcPr>
            <w:tcW w:w="1418" w:type="dxa"/>
            <w:vMerge/>
          </w:tcPr>
          <w:p w:rsidR="00610F87" w:rsidRPr="001416ED" w:rsidRDefault="00610F87" w:rsidP="002437E2">
            <w:pPr>
              <w:spacing w:line="360" w:lineRule="auto"/>
              <w:jc w:val="right"/>
              <w:rPr>
                <w:rFonts w:eastAsiaTheme="minorHAnsi"/>
                <w:kern w:val="11"/>
                <w:lang w:val="uk-UA" w:eastAsia="en-US"/>
              </w:rPr>
            </w:pPr>
          </w:p>
        </w:tc>
        <w:tc>
          <w:tcPr>
            <w:tcW w:w="2835" w:type="dxa"/>
          </w:tcPr>
          <w:p w:rsidR="00610F87" w:rsidRPr="001416ED" w:rsidRDefault="00610F87" w:rsidP="00130E0F">
            <w:pPr>
              <w:spacing w:line="360" w:lineRule="auto"/>
              <w:rPr>
                <w:lang w:val="uk-UA"/>
              </w:rPr>
            </w:pPr>
            <w:r w:rsidRPr="001416ED">
              <w:rPr>
                <w:lang w:val="uk-UA"/>
              </w:rPr>
              <w:t>4.</w:t>
            </w:r>
            <w:r w:rsidR="00130E0F" w:rsidRPr="001416ED">
              <w:rPr>
                <w:lang w:val="uk-UA"/>
              </w:rPr>
              <w:t xml:space="preserve"> </w:t>
            </w:r>
            <w:r w:rsidRPr="001416ED">
              <w:rPr>
                <w:lang w:val="uk-UA"/>
              </w:rPr>
              <w:t>Носії алелі Asn</w:t>
            </w:r>
            <w:r w:rsidR="00130E0F" w:rsidRPr="001416ED">
              <w:rPr>
                <w:lang w:val="en-US"/>
              </w:rPr>
              <w:t xml:space="preserve"> (n=27)</w:t>
            </w:r>
          </w:p>
        </w:tc>
        <w:tc>
          <w:tcPr>
            <w:tcW w:w="2552" w:type="dxa"/>
          </w:tcPr>
          <w:p w:rsidR="00610F87" w:rsidRPr="001416ED" w:rsidRDefault="00610F87" w:rsidP="0038707F">
            <w:pPr>
              <w:spacing w:line="360" w:lineRule="auto"/>
              <w:jc w:val="center"/>
              <w:rPr>
                <w:lang w:val="uk-UA"/>
              </w:rPr>
            </w:pPr>
            <w:r w:rsidRPr="001416ED">
              <w:rPr>
                <w:lang w:val="uk-UA"/>
              </w:rPr>
              <w:t>71,48</w:t>
            </w:r>
            <w:r w:rsidR="007A07A9" w:rsidRPr="001416ED">
              <w:t xml:space="preserve"> ± </w:t>
            </w:r>
            <w:r w:rsidRPr="001416ED">
              <w:rPr>
                <w:lang w:val="uk-UA"/>
              </w:rPr>
              <w:t>3,72</w:t>
            </w:r>
          </w:p>
        </w:tc>
        <w:tc>
          <w:tcPr>
            <w:tcW w:w="2268" w:type="dxa"/>
          </w:tcPr>
          <w:p w:rsidR="00610F87" w:rsidRPr="001416ED" w:rsidRDefault="00610F87" w:rsidP="0038707F">
            <w:pPr>
              <w:spacing w:line="360" w:lineRule="auto"/>
              <w:jc w:val="center"/>
              <w:rPr>
                <w:lang w:val="uk-UA"/>
              </w:rPr>
            </w:pPr>
            <w:r w:rsidRPr="001416ED">
              <w:rPr>
                <w:lang w:val="uk-UA"/>
              </w:rPr>
              <w:t>68,04</w:t>
            </w:r>
            <w:r w:rsidR="007A07A9" w:rsidRPr="001416ED">
              <w:t xml:space="preserve"> ± </w:t>
            </w:r>
            <w:r w:rsidRPr="001416ED">
              <w:rPr>
                <w:lang w:val="uk-UA"/>
              </w:rPr>
              <w:t>4,92</w:t>
            </w:r>
          </w:p>
        </w:tc>
        <w:tc>
          <w:tcPr>
            <w:tcW w:w="1099" w:type="dxa"/>
          </w:tcPr>
          <w:p w:rsidR="00610F87" w:rsidRPr="001416ED" w:rsidRDefault="00610F87" w:rsidP="0038707F">
            <w:pPr>
              <w:spacing w:line="360" w:lineRule="auto"/>
              <w:jc w:val="center"/>
              <w:rPr>
                <w:lang w:val="uk-UA"/>
              </w:rPr>
            </w:pPr>
            <w:r w:rsidRPr="001416ED">
              <w:rPr>
                <w:lang w:val="uk-UA"/>
              </w:rPr>
              <w:t>р&gt;0,05</w:t>
            </w:r>
          </w:p>
        </w:tc>
      </w:tr>
      <w:tr w:rsidR="00130E0F" w:rsidRPr="001416ED" w:rsidTr="00992C5E">
        <w:tc>
          <w:tcPr>
            <w:tcW w:w="1418" w:type="dxa"/>
          </w:tcPr>
          <w:p w:rsidR="00130E0F" w:rsidRPr="001416ED" w:rsidRDefault="00130E0F" w:rsidP="002F6FC3">
            <w:pPr>
              <w:spacing w:line="360" w:lineRule="auto"/>
              <w:rPr>
                <w:lang w:val="uk-UA"/>
              </w:rPr>
            </w:pPr>
            <w:r w:rsidRPr="001416ED">
              <w:rPr>
                <w:lang w:val="uk-UA"/>
              </w:rPr>
              <w:t>ГХ ІІІ ст.</w:t>
            </w:r>
            <w:r w:rsidRPr="001416ED">
              <w:rPr>
                <w:lang w:val="en-US"/>
              </w:rPr>
              <w:t xml:space="preserve"> (n=</w:t>
            </w:r>
            <w:r w:rsidR="004A052C" w:rsidRPr="001416ED">
              <w:t>43</w:t>
            </w:r>
            <w:r w:rsidRPr="001416ED">
              <w:rPr>
                <w:lang w:val="en-US"/>
              </w:rPr>
              <w:t>)</w:t>
            </w:r>
          </w:p>
        </w:tc>
        <w:tc>
          <w:tcPr>
            <w:tcW w:w="2835" w:type="dxa"/>
          </w:tcPr>
          <w:p w:rsidR="00130E0F" w:rsidRPr="001416ED" w:rsidRDefault="00130E0F" w:rsidP="004A052C">
            <w:pPr>
              <w:spacing w:line="360" w:lineRule="auto"/>
              <w:rPr>
                <w:lang w:val="uk-UA"/>
              </w:rPr>
            </w:pPr>
            <w:r w:rsidRPr="001416ED">
              <w:rPr>
                <w:lang w:val="uk-UA"/>
              </w:rPr>
              <w:t>5. Генотип Lys/Lys</w:t>
            </w:r>
            <w:r w:rsidRPr="001416ED">
              <w:rPr>
                <w:lang w:val="en-US"/>
              </w:rPr>
              <w:t xml:space="preserve"> (n=</w:t>
            </w:r>
            <w:r w:rsidR="004A052C" w:rsidRPr="001416ED">
              <w:t>28</w:t>
            </w:r>
            <w:r w:rsidRPr="001416ED">
              <w:rPr>
                <w:lang w:val="en-US"/>
              </w:rPr>
              <w:t>)</w:t>
            </w:r>
          </w:p>
        </w:tc>
        <w:tc>
          <w:tcPr>
            <w:tcW w:w="2552" w:type="dxa"/>
          </w:tcPr>
          <w:p w:rsidR="00130E0F" w:rsidRPr="001416ED" w:rsidRDefault="00130E0F" w:rsidP="004A052C">
            <w:pPr>
              <w:spacing w:line="360" w:lineRule="auto"/>
              <w:jc w:val="center"/>
              <w:rPr>
                <w:lang w:val="uk-UA"/>
              </w:rPr>
            </w:pPr>
            <w:r w:rsidRPr="001416ED">
              <w:rPr>
                <w:lang w:val="uk-UA"/>
              </w:rPr>
              <w:t>84,75</w:t>
            </w:r>
            <w:r w:rsidR="007A07A9" w:rsidRPr="001416ED">
              <w:t xml:space="preserve"> ± </w:t>
            </w:r>
            <w:r w:rsidRPr="001416ED">
              <w:rPr>
                <w:lang w:val="uk-UA"/>
              </w:rPr>
              <w:t>4,39</w:t>
            </w:r>
          </w:p>
        </w:tc>
        <w:tc>
          <w:tcPr>
            <w:tcW w:w="2268" w:type="dxa"/>
          </w:tcPr>
          <w:p w:rsidR="00130E0F" w:rsidRPr="001416ED" w:rsidRDefault="00130E0F" w:rsidP="004A052C">
            <w:pPr>
              <w:spacing w:line="360" w:lineRule="auto"/>
              <w:jc w:val="center"/>
              <w:rPr>
                <w:lang w:val="uk-UA"/>
              </w:rPr>
            </w:pPr>
            <w:r w:rsidRPr="001416ED">
              <w:rPr>
                <w:lang w:val="uk-UA"/>
              </w:rPr>
              <w:t>78,29</w:t>
            </w:r>
            <w:r w:rsidR="007A07A9" w:rsidRPr="001416ED">
              <w:t xml:space="preserve"> ± </w:t>
            </w:r>
            <w:r w:rsidRPr="001416ED">
              <w:rPr>
                <w:lang w:val="uk-UA"/>
              </w:rPr>
              <w:t>5,50</w:t>
            </w:r>
          </w:p>
        </w:tc>
        <w:tc>
          <w:tcPr>
            <w:tcW w:w="1099" w:type="dxa"/>
          </w:tcPr>
          <w:p w:rsidR="00130E0F" w:rsidRPr="001416ED" w:rsidRDefault="00130E0F" w:rsidP="004A052C">
            <w:pPr>
              <w:spacing w:line="360" w:lineRule="auto"/>
              <w:jc w:val="center"/>
              <w:rPr>
                <w:lang w:val="uk-UA"/>
              </w:rPr>
            </w:pPr>
            <w:r w:rsidRPr="001416ED">
              <w:rPr>
                <w:lang w:val="uk-UA"/>
              </w:rPr>
              <w:t>р&gt;0,05</w:t>
            </w:r>
          </w:p>
        </w:tc>
      </w:tr>
    </w:tbl>
    <w:p w:rsidR="002F6FC3" w:rsidRPr="001416ED" w:rsidRDefault="002F6FC3" w:rsidP="002F6FC3">
      <w:pPr>
        <w:spacing w:line="360" w:lineRule="auto"/>
        <w:ind w:firstLine="709"/>
        <w:jc w:val="right"/>
        <w:rPr>
          <w:rFonts w:eastAsiaTheme="minorHAnsi"/>
          <w:kern w:val="11"/>
          <w:lang w:val="uk-UA" w:eastAsia="en-US"/>
        </w:rPr>
      </w:pPr>
      <w:r w:rsidRPr="001416ED">
        <w:rPr>
          <w:rFonts w:eastAsiaTheme="minorHAnsi"/>
          <w:i/>
          <w:kern w:val="11"/>
          <w:lang w:val="uk-UA" w:eastAsia="en-US"/>
        </w:rPr>
        <w:lastRenderedPageBreak/>
        <w:t>Продовження табл. 4.10</w:t>
      </w:r>
    </w:p>
    <w:tbl>
      <w:tblPr>
        <w:tblStyle w:val="af5"/>
        <w:tblW w:w="0" w:type="auto"/>
        <w:tblLook w:val="04A0" w:firstRow="1" w:lastRow="0" w:firstColumn="1" w:lastColumn="0" w:noHBand="0" w:noVBand="1"/>
      </w:tblPr>
      <w:tblGrid>
        <w:gridCol w:w="1384"/>
        <w:gridCol w:w="2410"/>
        <w:gridCol w:w="2693"/>
        <w:gridCol w:w="2552"/>
        <w:gridCol w:w="1099"/>
      </w:tblGrid>
      <w:tr w:rsidR="002F6FC3" w:rsidRPr="001416ED" w:rsidTr="002F6FC3">
        <w:tc>
          <w:tcPr>
            <w:tcW w:w="1384" w:type="dxa"/>
          </w:tcPr>
          <w:p w:rsidR="002F6FC3" w:rsidRPr="001416ED" w:rsidRDefault="002F6FC3" w:rsidP="00B86142">
            <w:pPr>
              <w:spacing w:line="360" w:lineRule="auto"/>
              <w:jc w:val="both"/>
              <w:rPr>
                <w:lang w:val="uk-UA"/>
              </w:rPr>
            </w:pPr>
          </w:p>
        </w:tc>
        <w:tc>
          <w:tcPr>
            <w:tcW w:w="2410" w:type="dxa"/>
          </w:tcPr>
          <w:p w:rsidR="002F6FC3" w:rsidRPr="001416ED" w:rsidRDefault="002F6FC3" w:rsidP="00B86142">
            <w:pPr>
              <w:spacing w:line="360" w:lineRule="auto"/>
              <w:rPr>
                <w:lang w:val="uk-UA"/>
              </w:rPr>
            </w:pPr>
            <w:r w:rsidRPr="001416ED">
              <w:rPr>
                <w:lang w:val="uk-UA"/>
              </w:rPr>
              <w:t>6. Носії алелі Asn</w:t>
            </w:r>
            <w:r w:rsidRPr="001416ED">
              <w:rPr>
                <w:lang w:val="en-US"/>
              </w:rPr>
              <w:t xml:space="preserve"> (n=1</w:t>
            </w:r>
            <w:r w:rsidRPr="001416ED">
              <w:t>5</w:t>
            </w:r>
            <w:r w:rsidRPr="001416ED">
              <w:rPr>
                <w:lang w:val="en-US"/>
              </w:rPr>
              <w:t>)</w:t>
            </w:r>
          </w:p>
        </w:tc>
        <w:tc>
          <w:tcPr>
            <w:tcW w:w="2693" w:type="dxa"/>
          </w:tcPr>
          <w:p w:rsidR="002F6FC3" w:rsidRPr="001416ED" w:rsidRDefault="002F6FC3" w:rsidP="00B86142">
            <w:pPr>
              <w:spacing w:line="360" w:lineRule="auto"/>
              <w:jc w:val="center"/>
              <w:rPr>
                <w:lang w:val="uk-UA"/>
              </w:rPr>
            </w:pPr>
            <w:r w:rsidRPr="001416ED">
              <w:rPr>
                <w:lang w:val="uk-UA"/>
              </w:rPr>
              <w:t>96,80</w:t>
            </w:r>
            <w:r w:rsidRPr="001416ED">
              <w:t xml:space="preserve"> ± </w:t>
            </w:r>
            <w:r w:rsidRPr="001416ED">
              <w:rPr>
                <w:lang w:val="uk-UA"/>
              </w:rPr>
              <w:t>4,73</w:t>
            </w:r>
          </w:p>
        </w:tc>
        <w:tc>
          <w:tcPr>
            <w:tcW w:w="2552" w:type="dxa"/>
          </w:tcPr>
          <w:p w:rsidR="002F6FC3" w:rsidRPr="001416ED" w:rsidRDefault="002F6FC3" w:rsidP="00B86142">
            <w:pPr>
              <w:spacing w:line="360" w:lineRule="auto"/>
              <w:jc w:val="center"/>
              <w:rPr>
                <w:lang w:val="uk-UA"/>
              </w:rPr>
            </w:pPr>
            <w:r w:rsidRPr="001416ED">
              <w:rPr>
                <w:lang w:val="uk-UA"/>
              </w:rPr>
              <w:t>83,73</w:t>
            </w:r>
            <w:r w:rsidRPr="001416ED">
              <w:t xml:space="preserve"> ± </w:t>
            </w:r>
            <w:r w:rsidRPr="001416ED">
              <w:rPr>
                <w:lang w:val="uk-UA"/>
              </w:rPr>
              <w:t>6,17</w:t>
            </w:r>
          </w:p>
        </w:tc>
        <w:tc>
          <w:tcPr>
            <w:tcW w:w="1099" w:type="dxa"/>
          </w:tcPr>
          <w:p w:rsidR="002F6FC3" w:rsidRPr="001416ED" w:rsidRDefault="002F6FC3" w:rsidP="00B86142">
            <w:pPr>
              <w:spacing w:line="360" w:lineRule="auto"/>
              <w:jc w:val="center"/>
              <w:rPr>
                <w:lang w:val="uk-UA"/>
              </w:rPr>
            </w:pPr>
            <w:r w:rsidRPr="001416ED">
              <w:rPr>
                <w:lang w:val="uk-UA"/>
              </w:rPr>
              <w:t>р˂0,05</w:t>
            </w:r>
          </w:p>
        </w:tc>
      </w:tr>
      <w:tr w:rsidR="002F6FC3" w:rsidRPr="001416ED" w:rsidTr="002F6FC3">
        <w:tc>
          <w:tcPr>
            <w:tcW w:w="1384" w:type="dxa"/>
          </w:tcPr>
          <w:p w:rsidR="002F6FC3" w:rsidRPr="001416ED" w:rsidRDefault="002F6FC3" w:rsidP="00B86142">
            <w:pPr>
              <w:spacing w:line="360" w:lineRule="auto"/>
              <w:jc w:val="both"/>
              <w:rPr>
                <w:lang w:val="uk-UA"/>
              </w:rPr>
            </w:pPr>
            <w:r w:rsidRPr="001416ED">
              <w:rPr>
                <w:lang w:val="uk-UA"/>
              </w:rPr>
              <w:t>р</w:t>
            </w:r>
          </w:p>
        </w:tc>
        <w:tc>
          <w:tcPr>
            <w:tcW w:w="2410" w:type="dxa"/>
          </w:tcPr>
          <w:p w:rsidR="002F6FC3" w:rsidRPr="001416ED" w:rsidRDefault="002F6FC3" w:rsidP="00B86142">
            <w:pPr>
              <w:spacing w:line="360" w:lineRule="auto"/>
              <w:jc w:val="center"/>
              <w:rPr>
                <w:lang w:val="uk-UA"/>
              </w:rPr>
            </w:pPr>
          </w:p>
        </w:tc>
        <w:tc>
          <w:tcPr>
            <w:tcW w:w="2693" w:type="dxa"/>
          </w:tcPr>
          <w:p w:rsidR="002F6FC3" w:rsidRPr="001416ED" w:rsidRDefault="002F6FC3" w:rsidP="00B86142">
            <w:pPr>
              <w:spacing w:line="360" w:lineRule="auto"/>
              <w:rPr>
                <w:lang w:val="uk-UA"/>
              </w:rPr>
            </w:pPr>
            <w:r w:rsidRPr="001416ED">
              <w:rPr>
                <w:lang w:val="uk-UA"/>
              </w:rPr>
              <w:t>р</w:t>
            </w:r>
            <w:r w:rsidRPr="001416ED">
              <w:rPr>
                <w:vertAlign w:val="subscript"/>
                <w:lang w:val="uk-UA"/>
              </w:rPr>
              <w:t>2–1</w:t>
            </w:r>
            <w:r w:rsidRPr="001416ED">
              <w:rPr>
                <w:lang w:val="uk-UA"/>
              </w:rPr>
              <w:t>&gt;0,05;р</w:t>
            </w:r>
            <w:r w:rsidRPr="001416ED">
              <w:rPr>
                <w:vertAlign w:val="subscript"/>
                <w:lang w:val="uk-UA"/>
              </w:rPr>
              <w:t>3–1</w:t>
            </w:r>
            <w:r w:rsidRPr="001416ED">
              <w:rPr>
                <w:lang w:val="uk-UA"/>
              </w:rPr>
              <w:t>˂0,001;</w:t>
            </w:r>
          </w:p>
          <w:p w:rsidR="002F6FC3" w:rsidRPr="001416ED" w:rsidRDefault="002F6FC3" w:rsidP="00B86142">
            <w:pPr>
              <w:spacing w:line="360" w:lineRule="auto"/>
              <w:rPr>
                <w:lang w:val="uk-UA"/>
              </w:rPr>
            </w:pPr>
            <w:r w:rsidRPr="001416ED">
              <w:rPr>
                <w:lang w:val="uk-UA"/>
              </w:rPr>
              <w:t>р</w:t>
            </w:r>
            <w:r w:rsidRPr="001416ED">
              <w:rPr>
                <w:vertAlign w:val="subscript"/>
                <w:lang w:val="uk-UA"/>
              </w:rPr>
              <w:t>4–1</w:t>
            </w:r>
            <w:r w:rsidRPr="001416ED">
              <w:rPr>
                <w:lang w:val="uk-UA"/>
              </w:rPr>
              <w:t>˂0,05;р</w:t>
            </w:r>
            <w:r w:rsidRPr="001416ED">
              <w:rPr>
                <w:vertAlign w:val="subscript"/>
                <w:lang w:val="uk-UA"/>
              </w:rPr>
              <w:t>5–1</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6–1</w:t>
            </w:r>
            <w:r w:rsidRPr="001416ED">
              <w:rPr>
                <w:lang w:val="uk-UA"/>
              </w:rPr>
              <w:t>˂0,05;р</w:t>
            </w:r>
            <w:r w:rsidRPr="001416ED">
              <w:rPr>
                <w:vertAlign w:val="subscript"/>
                <w:lang w:val="uk-UA"/>
              </w:rPr>
              <w:t>3–2</w:t>
            </w:r>
            <w:r w:rsidRPr="001416ED">
              <w:rPr>
                <w:lang w:val="uk-UA"/>
              </w:rPr>
              <w:t>˂0,001;</w:t>
            </w:r>
          </w:p>
          <w:p w:rsidR="002F6FC3" w:rsidRPr="001416ED" w:rsidRDefault="002F6FC3" w:rsidP="00B86142">
            <w:pPr>
              <w:spacing w:line="360" w:lineRule="auto"/>
              <w:rPr>
                <w:lang w:val="uk-UA"/>
              </w:rPr>
            </w:pPr>
            <w:r w:rsidRPr="001416ED">
              <w:rPr>
                <w:lang w:val="uk-UA"/>
              </w:rPr>
              <w:t>р</w:t>
            </w:r>
            <w:r w:rsidRPr="001416ED">
              <w:rPr>
                <w:vertAlign w:val="subscript"/>
                <w:lang w:val="uk-UA"/>
              </w:rPr>
              <w:t>4–2</w:t>
            </w:r>
            <w:r w:rsidRPr="001416ED">
              <w:rPr>
                <w:lang w:val="uk-UA"/>
              </w:rPr>
              <w:t xml:space="preserve"> ˂ 0,01;р</w:t>
            </w:r>
            <w:r w:rsidRPr="001416ED">
              <w:rPr>
                <w:vertAlign w:val="subscript"/>
                <w:lang w:val="uk-UA"/>
              </w:rPr>
              <w:t>5–2</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6–2</w:t>
            </w:r>
            <w:r w:rsidRPr="001416ED">
              <w:rPr>
                <w:lang w:val="uk-UA"/>
              </w:rPr>
              <w:t>&gt;0,05;р</w:t>
            </w:r>
            <w:r w:rsidRPr="001416ED">
              <w:rPr>
                <w:vertAlign w:val="subscript"/>
                <w:lang w:val="uk-UA"/>
              </w:rPr>
              <w:t>4–3</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5–3</w:t>
            </w:r>
            <w:r w:rsidRPr="001416ED">
              <w:rPr>
                <w:lang w:val="uk-UA"/>
              </w:rPr>
              <w:t>˂0,001;</w:t>
            </w:r>
          </w:p>
          <w:p w:rsidR="002F6FC3" w:rsidRPr="001416ED" w:rsidRDefault="002F6FC3" w:rsidP="00B86142">
            <w:pPr>
              <w:spacing w:line="360" w:lineRule="auto"/>
              <w:rPr>
                <w:lang w:val="uk-UA"/>
              </w:rPr>
            </w:pPr>
            <w:r w:rsidRPr="001416ED">
              <w:rPr>
                <w:lang w:val="uk-UA"/>
              </w:rPr>
              <w:t>р</w:t>
            </w:r>
            <w:r w:rsidRPr="001416ED">
              <w:rPr>
                <w:vertAlign w:val="subscript"/>
                <w:lang w:val="uk-UA"/>
              </w:rPr>
              <w:t>6–3</w:t>
            </w:r>
            <w:r w:rsidRPr="001416ED">
              <w:rPr>
                <w:lang w:val="uk-UA"/>
              </w:rPr>
              <w:t>˂0,0001;</w:t>
            </w:r>
          </w:p>
          <w:p w:rsidR="002F6FC3" w:rsidRPr="001416ED" w:rsidRDefault="002F6FC3" w:rsidP="00B86142">
            <w:pPr>
              <w:spacing w:line="360" w:lineRule="auto"/>
              <w:rPr>
                <w:lang w:val="uk-UA"/>
              </w:rPr>
            </w:pPr>
            <w:r w:rsidRPr="001416ED">
              <w:rPr>
                <w:lang w:val="uk-UA"/>
              </w:rPr>
              <w:t>р</w:t>
            </w:r>
            <w:r w:rsidRPr="001416ED">
              <w:rPr>
                <w:vertAlign w:val="subscript"/>
                <w:lang w:val="uk-UA"/>
              </w:rPr>
              <w:t>5–4</w:t>
            </w:r>
            <w:r w:rsidRPr="001416ED">
              <w:rPr>
                <w:lang w:val="uk-UA"/>
              </w:rPr>
              <w:t>˂0,05;р</w:t>
            </w:r>
            <w:r w:rsidRPr="001416ED">
              <w:rPr>
                <w:vertAlign w:val="subscript"/>
                <w:lang w:val="uk-UA"/>
              </w:rPr>
              <w:t>6–4</w:t>
            </w:r>
            <w:r w:rsidRPr="001416ED">
              <w:rPr>
                <w:lang w:val="uk-UA"/>
              </w:rPr>
              <w:t>˂0,001</w:t>
            </w:r>
          </w:p>
          <w:p w:rsidR="002F6FC3" w:rsidRPr="001416ED" w:rsidRDefault="002F6FC3" w:rsidP="00B86142">
            <w:pPr>
              <w:spacing w:line="360" w:lineRule="auto"/>
              <w:rPr>
                <w:lang w:val="uk-UA"/>
              </w:rPr>
            </w:pPr>
            <w:r w:rsidRPr="001416ED">
              <w:rPr>
                <w:lang w:val="uk-UA"/>
              </w:rPr>
              <w:t>р</w:t>
            </w:r>
            <w:r w:rsidRPr="001416ED">
              <w:rPr>
                <w:vertAlign w:val="subscript"/>
                <w:lang w:val="uk-UA"/>
              </w:rPr>
              <w:t>6–5</w:t>
            </w:r>
            <w:r w:rsidRPr="001416ED">
              <w:rPr>
                <w:lang w:val="uk-UA"/>
              </w:rPr>
              <w:t>&gt;0,05</w:t>
            </w:r>
          </w:p>
        </w:tc>
        <w:tc>
          <w:tcPr>
            <w:tcW w:w="2552" w:type="dxa"/>
          </w:tcPr>
          <w:p w:rsidR="002F6FC3" w:rsidRPr="001416ED" w:rsidRDefault="002F6FC3" w:rsidP="00B86142">
            <w:pPr>
              <w:spacing w:line="360" w:lineRule="auto"/>
              <w:rPr>
                <w:lang w:val="uk-UA"/>
              </w:rPr>
            </w:pPr>
            <w:r w:rsidRPr="001416ED">
              <w:rPr>
                <w:lang w:val="uk-UA"/>
              </w:rPr>
              <w:t>р</w:t>
            </w:r>
            <w:r w:rsidRPr="001416ED">
              <w:rPr>
                <w:vertAlign w:val="subscript"/>
                <w:lang w:val="uk-UA"/>
              </w:rPr>
              <w:t>2–1</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3–1</w:t>
            </w:r>
            <w:r w:rsidRPr="001416ED">
              <w:rPr>
                <w:lang w:val="uk-UA"/>
              </w:rPr>
              <w:t>˂0,001;</w:t>
            </w:r>
          </w:p>
          <w:p w:rsidR="002F6FC3" w:rsidRPr="001416ED" w:rsidRDefault="002F6FC3" w:rsidP="00B86142">
            <w:pPr>
              <w:spacing w:line="360" w:lineRule="auto"/>
              <w:rPr>
                <w:lang w:val="uk-UA"/>
              </w:rPr>
            </w:pPr>
            <w:r w:rsidRPr="001416ED">
              <w:rPr>
                <w:lang w:val="uk-UA"/>
              </w:rPr>
              <w:t>р</w:t>
            </w:r>
            <w:r w:rsidRPr="001416ED">
              <w:rPr>
                <w:vertAlign w:val="subscript"/>
                <w:lang w:val="uk-UA"/>
              </w:rPr>
              <w:t>4–1</w:t>
            </w:r>
            <w:r w:rsidRPr="001416ED">
              <w:rPr>
                <w:lang w:val="uk-UA"/>
              </w:rPr>
              <w:t>˂0,05;р</w:t>
            </w:r>
            <w:r w:rsidRPr="001416ED">
              <w:rPr>
                <w:vertAlign w:val="subscript"/>
                <w:lang w:val="uk-UA"/>
              </w:rPr>
              <w:t>5–1</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6–1</w:t>
            </w:r>
            <w:r w:rsidRPr="001416ED">
              <w:rPr>
                <w:lang w:val="uk-UA"/>
              </w:rPr>
              <w:t>˃0,05;р</w:t>
            </w:r>
            <w:r w:rsidRPr="001416ED">
              <w:rPr>
                <w:vertAlign w:val="subscript"/>
                <w:lang w:val="uk-UA"/>
              </w:rPr>
              <w:t>3–2</w:t>
            </w:r>
            <w:r w:rsidRPr="001416ED">
              <w:rPr>
                <w:lang w:val="uk-UA"/>
              </w:rPr>
              <w:t>˂0,01;</w:t>
            </w:r>
          </w:p>
          <w:p w:rsidR="002F6FC3" w:rsidRPr="001416ED" w:rsidRDefault="002F6FC3" w:rsidP="00B86142">
            <w:pPr>
              <w:spacing w:line="360" w:lineRule="auto"/>
              <w:rPr>
                <w:lang w:val="uk-UA"/>
              </w:rPr>
            </w:pPr>
            <w:r w:rsidRPr="001416ED">
              <w:rPr>
                <w:lang w:val="uk-UA"/>
              </w:rPr>
              <w:t>р</w:t>
            </w:r>
            <w:r w:rsidRPr="001416ED">
              <w:rPr>
                <w:vertAlign w:val="subscript"/>
                <w:lang w:val="uk-UA"/>
              </w:rPr>
              <w:t>4–2</w:t>
            </w:r>
            <w:r w:rsidRPr="001416ED">
              <w:rPr>
                <w:lang w:val="uk-UA"/>
              </w:rPr>
              <w:t>˂0,05;р</w:t>
            </w:r>
            <w:r w:rsidRPr="001416ED">
              <w:rPr>
                <w:vertAlign w:val="subscript"/>
                <w:lang w:val="uk-UA"/>
              </w:rPr>
              <w:t>5–2</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6–2</w:t>
            </w:r>
            <w:r w:rsidRPr="001416ED">
              <w:rPr>
                <w:lang w:val="uk-UA"/>
              </w:rPr>
              <w:t>&gt;0,05;р</w:t>
            </w:r>
            <w:r w:rsidRPr="001416ED">
              <w:rPr>
                <w:vertAlign w:val="subscript"/>
                <w:lang w:val="uk-UA"/>
              </w:rPr>
              <w:t>4–3</w:t>
            </w:r>
            <w:r w:rsidRPr="001416ED">
              <w:rPr>
                <w:lang w:val="uk-UA"/>
              </w:rPr>
              <w:t>&gt;0,05;</w:t>
            </w:r>
          </w:p>
          <w:p w:rsidR="002F6FC3" w:rsidRPr="001416ED" w:rsidRDefault="002F6FC3" w:rsidP="00B86142">
            <w:pPr>
              <w:spacing w:line="360" w:lineRule="auto"/>
              <w:rPr>
                <w:lang w:val="uk-UA"/>
              </w:rPr>
            </w:pPr>
            <w:r w:rsidRPr="001416ED">
              <w:rPr>
                <w:lang w:val="uk-UA"/>
              </w:rPr>
              <w:t>р</w:t>
            </w:r>
            <w:r w:rsidRPr="001416ED">
              <w:rPr>
                <w:vertAlign w:val="subscript"/>
                <w:lang w:val="uk-UA"/>
              </w:rPr>
              <w:t>5–3</w:t>
            </w:r>
            <w:r w:rsidRPr="001416ED">
              <w:rPr>
                <w:lang w:val="uk-UA"/>
              </w:rPr>
              <w:t>˂0,01;р</w:t>
            </w:r>
            <w:r w:rsidRPr="001416ED">
              <w:rPr>
                <w:vertAlign w:val="subscript"/>
                <w:lang w:val="uk-UA"/>
              </w:rPr>
              <w:t>6–3</w:t>
            </w:r>
            <w:r w:rsidRPr="001416ED">
              <w:rPr>
                <w:lang w:val="uk-UA"/>
              </w:rPr>
              <w:t>˂0,01;</w:t>
            </w:r>
          </w:p>
          <w:p w:rsidR="002F6FC3" w:rsidRPr="001416ED" w:rsidRDefault="002F6FC3" w:rsidP="00B86142">
            <w:pPr>
              <w:spacing w:line="360" w:lineRule="auto"/>
              <w:rPr>
                <w:lang w:val="uk-UA"/>
              </w:rPr>
            </w:pPr>
            <w:r w:rsidRPr="001416ED">
              <w:rPr>
                <w:lang w:val="uk-UA"/>
              </w:rPr>
              <w:t>р</w:t>
            </w:r>
            <w:r w:rsidRPr="001416ED">
              <w:rPr>
                <w:vertAlign w:val="subscript"/>
                <w:lang w:val="uk-UA"/>
              </w:rPr>
              <w:t>5–4</w:t>
            </w:r>
            <w:r w:rsidRPr="001416ED">
              <w:rPr>
                <w:lang w:val="uk-UA"/>
              </w:rPr>
              <w:t>˃0,05;р</w:t>
            </w:r>
            <w:r w:rsidRPr="001416ED">
              <w:rPr>
                <w:vertAlign w:val="subscript"/>
                <w:lang w:val="uk-UA"/>
              </w:rPr>
              <w:t>6–4</w:t>
            </w:r>
            <w:r w:rsidRPr="001416ED">
              <w:rPr>
                <w:lang w:val="uk-UA"/>
              </w:rPr>
              <w:t>˂0,05</w:t>
            </w:r>
          </w:p>
          <w:p w:rsidR="002F6FC3" w:rsidRPr="001416ED" w:rsidRDefault="002F6FC3" w:rsidP="00B86142">
            <w:pPr>
              <w:spacing w:line="360" w:lineRule="auto"/>
              <w:rPr>
                <w:lang w:val="uk-UA"/>
              </w:rPr>
            </w:pPr>
            <w:r w:rsidRPr="001416ED">
              <w:rPr>
                <w:lang w:val="uk-UA"/>
              </w:rPr>
              <w:t>р</w:t>
            </w:r>
            <w:r w:rsidRPr="001416ED">
              <w:rPr>
                <w:vertAlign w:val="subscript"/>
                <w:lang w:val="uk-UA"/>
              </w:rPr>
              <w:t>6–5</w:t>
            </w:r>
            <w:r w:rsidRPr="001416ED">
              <w:rPr>
                <w:lang w:val="uk-UA"/>
              </w:rPr>
              <w:t>&gt;0,05</w:t>
            </w:r>
          </w:p>
        </w:tc>
        <w:tc>
          <w:tcPr>
            <w:tcW w:w="1099" w:type="dxa"/>
          </w:tcPr>
          <w:p w:rsidR="002F6FC3" w:rsidRPr="001416ED" w:rsidRDefault="002F6FC3" w:rsidP="00B86142">
            <w:pPr>
              <w:spacing w:line="360" w:lineRule="auto"/>
              <w:jc w:val="center"/>
              <w:rPr>
                <w:lang w:val="uk-UA"/>
              </w:rPr>
            </w:pPr>
          </w:p>
        </w:tc>
      </w:tr>
    </w:tbl>
    <w:p w:rsidR="00191D74" w:rsidRPr="001416ED" w:rsidRDefault="00191D74" w:rsidP="002329A8">
      <w:pPr>
        <w:spacing w:before="240" w:after="240" w:line="360" w:lineRule="auto"/>
        <w:ind w:firstLine="709"/>
        <w:jc w:val="both"/>
        <w:rPr>
          <w:rFonts w:eastAsiaTheme="minorHAnsi"/>
          <w:kern w:val="11"/>
          <w:lang w:val="uk-UA" w:eastAsia="en-US"/>
        </w:rPr>
      </w:pPr>
      <w:r w:rsidRPr="001416ED">
        <w:rPr>
          <w:rFonts w:eastAsiaTheme="minorHAnsi"/>
          <w:kern w:val="11"/>
          <w:lang w:val="uk-UA" w:eastAsia="en-US"/>
        </w:rPr>
        <w:t xml:space="preserve">Наступним кроком став аналіз </w:t>
      </w:r>
      <w:r w:rsidR="000F46EC" w:rsidRPr="001416ED">
        <w:rPr>
          <w:rFonts w:eastAsiaTheme="minorHAnsi"/>
          <w:kern w:val="11"/>
          <w:lang w:val="uk-UA" w:eastAsia="en-US"/>
        </w:rPr>
        <w:t>СГР</w:t>
      </w:r>
      <w:r w:rsidRPr="001416ED">
        <w:rPr>
          <w:rFonts w:eastAsiaTheme="minorHAnsi"/>
          <w:kern w:val="11"/>
          <w:lang w:val="uk-UA" w:eastAsia="en-US"/>
        </w:rPr>
        <w:t xml:space="preserve"> у чоловік</w:t>
      </w:r>
      <w:r w:rsidR="003827AB" w:rsidRPr="001416ED">
        <w:rPr>
          <w:rFonts w:eastAsiaTheme="minorHAnsi"/>
          <w:kern w:val="11"/>
          <w:lang w:val="uk-UA" w:eastAsia="en-US"/>
        </w:rPr>
        <w:t>і</w:t>
      </w:r>
      <w:r w:rsidRPr="001416ED">
        <w:rPr>
          <w:rFonts w:eastAsiaTheme="minorHAnsi"/>
          <w:kern w:val="11"/>
          <w:lang w:val="uk-UA" w:eastAsia="en-US"/>
        </w:rPr>
        <w:t>в групи ко</w:t>
      </w:r>
      <w:r w:rsidR="003E610F" w:rsidRPr="001416ED">
        <w:rPr>
          <w:rFonts w:eastAsiaTheme="minorHAnsi"/>
          <w:kern w:val="11"/>
          <w:lang w:val="uk-UA" w:eastAsia="en-US"/>
        </w:rPr>
        <w:t>н</w:t>
      </w:r>
      <w:r w:rsidRPr="001416ED">
        <w:rPr>
          <w:rFonts w:eastAsiaTheme="minorHAnsi"/>
          <w:kern w:val="11"/>
          <w:lang w:val="uk-UA" w:eastAsia="en-US"/>
        </w:rPr>
        <w:t>тролю</w:t>
      </w:r>
      <w:r w:rsidR="003E610F" w:rsidRPr="001416ED">
        <w:rPr>
          <w:rFonts w:eastAsiaTheme="minorHAnsi"/>
          <w:kern w:val="11"/>
          <w:lang w:val="uk-UA" w:eastAsia="en-US"/>
        </w:rPr>
        <w:t xml:space="preserve"> </w:t>
      </w:r>
      <w:r w:rsidRPr="001416ED">
        <w:rPr>
          <w:rFonts w:eastAsiaTheme="minorHAnsi"/>
          <w:kern w:val="11"/>
          <w:lang w:val="uk-UA" w:eastAsia="en-US"/>
        </w:rPr>
        <w:t xml:space="preserve">та </w:t>
      </w:r>
      <w:r w:rsidR="003827AB" w:rsidRPr="001416ED">
        <w:rPr>
          <w:rFonts w:eastAsiaTheme="minorHAnsi"/>
          <w:kern w:val="11"/>
          <w:lang w:val="uk-UA" w:eastAsia="en-US"/>
        </w:rPr>
        <w:t xml:space="preserve">з </w:t>
      </w:r>
      <w:r w:rsidRPr="001416ED">
        <w:rPr>
          <w:rFonts w:eastAsiaTheme="minorHAnsi"/>
          <w:kern w:val="11"/>
          <w:lang w:val="uk-UA" w:eastAsia="en-US"/>
        </w:rPr>
        <w:t>ГХ рі</w:t>
      </w:r>
      <w:r w:rsidR="006213AC" w:rsidRPr="001416ED">
        <w:rPr>
          <w:rFonts w:eastAsiaTheme="minorHAnsi"/>
          <w:kern w:val="11"/>
          <w:lang w:val="uk-UA" w:eastAsia="en-US"/>
        </w:rPr>
        <w:t>з</w:t>
      </w:r>
      <w:r w:rsidRPr="001416ED">
        <w:rPr>
          <w:rFonts w:eastAsiaTheme="minorHAnsi"/>
          <w:kern w:val="11"/>
          <w:lang w:val="uk-UA" w:eastAsia="en-US"/>
        </w:rPr>
        <w:t xml:space="preserve">ної </w:t>
      </w:r>
      <w:r w:rsidR="00046A18" w:rsidRPr="001416ED">
        <w:rPr>
          <w:rFonts w:eastAsiaTheme="minorHAnsi"/>
          <w:kern w:val="11"/>
          <w:lang w:val="uk-UA" w:eastAsia="en-US"/>
        </w:rPr>
        <w:t>стадії</w:t>
      </w:r>
      <w:r w:rsidR="006213AC" w:rsidRPr="001416ED">
        <w:rPr>
          <w:rFonts w:eastAsiaTheme="minorHAnsi"/>
          <w:kern w:val="11"/>
          <w:lang w:val="uk-UA" w:eastAsia="en-US"/>
        </w:rPr>
        <w:t xml:space="preserve"> (рис. 4.</w:t>
      </w:r>
      <w:r w:rsidR="003B0FB8" w:rsidRPr="001416ED">
        <w:rPr>
          <w:rFonts w:eastAsiaTheme="minorHAnsi"/>
          <w:kern w:val="11"/>
          <w:lang w:val="uk-UA" w:eastAsia="en-US"/>
        </w:rPr>
        <w:t>5</w:t>
      </w:r>
      <w:r w:rsidR="006213AC" w:rsidRPr="001416ED">
        <w:rPr>
          <w:rFonts w:eastAsiaTheme="minorHAnsi"/>
          <w:kern w:val="11"/>
          <w:lang w:val="uk-UA" w:eastAsia="en-US"/>
        </w:rPr>
        <w:t>).</w:t>
      </w:r>
    </w:p>
    <w:p w:rsidR="006213AC" w:rsidRPr="001416ED" w:rsidRDefault="006213AC" w:rsidP="002329A8">
      <w:pPr>
        <w:spacing w:line="360" w:lineRule="auto"/>
        <w:jc w:val="center"/>
        <w:rPr>
          <w:rFonts w:eastAsiaTheme="minorHAnsi"/>
          <w:b/>
          <w:kern w:val="11"/>
          <w:lang w:val="uk-UA" w:eastAsia="en-US"/>
        </w:rPr>
      </w:pPr>
      <w:r w:rsidRPr="001416ED">
        <w:rPr>
          <w:rFonts w:eastAsiaTheme="minorHAnsi"/>
          <w:b/>
          <w:noProof/>
          <w:kern w:val="11"/>
          <w:lang w:val="uk-UA" w:eastAsia="uk-UA"/>
        </w:rPr>
        <w:drawing>
          <wp:inline distT="0" distB="0" distL="0" distR="0" wp14:anchorId="7451980F" wp14:editId="794364C4">
            <wp:extent cx="5247564" cy="1815152"/>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213AC" w:rsidRPr="001416ED" w:rsidRDefault="006213AC" w:rsidP="00DF6C23">
      <w:pPr>
        <w:spacing w:line="360" w:lineRule="auto"/>
        <w:rPr>
          <w:rFonts w:eastAsiaTheme="minorHAnsi"/>
          <w:b/>
          <w:kern w:val="11"/>
          <w:lang w:val="uk-UA" w:eastAsia="en-US"/>
        </w:rPr>
      </w:pPr>
      <w:r w:rsidRPr="001416ED">
        <w:rPr>
          <w:rFonts w:eastAsiaTheme="minorHAnsi"/>
          <w:b/>
          <w:kern w:val="11"/>
          <w:lang w:val="uk-UA" w:eastAsia="en-US"/>
        </w:rPr>
        <w:t>Рис.</w:t>
      </w:r>
      <w:r w:rsidR="009349A3" w:rsidRPr="001416ED">
        <w:rPr>
          <w:rFonts w:eastAsiaTheme="minorHAnsi"/>
          <w:b/>
          <w:kern w:val="11"/>
          <w:lang w:val="uk-UA" w:eastAsia="en-US"/>
        </w:rPr>
        <w:t xml:space="preserve"> </w:t>
      </w:r>
      <w:r w:rsidRPr="001416ED">
        <w:rPr>
          <w:rFonts w:eastAsiaTheme="minorHAnsi"/>
          <w:b/>
          <w:kern w:val="11"/>
          <w:lang w:val="uk-UA" w:eastAsia="en-US"/>
        </w:rPr>
        <w:t>4.</w:t>
      </w:r>
      <w:r w:rsidR="003B0FB8" w:rsidRPr="001416ED">
        <w:rPr>
          <w:rFonts w:eastAsiaTheme="minorHAnsi"/>
          <w:b/>
          <w:kern w:val="11"/>
          <w:lang w:val="uk-UA" w:eastAsia="en-US"/>
        </w:rPr>
        <w:t>5</w:t>
      </w:r>
      <w:r w:rsidR="009349A3" w:rsidRPr="001416ED">
        <w:rPr>
          <w:rFonts w:eastAsiaTheme="minorHAnsi"/>
          <w:b/>
          <w:kern w:val="11"/>
          <w:lang w:val="uk-UA" w:eastAsia="en-US"/>
        </w:rPr>
        <w:t>.</w:t>
      </w:r>
      <w:r w:rsidRPr="001416ED">
        <w:rPr>
          <w:rFonts w:eastAsiaTheme="minorHAnsi"/>
          <w:b/>
          <w:kern w:val="11"/>
          <w:lang w:val="uk-UA" w:eastAsia="en-US"/>
        </w:rPr>
        <w:t xml:space="preserve"> Рівень </w:t>
      </w:r>
      <w:r w:rsidR="00C120BE" w:rsidRPr="001416ED">
        <w:rPr>
          <w:rFonts w:eastAsiaTheme="minorHAnsi"/>
          <w:b/>
          <w:kern w:val="11"/>
          <w:lang w:val="uk-UA" w:eastAsia="en-US"/>
        </w:rPr>
        <w:t>СГР</w:t>
      </w:r>
      <w:r w:rsidRPr="001416ED">
        <w:rPr>
          <w:rFonts w:eastAsiaTheme="minorHAnsi"/>
          <w:b/>
          <w:kern w:val="11"/>
          <w:lang w:val="uk-UA" w:eastAsia="en-US"/>
        </w:rPr>
        <w:t xml:space="preserve"> у чоловіків групи контролю, у пацієнтів ГХ ІІ ст</w:t>
      </w:r>
      <w:r w:rsidR="003E610F" w:rsidRPr="001416ED">
        <w:rPr>
          <w:rFonts w:eastAsiaTheme="minorHAnsi"/>
          <w:b/>
          <w:kern w:val="11"/>
          <w:lang w:val="uk-UA" w:eastAsia="en-US"/>
        </w:rPr>
        <w:t>.</w:t>
      </w:r>
      <w:r w:rsidRPr="001416ED">
        <w:rPr>
          <w:rFonts w:eastAsiaTheme="minorHAnsi"/>
          <w:b/>
          <w:kern w:val="11"/>
          <w:lang w:val="uk-UA" w:eastAsia="en-US"/>
        </w:rPr>
        <w:t xml:space="preserve"> та з </w:t>
      </w:r>
      <w:r w:rsidR="00D66AFA" w:rsidRPr="001416ED">
        <w:rPr>
          <w:rFonts w:eastAsiaTheme="minorHAnsi"/>
          <w:b/>
          <w:kern w:val="11"/>
          <w:lang w:val="uk-UA" w:eastAsia="en-US"/>
        </w:rPr>
        <w:t>ГХ ІІІ ст.</w:t>
      </w:r>
      <w:r w:rsidR="004A052C" w:rsidRPr="001416ED">
        <w:rPr>
          <w:rFonts w:eastAsiaTheme="minorHAnsi"/>
          <w:b/>
          <w:kern w:val="11"/>
          <w:lang w:eastAsia="en-US"/>
        </w:rPr>
        <w:t>,</w:t>
      </w:r>
      <w:r w:rsidRPr="001416ED">
        <w:rPr>
          <w:rFonts w:eastAsiaTheme="minorHAnsi"/>
          <w:b/>
          <w:kern w:val="11"/>
          <w:lang w:val="uk-UA" w:eastAsia="en-US"/>
        </w:rPr>
        <w:t xml:space="preserve"> ∑</w:t>
      </w:r>
    </w:p>
    <w:p w:rsidR="006213AC" w:rsidRPr="001416ED" w:rsidRDefault="006213AC" w:rsidP="00CF4A30">
      <w:pPr>
        <w:spacing w:line="360" w:lineRule="auto"/>
        <w:ind w:firstLine="709"/>
        <w:jc w:val="both"/>
        <w:rPr>
          <w:rFonts w:eastAsiaTheme="minorHAnsi"/>
          <w:lang w:val="uk-UA" w:eastAsia="en-US"/>
        </w:rPr>
      </w:pPr>
      <w:r w:rsidRPr="001416ED">
        <w:rPr>
          <w:rFonts w:eastAsiaTheme="minorHAnsi"/>
          <w:lang w:val="uk-UA" w:eastAsia="en-US"/>
        </w:rPr>
        <w:t xml:space="preserve">Примітка: різниця показників достовірна при порівнянні з: * </w:t>
      </w:r>
      <w:r w:rsidR="00BC0119" w:rsidRPr="001416ED">
        <w:rPr>
          <w:rFonts w:eastAsiaTheme="minorHAnsi"/>
          <w:lang w:val="uk-UA" w:eastAsia="en-US"/>
        </w:rPr>
        <w:t>–</w:t>
      </w:r>
      <w:r w:rsidR="00FA6061" w:rsidRPr="001416ED">
        <w:rPr>
          <w:rFonts w:eastAsiaTheme="minorHAnsi"/>
          <w:lang w:val="uk-UA" w:eastAsia="en-US"/>
        </w:rPr>
        <w:t xml:space="preserve"> групою контролю (р</w:t>
      </w:r>
      <w:r w:rsidR="00C120BE" w:rsidRPr="001416ED">
        <w:rPr>
          <w:rFonts w:eastAsiaTheme="minorHAnsi"/>
          <w:lang w:val="uk-UA" w:eastAsia="en-US"/>
        </w:rPr>
        <w:t>˂</w:t>
      </w:r>
      <w:r w:rsidRPr="001416ED">
        <w:rPr>
          <w:rFonts w:eastAsiaTheme="minorHAnsi"/>
          <w:lang w:val="uk-UA" w:eastAsia="en-US"/>
        </w:rPr>
        <w:t xml:space="preserve">0,0001), # </w:t>
      </w:r>
      <w:r w:rsidR="00BC0119" w:rsidRPr="001416ED">
        <w:rPr>
          <w:rFonts w:eastAsiaTheme="minorHAnsi"/>
          <w:lang w:val="uk-UA" w:eastAsia="en-US"/>
        </w:rPr>
        <w:t>–</w:t>
      </w:r>
      <w:r w:rsidRPr="001416ED">
        <w:rPr>
          <w:rFonts w:eastAsiaTheme="minorHAnsi"/>
          <w:lang w:val="uk-UA" w:eastAsia="en-US"/>
        </w:rPr>
        <w:t xml:space="preserve"> з пацієнтами, що мають ГХ ІІ ст.</w:t>
      </w:r>
      <w:r w:rsidR="00FA6061" w:rsidRPr="001416ED">
        <w:rPr>
          <w:rFonts w:eastAsiaTheme="minorHAnsi"/>
          <w:lang w:val="uk-UA" w:eastAsia="en-US"/>
        </w:rPr>
        <w:t xml:space="preserve"> (р</w:t>
      </w:r>
      <w:r w:rsidR="00C120BE" w:rsidRPr="001416ED">
        <w:rPr>
          <w:rFonts w:eastAsiaTheme="minorHAnsi"/>
          <w:lang w:val="uk-UA" w:eastAsia="en-US"/>
        </w:rPr>
        <w:t>˂</w:t>
      </w:r>
      <w:r w:rsidR="00FA6061" w:rsidRPr="001416ED">
        <w:rPr>
          <w:rFonts w:eastAsiaTheme="minorHAnsi"/>
          <w:lang w:val="uk-UA" w:eastAsia="en-US"/>
        </w:rPr>
        <w:t>0,0001)</w:t>
      </w:r>
    </w:p>
    <w:p w:rsidR="00191D74" w:rsidRPr="001416ED" w:rsidRDefault="002329A8" w:rsidP="002329A8">
      <w:pPr>
        <w:spacing w:before="240" w:line="360" w:lineRule="auto"/>
        <w:ind w:right="284" w:firstLine="709"/>
        <w:jc w:val="both"/>
        <w:rPr>
          <w:rFonts w:eastAsiaTheme="minorHAnsi"/>
          <w:b/>
          <w:kern w:val="11"/>
          <w:lang w:val="uk-UA" w:eastAsia="en-US"/>
        </w:rPr>
      </w:pPr>
      <w:r w:rsidRPr="001416ED">
        <w:rPr>
          <w:rFonts w:eastAsiaTheme="minorHAnsi"/>
          <w:kern w:val="11"/>
          <w:lang w:val="uk-UA" w:eastAsia="en-US"/>
        </w:rPr>
        <w:t xml:space="preserve">Встановлено, що у чоловіків з ГХ ІІ ст. СГР достовірно найнижчий в порівнянні з пацієнтами з </w:t>
      </w:r>
      <w:r w:rsidR="00D66AFA" w:rsidRPr="001416ED">
        <w:rPr>
          <w:rFonts w:eastAsiaTheme="minorHAnsi"/>
          <w:kern w:val="11"/>
          <w:lang w:val="uk-UA" w:eastAsia="en-US"/>
        </w:rPr>
        <w:t>ГХ ІІІ ст.</w:t>
      </w:r>
      <w:r w:rsidRPr="001416ED">
        <w:rPr>
          <w:rFonts w:eastAsiaTheme="minorHAnsi"/>
          <w:kern w:val="11"/>
          <w:lang w:val="uk-UA" w:eastAsia="en-US"/>
        </w:rPr>
        <w:t xml:space="preserve"> та особами групи ко</w:t>
      </w:r>
      <w:r w:rsidR="00472F94" w:rsidRPr="001416ED">
        <w:rPr>
          <w:rFonts w:eastAsiaTheme="minorHAnsi"/>
          <w:kern w:val="11"/>
          <w:lang w:val="uk-UA" w:eastAsia="en-US"/>
        </w:rPr>
        <w:t>н</w:t>
      </w:r>
      <w:r w:rsidRPr="001416ED">
        <w:rPr>
          <w:rFonts w:eastAsiaTheme="minorHAnsi"/>
          <w:kern w:val="11"/>
          <w:lang w:val="uk-UA" w:eastAsia="en-US"/>
        </w:rPr>
        <w:t>тролю</w:t>
      </w:r>
      <w:r w:rsidRPr="008F09C7">
        <w:rPr>
          <w:rFonts w:eastAsiaTheme="minorHAnsi"/>
          <w:kern w:val="11"/>
          <w:lang w:val="uk-UA" w:eastAsia="en-US"/>
        </w:rPr>
        <w:t>.</w:t>
      </w:r>
      <w:r w:rsidRPr="001416ED">
        <w:rPr>
          <w:rFonts w:eastAsiaTheme="minorHAnsi"/>
          <w:b/>
          <w:kern w:val="11"/>
          <w:lang w:val="uk-UA" w:eastAsia="en-US"/>
        </w:rPr>
        <w:t xml:space="preserve"> </w:t>
      </w:r>
      <w:r w:rsidR="00AC0422" w:rsidRPr="001416ED">
        <w:rPr>
          <w:rFonts w:eastAsiaTheme="minorHAnsi"/>
          <w:kern w:val="11"/>
          <w:lang w:val="uk-UA" w:eastAsia="en-US"/>
        </w:rPr>
        <w:t xml:space="preserve">При визначенні рівня СГР у осіб чоловічої статі при носійстві </w:t>
      </w:r>
      <w:r w:rsidR="00E6164F">
        <w:rPr>
          <w:rFonts w:eastAsiaTheme="minorHAnsi"/>
          <w:kern w:val="11"/>
          <w:lang w:val="uk-UA" w:eastAsia="en-US"/>
        </w:rPr>
        <w:t>поліморфних варіантів гена ЕТ–1</w:t>
      </w:r>
      <w:r w:rsidR="00AC0422" w:rsidRPr="001416ED">
        <w:rPr>
          <w:rFonts w:eastAsiaTheme="minorHAnsi"/>
          <w:kern w:val="11"/>
          <w:lang w:val="uk-UA" w:eastAsia="en-US"/>
        </w:rPr>
        <w:t xml:space="preserve"> були отримані наступні результати (табл. 4.</w:t>
      </w:r>
      <w:r w:rsidR="007F47B3" w:rsidRPr="001416ED">
        <w:rPr>
          <w:rFonts w:eastAsiaTheme="minorHAnsi"/>
          <w:kern w:val="11"/>
          <w:lang w:val="uk-UA" w:eastAsia="en-US"/>
        </w:rPr>
        <w:t>1</w:t>
      </w:r>
      <w:r w:rsidR="00EC6DB5" w:rsidRPr="001416ED">
        <w:rPr>
          <w:rFonts w:eastAsiaTheme="minorHAnsi"/>
          <w:kern w:val="11"/>
          <w:lang w:val="uk-UA" w:eastAsia="en-US"/>
        </w:rPr>
        <w:t>1</w:t>
      </w:r>
      <w:r w:rsidR="00AC0422" w:rsidRPr="001416ED">
        <w:rPr>
          <w:rFonts w:eastAsiaTheme="minorHAnsi"/>
          <w:kern w:val="11"/>
          <w:lang w:val="uk-UA" w:eastAsia="en-US"/>
        </w:rPr>
        <w:t>)</w:t>
      </w:r>
    </w:p>
    <w:p w:rsidR="00191D74" w:rsidRPr="001416ED" w:rsidRDefault="00AC0422" w:rsidP="00AC0422">
      <w:pPr>
        <w:spacing w:line="360" w:lineRule="auto"/>
        <w:jc w:val="right"/>
        <w:rPr>
          <w:rFonts w:eastAsiaTheme="minorHAnsi"/>
          <w:b/>
          <w:kern w:val="11"/>
          <w:lang w:val="uk-UA" w:eastAsia="en-US"/>
        </w:rPr>
      </w:pPr>
      <w:r w:rsidRPr="001416ED">
        <w:rPr>
          <w:rFonts w:eastAsiaTheme="minorHAnsi"/>
          <w:b/>
          <w:kern w:val="11"/>
          <w:lang w:val="uk-UA" w:eastAsia="en-US"/>
        </w:rPr>
        <w:lastRenderedPageBreak/>
        <w:t>Таблиця 4</w:t>
      </w:r>
      <w:r w:rsidR="0037267F" w:rsidRPr="001416ED">
        <w:rPr>
          <w:rFonts w:eastAsiaTheme="minorHAnsi"/>
          <w:b/>
          <w:kern w:val="11"/>
          <w:lang w:val="uk-UA" w:eastAsia="en-US"/>
        </w:rPr>
        <w:t>.</w:t>
      </w:r>
      <w:r w:rsidR="007F47B3" w:rsidRPr="001416ED">
        <w:rPr>
          <w:rFonts w:eastAsiaTheme="minorHAnsi"/>
          <w:b/>
          <w:kern w:val="11"/>
          <w:lang w:val="uk-UA" w:eastAsia="en-US"/>
        </w:rPr>
        <w:t>1</w:t>
      </w:r>
      <w:r w:rsidR="00EC6DB5" w:rsidRPr="001416ED">
        <w:rPr>
          <w:rFonts w:eastAsiaTheme="minorHAnsi"/>
          <w:b/>
          <w:kern w:val="11"/>
          <w:lang w:val="uk-UA" w:eastAsia="en-US"/>
        </w:rPr>
        <w:t>1</w:t>
      </w:r>
    </w:p>
    <w:p w:rsidR="00191D74" w:rsidRPr="001416ED" w:rsidRDefault="00191D74" w:rsidP="00AC0422">
      <w:pPr>
        <w:spacing w:line="360" w:lineRule="auto"/>
        <w:jc w:val="center"/>
        <w:rPr>
          <w:rFonts w:eastAsiaTheme="minorHAnsi"/>
          <w:b/>
          <w:kern w:val="11"/>
          <w:lang w:val="uk-UA" w:eastAsia="en-US"/>
        </w:rPr>
      </w:pPr>
      <w:r w:rsidRPr="001416ED">
        <w:rPr>
          <w:rFonts w:eastAsiaTheme="minorHAnsi"/>
          <w:b/>
          <w:kern w:val="11"/>
          <w:lang w:val="uk-UA" w:eastAsia="en-US"/>
        </w:rPr>
        <w:t xml:space="preserve">Рівень </w:t>
      </w:r>
      <w:r w:rsidR="00C120BE" w:rsidRPr="001416ED">
        <w:rPr>
          <w:rFonts w:eastAsiaTheme="minorHAnsi"/>
          <w:b/>
          <w:kern w:val="11"/>
          <w:lang w:val="uk-UA" w:eastAsia="en-US"/>
        </w:rPr>
        <w:t>СГР</w:t>
      </w:r>
      <w:r w:rsidRPr="001416ED">
        <w:rPr>
          <w:rFonts w:eastAsiaTheme="minorHAnsi"/>
          <w:b/>
          <w:kern w:val="11"/>
          <w:lang w:val="uk-UA" w:eastAsia="en-US"/>
        </w:rPr>
        <w:t xml:space="preserve"> у чоловіків</w:t>
      </w:r>
      <w:r w:rsidR="00AC0422" w:rsidRPr="001416ED">
        <w:rPr>
          <w:rFonts w:eastAsiaTheme="minorHAnsi"/>
          <w:b/>
          <w:kern w:val="11"/>
          <w:lang w:val="uk-UA" w:eastAsia="en-US"/>
        </w:rPr>
        <w:t xml:space="preserve"> групи контролю</w:t>
      </w:r>
      <w:r w:rsidRPr="001416ED">
        <w:rPr>
          <w:rFonts w:eastAsiaTheme="minorHAnsi"/>
          <w:b/>
          <w:kern w:val="11"/>
          <w:lang w:val="uk-UA" w:eastAsia="en-US"/>
        </w:rPr>
        <w:t>, хворих на ГХ ІІ ст</w:t>
      </w:r>
      <w:r w:rsidR="003E610F" w:rsidRPr="001416ED">
        <w:rPr>
          <w:rFonts w:eastAsiaTheme="minorHAnsi"/>
          <w:b/>
          <w:kern w:val="11"/>
          <w:lang w:val="uk-UA" w:eastAsia="en-US"/>
        </w:rPr>
        <w:t>.</w:t>
      </w:r>
      <w:r w:rsidRPr="001416ED">
        <w:rPr>
          <w:rFonts w:eastAsiaTheme="minorHAnsi"/>
          <w:b/>
          <w:kern w:val="11"/>
          <w:lang w:val="uk-UA" w:eastAsia="en-US"/>
        </w:rPr>
        <w:t xml:space="preserve"> та </w:t>
      </w:r>
      <w:r w:rsidR="00C34030" w:rsidRPr="001416ED">
        <w:rPr>
          <w:rFonts w:eastAsiaTheme="minorHAnsi"/>
          <w:b/>
          <w:kern w:val="11"/>
          <w:lang w:val="uk-UA" w:eastAsia="en-US"/>
        </w:rPr>
        <w:t xml:space="preserve">ГХ ІІІ ст. </w:t>
      </w:r>
      <w:r w:rsidR="00BC0119" w:rsidRPr="001416ED">
        <w:rPr>
          <w:rFonts w:eastAsiaTheme="minorHAnsi"/>
          <w:b/>
          <w:kern w:val="11"/>
          <w:lang w:val="uk-UA" w:eastAsia="en-US"/>
        </w:rPr>
        <w:t>–</w:t>
      </w:r>
      <w:r w:rsidR="00AC0422" w:rsidRPr="001416ED">
        <w:rPr>
          <w:rFonts w:eastAsiaTheme="minorHAnsi"/>
          <w:b/>
          <w:kern w:val="11"/>
          <w:lang w:val="uk-UA" w:eastAsia="en-US"/>
        </w:rPr>
        <w:t xml:space="preserve"> </w:t>
      </w:r>
      <w:r w:rsidRPr="001416ED">
        <w:rPr>
          <w:rFonts w:eastAsiaTheme="minorHAnsi"/>
          <w:b/>
          <w:kern w:val="11"/>
          <w:lang w:val="uk-UA" w:eastAsia="en-US"/>
        </w:rPr>
        <w:t xml:space="preserve">носіїв </w:t>
      </w:r>
      <w:r w:rsidR="00E6164F">
        <w:rPr>
          <w:rFonts w:eastAsiaTheme="minorHAnsi"/>
          <w:b/>
          <w:kern w:val="11"/>
          <w:lang w:val="uk-UA" w:eastAsia="en-US"/>
        </w:rPr>
        <w:t>поліморфних варіантів гена ЕТ–1</w:t>
      </w:r>
      <w:r w:rsidRPr="001416ED">
        <w:rPr>
          <w:rFonts w:eastAsiaTheme="minorHAnsi"/>
          <w:b/>
          <w:kern w:val="11"/>
          <w:lang w:val="uk-UA" w:eastAsia="en-US"/>
        </w:rPr>
        <w:t>, М</w:t>
      </w:r>
      <w:r w:rsidR="007A07A9" w:rsidRPr="001416ED">
        <w:rPr>
          <w:rFonts w:eastAsiaTheme="minorHAnsi"/>
          <w:b/>
          <w:kern w:val="11"/>
          <w:lang w:val="uk-UA" w:eastAsia="en-US"/>
        </w:rPr>
        <w:t xml:space="preserve"> ± </w:t>
      </w:r>
      <w:r w:rsidRPr="001416ED">
        <w:rPr>
          <w:rFonts w:eastAsiaTheme="minorHAnsi"/>
          <w:b/>
          <w:kern w:val="11"/>
          <w:lang w:val="en-US" w:eastAsia="en-US"/>
        </w:rPr>
        <w:t>m</w:t>
      </w:r>
    </w:p>
    <w:tbl>
      <w:tblPr>
        <w:tblStyle w:val="af5"/>
        <w:tblW w:w="10207" w:type="dxa"/>
        <w:tblInd w:w="-34" w:type="dxa"/>
        <w:tblLayout w:type="fixed"/>
        <w:tblLook w:val="04A0" w:firstRow="1" w:lastRow="0" w:firstColumn="1" w:lastColumn="0" w:noHBand="0" w:noVBand="1"/>
      </w:tblPr>
      <w:tblGrid>
        <w:gridCol w:w="3828"/>
        <w:gridCol w:w="2693"/>
        <w:gridCol w:w="2410"/>
        <w:gridCol w:w="1276"/>
      </w:tblGrid>
      <w:tr w:rsidR="00191D74" w:rsidRPr="001416ED" w:rsidTr="00C120BE">
        <w:tc>
          <w:tcPr>
            <w:tcW w:w="3828" w:type="dxa"/>
          </w:tcPr>
          <w:p w:rsidR="00191D74" w:rsidRPr="001416ED" w:rsidRDefault="00191D74" w:rsidP="00AC0422">
            <w:pPr>
              <w:spacing w:line="360" w:lineRule="auto"/>
              <w:jc w:val="center"/>
              <w:rPr>
                <w:rFonts w:eastAsiaTheme="minorHAnsi"/>
                <w:b/>
                <w:kern w:val="11"/>
                <w:lang w:val="uk-UA" w:eastAsia="en-US"/>
              </w:rPr>
            </w:pPr>
            <w:r w:rsidRPr="001416ED">
              <w:rPr>
                <w:rFonts w:eastAsiaTheme="minorHAnsi"/>
                <w:b/>
                <w:kern w:val="11"/>
                <w:lang w:val="uk-UA" w:eastAsia="en-US"/>
              </w:rPr>
              <w:t>Група</w:t>
            </w:r>
          </w:p>
        </w:tc>
        <w:tc>
          <w:tcPr>
            <w:tcW w:w="2693" w:type="dxa"/>
          </w:tcPr>
          <w:p w:rsidR="00191D74" w:rsidRPr="001416ED" w:rsidRDefault="00191D74" w:rsidP="00AC0422">
            <w:pPr>
              <w:spacing w:line="360" w:lineRule="auto"/>
              <w:ind w:right="-18"/>
              <w:jc w:val="center"/>
              <w:rPr>
                <w:rFonts w:eastAsiaTheme="minorHAnsi"/>
                <w:b/>
                <w:kern w:val="11"/>
                <w:lang w:val="uk-UA" w:eastAsia="en-US"/>
              </w:rPr>
            </w:pPr>
            <w:r w:rsidRPr="001416ED">
              <w:rPr>
                <w:rFonts w:eastAsiaTheme="minorHAnsi"/>
                <w:b/>
                <w:kern w:val="11"/>
                <w:lang w:val="uk-UA" w:eastAsia="en-US"/>
              </w:rPr>
              <w:t xml:space="preserve"> Носії генотипу </w:t>
            </w:r>
            <w:r w:rsidRPr="001416ED">
              <w:rPr>
                <w:rFonts w:eastAsiaTheme="minorHAnsi"/>
                <w:b/>
                <w:kern w:val="11"/>
                <w:lang w:val="en-US" w:eastAsia="en-US"/>
              </w:rPr>
              <w:t>Lys</w:t>
            </w:r>
            <w:r w:rsidRPr="001416ED">
              <w:rPr>
                <w:rFonts w:eastAsiaTheme="minorHAnsi"/>
                <w:b/>
                <w:kern w:val="11"/>
                <w:lang w:val="uk-UA" w:eastAsia="en-US"/>
              </w:rPr>
              <w:t>/</w:t>
            </w:r>
            <w:r w:rsidRPr="001416ED">
              <w:rPr>
                <w:rFonts w:eastAsiaTheme="minorHAnsi"/>
                <w:b/>
                <w:kern w:val="11"/>
                <w:lang w:val="en-US" w:eastAsia="en-US"/>
              </w:rPr>
              <w:t>Lys</w:t>
            </w:r>
          </w:p>
        </w:tc>
        <w:tc>
          <w:tcPr>
            <w:tcW w:w="2410" w:type="dxa"/>
          </w:tcPr>
          <w:p w:rsidR="00191D74" w:rsidRPr="001416ED" w:rsidRDefault="00191D74" w:rsidP="00AC0422">
            <w:pPr>
              <w:spacing w:line="360" w:lineRule="auto"/>
              <w:ind w:right="-18"/>
              <w:jc w:val="center"/>
              <w:rPr>
                <w:rFonts w:eastAsiaTheme="minorHAnsi"/>
                <w:b/>
                <w:kern w:val="11"/>
                <w:lang w:val="en-US" w:eastAsia="en-US"/>
              </w:rPr>
            </w:pPr>
            <w:r w:rsidRPr="001416ED">
              <w:rPr>
                <w:rFonts w:eastAsiaTheme="minorHAnsi"/>
                <w:b/>
                <w:kern w:val="11"/>
                <w:lang w:val="uk-UA" w:eastAsia="en-US"/>
              </w:rPr>
              <w:t xml:space="preserve">Носії алелі </w:t>
            </w:r>
            <w:r w:rsidRPr="001416ED">
              <w:rPr>
                <w:rFonts w:eastAsiaTheme="minorHAnsi"/>
                <w:b/>
                <w:kern w:val="11"/>
                <w:lang w:val="en-US" w:eastAsia="en-US"/>
              </w:rPr>
              <w:t>Asn</w:t>
            </w:r>
          </w:p>
        </w:tc>
        <w:tc>
          <w:tcPr>
            <w:tcW w:w="1276" w:type="dxa"/>
          </w:tcPr>
          <w:p w:rsidR="00191D74" w:rsidRPr="001416ED" w:rsidRDefault="00191D74" w:rsidP="00AC0422">
            <w:pPr>
              <w:spacing w:line="360" w:lineRule="auto"/>
              <w:ind w:right="-18"/>
              <w:jc w:val="center"/>
              <w:rPr>
                <w:rFonts w:eastAsiaTheme="minorHAnsi"/>
                <w:b/>
                <w:kern w:val="11"/>
                <w:lang w:val="uk-UA" w:eastAsia="en-US"/>
              </w:rPr>
            </w:pPr>
            <w:r w:rsidRPr="001416ED">
              <w:rPr>
                <w:rFonts w:eastAsiaTheme="minorHAnsi"/>
                <w:b/>
                <w:kern w:val="11"/>
                <w:lang w:val="uk-UA" w:eastAsia="en-US"/>
              </w:rPr>
              <w:t>р</w:t>
            </w:r>
          </w:p>
        </w:tc>
      </w:tr>
      <w:tr w:rsidR="00191D74" w:rsidRPr="001416ED" w:rsidTr="00C120BE">
        <w:tc>
          <w:tcPr>
            <w:tcW w:w="3828" w:type="dxa"/>
          </w:tcPr>
          <w:p w:rsidR="00191D74" w:rsidRPr="001416ED" w:rsidRDefault="00191D74" w:rsidP="0070227C">
            <w:pPr>
              <w:spacing w:line="360" w:lineRule="auto"/>
              <w:ind w:left="37" w:hanging="37"/>
              <w:rPr>
                <w:rFonts w:eastAsiaTheme="minorHAnsi"/>
                <w:kern w:val="11"/>
                <w:lang w:val="uk-UA" w:eastAsia="en-US"/>
              </w:rPr>
            </w:pPr>
            <w:r w:rsidRPr="001416ED">
              <w:rPr>
                <w:rFonts w:eastAsiaTheme="minorHAnsi"/>
                <w:kern w:val="11"/>
                <w:lang w:val="uk-UA" w:eastAsia="en-US"/>
              </w:rPr>
              <w:t>1.</w:t>
            </w:r>
            <w:r w:rsidR="0070227C" w:rsidRPr="001416ED">
              <w:rPr>
                <w:rFonts w:eastAsiaTheme="minorHAnsi"/>
                <w:kern w:val="11"/>
                <w:lang w:val="uk-UA" w:eastAsia="en-US"/>
              </w:rPr>
              <w:t xml:space="preserve"> Група контролю</w:t>
            </w:r>
            <w:r w:rsidRPr="001416ED">
              <w:rPr>
                <w:rFonts w:eastAsiaTheme="minorHAnsi"/>
                <w:kern w:val="11"/>
                <w:lang w:val="uk-UA" w:eastAsia="en-US"/>
              </w:rPr>
              <w:t xml:space="preserve"> (</w:t>
            </w:r>
            <w:r w:rsidRPr="001416ED">
              <w:rPr>
                <w:rFonts w:eastAsiaTheme="minorHAnsi"/>
                <w:kern w:val="11"/>
                <w:lang w:val="en-US" w:eastAsia="en-US"/>
              </w:rPr>
              <w:t>n</w:t>
            </w:r>
            <w:r w:rsidRPr="001416ED">
              <w:rPr>
                <w:rFonts w:eastAsiaTheme="minorHAnsi"/>
                <w:kern w:val="11"/>
                <w:lang w:val="uk-UA" w:eastAsia="en-US"/>
              </w:rPr>
              <w:t>=79</w:t>
            </w:r>
            <w:r w:rsidRPr="001416ED">
              <w:rPr>
                <w:rFonts w:eastAsiaTheme="minorHAnsi"/>
                <w:kern w:val="11"/>
                <w:lang w:val="en-US" w:eastAsia="en-US"/>
              </w:rPr>
              <w:t>)</w:t>
            </w:r>
          </w:p>
        </w:tc>
        <w:tc>
          <w:tcPr>
            <w:tcW w:w="2693"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16</w:t>
            </w:r>
            <w:r w:rsidRPr="001416ED">
              <w:rPr>
                <w:rFonts w:eastAsiaTheme="minorHAnsi"/>
                <w:kern w:val="11"/>
                <w:lang w:val="en-US" w:eastAsia="en-US"/>
              </w:rPr>
              <w:t>3</w:t>
            </w:r>
            <w:r w:rsidRPr="001416ED">
              <w:rPr>
                <w:rFonts w:eastAsiaTheme="minorHAnsi"/>
                <w:kern w:val="11"/>
                <w:lang w:val="uk-UA" w:eastAsia="en-US"/>
              </w:rPr>
              <w:t>,</w:t>
            </w:r>
            <w:r w:rsidRPr="001416ED">
              <w:rPr>
                <w:rFonts w:eastAsiaTheme="minorHAnsi"/>
                <w:kern w:val="11"/>
                <w:lang w:val="en-US" w:eastAsia="en-US"/>
              </w:rPr>
              <w:t>30</w:t>
            </w:r>
            <w:r w:rsidR="007A07A9" w:rsidRPr="001416ED">
              <w:rPr>
                <w:rFonts w:eastAsiaTheme="minorHAnsi"/>
                <w:kern w:val="11"/>
                <w:lang w:val="uk-UA" w:eastAsia="en-US"/>
              </w:rPr>
              <w:t xml:space="preserve"> ± </w:t>
            </w:r>
            <w:r w:rsidRPr="001416ED">
              <w:rPr>
                <w:rFonts w:eastAsiaTheme="minorHAnsi"/>
                <w:kern w:val="11"/>
                <w:lang w:val="en-US" w:eastAsia="en-US"/>
              </w:rPr>
              <w:t>4</w:t>
            </w:r>
            <w:r w:rsidRPr="001416ED">
              <w:rPr>
                <w:rFonts w:eastAsiaTheme="minorHAnsi"/>
                <w:kern w:val="11"/>
                <w:lang w:val="uk-UA" w:eastAsia="en-US"/>
              </w:rPr>
              <w:t>,</w:t>
            </w:r>
            <w:r w:rsidRPr="001416ED">
              <w:rPr>
                <w:rFonts w:eastAsiaTheme="minorHAnsi"/>
                <w:kern w:val="11"/>
                <w:lang w:val="en-US" w:eastAsia="en-US"/>
              </w:rPr>
              <w:t>28</w:t>
            </w:r>
          </w:p>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val="uk-UA" w:eastAsia="en-US"/>
              </w:rPr>
              <w:t>52)</w:t>
            </w:r>
          </w:p>
        </w:tc>
        <w:tc>
          <w:tcPr>
            <w:tcW w:w="2410"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166,59</w:t>
            </w:r>
            <w:r w:rsidR="007A07A9" w:rsidRPr="001416ED">
              <w:rPr>
                <w:rFonts w:eastAsiaTheme="minorHAnsi"/>
                <w:kern w:val="11"/>
                <w:lang w:val="uk-UA" w:eastAsia="en-US"/>
              </w:rPr>
              <w:t xml:space="preserve"> ± </w:t>
            </w:r>
            <w:r w:rsidRPr="001416ED">
              <w:rPr>
                <w:rFonts w:eastAsiaTheme="minorHAnsi"/>
                <w:kern w:val="11"/>
                <w:lang w:val="uk-UA" w:eastAsia="en-US"/>
              </w:rPr>
              <w:t>8,63</w:t>
            </w:r>
          </w:p>
          <w:p w:rsidR="00F44C50" w:rsidRPr="001416ED" w:rsidRDefault="00F44C50" w:rsidP="00AC0422">
            <w:pPr>
              <w:spacing w:line="360" w:lineRule="auto"/>
              <w:jc w:val="center"/>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=27</w:t>
            </w:r>
            <w:r w:rsidRPr="001416ED">
              <w:rPr>
                <w:rFonts w:eastAsiaTheme="minorHAnsi"/>
                <w:kern w:val="11"/>
                <w:lang w:val="en-US" w:eastAsia="en-US"/>
              </w:rPr>
              <w:t>)</w:t>
            </w:r>
          </w:p>
        </w:tc>
        <w:tc>
          <w:tcPr>
            <w:tcW w:w="1276"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р&gt;0,05</w:t>
            </w:r>
          </w:p>
          <w:p w:rsidR="00191D74" w:rsidRPr="001416ED" w:rsidRDefault="00191D74" w:rsidP="00AC0422">
            <w:pPr>
              <w:spacing w:line="360" w:lineRule="auto"/>
              <w:jc w:val="center"/>
              <w:rPr>
                <w:rFonts w:eastAsiaTheme="minorHAnsi"/>
                <w:kern w:val="11"/>
                <w:lang w:val="uk-UA" w:eastAsia="en-US"/>
              </w:rPr>
            </w:pPr>
          </w:p>
        </w:tc>
      </w:tr>
      <w:tr w:rsidR="00191D74" w:rsidRPr="001416ED" w:rsidTr="00C120BE">
        <w:tc>
          <w:tcPr>
            <w:tcW w:w="3828" w:type="dxa"/>
          </w:tcPr>
          <w:p w:rsidR="00191D74" w:rsidRPr="001416ED" w:rsidRDefault="00C050D2" w:rsidP="00C050D2">
            <w:pPr>
              <w:spacing w:line="360" w:lineRule="auto"/>
              <w:rPr>
                <w:rFonts w:eastAsiaTheme="minorHAnsi"/>
                <w:kern w:val="11"/>
                <w:lang w:val="uk-UA" w:eastAsia="en-US"/>
              </w:rPr>
            </w:pPr>
            <w:r w:rsidRPr="001416ED">
              <w:rPr>
                <w:rFonts w:eastAsiaTheme="minorHAnsi"/>
                <w:kern w:val="11"/>
                <w:lang w:val="uk-UA" w:eastAsia="en-US"/>
              </w:rPr>
              <w:t xml:space="preserve">2. </w:t>
            </w:r>
            <w:r w:rsidR="00191D74" w:rsidRPr="001416ED">
              <w:rPr>
                <w:rFonts w:eastAsiaTheme="minorHAnsi"/>
                <w:kern w:val="11"/>
                <w:lang w:val="uk-UA" w:eastAsia="en-US"/>
              </w:rPr>
              <w:t>Пацієнти з ГХ ІІ ст</w:t>
            </w:r>
            <w:r w:rsidR="0070227C" w:rsidRPr="001416ED">
              <w:rPr>
                <w:rFonts w:eastAsiaTheme="minorHAnsi"/>
                <w:kern w:val="11"/>
                <w:lang w:val="uk-UA" w:eastAsia="en-US"/>
              </w:rPr>
              <w:t>.</w:t>
            </w:r>
            <w:r w:rsidR="00191D74" w:rsidRPr="001416ED">
              <w:rPr>
                <w:rFonts w:eastAsiaTheme="minorHAnsi"/>
                <w:kern w:val="11"/>
                <w:lang w:val="uk-UA" w:eastAsia="en-US"/>
              </w:rPr>
              <w:t xml:space="preserve"> (</w:t>
            </w:r>
            <w:r w:rsidR="00191D74" w:rsidRPr="001416ED">
              <w:rPr>
                <w:rFonts w:eastAsiaTheme="minorHAnsi"/>
                <w:kern w:val="11"/>
                <w:lang w:val="en-US" w:eastAsia="en-US"/>
              </w:rPr>
              <w:t>n</w:t>
            </w:r>
            <w:r w:rsidR="00191D74" w:rsidRPr="001416ED">
              <w:rPr>
                <w:rFonts w:eastAsiaTheme="minorHAnsi"/>
                <w:kern w:val="11"/>
                <w:lang w:val="uk-UA" w:eastAsia="en-US"/>
              </w:rPr>
              <w:t>=62)</w:t>
            </w:r>
          </w:p>
        </w:tc>
        <w:tc>
          <w:tcPr>
            <w:tcW w:w="2693"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129,40</w:t>
            </w:r>
            <w:r w:rsidR="007A07A9" w:rsidRPr="001416ED">
              <w:rPr>
                <w:rFonts w:eastAsiaTheme="minorHAnsi"/>
                <w:kern w:val="11"/>
                <w:lang w:val="uk-UA" w:eastAsia="en-US"/>
              </w:rPr>
              <w:t xml:space="preserve"> ± </w:t>
            </w:r>
            <w:r w:rsidRPr="001416ED">
              <w:rPr>
                <w:rFonts w:eastAsiaTheme="minorHAnsi"/>
                <w:kern w:val="11"/>
                <w:lang w:val="uk-UA" w:eastAsia="en-US"/>
              </w:rPr>
              <w:t>8,15</w:t>
            </w:r>
          </w:p>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35)</w:t>
            </w:r>
          </w:p>
        </w:tc>
        <w:tc>
          <w:tcPr>
            <w:tcW w:w="2410"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139,52</w:t>
            </w:r>
            <w:r w:rsidR="007A07A9" w:rsidRPr="001416ED">
              <w:rPr>
                <w:rFonts w:eastAsiaTheme="minorHAnsi"/>
                <w:kern w:val="11"/>
                <w:lang w:val="uk-UA" w:eastAsia="en-US"/>
              </w:rPr>
              <w:t xml:space="preserve"> ± </w:t>
            </w:r>
            <w:r w:rsidRPr="001416ED">
              <w:rPr>
                <w:rFonts w:eastAsiaTheme="minorHAnsi"/>
                <w:kern w:val="11"/>
                <w:lang w:val="uk-UA" w:eastAsia="en-US"/>
              </w:rPr>
              <w:t>8,06</w:t>
            </w:r>
          </w:p>
          <w:p w:rsidR="00F44C50" w:rsidRPr="001416ED" w:rsidRDefault="00F44C50" w:rsidP="00AC0422">
            <w:pPr>
              <w:spacing w:line="360" w:lineRule="auto"/>
              <w:jc w:val="center"/>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=27</w:t>
            </w:r>
            <w:r w:rsidRPr="001416ED">
              <w:rPr>
                <w:rFonts w:eastAsiaTheme="minorHAnsi"/>
                <w:kern w:val="11"/>
                <w:lang w:val="en-US" w:eastAsia="en-US"/>
              </w:rPr>
              <w:t>)</w:t>
            </w:r>
          </w:p>
        </w:tc>
        <w:tc>
          <w:tcPr>
            <w:tcW w:w="1276" w:type="dxa"/>
          </w:tcPr>
          <w:p w:rsidR="00191D74" w:rsidRPr="001416ED" w:rsidRDefault="00191D74" w:rsidP="00AC0422">
            <w:pPr>
              <w:spacing w:line="360" w:lineRule="auto"/>
              <w:jc w:val="center"/>
              <w:rPr>
                <w:rFonts w:eastAsiaTheme="minorHAnsi"/>
                <w:kern w:val="11"/>
                <w:lang w:val="uk-UA" w:eastAsia="en-US"/>
              </w:rPr>
            </w:pPr>
            <w:r w:rsidRPr="001416ED">
              <w:rPr>
                <w:rFonts w:eastAsiaTheme="minorHAnsi"/>
                <w:kern w:val="11"/>
                <w:lang w:val="uk-UA" w:eastAsia="en-US"/>
              </w:rPr>
              <w:t>р&gt;0,05</w:t>
            </w:r>
          </w:p>
          <w:p w:rsidR="00191D74" w:rsidRPr="001416ED" w:rsidRDefault="00191D74" w:rsidP="00AC0422">
            <w:pPr>
              <w:spacing w:line="360" w:lineRule="auto"/>
              <w:jc w:val="center"/>
              <w:rPr>
                <w:rFonts w:eastAsiaTheme="minorHAnsi"/>
                <w:kern w:val="11"/>
                <w:lang w:val="uk-UA" w:eastAsia="en-US"/>
              </w:rPr>
            </w:pPr>
          </w:p>
        </w:tc>
      </w:tr>
      <w:tr w:rsidR="00CF4A30" w:rsidRPr="001416ED" w:rsidTr="00C120BE">
        <w:tc>
          <w:tcPr>
            <w:tcW w:w="3828" w:type="dxa"/>
          </w:tcPr>
          <w:p w:rsidR="00CF4A30" w:rsidRPr="001416ED" w:rsidRDefault="00CF4A30" w:rsidP="007A3C1A">
            <w:pPr>
              <w:spacing w:line="360" w:lineRule="auto"/>
              <w:rPr>
                <w:rFonts w:eastAsiaTheme="minorHAnsi"/>
                <w:kern w:val="11"/>
                <w:lang w:val="uk-UA" w:eastAsia="en-US"/>
              </w:rPr>
            </w:pPr>
            <w:r w:rsidRPr="001416ED">
              <w:rPr>
                <w:rFonts w:eastAsiaTheme="minorHAnsi"/>
                <w:kern w:val="11"/>
                <w:lang w:val="uk-UA" w:eastAsia="en-US"/>
              </w:rPr>
              <w:t>3.</w:t>
            </w:r>
            <w:r w:rsidR="00C050D2" w:rsidRPr="001416ED">
              <w:rPr>
                <w:rFonts w:eastAsiaTheme="minorHAnsi"/>
                <w:kern w:val="11"/>
                <w:lang w:val="uk-UA" w:eastAsia="en-US"/>
              </w:rPr>
              <w:t xml:space="preserve"> </w:t>
            </w:r>
            <w:r w:rsidR="00FB51E5" w:rsidRPr="001416ED">
              <w:rPr>
                <w:rFonts w:eastAsiaTheme="minorHAnsi"/>
                <w:kern w:val="11"/>
                <w:lang w:val="uk-UA" w:eastAsia="en-US"/>
              </w:rPr>
              <w:t>Пацієнти з ГХ ІІІ ст.</w:t>
            </w:r>
            <w:r w:rsidR="00C002D9" w:rsidRPr="001416ED">
              <w:rPr>
                <w:rFonts w:eastAsiaTheme="minorHAnsi"/>
                <w:kern w:val="11"/>
                <w:lang w:val="uk-UA" w:eastAsia="en-US"/>
              </w:rPr>
              <w:t xml:space="preserve"> </w:t>
            </w: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val="uk-UA" w:eastAsia="en-US"/>
              </w:rPr>
              <w:t>=43)</w:t>
            </w:r>
          </w:p>
        </w:tc>
        <w:tc>
          <w:tcPr>
            <w:tcW w:w="2693" w:type="dxa"/>
          </w:tcPr>
          <w:p w:rsidR="00CF4A30" w:rsidRPr="001416ED" w:rsidRDefault="00CF4A30" w:rsidP="007A3C1A">
            <w:pPr>
              <w:spacing w:line="360" w:lineRule="auto"/>
              <w:jc w:val="center"/>
              <w:rPr>
                <w:rFonts w:eastAsiaTheme="minorHAnsi"/>
                <w:kern w:val="11"/>
                <w:lang w:val="uk-UA" w:eastAsia="en-US"/>
              </w:rPr>
            </w:pPr>
            <w:r w:rsidRPr="001416ED">
              <w:rPr>
                <w:rFonts w:eastAsiaTheme="minorHAnsi"/>
                <w:kern w:val="11"/>
                <w:lang w:val="uk-UA" w:eastAsia="en-US"/>
              </w:rPr>
              <w:t>163,03</w:t>
            </w:r>
            <w:r w:rsidR="007A07A9" w:rsidRPr="001416ED">
              <w:rPr>
                <w:rFonts w:eastAsiaTheme="minorHAnsi"/>
                <w:kern w:val="11"/>
                <w:lang w:val="uk-UA" w:eastAsia="en-US"/>
              </w:rPr>
              <w:t xml:space="preserve"> ± </w:t>
            </w:r>
            <w:r w:rsidRPr="001416ED">
              <w:rPr>
                <w:rFonts w:eastAsiaTheme="minorHAnsi"/>
                <w:kern w:val="11"/>
                <w:lang w:val="uk-UA" w:eastAsia="en-US"/>
              </w:rPr>
              <w:t>9,42</w:t>
            </w:r>
          </w:p>
          <w:p w:rsidR="00CF4A30" w:rsidRPr="001416ED" w:rsidRDefault="00CF4A30" w:rsidP="007A3C1A">
            <w:pPr>
              <w:spacing w:line="360" w:lineRule="auto"/>
              <w:jc w:val="center"/>
              <w:rPr>
                <w:rFonts w:eastAsiaTheme="minorHAnsi"/>
                <w:kern w:val="11"/>
                <w:lang w:val="uk-UA" w:eastAsia="en-US"/>
              </w:rPr>
            </w:pP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28)</w:t>
            </w:r>
          </w:p>
        </w:tc>
        <w:tc>
          <w:tcPr>
            <w:tcW w:w="2410" w:type="dxa"/>
          </w:tcPr>
          <w:p w:rsidR="00CF4A30" w:rsidRPr="001416ED" w:rsidRDefault="00CF4A30" w:rsidP="007A3C1A">
            <w:pPr>
              <w:spacing w:line="360" w:lineRule="auto"/>
              <w:jc w:val="center"/>
              <w:rPr>
                <w:rFonts w:eastAsiaTheme="minorHAnsi"/>
                <w:kern w:val="11"/>
                <w:lang w:val="uk-UA" w:eastAsia="en-US"/>
              </w:rPr>
            </w:pPr>
            <w:r w:rsidRPr="001416ED">
              <w:rPr>
                <w:rFonts w:eastAsiaTheme="minorHAnsi"/>
                <w:kern w:val="11"/>
                <w:lang w:val="uk-UA" w:eastAsia="en-US"/>
              </w:rPr>
              <w:t>180,53</w:t>
            </w:r>
            <w:r w:rsidR="007A07A9" w:rsidRPr="001416ED">
              <w:rPr>
                <w:rFonts w:eastAsiaTheme="minorHAnsi"/>
                <w:kern w:val="11"/>
                <w:lang w:val="uk-UA" w:eastAsia="en-US"/>
              </w:rPr>
              <w:t xml:space="preserve"> ± </w:t>
            </w:r>
            <w:r w:rsidRPr="001416ED">
              <w:rPr>
                <w:rFonts w:eastAsiaTheme="minorHAnsi"/>
                <w:kern w:val="11"/>
                <w:lang w:val="uk-UA" w:eastAsia="en-US"/>
              </w:rPr>
              <w:t>10,15</w:t>
            </w:r>
          </w:p>
          <w:p w:rsidR="00F44C50" w:rsidRPr="001416ED" w:rsidRDefault="00F44C50" w:rsidP="008C017F">
            <w:pPr>
              <w:spacing w:line="360" w:lineRule="auto"/>
              <w:jc w:val="center"/>
              <w:rPr>
                <w:rFonts w:eastAsiaTheme="minorHAnsi"/>
                <w:kern w:val="11"/>
                <w:lang w:val="uk-UA" w:eastAsia="en-US"/>
              </w:rPr>
            </w:pPr>
            <w:r w:rsidRPr="001416ED">
              <w:rPr>
                <w:rFonts w:eastAsiaTheme="minorHAnsi"/>
                <w:kern w:val="11"/>
                <w:lang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w:t>
            </w:r>
            <w:r w:rsidR="008C017F" w:rsidRPr="001416ED">
              <w:rPr>
                <w:rFonts w:eastAsiaTheme="minorHAnsi"/>
                <w:kern w:val="11"/>
                <w:lang w:eastAsia="en-US"/>
              </w:rPr>
              <w:t>5</w:t>
            </w:r>
            <w:r w:rsidRPr="001416ED">
              <w:rPr>
                <w:rFonts w:eastAsiaTheme="minorHAnsi"/>
                <w:kern w:val="11"/>
                <w:lang w:val="en-US" w:eastAsia="en-US"/>
              </w:rPr>
              <w:t>)</w:t>
            </w:r>
          </w:p>
        </w:tc>
        <w:tc>
          <w:tcPr>
            <w:tcW w:w="1276" w:type="dxa"/>
          </w:tcPr>
          <w:p w:rsidR="00CF4A30" w:rsidRPr="001416ED" w:rsidRDefault="00CF4A30" w:rsidP="007A3C1A">
            <w:pPr>
              <w:spacing w:line="360" w:lineRule="auto"/>
              <w:jc w:val="center"/>
              <w:rPr>
                <w:rFonts w:eastAsiaTheme="minorHAnsi"/>
                <w:kern w:val="11"/>
                <w:lang w:val="uk-UA" w:eastAsia="en-US"/>
              </w:rPr>
            </w:pPr>
            <w:r w:rsidRPr="001416ED">
              <w:rPr>
                <w:rFonts w:eastAsiaTheme="minorHAnsi"/>
                <w:kern w:val="11"/>
                <w:lang w:val="uk-UA" w:eastAsia="en-US"/>
              </w:rPr>
              <w:t>р&gt;0,05</w:t>
            </w:r>
          </w:p>
          <w:p w:rsidR="00CF4A30" w:rsidRPr="001416ED" w:rsidRDefault="00CF4A30" w:rsidP="007A3C1A">
            <w:pPr>
              <w:spacing w:line="360" w:lineRule="auto"/>
              <w:jc w:val="center"/>
              <w:rPr>
                <w:rFonts w:eastAsiaTheme="minorHAnsi"/>
                <w:kern w:val="11"/>
                <w:lang w:val="uk-UA" w:eastAsia="en-US"/>
              </w:rPr>
            </w:pPr>
          </w:p>
        </w:tc>
      </w:tr>
      <w:tr w:rsidR="00FA1CE0" w:rsidRPr="001416ED" w:rsidTr="00C120BE">
        <w:tc>
          <w:tcPr>
            <w:tcW w:w="3828" w:type="dxa"/>
          </w:tcPr>
          <w:p w:rsidR="00FA1CE0" w:rsidRPr="001416ED" w:rsidRDefault="00FA1CE0" w:rsidP="005B4AEE">
            <w:pPr>
              <w:spacing w:line="360" w:lineRule="auto"/>
              <w:rPr>
                <w:rFonts w:eastAsiaTheme="minorHAnsi"/>
                <w:kern w:val="11"/>
                <w:lang w:val="uk-UA" w:eastAsia="en-US"/>
              </w:rPr>
            </w:pPr>
            <w:r w:rsidRPr="001416ED">
              <w:rPr>
                <w:rFonts w:eastAsiaTheme="minorHAnsi"/>
                <w:kern w:val="11"/>
                <w:lang w:val="uk-UA" w:eastAsia="en-US"/>
              </w:rPr>
              <w:t>р</w:t>
            </w:r>
          </w:p>
        </w:tc>
        <w:tc>
          <w:tcPr>
            <w:tcW w:w="2693" w:type="dxa"/>
          </w:tcPr>
          <w:p w:rsidR="00FA1CE0" w:rsidRPr="001416ED" w:rsidRDefault="00FA1CE0" w:rsidP="005B4AEE">
            <w:pPr>
              <w:spacing w:line="360" w:lineRule="auto"/>
              <w:jc w:val="center"/>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2</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&lt;0,001</w:t>
            </w:r>
            <w:r w:rsidR="00C27456" w:rsidRPr="001416ED">
              <w:rPr>
                <w:rFonts w:eastAsiaTheme="minorHAnsi"/>
                <w:kern w:val="11"/>
                <w:lang w:val="uk-UA" w:eastAsia="en-US"/>
              </w:rPr>
              <w:t>;</w:t>
            </w:r>
            <w:r w:rsidR="00C120BE" w:rsidRPr="001416ED">
              <w:rPr>
                <w:rFonts w:eastAsiaTheme="minorHAnsi"/>
                <w:kern w:val="11"/>
                <w:lang w:val="uk-UA" w:eastAsia="en-US"/>
              </w:rPr>
              <w:t xml:space="preserve"> </w:t>
            </w: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&gt;0,05</w:t>
            </w:r>
          </w:p>
          <w:p w:rsidR="00FA1CE0" w:rsidRPr="001416ED" w:rsidRDefault="00FA1CE0" w:rsidP="005B4AEE">
            <w:pPr>
              <w:spacing w:line="360" w:lineRule="auto"/>
              <w:jc w:val="center"/>
              <w:rPr>
                <w:rFonts w:eastAsiaTheme="minorHAnsi"/>
                <w:b/>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2</w:t>
            </w:r>
            <w:r w:rsidRPr="001416ED">
              <w:rPr>
                <w:rFonts w:eastAsiaTheme="minorHAnsi"/>
                <w:kern w:val="11"/>
                <w:lang w:val="uk-UA" w:eastAsia="en-US"/>
              </w:rPr>
              <w:t>&lt;0,01</w:t>
            </w:r>
          </w:p>
        </w:tc>
        <w:tc>
          <w:tcPr>
            <w:tcW w:w="2410" w:type="dxa"/>
          </w:tcPr>
          <w:p w:rsidR="00FA1CE0" w:rsidRPr="001416ED" w:rsidRDefault="00FA1CE0" w:rsidP="005B4AEE">
            <w:pPr>
              <w:spacing w:line="360" w:lineRule="auto"/>
              <w:jc w:val="center"/>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2</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&lt;0,05</w:t>
            </w:r>
            <w:r w:rsidR="00C27456" w:rsidRPr="001416ED">
              <w:rPr>
                <w:rFonts w:eastAsiaTheme="minorHAnsi"/>
                <w:kern w:val="11"/>
                <w:lang w:val="uk-UA" w:eastAsia="en-US"/>
              </w:rPr>
              <w:t>;</w:t>
            </w: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lang w:val="uk-UA" w:eastAsia="en-US"/>
              </w:rPr>
              <w:t>&gt;0,05</w:t>
            </w:r>
          </w:p>
          <w:p w:rsidR="00FA1CE0" w:rsidRPr="001416ED" w:rsidRDefault="00FA1CE0" w:rsidP="005B4AEE">
            <w:pPr>
              <w:spacing w:line="360" w:lineRule="auto"/>
              <w:jc w:val="center"/>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2</w:t>
            </w:r>
            <w:r w:rsidRPr="001416ED">
              <w:rPr>
                <w:rFonts w:eastAsiaTheme="minorHAnsi"/>
                <w:kern w:val="11"/>
                <w:lang w:val="uk-UA" w:eastAsia="en-US"/>
              </w:rPr>
              <w:t>&lt;0,01</w:t>
            </w:r>
          </w:p>
        </w:tc>
        <w:tc>
          <w:tcPr>
            <w:tcW w:w="1276" w:type="dxa"/>
          </w:tcPr>
          <w:p w:rsidR="00FA1CE0" w:rsidRPr="001416ED" w:rsidRDefault="00FA1CE0" w:rsidP="00AC0422">
            <w:pPr>
              <w:spacing w:before="240" w:line="360" w:lineRule="auto"/>
              <w:jc w:val="both"/>
              <w:rPr>
                <w:lang w:val="uk-UA"/>
              </w:rPr>
            </w:pPr>
          </w:p>
        </w:tc>
      </w:tr>
    </w:tbl>
    <w:p w:rsidR="00417A4D" w:rsidRPr="001416ED" w:rsidRDefault="00627B32" w:rsidP="00AC0422">
      <w:pPr>
        <w:spacing w:before="240" w:line="360" w:lineRule="auto"/>
        <w:ind w:firstLine="708"/>
        <w:jc w:val="both"/>
        <w:rPr>
          <w:rFonts w:eastAsiaTheme="minorHAnsi"/>
          <w:kern w:val="11"/>
          <w:lang w:val="uk-UA" w:eastAsia="en-US"/>
        </w:rPr>
      </w:pPr>
      <w:r w:rsidRPr="001416ED">
        <w:rPr>
          <w:lang w:val="uk-UA"/>
        </w:rPr>
        <w:t xml:space="preserve">Встановлено, що серед носіїв генотипу </w:t>
      </w:r>
      <w:r w:rsidR="00DE0DDF" w:rsidRPr="001416ED">
        <w:rPr>
          <w:rFonts w:eastAsiaTheme="minorHAnsi"/>
          <w:kern w:val="11"/>
          <w:lang w:val="en-US" w:eastAsia="en-US"/>
        </w:rPr>
        <w:t>Lys</w:t>
      </w:r>
      <w:r w:rsidR="00DE0DDF" w:rsidRPr="001416ED">
        <w:rPr>
          <w:rFonts w:eastAsiaTheme="minorHAnsi"/>
          <w:kern w:val="11"/>
          <w:lang w:val="uk-UA" w:eastAsia="en-US"/>
        </w:rPr>
        <w:t>/</w:t>
      </w:r>
      <w:r w:rsidR="00DE0DDF" w:rsidRPr="001416ED">
        <w:rPr>
          <w:rFonts w:eastAsiaTheme="minorHAnsi"/>
          <w:kern w:val="11"/>
          <w:lang w:val="en-US" w:eastAsia="en-US"/>
        </w:rPr>
        <w:t>Lys</w:t>
      </w:r>
      <w:r w:rsidR="00DE0DDF" w:rsidRPr="001416ED">
        <w:rPr>
          <w:rFonts w:eastAsiaTheme="minorHAnsi"/>
          <w:kern w:val="11"/>
          <w:lang w:val="uk-UA" w:eastAsia="en-US"/>
        </w:rPr>
        <w:t xml:space="preserve"> та алелі </w:t>
      </w:r>
      <w:r w:rsidR="00DE0DDF" w:rsidRPr="001416ED">
        <w:rPr>
          <w:rFonts w:eastAsiaTheme="minorHAnsi"/>
          <w:kern w:val="11"/>
          <w:lang w:val="en-US" w:eastAsia="en-US"/>
        </w:rPr>
        <w:t>Asn</w:t>
      </w:r>
      <w:r w:rsidR="00DE0DDF" w:rsidRPr="001416ED">
        <w:rPr>
          <w:rFonts w:eastAsiaTheme="minorHAnsi"/>
          <w:kern w:val="11"/>
          <w:lang w:val="uk-UA" w:eastAsia="en-US"/>
        </w:rPr>
        <w:t xml:space="preserve"> СГР найменший у чоловіків з ГХ ІІ ст. в порівнянні с пацієнтами групи контролю та особами з </w:t>
      </w:r>
      <w:r w:rsidR="00C34030" w:rsidRPr="001416ED">
        <w:rPr>
          <w:rFonts w:eastAsiaTheme="minorHAnsi"/>
          <w:kern w:val="11"/>
          <w:lang w:val="uk-UA" w:eastAsia="en-US"/>
        </w:rPr>
        <w:t xml:space="preserve">ГХ ІІІ ст. </w:t>
      </w:r>
      <w:r w:rsidR="0000754F" w:rsidRPr="001416ED">
        <w:rPr>
          <w:rFonts w:eastAsiaTheme="minorHAnsi"/>
          <w:kern w:val="11"/>
          <w:lang w:val="uk-UA" w:eastAsia="en-US"/>
        </w:rPr>
        <w:t>Різниці у СГР між особами</w:t>
      </w:r>
      <w:r w:rsidR="00C651F6" w:rsidRPr="001416ED">
        <w:rPr>
          <w:rFonts w:eastAsiaTheme="minorHAnsi"/>
          <w:kern w:val="11"/>
          <w:lang w:val="uk-UA" w:eastAsia="en-US"/>
        </w:rPr>
        <w:t xml:space="preserve"> </w:t>
      </w:r>
      <w:r w:rsidR="00BC0119" w:rsidRPr="001416ED">
        <w:rPr>
          <w:rFonts w:eastAsiaTheme="minorHAnsi"/>
          <w:kern w:val="11"/>
          <w:lang w:val="uk-UA" w:eastAsia="en-US"/>
        </w:rPr>
        <w:t>–</w:t>
      </w:r>
      <w:r w:rsidR="00C651F6" w:rsidRPr="001416ED">
        <w:rPr>
          <w:rFonts w:eastAsiaTheme="minorHAnsi"/>
          <w:kern w:val="11"/>
          <w:lang w:val="uk-UA" w:eastAsia="en-US"/>
        </w:rPr>
        <w:t xml:space="preserve"> </w:t>
      </w:r>
      <w:r w:rsidR="0000754F" w:rsidRPr="001416ED">
        <w:rPr>
          <w:rFonts w:eastAsiaTheme="minorHAnsi"/>
          <w:kern w:val="11"/>
          <w:lang w:val="uk-UA" w:eastAsia="en-US"/>
        </w:rPr>
        <w:t xml:space="preserve">носіями </w:t>
      </w:r>
      <w:r w:rsidR="00E6164F">
        <w:rPr>
          <w:rFonts w:eastAsiaTheme="minorHAnsi"/>
          <w:kern w:val="11"/>
          <w:lang w:val="uk-UA" w:eastAsia="en-US"/>
        </w:rPr>
        <w:t>поліморфних варіантів гена ЕТ–1</w:t>
      </w:r>
      <w:r w:rsidR="0000754F" w:rsidRPr="001416ED">
        <w:rPr>
          <w:rFonts w:eastAsiaTheme="minorHAnsi"/>
          <w:kern w:val="11"/>
          <w:lang w:val="uk-UA" w:eastAsia="en-US"/>
        </w:rPr>
        <w:t xml:space="preserve"> в середині кожної групи не виявлено.</w:t>
      </w:r>
    </w:p>
    <w:p w:rsidR="003D7280" w:rsidRPr="001416ED" w:rsidRDefault="003D7280" w:rsidP="003D7280">
      <w:pPr>
        <w:spacing w:line="360" w:lineRule="auto"/>
        <w:ind w:firstLine="708"/>
        <w:jc w:val="both"/>
        <w:rPr>
          <w:rFonts w:eastAsiaTheme="minorHAnsi"/>
          <w:kern w:val="11"/>
          <w:lang w:val="uk-UA" w:eastAsia="en-US"/>
        </w:rPr>
      </w:pPr>
      <w:r w:rsidRPr="001416ED">
        <w:rPr>
          <w:rFonts w:eastAsiaTheme="minorHAnsi"/>
          <w:kern w:val="11"/>
          <w:lang w:val="uk-UA" w:eastAsia="en-US"/>
        </w:rPr>
        <w:t xml:space="preserve">Далі був </w:t>
      </w:r>
      <w:r w:rsidR="00D5248A" w:rsidRPr="001416ED">
        <w:rPr>
          <w:rFonts w:eastAsiaTheme="minorHAnsi"/>
          <w:kern w:val="11"/>
          <w:lang w:val="uk-UA" w:eastAsia="en-US"/>
        </w:rPr>
        <w:t>проаналізований</w:t>
      </w:r>
      <w:r w:rsidRPr="001416ED">
        <w:rPr>
          <w:rFonts w:eastAsiaTheme="minorHAnsi"/>
          <w:kern w:val="11"/>
          <w:lang w:val="uk-UA" w:eastAsia="en-US"/>
        </w:rPr>
        <w:t xml:space="preserve"> зв'язок між носійство</w:t>
      </w:r>
      <w:r w:rsidR="00A22D89" w:rsidRPr="001416ED">
        <w:rPr>
          <w:rFonts w:eastAsiaTheme="minorHAnsi"/>
          <w:kern w:val="11"/>
          <w:lang w:val="uk-UA" w:eastAsia="en-US"/>
        </w:rPr>
        <w:t>м</w:t>
      </w:r>
      <w:r w:rsidRPr="001416ED">
        <w:rPr>
          <w:rFonts w:eastAsiaTheme="minorHAnsi"/>
          <w:kern w:val="11"/>
          <w:lang w:val="uk-UA" w:eastAsia="en-US"/>
        </w:rPr>
        <w:t xml:space="preserve"> окремих </w:t>
      </w:r>
      <w:r w:rsidR="00F40216">
        <w:rPr>
          <w:rFonts w:eastAsiaTheme="minorHAnsi"/>
          <w:kern w:val="11"/>
          <w:lang w:val="uk-UA" w:eastAsia="en-US"/>
        </w:rPr>
        <w:t xml:space="preserve"> варіантів гена</w:t>
      </w:r>
      <w:r w:rsidRPr="001416ED">
        <w:rPr>
          <w:rFonts w:eastAsiaTheme="minorHAnsi"/>
          <w:kern w:val="11"/>
          <w:lang w:val="uk-UA" w:eastAsia="en-US"/>
        </w:rPr>
        <w:t xml:space="preserve"> ЕТ</w:t>
      </w:r>
      <w:r w:rsidR="00BC0119" w:rsidRPr="001416ED">
        <w:rPr>
          <w:rFonts w:eastAsiaTheme="minorHAnsi"/>
          <w:kern w:val="11"/>
          <w:lang w:val="uk-UA" w:eastAsia="en-US"/>
        </w:rPr>
        <w:t>–</w:t>
      </w:r>
      <w:r w:rsidRPr="001416ED">
        <w:rPr>
          <w:rFonts w:eastAsiaTheme="minorHAnsi"/>
          <w:kern w:val="11"/>
          <w:lang w:val="uk-UA" w:eastAsia="en-US"/>
        </w:rPr>
        <w:t xml:space="preserve">1 та пальцевими малюнками на </w:t>
      </w:r>
      <w:r w:rsidR="00C651F6" w:rsidRPr="001416ED">
        <w:rPr>
          <w:rFonts w:eastAsiaTheme="minorHAnsi"/>
          <w:kern w:val="11"/>
          <w:lang w:val="uk-UA" w:eastAsia="en-US"/>
        </w:rPr>
        <w:t xml:space="preserve">обох </w:t>
      </w:r>
      <w:r w:rsidRPr="001416ED">
        <w:rPr>
          <w:rFonts w:eastAsiaTheme="minorHAnsi"/>
          <w:kern w:val="11"/>
          <w:lang w:val="uk-UA" w:eastAsia="en-US"/>
        </w:rPr>
        <w:t>кистях</w:t>
      </w:r>
      <w:r w:rsidR="00C651F6" w:rsidRPr="001416ED">
        <w:rPr>
          <w:rFonts w:eastAsiaTheme="minorHAnsi"/>
          <w:kern w:val="11"/>
          <w:lang w:val="uk-UA" w:eastAsia="en-US"/>
        </w:rPr>
        <w:t>.</w:t>
      </w:r>
      <w:r w:rsidR="00C651F6" w:rsidRPr="001416ED">
        <w:rPr>
          <w:lang w:val="uk-UA"/>
        </w:rPr>
        <w:t xml:space="preserve"> Кореляційний зв'язок між носійством </w:t>
      </w:r>
      <w:r w:rsidR="00E6164F">
        <w:rPr>
          <w:lang w:val="uk-UA"/>
        </w:rPr>
        <w:t>поліморфного варіанту гена</w:t>
      </w:r>
      <w:r w:rsidR="00C651F6" w:rsidRPr="001416ED">
        <w:rPr>
          <w:lang w:val="uk-UA"/>
        </w:rPr>
        <w:t xml:space="preserve"> ЕТ</w:t>
      </w:r>
      <w:r w:rsidR="00BC0119" w:rsidRPr="001416ED">
        <w:rPr>
          <w:lang w:val="uk-UA"/>
        </w:rPr>
        <w:t>–</w:t>
      </w:r>
      <w:r w:rsidR="00C651F6" w:rsidRPr="001416ED">
        <w:rPr>
          <w:lang w:val="uk-UA"/>
        </w:rPr>
        <w:t xml:space="preserve">1 та дерматогліфами у чоловіків з ГХ різної </w:t>
      </w:r>
      <w:r w:rsidR="00046A18" w:rsidRPr="001416ED">
        <w:rPr>
          <w:lang w:val="uk-UA"/>
        </w:rPr>
        <w:t>стадії</w:t>
      </w:r>
      <w:r w:rsidR="00C651F6" w:rsidRPr="001416ED">
        <w:rPr>
          <w:lang w:val="uk-UA"/>
        </w:rPr>
        <w:t xml:space="preserve"> не знайдено.</w:t>
      </w:r>
    </w:p>
    <w:p w:rsidR="00A32534" w:rsidRPr="001416ED" w:rsidRDefault="008F520F" w:rsidP="00A32534">
      <w:pPr>
        <w:spacing w:line="360" w:lineRule="auto"/>
        <w:ind w:firstLine="708"/>
        <w:jc w:val="both"/>
        <w:rPr>
          <w:lang w:val="uk-UA"/>
        </w:rPr>
      </w:pPr>
      <w:r w:rsidRPr="001416ED">
        <w:rPr>
          <w:lang w:val="uk-UA"/>
        </w:rPr>
        <w:t xml:space="preserve">Для розрахунку ймовірного носійства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у осіб чоловічої статі, що мають ГХ</w:t>
      </w:r>
      <w:r w:rsidR="00C002D9" w:rsidRPr="001416ED">
        <w:rPr>
          <w:lang w:val="uk-UA"/>
        </w:rPr>
        <w:t xml:space="preserve"> ІІ ст.</w:t>
      </w:r>
      <w:r w:rsidRPr="001416ED">
        <w:rPr>
          <w:lang w:val="uk-UA"/>
        </w:rPr>
        <w:t xml:space="preserve"> були розроблені ф</w:t>
      </w:r>
      <w:r w:rsidR="00A32534" w:rsidRPr="001416ED">
        <w:rPr>
          <w:lang w:val="uk-UA"/>
        </w:rPr>
        <w:t>ормул</w:t>
      </w:r>
      <w:r w:rsidRPr="001416ED">
        <w:rPr>
          <w:lang w:val="uk-UA"/>
        </w:rPr>
        <w:t>и</w:t>
      </w:r>
      <w:r w:rsidR="00A32534" w:rsidRPr="001416ED">
        <w:rPr>
          <w:lang w:val="uk-UA"/>
        </w:rPr>
        <w:t>:</w:t>
      </w:r>
    </w:p>
    <w:p w:rsidR="008F520F" w:rsidRPr="001416ED" w:rsidRDefault="008F520F" w:rsidP="0012229A">
      <w:pPr>
        <w:numPr>
          <w:ilvl w:val="0"/>
          <w:numId w:val="7"/>
        </w:numPr>
        <w:spacing w:after="200" w:line="360" w:lineRule="auto"/>
        <w:contextualSpacing/>
        <w:jc w:val="both"/>
        <w:rPr>
          <w:rFonts w:eastAsiaTheme="minorHAnsi"/>
          <w:kern w:val="11"/>
          <w:lang w:val="en-US" w:eastAsia="en-US"/>
        </w:rPr>
      </w:pPr>
      <w:r w:rsidRPr="001416ED">
        <w:rPr>
          <w:rFonts w:eastAsiaTheme="minorHAnsi"/>
          <w:kern w:val="11"/>
          <w:lang w:val="uk-UA" w:eastAsia="en-US"/>
        </w:rPr>
        <w:t xml:space="preserve">Носії генотипу </w:t>
      </w:r>
      <w:r w:rsidRPr="001416ED">
        <w:rPr>
          <w:rFonts w:eastAsiaTheme="minorHAnsi"/>
          <w:kern w:val="11"/>
          <w:lang w:val="en-US" w:eastAsia="en-US"/>
        </w:rPr>
        <w:t>Lys</w:t>
      </w:r>
      <w:r w:rsidRPr="001416ED">
        <w:rPr>
          <w:rFonts w:eastAsiaTheme="minorHAnsi"/>
          <w:kern w:val="11"/>
          <w:lang w:val="uk-UA" w:eastAsia="en-US"/>
        </w:rPr>
        <w:t>/</w:t>
      </w:r>
      <w:r w:rsidRPr="001416ED">
        <w:rPr>
          <w:rFonts w:eastAsiaTheme="minorHAnsi"/>
          <w:kern w:val="11"/>
          <w:lang w:val="en-US" w:eastAsia="en-US"/>
        </w:rPr>
        <w:t>Lys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7,01+3,96*1d</w:t>
      </w:r>
      <w:r w:rsidR="00BC0119" w:rsidRPr="001416ED">
        <w:rPr>
          <w:rFonts w:eastAsiaTheme="minorHAnsi"/>
          <w:kern w:val="11"/>
          <w:lang w:val="en-US" w:eastAsia="en-US"/>
        </w:rPr>
        <w:t>–</w:t>
      </w:r>
      <w:r w:rsidRPr="001416ED">
        <w:rPr>
          <w:rFonts w:eastAsiaTheme="minorHAnsi"/>
          <w:kern w:val="11"/>
          <w:lang w:val="en-US" w:eastAsia="en-US"/>
        </w:rPr>
        <w:t>0,27*5s+1,09*3s+2,90*5d+0,51*4s</w:t>
      </w:r>
    </w:p>
    <w:p w:rsidR="008F520F" w:rsidRPr="001416ED" w:rsidRDefault="008F520F" w:rsidP="0012229A">
      <w:pPr>
        <w:numPr>
          <w:ilvl w:val="0"/>
          <w:numId w:val="7"/>
        </w:numPr>
        <w:spacing w:after="200" w:line="360" w:lineRule="auto"/>
        <w:contextualSpacing/>
        <w:jc w:val="both"/>
        <w:rPr>
          <w:rFonts w:eastAsiaTheme="minorHAnsi"/>
          <w:kern w:val="11"/>
          <w:lang w:val="en-US" w:eastAsia="en-US"/>
        </w:rPr>
      </w:pPr>
      <w:r w:rsidRPr="001416ED">
        <w:rPr>
          <w:rFonts w:eastAsiaTheme="minorHAnsi"/>
          <w:kern w:val="11"/>
          <w:lang w:eastAsia="en-US"/>
        </w:rPr>
        <w:t>Но</w:t>
      </w:r>
      <w:r w:rsidRPr="001416ED">
        <w:rPr>
          <w:rFonts w:eastAsiaTheme="minorHAnsi"/>
          <w:kern w:val="11"/>
          <w:lang w:val="uk-UA" w:eastAsia="en-US"/>
        </w:rPr>
        <w:t xml:space="preserve">сії алелі </w:t>
      </w:r>
      <w:r w:rsidRPr="001416ED">
        <w:rPr>
          <w:rFonts w:eastAsiaTheme="minorHAnsi"/>
          <w:kern w:val="11"/>
          <w:lang w:val="en-US" w:eastAsia="en-US"/>
        </w:rPr>
        <w:t>Asn=</w:t>
      </w:r>
      <w:r w:rsidR="00BC0119" w:rsidRPr="001416ED">
        <w:rPr>
          <w:rFonts w:eastAsiaTheme="minorHAnsi"/>
          <w:kern w:val="11"/>
          <w:lang w:val="en-US" w:eastAsia="en-US"/>
        </w:rPr>
        <w:t>–</w:t>
      </w:r>
      <w:r w:rsidRPr="001416ED">
        <w:rPr>
          <w:rFonts w:eastAsiaTheme="minorHAnsi"/>
          <w:kern w:val="11"/>
          <w:lang w:val="en-US" w:eastAsia="en-US"/>
        </w:rPr>
        <w:t>6,16+3,13*1d+1,74*5s+0,17*3s+1,47*5d+1,07*4s</w:t>
      </w:r>
      <w:r w:rsidR="00FD2AD4" w:rsidRPr="001416ED">
        <w:rPr>
          <w:rFonts w:eastAsiaTheme="minorHAnsi"/>
          <w:kern w:val="11"/>
          <w:lang w:val="uk-UA" w:eastAsia="en-US"/>
        </w:rPr>
        <w:t>,</w:t>
      </w:r>
    </w:p>
    <w:p w:rsidR="00FD2AD4" w:rsidRPr="001416ED" w:rsidRDefault="00FD2AD4" w:rsidP="00FD2AD4">
      <w:pPr>
        <w:spacing w:after="200" w:line="360" w:lineRule="auto"/>
        <w:ind w:left="720"/>
        <w:contextualSpacing/>
        <w:jc w:val="both"/>
        <w:rPr>
          <w:rFonts w:eastAsiaTheme="minorHAnsi"/>
          <w:kern w:val="11"/>
          <w:lang w:val="uk-UA" w:eastAsia="en-US"/>
        </w:rPr>
      </w:pPr>
      <w:r w:rsidRPr="001416ED">
        <w:rPr>
          <w:rFonts w:eastAsiaTheme="minorHAnsi"/>
          <w:kern w:val="11"/>
          <w:lang w:val="uk-UA" w:eastAsia="en-US"/>
        </w:rPr>
        <w:t>де 1</w:t>
      </w:r>
      <w:r w:rsidRPr="001416ED">
        <w:rPr>
          <w:rFonts w:eastAsiaTheme="minorHAnsi"/>
          <w:kern w:val="11"/>
          <w:lang w:val="en-US" w:eastAsia="en-US"/>
        </w:rPr>
        <w:t>d</w:t>
      </w:r>
      <w:r w:rsidRPr="001416ED">
        <w:rPr>
          <w:rFonts w:eastAsiaTheme="minorHAnsi"/>
          <w:kern w:val="11"/>
          <w:lang w:eastAsia="en-US"/>
        </w:rPr>
        <w:t xml:space="preserve"> – </w:t>
      </w:r>
      <w:r w:rsidRPr="001416ED">
        <w:rPr>
          <w:rFonts w:eastAsiaTheme="minorHAnsi"/>
          <w:kern w:val="11"/>
          <w:lang w:val="uk-UA" w:eastAsia="en-US"/>
        </w:rPr>
        <w:t>малюнок на 1</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C120BE" w:rsidRPr="001416ED">
        <w:rPr>
          <w:rFonts w:eastAsiaTheme="minorHAnsi"/>
          <w:kern w:val="11"/>
          <w:lang w:val="uk-UA" w:eastAsia="en-US"/>
        </w:rPr>
        <w:t>ПК</w:t>
      </w:r>
      <w:r w:rsidRPr="001416ED">
        <w:rPr>
          <w:rFonts w:eastAsiaTheme="minorHAnsi"/>
          <w:kern w:val="11"/>
          <w:lang w:val="uk-UA" w:eastAsia="en-US"/>
        </w:rPr>
        <w:t xml:space="preserve"> </w:t>
      </w:r>
    </w:p>
    <w:p w:rsidR="00FD2AD4" w:rsidRPr="001416ED" w:rsidRDefault="00FD2AD4" w:rsidP="00FD2AD4">
      <w:pPr>
        <w:spacing w:after="200" w:line="360" w:lineRule="auto"/>
        <w:ind w:left="720"/>
        <w:contextualSpacing/>
        <w:jc w:val="both"/>
        <w:rPr>
          <w:rFonts w:eastAsiaTheme="minorHAnsi"/>
          <w:kern w:val="11"/>
          <w:lang w:val="uk-UA" w:eastAsia="en-US"/>
        </w:rPr>
      </w:pPr>
      <w:r w:rsidRPr="001416ED">
        <w:rPr>
          <w:rFonts w:eastAsiaTheme="minorHAnsi"/>
          <w:kern w:val="11"/>
          <w:lang w:eastAsia="en-US"/>
        </w:rPr>
        <w:t>5</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5</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C120BE" w:rsidRPr="001416ED">
        <w:rPr>
          <w:rFonts w:eastAsiaTheme="minorHAnsi"/>
          <w:kern w:val="11"/>
          <w:lang w:val="uk-UA" w:eastAsia="en-US"/>
        </w:rPr>
        <w:t>ЛК</w:t>
      </w:r>
    </w:p>
    <w:p w:rsidR="00FD2AD4" w:rsidRPr="001416ED" w:rsidRDefault="00FD2AD4" w:rsidP="00FD2AD4">
      <w:pPr>
        <w:spacing w:after="200" w:line="360" w:lineRule="auto"/>
        <w:ind w:left="720"/>
        <w:contextualSpacing/>
        <w:jc w:val="both"/>
        <w:rPr>
          <w:rFonts w:eastAsiaTheme="minorHAnsi"/>
          <w:kern w:val="11"/>
          <w:lang w:val="uk-UA" w:eastAsia="en-US"/>
        </w:rPr>
      </w:pPr>
      <w:r w:rsidRPr="001416ED">
        <w:rPr>
          <w:rFonts w:eastAsiaTheme="minorHAnsi"/>
          <w:kern w:val="11"/>
          <w:lang w:eastAsia="en-US"/>
        </w:rPr>
        <w:t>3</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3</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C120BE" w:rsidRPr="001416ED">
        <w:rPr>
          <w:rFonts w:eastAsiaTheme="minorHAnsi"/>
          <w:kern w:val="11"/>
          <w:lang w:val="uk-UA" w:eastAsia="en-US"/>
        </w:rPr>
        <w:t>ЛК</w:t>
      </w:r>
    </w:p>
    <w:p w:rsidR="00FD2AD4" w:rsidRPr="001416ED" w:rsidRDefault="00FD2AD4" w:rsidP="00FD2AD4">
      <w:pPr>
        <w:spacing w:after="200" w:line="360" w:lineRule="auto"/>
        <w:ind w:left="720"/>
        <w:contextualSpacing/>
        <w:jc w:val="both"/>
        <w:rPr>
          <w:rFonts w:eastAsiaTheme="minorHAnsi"/>
          <w:kern w:val="11"/>
          <w:lang w:val="uk-UA" w:eastAsia="en-US"/>
        </w:rPr>
      </w:pPr>
      <w:r w:rsidRPr="001416ED">
        <w:rPr>
          <w:rFonts w:eastAsiaTheme="minorHAnsi"/>
          <w:kern w:val="11"/>
          <w:lang w:eastAsia="en-US"/>
        </w:rPr>
        <w:t>5</w:t>
      </w:r>
      <w:r w:rsidRPr="001416ED">
        <w:rPr>
          <w:rFonts w:eastAsiaTheme="minorHAnsi"/>
          <w:kern w:val="11"/>
          <w:lang w:val="en-US" w:eastAsia="en-US"/>
        </w:rPr>
        <w:t>d</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5</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C120BE" w:rsidRPr="001416ED">
        <w:rPr>
          <w:rFonts w:eastAsiaTheme="minorHAnsi"/>
          <w:kern w:val="11"/>
          <w:lang w:val="uk-UA" w:eastAsia="en-US"/>
        </w:rPr>
        <w:t>ПК</w:t>
      </w:r>
    </w:p>
    <w:p w:rsidR="00FD2AD4" w:rsidRPr="001416ED" w:rsidRDefault="00FD2AD4" w:rsidP="00FD2AD4">
      <w:pPr>
        <w:spacing w:after="200" w:line="360" w:lineRule="auto"/>
        <w:ind w:left="720"/>
        <w:contextualSpacing/>
        <w:jc w:val="both"/>
        <w:rPr>
          <w:rFonts w:eastAsiaTheme="minorHAnsi"/>
          <w:kern w:val="11"/>
          <w:lang w:val="uk-UA" w:eastAsia="en-US"/>
        </w:rPr>
      </w:pPr>
      <w:r w:rsidRPr="001416ED">
        <w:rPr>
          <w:rFonts w:eastAsiaTheme="minorHAnsi"/>
          <w:kern w:val="11"/>
          <w:lang w:eastAsia="en-US"/>
        </w:rPr>
        <w:lastRenderedPageBreak/>
        <w:t>4</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малюнок на 4</w:t>
      </w:r>
      <w:r w:rsidR="00BC0119" w:rsidRPr="001416ED">
        <w:rPr>
          <w:rFonts w:eastAsiaTheme="minorHAnsi"/>
          <w:kern w:val="11"/>
          <w:lang w:val="uk-UA" w:eastAsia="en-US"/>
        </w:rPr>
        <w:t>–</w:t>
      </w:r>
      <w:r w:rsidRPr="001416ED">
        <w:rPr>
          <w:rFonts w:eastAsiaTheme="minorHAnsi"/>
          <w:kern w:val="11"/>
          <w:lang w:val="uk-UA" w:eastAsia="en-US"/>
        </w:rPr>
        <w:t xml:space="preserve">ому пальці </w:t>
      </w:r>
      <w:r w:rsidR="00C120BE" w:rsidRPr="001416ED">
        <w:rPr>
          <w:rFonts w:eastAsiaTheme="minorHAnsi"/>
          <w:kern w:val="11"/>
          <w:lang w:val="uk-UA" w:eastAsia="en-US"/>
        </w:rPr>
        <w:t>ЛК</w:t>
      </w:r>
    </w:p>
    <w:p w:rsidR="00FD2AD4" w:rsidRPr="001416ED" w:rsidRDefault="00FD2AD4" w:rsidP="00FD2AD4">
      <w:pPr>
        <w:spacing w:after="200" w:line="360" w:lineRule="auto"/>
        <w:ind w:firstLine="720"/>
        <w:contextualSpacing/>
        <w:jc w:val="both"/>
        <w:rPr>
          <w:rFonts w:eastAsiaTheme="minorHAnsi"/>
          <w:kern w:val="11"/>
          <w:lang w:val="uk-UA" w:eastAsia="en-US"/>
        </w:rPr>
      </w:pPr>
      <w:r w:rsidRPr="001416ED">
        <w:rPr>
          <w:rFonts w:eastAsiaTheme="minorHAnsi"/>
          <w:kern w:val="11"/>
          <w:lang w:val="uk-UA" w:eastAsia="en-US"/>
        </w:rPr>
        <w:t>Якщо на будь</w:t>
      </w:r>
      <w:r w:rsidR="00BC0119" w:rsidRPr="001416ED">
        <w:rPr>
          <w:rFonts w:eastAsiaTheme="minorHAnsi"/>
          <w:kern w:val="11"/>
          <w:lang w:val="uk-UA" w:eastAsia="en-US"/>
        </w:rPr>
        <w:t>–</w:t>
      </w:r>
      <w:r w:rsidRPr="001416ED">
        <w:rPr>
          <w:rFonts w:eastAsiaTheme="minorHAnsi"/>
          <w:kern w:val="11"/>
          <w:lang w:val="uk-UA" w:eastAsia="en-US"/>
        </w:rPr>
        <w:t>якому з указаних пальців присутній дерматогліфічний малюнок ульнарна петля, то підставляємо замість комплексу 1</w:t>
      </w:r>
      <w:r w:rsidRPr="001416ED">
        <w:rPr>
          <w:rFonts w:eastAsiaTheme="minorHAnsi"/>
          <w:kern w:val="11"/>
          <w:lang w:val="en-US" w:eastAsia="en-US"/>
        </w:rPr>
        <w:t>d</w:t>
      </w:r>
      <w:r w:rsidRPr="001416ED">
        <w:rPr>
          <w:rFonts w:eastAsiaTheme="minorHAnsi"/>
          <w:kern w:val="11"/>
          <w:lang w:val="uk-UA" w:eastAsia="en-US"/>
        </w:rPr>
        <w:t>, 5</w:t>
      </w:r>
      <w:r w:rsidRPr="001416ED">
        <w:rPr>
          <w:rFonts w:eastAsiaTheme="minorHAnsi"/>
          <w:kern w:val="11"/>
          <w:lang w:val="en-US" w:eastAsia="en-US"/>
        </w:rPr>
        <w:t>d</w:t>
      </w:r>
      <w:r w:rsidRPr="001416ED">
        <w:rPr>
          <w:rFonts w:eastAsiaTheme="minorHAnsi"/>
          <w:kern w:val="11"/>
          <w:lang w:val="uk-UA" w:eastAsia="en-US"/>
        </w:rPr>
        <w:t>, 3</w:t>
      </w:r>
      <w:r w:rsidRPr="001416ED">
        <w:rPr>
          <w:rFonts w:eastAsiaTheme="minorHAnsi"/>
          <w:kern w:val="11"/>
          <w:lang w:val="en-US" w:eastAsia="en-US"/>
        </w:rPr>
        <w:t>s</w:t>
      </w:r>
      <w:r w:rsidRPr="001416ED">
        <w:rPr>
          <w:rFonts w:eastAsiaTheme="minorHAnsi"/>
          <w:kern w:val="11"/>
          <w:lang w:val="uk-UA" w:eastAsia="en-US"/>
        </w:rPr>
        <w:t>, 4</w:t>
      </w:r>
      <w:r w:rsidRPr="001416ED">
        <w:rPr>
          <w:rFonts w:eastAsiaTheme="minorHAnsi"/>
          <w:kern w:val="11"/>
          <w:lang w:val="en-US" w:eastAsia="en-US"/>
        </w:rPr>
        <w:t>s</w:t>
      </w:r>
      <w:r w:rsidRPr="001416ED">
        <w:rPr>
          <w:rFonts w:eastAsiaTheme="minorHAnsi"/>
          <w:kern w:val="11"/>
          <w:lang w:val="uk-UA" w:eastAsia="en-US"/>
        </w:rPr>
        <w:t>, 5</w:t>
      </w:r>
      <w:r w:rsidRPr="001416ED">
        <w:rPr>
          <w:rFonts w:eastAsiaTheme="minorHAnsi"/>
          <w:kern w:val="11"/>
          <w:lang w:val="en-US" w:eastAsia="en-US"/>
        </w:rPr>
        <w:t>s</w:t>
      </w:r>
      <w:r w:rsidRPr="001416ED">
        <w:rPr>
          <w:rFonts w:eastAsiaTheme="minorHAnsi"/>
          <w:kern w:val="11"/>
          <w:lang w:val="uk-UA" w:eastAsia="en-US"/>
        </w:rPr>
        <w:t xml:space="preserve"> – 1, якщо завиток – 2,  радіальна петля – 3, дуга </w:t>
      </w:r>
      <w:r w:rsidR="00A77BB8" w:rsidRPr="001416ED">
        <w:rPr>
          <w:rFonts w:eastAsiaTheme="minorHAnsi"/>
          <w:kern w:val="11"/>
          <w:lang w:val="uk-UA" w:eastAsia="en-US"/>
        </w:rPr>
        <w:t>–</w:t>
      </w:r>
      <w:r w:rsidRPr="001416ED">
        <w:rPr>
          <w:rFonts w:eastAsiaTheme="minorHAnsi"/>
          <w:kern w:val="11"/>
          <w:lang w:val="uk-UA" w:eastAsia="en-US"/>
        </w:rPr>
        <w:t xml:space="preserve"> 4</w:t>
      </w:r>
      <w:r w:rsidR="00A77BB8" w:rsidRPr="001416ED">
        <w:rPr>
          <w:rFonts w:eastAsiaTheme="minorHAnsi"/>
          <w:kern w:val="11"/>
          <w:lang w:val="uk-UA" w:eastAsia="en-US"/>
        </w:rPr>
        <w:t>.</w:t>
      </w:r>
    </w:p>
    <w:p w:rsidR="003D7280" w:rsidRPr="001416ED" w:rsidRDefault="008F520F" w:rsidP="00FD2AD4">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Якщо сума більша у формулі </w:t>
      </w:r>
      <w:r w:rsidRPr="001416ED">
        <w:rPr>
          <w:rFonts w:eastAsiaTheme="minorHAnsi"/>
          <w:kern w:val="11"/>
          <w:lang w:eastAsia="en-US"/>
        </w:rPr>
        <w:t>1</w:t>
      </w:r>
      <w:r w:rsidRPr="001416ED">
        <w:rPr>
          <w:rFonts w:eastAsiaTheme="minorHAnsi"/>
          <w:kern w:val="11"/>
          <w:lang w:val="uk-UA" w:eastAsia="en-US"/>
        </w:rPr>
        <w:t xml:space="preserve"> – це говорить про те, що пацієнт з ймовірністю 80,0</w:t>
      </w:r>
      <w:r w:rsidR="00D4219F" w:rsidRPr="001416ED">
        <w:rPr>
          <w:rFonts w:eastAsiaTheme="minorHAnsi"/>
          <w:kern w:val="11"/>
          <w:lang w:val="uk-UA" w:eastAsia="en-US"/>
        </w:rPr>
        <w:t xml:space="preserve"> %</w:t>
      </w:r>
      <w:r w:rsidRPr="001416ED">
        <w:rPr>
          <w:rFonts w:eastAsiaTheme="minorHAnsi"/>
          <w:kern w:val="11"/>
          <w:lang w:val="uk-UA" w:eastAsia="en-US"/>
        </w:rPr>
        <w:t xml:space="preserve"> носій генотипу </w:t>
      </w:r>
      <w:r w:rsidRPr="001416ED">
        <w:rPr>
          <w:rFonts w:eastAsiaTheme="minorHAnsi"/>
          <w:kern w:val="11"/>
          <w:lang w:val="en-US" w:eastAsia="en-US"/>
        </w:rPr>
        <w:t>Lys</w:t>
      </w:r>
      <w:r w:rsidRPr="001416ED">
        <w:rPr>
          <w:rFonts w:eastAsiaTheme="minorHAnsi"/>
          <w:kern w:val="11"/>
          <w:lang w:val="uk-UA" w:eastAsia="en-US"/>
        </w:rPr>
        <w:t>/</w:t>
      </w:r>
      <w:r w:rsidRPr="001416ED">
        <w:rPr>
          <w:rFonts w:eastAsiaTheme="minorHAnsi"/>
          <w:kern w:val="11"/>
          <w:lang w:val="en-US" w:eastAsia="en-US"/>
        </w:rPr>
        <w:t>Lys</w:t>
      </w:r>
      <w:r w:rsidRPr="001416ED">
        <w:rPr>
          <w:rFonts w:eastAsiaTheme="minorHAnsi"/>
          <w:kern w:val="11"/>
          <w:lang w:val="uk-UA" w:eastAsia="en-US"/>
        </w:rPr>
        <w:t xml:space="preserve"> гена ЕТ</w:t>
      </w:r>
      <w:r w:rsidR="00BC0119" w:rsidRPr="001416ED">
        <w:rPr>
          <w:rFonts w:eastAsiaTheme="minorHAnsi"/>
          <w:kern w:val="11"/>
          <w:lang w:val="uk-UA" w:eastAsia="en-US"/>
        </w:rPr>
        <w:t>–</w:t>
      </w:r>
      <w:r w:rsidRPr="001416ED">
        <w:rPr>
          <w:rFonts w:eastAsiaTheme="minorHAnsi"/>
          <w:kern w:val="11"/>
          <w:lang w:val="uk-UA" w:eastAsia="en-US"/>
        </w:rPr>
        <w:t>1, якщо у формулі  2</w:t>
      </w:r>
      <w:r w:rsidRPr="001416ED">
        <w:rPr>
          <w:rFonts w:eastAsiaTheme="minorHAnsi"/>
          <w:kern w:val="11"/>
          <w:vertAlign w:val="subscript"/>
          <w:lang w:val="uk-UA" w:eastAsia="en-US"/>
        </w:rPr>
        <w:t xml:space="preserve"> </w:t>
      </w:r>
      <w:r w:rsidRPr="001416ED">
        <w:rPr>
          <w:rFonts w:eastAsiaTheme="minorHAnsi"/>
          <w:kern w:val="11"/>
          <w:lang w:val="uk-UA" w:eastAsia="en-US"/>
        </w:rPr>
        <w:t>–  обстежуваний з ймовірністю 85,5</w:t>
      </w:r>
      <w:r w:rsidR="00D4219F" w:rsidRPr="001416ED">
        <w:rPr>
          <w:rFonts w:eastAsiaTheme="minorHAnsi"/>
          <w:kern w:val="11"/>
          <w:lang w:val="uk-UA" w:eastAsia="en-US"/>
        </w:rPr>
        <w:t xml:space="preserve"> %</w:t>
      </w:r>
      <w:r w:rsidRPr="001416ED">
        <w:rPr>
          <w:rFonts w:eastAsiaTheme="minorHAnsi"/>
          <w:kern w:val="11"/>
          <w:lang w:val="uk-UA" w:eastAsia="en-US"/>
        </w:rPr>
        <w:t xml:space="preserve"> носій алелі </w:t>
      </w:r>
      <w:r w:rsidRPr="001416ED">
        <w:rPr>
          <w:rFonts w:eastAsiaTheme="minorHAnsi"/>
          <w:kern w:val="11"/>
          <w:lang w:val="en-US" w:eastAsia="en-US"/>
        </w:rPr>
        <w:t>Asn</w:t>
      </w:r>
      <w:r w:rsidRPr="001416ED">
        <w:rPr>
          <w:rFonts w:eastAsiaTheme="minorHAnsi"/>
          <w:kern w:val="11"/>
          <w:lang w:val="uk-UA" w:eastAsia="en-US"/>
        </w:rPr>
        <w:t xml:space="preserve"> </w:t>
      </w:r>
      <w:r w:rsidR="00387299">
        <w:rPr>
          <w:rFonts w:eastAsiaTheme="minorHAnsi"/>
          <w:kern w:val="11"/>
          <w:lang w:val="uk-UA" w:eastAsia="en-US"/>
        </w:rPr>
        <w:t xml:space="preserve">(генотипи </w:t>
      </w:r>
      <w:r w:rsidR="00387299" w:rsidRPr="001416ED">
        <w:rPr>
          <w:rFonts w:eastAsiaTheme="minorHAnsi"/>
          <w:kern w:val="11"/>
          <w:lang w:val="en-US" w:eastAsia="en-US"/>
        </w:rPr>
        <w:t>Lys</w:t>
      </w:r>
      <w:r w:rsidR="00387299" w:rsidRPr="001416ED">
        <w:rPr>
          <w:rFonts w:eastAsiaTheme="minorHAnsi"/>
          <w:kern w:val="11"/>
          <w:lang w:val="uk-UA" w:eastAsia="en-US"/>
        </w:rPr>
        <w:t>/</w:t>
      </w:r>
      <w:r w:rsidR="00387299" w:rsidRPr="00387299">
        <w:rPr>
          <w:rFonts w:eastAsiaTheme="minorHAnsi"/>
          <w:kern w:val="11"/>
          <w:lang w:val="en-US" w:eastAsia="en-US"/>
        </w:rPr>
        <w:t>Asn</w:t>
      </w:r>
      <w:r w:rsidR="00387299" w:rsidRPr="00387299">
        <w:rPr>
          <w:rFonts w:eastAsiaTheme="minorHAnsi"/>
          <w:kern w:val="11"/>
          <w:lang w:val="uk-UA" w:eastAsia="en-US"/>
        </w:rPr>
        <w:t xml:space="preserve"> </w:t>
      </w:r>
      <w:r w:rsidR="00387299">
        <w:rPr>
          <w:rFonts w:eastAsiaTheme="minorHAnsi"/>
          <w:kern w:val="11"/>
          <w:lang w:val="uk-UA" w:eastAsia="en-US"/>
        </w:rPr>
        <w:t xml:space="preserve">та </w:t>
      </w:r>
      <w:r w:rsidR="00387299" w:rsidRPr="00387299">
        <w:rPr>
          <w:rFonts w:eastAsiaTheme="minorHAnsi"/>
          <w:kern w:val="11"/>
          <w:lang w:val="en-US" w:eastAsia="en-US"/>
        </w:rPr>
        <w:t>Asn</w:t>
      </w:r>
      <w:r w:rsidR="00387299" w:rsidRPr="001416ED">
        <w:rPr>
          <w:rFonts w:eastAsiaTheme="minorHAnsi"/>
          <w:kern w:val="11"/>
          <w:lang w:val="uk-UA" w:eastAsia="en-US"/>
        </w:rPr>
        <w:t>/</w:t>
      </w:r>
      <w:r w:rsidR="00387299" w:rsidRPr="00387299">
        <w:rPr>
          <w:rFonts w:eastAsiaTheme="minorHAnsi"/>
          <w:kern w:val="11"/>
          <w:lang w:val="en-US" w:eastAsia="en-US"/>
        </w:rPr>
        <w:t>Asn</w:t>
      </w:r>
      <w:r w:rsidR="00387299">
        <w:rPr>
          <w:rFonts w:eastAsiaTheme="minorHAnsi"/>
          <w:kern w:val="11"/>
          <w:lang w:val="uk-UA" w:eastAsia="en-US"/>
        </w:rPr>
        <w:t>)</w:t>
      </w:r>
      <w:r w:rsidR="00387299" w:rsidRPr="00387299">
        <w:rPr>
          <w:rFonts w:eastAsiaTheme="minorHAnsi"/>
          <w:kern w:val="11"/>
          <w:lang w:val="uk-UA" w:eastAsia="en-US"/>
        </w:rPr>
        <w:t xml:space="preserve"> </w:t>
      </w:r>
      <w:r w:rsidRPr="001416ED">
        <w:rPr>
          <w:rFonts w:eastAsiaTheme="minorHAnsi"/>
          <w:kern w:val="11"/>
          <w:lang w:val="uk-UA" w:eastAsia="en-US"/>
        </w:rPr>
        <w:t>гена ЕТ</w:t>
      </w:r>
      <w:r w:rsidR="00BC0119" w:rsidRPr="001416ED">
        <w:rPr>
          <w:rFonts w:eastAsiaTheme="minorHAnsi"/>
          <w:kern w:val="11"/>
          <w:lang w:val="uk-UA" w:eastAsia="en-US"/>
        </w:rPr>
        <w:t>–</w:t>
      </w:r>
      <w:r w:rsidRPr="001416ED">
        <w:rPr>
          <w:rFonts w:eastAsiaTheme="minorHAnsi"/>
          <w:kern w:val="11"/>
          <w:lang w:val="uk-UA" w:eastAsia="en-US"/>
        </w:rPr>
        <w:t>1.</w:t>
      </w:r>
    </w:p>
    <w:p w:rsidR="008D53F1" w:rsidRPr="001416ED" w:rsidRDefault="00AB1ED8" w:rsidP="008D53F1">
      <w:pPr>
        <w:spacing w:line="360" w:lineRule="auto"/>
        <w:ind w:firstLine="709"/>
        <w:jc w:val="both"/>
        <w:rPr>
          <w:rFonts w:eastAsiaTheme="minorHAnsi"/>
          <w:kern w:val="11"/>
          <w:lang w:val="uk-UA" w:eastAsia="en-US"/>
        </w:rPr>
      </w:pPr>
      <w:r w:rsidRPr="001416ED">
        <w:rPr>
          <w:rFonts w:eastAsiaTheme="minorHAnsi"/>
          <w:kern w:val="11"/>
          <w:lang w:val="uk-UA" w:eastAsia="en-US"/>
        </w:rPr>
        <w:t>Окрім того були розроблені 2 патенти на винаходи «</w:t>
      </w:r>
      <w:r w:rsidR="00D53FB9" w:rsidRPr="001416ED">
        <w:rPr>
          <w:rFonts w:eastAsiaTheme="minorHAnsi"/>
          <w:kern w:val="11"/>
          <w:lang w:val="uk-UA" w:eastAsia="en-US"/>
        </w:rPr>
        <w:t>Спосіб прогнозування ризику розвитку неускладненої гіпертонічної хвороби у чоловіків віком 40-60 років</w:t>
      </w:r>
      <w:r w:rsidRPr="001416ED">
        <w:rPr>
          <w:rFonts w:eastAsiaTheme="minorHAnsi"/>
          <w:kern w:val="11"/>
          <w:lang w:val="uk-UA" w:eastAsia="en-US"/>
        </w:rPr>
        <w:t>» та «</w:t>
      </w:r>
      <w:r w:rsidR="00D53FB9" w:rsidRPr="001416ED">
        <w:rPr>
          <w:rFonts w:eastAsiaTheme="minorHAnsi"/>
          <w:kern w:val="11"/>
          <w:lang w:val="uk-UA" w:eastAsia="en-US"/>
        </w:rPr>
        <w:t>Спосіб прогнозування ризику розвитку хронічної серцевої недостатності на тлі гіпертонічної хвороби у чоловіків 40-60 років</w:t>
      </w:r>
      <w:r w:rsidRPr="001416ED">
        <w:rPr>
          <w:rFonts w:eastAsiaTheme="minorHAnsi"/>
          <w:kern w:val="11"/>
          <w:lang w:val="uk-UA" w:eastAsia="en-US"/>
        </w:rPr>
        <w:t>»</w:t>
      </w:r>
      <w:r w:rsidR="00F44C50" w:rsidRPr="001416ED">
        <w:rPr>
          <w:rFonts w:eastAsiaTheme="minorHAnsi"/>
          <w:kern w:val="11"/>
          <w:lang w:val="uk-UA" w:eastAsia="en-US"/>
        </w:rPr>
        <w:t>.</w:t>
      </w:r>
      <w:r w:rsidR="00C120BE" w:rsidRPr="001416ED">
        <w:rPr>
          <w:rFonts w:eastAsiaTheme="minorHAnsi"/>
          <w:kern w:val="11"/>
          <w:lang w:val="uk-UA" w:eastAsia="en-US"/>
        </w:rPr>
        <w:t xml:space="preserve">  </w:t>
      </w:r>
      <w:r w:rsidR="008D53F1" w:rsidRPr="001416ED">
        <w:rPr>
          <w:rFonts w:eastAsiaTheme="minorHAnsi"/>
          <w:kern w:val="11"/>
          <w:lang w:val="uk-UA" w:eastAsia="en-US"/>
        </w:rPr>
        <w:t>За результатами аналізу 620 відбитків пальців</w:t>
      </w:r>
      <w:r w:rsidR="00C002D9" w:rsidRPr="001416ED">
        <w:rPr>
          <w:rFonts w:eastAsiaTheme="minorHAnsi"/>
          <w:kern w:val="11"/>
          <w:lang w:val="uk-UA" w:eastAsia="en-US"/>
        </w:rPr>
        <w:t xml:space="preserve"> кистей</w:t>
      </w:r>
      <w:r w:rsidR="006410D0" w:rsidRPr="001416ED">
        <w:rPr>
          <w:rFonts w:eastAsiaTheme="minorHAnsi"/>
          <w:kern w:val="11"/>
          <w:lang w:val="uk-UA" w:eastAsia="en-US"/>
        </w:rPr>
        <w:t xml:space="preserve"> у пацієнтів на ГХ ІІ ст.</w:t>
      </w:r>
      <w:r w:rsidR="008D53F1" w:rsidRPr="001416ED">
        <w:rPr>
          <w:rFonts w:eastAsiaTheme="minorHAnsi"/>
          <w:kern w:val="11"/>
          <w:lang w:val="uk-UA" w:eastAsia="en-US"/>
        </w:rPr>
        <w:t xml:space="preserve">, 430 відбитків пацієнтів з </w:t>
      </w:r>
      <w:r w:rsidR="00C34030" w:rsidRPr="001416ED">
        <w:rPr>
          <w:rFonts w:eastAsiaTheme="minorHAnsi"/>
          <w:kern w:val="11"/>
          <w:lang w:val="uk-UA" w:eastAsia="en-US"/>
        </w:rPr>
        <w:t xml:space="preserve">ГХ ІІІ ст. </w:t>
      </w:r>
      <w:r w:rsidR="008D53F1" w:rsidRPr="001416ED">
        <w:rPr>
          <w:rFonts w:eastAsiaTheme="minorHAnsi"/>
          <w:kern w:val="11"/>
          <w:lang w:val="uk-UA" w:eastAsia="en-US"/>
        </w:rPr>
        <w:t xml:space="preserve">та 790 відбитків пальців у представників </w:t>
      </w:r>
      <w:r w:rsidR="00C120BE" w:rsidRPr="001416ED">
        <w:rPr>
          <w:rFonts w:eastAsiaTheme="minorHAnsi"/>
          <w:kern w:val="11"/>
          <w:lang w:val="uk-UA" w:eastAsia="en-US"/>
        </w:rPr>
        <w:t xml:space="preserve">контрольної групи </w:t>
      </w:r>
      <w:r w:rsidR="008D53F1" w:rsidRPr="001416ED">
        <w:rPr>
          <w:rFonts w:eastAsiaTheme="minorHAnsi"/>
          <w:kern w:val="11"/>
          <w:lang w:val="uk-UA" w:eastAsia="en-US"/>
        </w:rPr>
        <w:t>чоловічої статі у віці 40</w:t>
      </w:r>
      <w:r w:rsidR="00BC0119" w:rsidRPr="001416ED">
        <w:rPr>
          <w:rFonts w:eastAsiaTheme="minorHAnsi"/>
          <w:kern w:val="11"/>
          <w:lang w:val="uk-UA" w:eastAsia="en-US"/>
        </w:rPr>
        <w:t>–</w:t>
      </w:r>
      <w:r w:rsidR="008D53F1" w:rsidRPr="001416ED">
        <w:rPr>
          <w:rFonts w:eastAsiaTheme="minorHAnsi"/>
          <w:kern w:val="11"/>
          <w:lang w:val="uk-UA" w:eastAsia="en-US"/>
        </w:rPr>
        <w:t>60 років</w:t>
      </w:r>
      <w:r w:rsidR="006410D0" w:rsidRPr="001416ED">
        <w:rPr>
          <w:rFonts w:eastAsiaTheme="minorHAnsi"/>
          <w:kern w:val="11"/>
          <w:lang w:val="uk-UA" w:eastAsia="en-US"/>
        </w:rPr>
        <w:t>,</w:t>
      </w:r>
      <w:r w:rsidR="008D53F1" w:rsidRPr="001416ED">
        <w:rPr>
          <w:rFonts w:eastAsiaTheme="minorHAnsi"/>
          <w:kern w:val="11"/>
          <w:lang w:val="uk-UA" w:eastAsia="en-US"/>
        </w:rPr>
        <w:t xml:space="preserve"> був проведений дискримінантний аналіз і створені математичні формули прогнозу ризику розвитку захворюван</w:t>
      </w:r>
      <w:r w:rsidR="00387299">
        <w:rPr>
          <w:rFonts w:eastAsiaTheme="minorHAnsi"/>
          <w:kern w:val="11"/>
          <w:lang w:val="uk-UA" w:eastAsia="en-US"/>
        </w:rPr>
        <w:t>ь</w:t>
      </w:r>
      <w:r w:rsidR="008D53F1" w:rsidRPr="001416ED">
        <w:rPr>
          <w:rFonts w:eastAsiaTheme="minorHAnsi"/>
          <w:kern w:val="11"/>
          <w:lang w:val="uk-UA" w:eastAsia="en-US"/>
        </w:rPr>
        <w:t>.</w:t>
      </w:r>
    </w:p>
    <w:p w:rsidR="00CF3177" w:rsidRPr="001416ED" w:rsidRDefault="00AB1ED8" w:rsidP="00CF3177">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Перший спосіб передбачає визначення дерматогліфічних ознак пальців </w:t>
      </w:r>
      <w:r w:rsidR="00900361" w:rsidRPr="001416ED">
        <w:rPr>
          <w:rFonts w:eastAsiaTheme="minorHAnsi"/>
          <w:kern w:val="11"/>
          <w:lang w:val="uk-UA" w:eastAsia="en-US"/>
        </w:rPr>
        <w:t>кистей</w:t>
      </w:r>
      <w:r w:rsidRPr="001416ED">
        <w:rPr>
          <w:rFonts w:eastAsiaTheme="minorHAnsi"/>
          <w:kern w:val="11"/>
          <w:lang w:val="uk-UA" w:eastAsia="en-US"/>
        </w:rPr>
        <w:t xml:space="preserve">, наявність обтяженої спадковості по ГХ, визначають індивідуальні фактори ризику розвитку ГХ – </w:t>
      </w:r>
      <w:r w:rsidR="00F44C50" w:rsidRPr="001416ED">
        <w:rPr>
          <w:rFonts w:eastAsiaTheme="minorHAnsi"/>
          <w:kern w:val="11"/>
          <w:lang w:val="uk-UA" w:eastAsia="en-US"/>
        </w:rPr>
        <w:t xml:space="preserve">вік, </w:t>
      </w:r>
      <w:r w:rsidRPr="001416ED">
        <w:rPr>
          <w:rFonts w:eastAsiaTheme="minorHAnsi"/>
          <w:kern w:val="11"/>
          <w:lang w:val="uk-UA" w:eastAsia="en-US"/>
        </w:rPr>
        <w:t xml:space="preserve">паління, вагу, зріст, ІМТ, отримують дерматогліфічні </w:t>
      </w:r>
      <w:r w:rsidR="006410D0" w:rsidRPr="001416ED">
        <w:rPr>
          <w:rFonts w:eastAsiaTheme="minorHAnsi"/>
          <w:kern w:val="11"/>
          <w:lang w:val="uk-UA" w:eastAsia="en-US"/>
        </w:rPr>
        <w:t>малюнки з другого пальця ПК</w:t>
      </w:r>
      <w:r w:rsidRPr="001416ED">
        <w:rPr>
          <w:rFonts w:eastAsiaTheme="minorHAnsi"/>
          <w:kern w:val="11"/>
          <w:lang w:val="uk-UA" w:eastAsia="en-US"/>
        </w:rPr>
        <w:t xml:space="preserve">, третього і четвертого пальців </w:t>
      </w:r>
      <w:r w:rsidR="006410D0" w:rsidRPr="001416ED">
        <w:rPr>
          <w:rFonts w:eastAsiaTheme="minorHAnsi"/>
          <w:kern w:val="11"/>
          <w:lang w:val="uk-UA" w:eastAsia="en-US"/>
        </w:rPr>
        <w:t>ЛК</w:t>
      </w:r>
      <w:r w:rsidRPr="001416ED">
        <w:rPr>
          <w:rFonts w:eastAsiaTheme="minorHAnsi"/>
          <w:kern w:val="11"/>
          <w:lang w:val="uk-UA" w:eastAsia="en-US"/>
        </w:rPr>
        <w:t xml:space="preserve">, та </w:t>
      </w:r>
      <w:r w:rsidR="00D01177" w:rsidRPr="001416ED">
        <w:rPr>
          <w:rFonts w:eastAsiaTheme="minorHAnsi"/>
          <w:kern w:val="11"/>
          <w:lang w:val="uk-UA" w:eastAsia="en-US"/>
        </w:rPr>
        <w:t>ГР</w:t>
      </w:r>
      <w:r w:rsidRPr="001416ED">
        <w:rPr>
          <w:rFonts w:eastAsiaTheme="minorHAnsi"/>
          <w:kern w:val="11"/>
          <w:lang w:val="uk-UA" w:eastAsia="en-US"/>
        </w:rPr>
        <w:t xml:space="preserve"> з другого пальця </w:t>
      </w:r>
      <w:r w:rsidR="006410D0" w:rsidRPr="001416ED">
        <w:rPr>
          <w:rFonts w:eastAsiaTheme="minorHAnsi"/>
          <w:kern w:val="11"/>
          <w:lang w:val="uk-UA" w:eastAsia="en-US"/>
        </w:rPr>
        <w:t>ПК</w:t>
      </w:r>
      <w:r w:rsidRPr="001416ED">
        <w:rPr>
          <w:rFonts w:eastAsiaTheme="minorHAnsi"/>
          <w:kern w:val="11"/>
          <w:lang w:val="uk-UA" w:eastAsia="en-US"/>
        </w:rPr>
        <w:t xml:space="preserve"> та першого пальця </w:t>
      </w:r>
      <w:r w:rsidR="006410D0" w:rsidRPr="001416ED">
        <w:rPr>
          <w:rFonts w:eastAsiaTheme="minorHAnsi"/>
          <w:kern w:val="11"/>
          <w:lang w:val="uk-UA" w:eastAsia="en-US"/>
        </w:rPr>
        <w:t>ЛК</w:t>
      </w:r>
      <w:r w:rsidRPr="001416ED">
        <w:rPr>
          <w:rFonts w:eastAsiaTheme="minorHAnsi"/>
          <w:kern w:val="11"/>
          <w:lang w:val="uk-UA" w:eastAsia="en-US"/>
        </w:rPr>
        <w:t xml:space="preserve"> за допомогою прокатного електронного сканера та прогнозують ризик/антиризик розвитку ГХ </w:t>
      </w:r>
      <w:r w:rsidR="007B3240" w:rsidRPr="001416ED">
        <w:rPr>
          <w:rFonts w:eastAsiaTheme="minorHAnsi"/>
          <w:kern w:val="11"/>
          <w:lang w:val="uk-UA" w:eastAsia="en-US"/>
        </w:rPr>
        <w:t xml:space="preserve">ІІ ст. </w:t>
      </w:r>
      <w:r w:rsidRPr="001416ED">
        <w:rPr>
          <w:rFonts w:eastAsiaTheme="minorHAnsi"/>
          <w:kern w:val="11"/>
          <w:lang w:val="uk-UA" w:eastAsia="en-US"/>
        </w:rPr>
        <w:t>за допомогою формул лінійної дискрімінатної функції.</w:t>
      </w:r>
    </w:p>
    <w:p w:rsidR="00AB1ED8" w:rsidRPr="001416ED" w:rsidRDefault="00AB1ED8" w:rsidP="00CF3177">
      <w:pPr>
        <w:spacing w:line="360" w:lineRule="auto"/>
        <w:ind w:firstLine="709"/>
        <w:jc w:val="both"/>
        <w:rPr>
          <w:rFonts w:eastAsiaTheme="minorHAnsi"/>
          <w:kern w:val="11"/>
          <w:lang w:val="uk-UA" w:eastAsia="en-US"/>
        </w:rPr>
      </w:pPr>
      <w:r w:rsidRPr="001416ED">
        <w:rPr>
          <w:rFonts w:eastAsiaTheme="minorHAnsi"/>
          <w:kern w:val="11"/>
          <w:lang w:val="uk-UA" w:eastAsia="en-US"/>
        </w:rPr>
        <w:t>Формули прогнозу ризику/антиризику розвитку неускладненої ГХ мають наступний вигляд:</w:t>
      </w:r>
    </w:p>
    <w:p w:rsidR="00AB1ED8" w:rsidRPr="001416ED" w:rsidRDefault="00AB1ED8" w:rsidP="00AB1ED8">
      <w:pPr>
        <w:spacing w:line="360" w:lineRule="auto"/>
        <w:ind w:firstLine="709"/>
        <w:jc w:val="both"/>
        <w:rPr>
          <w:rFonts w:eastAsiaTheme="minorHAnsi"/>
          <w:kern w:val="11"/>
          <w:lang w:val="en-US" w:eastAsia="en-US"/>
        </w:rPr>
      </w:pPr>
      <w:r w:rsidRPr="001416ED">
        <w:rPr>
          <w:rFonts w:eastAsiaTheme="minorHAnsi"/>
          <w:kern w:val="11"/>
          <w:lang w:val="en-US" w:eastAsia="en-US"/>
        </w:rPr>
        <w:t>Y</w:t>
      </w:r>
      <w:r w:rsidRPr="001416ED">
        <w:rPr>
          <w:rFonts w:eastAsiaTheme="minorHAnsi"/>
          <w:kern w:val="11"/>
          <w:vertAlign w:val="subscript"/>
          <w:lang w:val="uk-UA" w:eastAsia="en-US"/>
        </w:rPr>
        <w:t>1</w:t>
      </w:r>
      <w:r w:rsidRPr="001416ED">
        <w:rPr>
          <w:rFonts w:eastAsiaTheme="minorHAnsi"/>
          <w:kern w:val="11"/>
          <w:lang w:val="uk-UA" w:eastAsia="en-US"/>
        </w:rPr>
        <w:t>=</w:t>
      </w:r>
      <w:r w:rsidR="00BC0119" w:rsidRPr="001416ED">
        <w:rPr>
          <w:rFonts w:eastAsiaTheme="minorHAnsi"/>
          <w:kern w:val="11"/>
          <w:lang w:val="uk-UA" w:eastAsia="en-US"/>
        </w:rPr>
        <w:t>–</w:t>
      </w:r>
      <w:r w:rsidRPr="001416ED">
        <w:rPr>
          <w:rFonts w:eastAsiaTheme="minorHAnsi"/>
          <w:kern w:val="11"/>
          <w:lang w:val="uk-UA" w:eastAsia="en-US"/>
        </w:rPr>
        <w:t>1308+0,23</w:t>
      </w:r>
      <w:r w:rsidRPr="001416ED">
        <w:rPr>
          <w:rFonts w:eastAsiaTheme="minorHAnsi"/>
          <w:kern w:val="11"/>
          <w:lang w:val="en-US" w:eastAsia="en-US"/>
        </w:rPr>
        <w:t>VIK</w:t>
      </w:r>
      <w:r w:rsidR="00BC0119" w:rsidRPr="001416ED">
        <w:rPr>
          <w:rFonts w:eastAsiaTheme="minorHAnsi"/>
          <w:kern w:val="11"/>
          <w:lang w:val="uk-UA" w:eastAsia="en-US"/>
        </w:rPr>
        <w:t>–</w:t>
      </w:r>
      <w:r w:rsidRPr="001416ED">
        <w:rPr>
          <w:rFonts w:eastAsiaTheme="minorHAnsi"/>
          <w:kern w:val="11"/>
          <w:lang w:val="uk-UA" w:eastAsia="en-US"/>
        </w:rPr>
        <w:t>11,03</w:t>
      </w:r>
      <w:r w:rsidRPr="001416ED">
        <w:rPr>
          <w:rFonts w:eastAsiaTheme="minorHAnsi"/>
          <w:kern w:val="11"/>
          <w:lang w:val="en-US" w:eastAsia="en-US"/>
        </w:rPr>
        <w:t>VAGA</w:t>
      </w:r>
      <w:r w:rsidRPr="001416ED">
        <w:rPr>
          <w:rFonts w:eastAsiaTheme="minorHAnsi"/>
          <w:kern w:val="11"/>
          <w:lang w:val="uk-UA" w:eastAsia="en-US"/>
        </w:rPr>
        <w:t>+15,13</w:t>
      </w:r>
      <w:r w:rsidRPr="001416ED">
        <w:rPr>
          <w:rFonts w:eastAsiaTheme="minorHAnsi"/>
          <w:kern w:val="11"/>
          <w:lang w:val="en-US" w:eastAsia="en-US"/>
        </w:rPr>
        <w:t>ZRIST</w:t>
      </w:r>
      <w:r w:rsidRPr="001416ED">
        <w:rPr>
          <w:rFonts w:eastAsiaTheme="minorHAnsi"/>
          <w:kern w:val="11"/>
          <w:lang w:val="uk-UA" w:eastAsia="en-US"/>
        </w:rPr>
        <w:t>+32,55</w:t>
      </w:r>
      <w:r w:rsidRPr="001416ED">
        <w:rPr>
          <w:rFonts w:eastAsiaTheme="minorHAnsi"/>
          <w:kern w:val="11"/>
          <w:lang w:val="en-US" w:eastAsia="en-US"/>
        </w:rPr>
        <w:t>IMT</w:t>
      </w:r>
      <w:r w:rsidRPr="001416ED">
        <w:rPr>
          <w:rFonts w:eastAsiaTheme="minorHAnsi"/>
          <w:kern w:val="11"/>
          <w:lang w:val="uk-UA" w:eastAsia="en-US"/>
        </w:rPr>
        <w:t>+14,85</w:t>
      </w:r>
      <w:r w:rsidRPr="001416ED">
        <w:rPr>
          <w:rFonts w:eastAsiaTheme="minorHAnsi"/>
          <w:kern w:val="11"/>
          <w:lang w:val="en-US" w:eastAsia="en-US"/>
        </w:rPr>
        <w:t>PALIN</w:t>
      </w:r>
      <w:r w:rsidR="00BC0119" w:rsidRPr="001416ED">
        <w:rPr>
          <w:rFonts w:eastAsiaTheme="minorHAnsi"/>
          <w:kern w:val="11"/>
          <w:lang w:val="uk-UA" w:eastAsia="en-US"/>
        </w:rPr>
        <w:t>–</w:t>
      </w:r>
      <w:r w:rsidRPr="001416ED">
        <w:rPr>
          <w:rFonts w:eastAsiaTheme="minorHAnsi"/>
          <w:kern w:val="11"/>
          <w:lang w:val="uk-UA" w:eastAsia="en-US"/>
        </w:rPr>
        <w:t>6,61</w:t>
      </w:r>
      <w:r w:rsidRPr="001416ED">
        <w:rPr>
          <w:rFonts w:eastAsiaTheme="minorHAnsi"/>
          <w:kern w:val="11"/>
          <w:lang w:val="en-US" w:eastAsia="en-US"/>
        </w:rPr>
        <w:t>SPADK</w:t>
      </w:r>
      <w:r w:rsidRPr="001416ED">
        <w:rPr>
          <w:rFonts w:eastAsiaTheme="minorHAnsi"/>
          <w:kern w:val="11"/>
          <w:lang w:val="uk-UA" w:eastAsia="en-US"/>
        </w:rPr>
        <w:t>+1,45</w:t>
      </w:r>
      <w:r w:rsidRPr="001416ED">
        <w:rPr>
          <w:rFonts w:eastAsiaTheme="minorHAnsi"/>
          <w:kern w:val="11"/>
          <w:lang w:val="en-US" w:eastAsia="en-US"/>
        </w:rPr>
        <w:t>GR</w:t>
      </w:r>
      <w:r w:rsidRPr="001416ED">
        <w:rPr>
          <w:rFonts w:eastAsiaTheme="minorHAnsi"/>
          <w:kern w:val="11"/>
          <w:lang w:val="uk-UA" w:eastAsia="en-US"/>
        </w:rPr>
        <w:t>2</w:t>
      </w:r>
      <w:r w:rsidRPr="001416ED">
        <w:rPr>
          <w:rFonts w:eastAsiaTheme="minorHAnsi"/>
          <w:kern w:val="11"/>
          <w:lang w:val="en-US" w:eastAsia="en-US"/>
        </w:rPr>
        <w:t>D</w:t>
      </w:r>
      <w:r w:rsidR="00BC0119" w:rsidRPr="001416ED">
        <w:rPr>
          <w:rFonts w:eastAsiaTheme="minorHAnsi"/>
          <w:kern w:val="11"/>
          <w:lang w:val="uk-UA" w:eastAsia="en-US"/>
        </w:rPr>
        <w:t>–</w:t>
      </w:r>
      <w:r w:rsidRPr="001416ED">
        <w:rPr>
          <w:rFonts w:eastAsiaTheme="minorHAnsi"/>
          <w:kern w:val="11"/>
          <w:lang w:val="uk-UA" w:eastAsia="en-US"/>
        </w:rPr>
        <w:t>0,87</w:t>
      </w:r>
      <w:r w:rsidRPr="001416ED">
        <w:rPr>
          <w:rFonts w:eastAsiaTheme="minorHAnsi"/>
          <w:kern w:val="11"/>
          <w:lang w:val="en-US" w:eastAsia="en-US"/>
        </w:rPr>
        <w:t>GR</w:t>
      </w:r>
      <w:r w:rsidRPr="001416ED">
        <w:rPr>
          <w:rFonts w:eastAsiaTheme="minorHAnsi"/>
          <w:kern w:val="11"/>
          <w:lang w:val="uk-UA" w:eastAsia="en-US"/>
        </w:rPr>
        <w:t>1</w:t>
      </w:r>
      <w:r w:rsidRPr="001416ED">
        <w:rPr>
          <w:rFonts w:eastAsiaTheme="minorHAnsi"/>
          <w:kern w:val="11"/>
          <w:lang w:val="en-US" w:eastAsia="en-US"/>
        </w:rPr>
        <w:t>S</w:t>
      </w:r>
      <w:r w:rsidRPr="001416ED">
        <w:rPr>
          <w:rFonts w:eastAsiaTheme="minorHAnsi"/>
          <w:kern w:val="11"/>
          <w:lang w:val="uk-UA" w:eastAsia="en-US"/>
        </w:rPr>
        <w:t>+25,85</w:t>
      </w:r>
      <w:r w:rsidRPr="001416ED">
        <w:rPr>
          <w:rFonts w:eastAsiaTheme="minorHAnsi"/>
          <w:kern w:val="11"/>
          <w:lang w:val="en-US" w:eastAsia="en-US"/>
        </w:rPr>
        <w:t>D</w:t>
      </w:r>
      <w:r w:rsidRPr="001416ED">
        <w:rPr>
          <w:rFonts w:eastAsiaTheme="minorHAnsi"/>
          <w:kern w:val="11"/>
          <w:lang w:val="uk-UA" w:eastAsia="en-US"/>
        </w:rPr>
        <w:t>2</w:t>
      </w:r>
      <w:r w:rsidRPr="001416ED">
        <w:rPr>
          <w:rFonts w:eastAsiaTheme="minorHAnsi"/>
          <w:kern w:val="11"/>
          <w:lang w:val="en-US" w:eastAsia="en-US"/>
        </w:rPr>
        <w:t>A</w:t>
      </w:r>
      <w:r w:rsidR="00BC0119" w:rsidRPr="001416ED">
        <w:rPr>
          <w:rFonts w:eastAsiaTheme="minorHAnsi"/>
          <w:kern w:val="11"/>
          <w:lang w:val="uk-UA" w:eastAsia="en-US"/>
        </w:rPr>
        <w:t>–</w:t>
      </w:r>
      <w:r w:rsidRPr="001416ED">
        <w:rPr>
          <w:rFonts w:eastAsiaTheme="minorHAnsi"/>
          <w:kern w:val="11"/>
          <w:lang w:val="uk-UA" w:eastAsia="en-US"/>
        </w:rPr>
        <w:t>0,66</w:t>
      </w: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+19,11</w:t>
      </w:r>
      <w:r w:rsidRPr="001416ED">
        <w:rPr>
          <w:rFonts w:eastAsiaTheme="minorHAnsi"/>
          <w:kern w:val="11"/>
          <w:lang w:val="en-US" w:eastAsia="en-US"/>
        </w:rPr>
        <w:t>S</w:t>
      </w:r>
      <w:r w:rsidRPr="001416ED">
        <w:rPr>
          <w:rFonts w:eastAsiaTheme="minorHAnsi"/>
          <w:kern w:val="11"/>
          <w:lang w:val="uk-UA" w:eastAsia="en-US"/>
        </w:rPr>
        <w:t>4</w:t>
      </w:r>
      <w:r w:rsidRPr="001416ED">
        <w:rPr>
          <w:rFonts w:eastAsiaTheme="minorHAnsi"/>
          <w:kern w:val="11"/>
          <w:lang w:val="en-US" w:eastAsia="en-US"/>
        </w:rPr>
        <w:t>U</w:t>
      </w:r>
    </w:p>
    <w:p w:rsidR="00AB1ED8" w:rsidRPr="001416ED" w:rsidRDefault="00AB1ED8" w:rsidP="00AB1ED8">
      <w:pPr>
        <w:spacing w:line="360" w:lineRule="auto"/>
        <w:ind w:firstLine="709"/>
        <w:jc w:val="both"/>
        <w:rPr>
          <w:rFonts w:eastAsiaTheme="minorHAnsi"/>
          <w:kern w:val="11"/>
          <w:lang w:val="uk-UA" w:eastAsia="en-US"/>
        </w:rPr>
      </w:pPr>
      <w:r w:rsidRPr="001416ED">
        <w:rPr>
          <w:rFonts w:eastAsiaTheme="minorHAnsi"/>
          <w:kern w:val="11"/>
          <w:lang w:val="en-US" w:eastAsia="en-US"/>
        </w:rPr>
        <w:t>Y</w:t>
      </w:r>
      <w:r w:rsidRPr="001416ED">
        <w:rPr>
          <w:rFonts w:eastAsiaTheme="minorHAnsi"/>
          <w:kern w:val="11"/>
          <w:vertAlign w:val="subscript"/>
          <w:lang w:val="en-US" w:eastAsia="en-US"/>
        </w:rPr>
        <w:t>2</w:t>
      </w:r>
      <w:r w:rsidRPr="001416ED">
        <w:rPr>
          <w:rFonts w:eastAsiaTheme="minorHAnsi"/>
          <w:kern w:val="11"/>
          <w:lang w:val="en-US" w:eastAsia="en-US"/>
        </w:rPr>
        <w:t>=</w:t>
      </w:r>
      <w:r w:rsidR="00BC0119" w:rsidRPr="001416ED">
        <w:rPr>
          <w:rFonts w:eastAsiaTheme="minorHAnsi"/>
          <w:kern w:val="11"/>
          <w:lang w:val="en-US" w:eastAsia="en-US"/>
        </w:rPr>
        <w:t>–</w:t>
      </w:r>
      <w:r w:rsidRPr="001416ED">
        <w:rPr>
          <w:rFonts w:eastAsiaTheme="minorHAnsi"/>
          <w:kern w:val="11"/>
          <w:lang w:val="en-US" w:eastAsia="en-US"/>
        </w:rPr>
        <w:t>1319+0,24VIK</w:t>
      </w:r>
      <w:r w:rsidR="00BC0119" w:rsidRPr="001416ED">
        <w:rPr>
          <w:rFonts w:eastAsiaTheme="minorHAnsi"/>
          <w:kern w:val="11"/>
          <w:lang w:val="en-US" w:eastAsia="en-US"/>
        </w:rPr>
        <w:t>–</w:t>
      </w:r>
      <w:r w:rsidRPr="001416ED">
        <w:rPr>
          <w:rFonts w:eastAsiaTheme="minorHAnsi"/>
          <w:kern w:val="11"/>
          <w:lang w:val="en-US" w:eastAsia="en-US"/>
        </w:rPr>
        <w:t>10,98VAGA+15,17ZRIST+32,8IMT+14,04PALIN</w:t>
      </w:r>
      <w:r w:rsidR="00BC0119" w:rsidRPr="001416ED">
        <w:rPr>
          <w:rFonts w:eastAsiaTheme="minorHAnsi"/>
          <w:kern w:val="11"/>
          <w:lang w:val="en-US" w:eastAsia="en-US"/>
        </w:rPr>
        <w:t>–</w:t>
      </w:r>
      <w:r w:rsidRPr="001416ED">
        <w:rPr>
          <w:rFonts w:eastAsiaTheme="minorHAnsi"/>
          <w:kern w:val="11"/>
          <w:lang w:val="en-US" w:eastAsia="en-US"/>
        </w:rPr>
        <w:t>4,93SPADK+1,21GR2D</w:t>
      </w:r>
      <w:r w:rsidR="00BC0119" w:rsidRPr="001416ED">
        <w:rPr>
          <w:rFonts w:eastAsiaTheme="minorHAnsi"/>
          <w:kern w:val="11"/>
          <w:lang w:val="en-US" w:eastAsia="en-US"/>
        </w:rPr>
        <w:t>–</w:t>
      </w:r>
      <w:r w:rsidRPr="001416ED">
        <w:rPr>
          <w:rFonts w:eastAsiaTheme="minorHAnsi"/>
          <w:kern w:val="11"/>
          <w:lang w:val="en-US" w:eastAsia="en-US"/>
        </w:rPr>
        <w:t>0,99GR1S+21,85D2A</w:t>
      </w:r>
      <w:r w:rsidR="00BC0119" w:rsidRPr="001416ED">
        <w:rPr>
          <w:rFonts w:eastAsiaTheme="minorHAnsi"/>
          <w:kern w:val="11"/>
          <w:lang w:val="en-US" w:eastAsia="en-US"/>
        </w:rPr>
        <w:t>–</w:t>
      </w:r>
      <w:r w:rsidRPr="001416ED">
        <w:rPr>
          <w:rFonts w:eastAsiaTheme="minorHAnsi"/>
          <w:kern w:val="11"/>
          <w:lang w:val="en-US" w:eastAsia="en-US"/>
        </w:rPr>
        <w:t>1,73S3W+17,41S4U</w:t>
      </w:r>
      <w:r w:rsidRPr="001416ED">
        <w:rPr>
          <w:rFonts w:eastAsiaTheme="minorHAnsi"/>
          <w:kern w:val="11"/>
          <w:lang w:val="uk-UA" w:eastAsia="en-US"/>
        </w:rPr>
        <w:t>,</w:t>
      </w:r>
    </w:p>
    <w:p w:rsidR="00AB1ED8" w:rsidRPr="001416ED" w:rsidRDefault="00AB1ED8" w:rsidP="00AB1ED8">
      <w:pPr>
        <w:spacing w:line="360" w:lineRule="auto"/>
        <w:jc w:val="both"/>
        <w:rPr>
          <w:rFonts w:eastAsiaTheme="minorHAnsi"/>
          <w:kern w:val="11"/>
          <w:lang w:val="uk-UA" w:eastAsia="en-US"/>
        </w:rPr>
      </w:pPr>
      <w:r w:rsidRPr="001416ED">
        <w:rPr>
          <w:rFonts w:eastAsiaTheme="minorHAnsi"/>
          <w:kern w:val="11"/>
          <w:lang w:val="uk-UA" w:eastAsia="en-US"/>
        </w:rPr>
        <w:lastRenderedPageBreak/>
        <w:t xml:space="preserve"> де </w:t>
      </w:r>
      <w:r w:rsidRPr="001416ED">
        <w:rPr>
          <w:rFonts w:eastAsiaTheme="minorHAnsi"/>
          <w:kern w:val="11"/>
          <w:lang w:val="en-US" w:eastAsia="en-US"/>
        </w:rPr>
        <w:t>Y</w:t>
      </w:r>
      <w:r w:rsidRPr="001416ED">
        <w:rPr>
          <w:rFonts w:eastAsiaTheme="minorHAnsi"/>
          <w:kern w:val="11"/>
          <w:vertAlign w:val="subscript"/>
          <w:lang w:val="uk-UA" w:eastAsia="en-US"/>
        </w:rPr>
        <w:t xml:space="preserve">1 </w:t>
      </w:r>
      <w:r w:rsidRPr="001416ED">
        <w:rPr>
          <w:rFonts w:eastAsiaTheme="minorHAnsi"/>
          <w:kern w:val="11"/>
          <w:lang w:val="uk-UA" w:eastAsia="en-US"/>
        </w:rPr>
        <w:t>– здорові особи</w:t>
      </w:r>
    </w:p>
    <w:p w:rsidR="00AB1ED8" w:rsidRPr="001416ED" w:rsidRDefault="00AB1ED8" w:rsidP="00AB1ED8">
      <w:pPr>
        <w:spacing w:line="360" w:lineRule="auto"/>
        <w:jc w:val="both"/>
        <w:rPr>
          <w:rFonts w:eastAsiaTheme="minorHAnsi"/>
          <w:kern w:val="11"/>
          <w:lang w:val="uk-UA" w:eastAsia="en-US"/>
        </w:rPr>
      </w:pPr>
      <w:r w:rsidRPr="001416ED">
        <w:rPr>
          <w:rFonts w:eastAsiaTheme="minorHAnsi"/>
          <w:kern w:val="11"/>
          <w:lang w:val="en-US" w:eastAsia="en-US"/>
        </w:rPr>
        <w:t>Y</w:t>
      </w:r>
      <w:r w:rsidRPr="001416ED">
        <w:rPr>
          <w:rFonts w:eastAsiaTheme="minorHAnsi"/>
          <w:kern w:val="11"/>
          <w:vertAlign w:val="subscript"/>
          <w:lang w:val="uk-UA" w:eastAsia="en-US"/>
        </w:rPr>
        <w:t xml:space="preserve">2 </w:t>
      </w:r>
      <w:r w:rsidRPr="001416ED">
        <w:rPr>
          <w:rFonts w:eastAsiaTheme="minorHAnsi"/>
          <w:kern w:val="11"/>
          <w:lang w:val="uk-UA" w:eastAsia="en-US"/>
        </w:rPr>
        <w:t>– хворі на ГХ ІІ ст</w:t>
      </w:r>
      <w:r w:rsidR="006410D0" w:rsidRPr="001416ED">
        <w:rPr>
          <w:rFonts w:eastAsiaTheme="minorHAnsi"/>
          <w:kern w:val="11"/>
          <w:lang w:val="uk-UA" w:eastAsia="en-US"/>
        </w:rPr>
        <w:t>.</w:t>
      </w:r>
    </w:p>
    <w:p w:rsidR="00AB1ED8" w:rsidRPr="001416ED" w:rsidRDefault="00AB1ED8" w:rsidP="00AB1ED8">
      <w:pPr>
        <w:spacing w:line="360" w:lineRule="auto"/>
        <w:jc w:val="both"/>
        <w:rPr>
          <w:rFonts w:eastAsiaTheme="minorHAnsi"/>
          <w:kern w:val="11"/>
          <w:lang w:val="uk-UA" w:eastAsia="en-US"/>
        </w:rPr>
      </w:pPr>
      <w:r w:rsidRPr="001416ED">
        <w:rPr>
          <w:rFonts w:eastAsiaTheme="minorHAnsi"/>
          <w:kern w:val="11"/>
          <w:lang w:val="en-US" w:eastAsia="en-US"/>
        </w:rPr>
        <w:t>VIK</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вік пацієнта</w:t>
      </w:r>
    </w:p>
    <w:p w:rsidR="00AB1ED8" w:rsidRPr="001416ED" w:rsidRDefault="00AB1ED8" w:rsidP="00AB1ED8">
      <w:pPr>
        <w:spacing w:line="360" w:lineRule="auto"/>
        <w:jc w:val="both"/>
        <w:rPr>
          <w:rFonts w:eastAsiaTheme="minorHAnsi"/>
          <w:kern w:val="11"/>
          <w:lang w:val="uk-UA" w:eastAsia="en-US"/>
        </w:rPr>
      </w:pPr>
      <w:r w:rsidRPr="001416ED">
        <w:rPr>
          <w:rFonts w:eastAsiaTheme="minorHAnsi"/>
          <w:kern w:val="11"/>
          <w:lang w:val="en-US" w:eastAsia="en-US"/>
        </w:rPr>
        <w:t>VAGA</w:t>
      </w:r>
      <w:r w:rsidRPr="001416ED">
        <w:rPr>
          <w:rFonts w:eastAsiaTheme="minorHAnsi"/>
          <w:kern w:val="11"/>
          <w:lang w:val="uk-UA" w:eastAsia="en-US"/>
        </w:rPr>
        <w:t xml:space="preserve"> – вага пацієнта</w:t>
      </w:r>
    </w:p>
    <w:p w:rsidR="00AB1ED8" w:rsidRPr="001416ED" w:rsidRDefault="00AB1ED8" w:rsidP="00AB1ED8">
      <w:pPr>
        <w:spacing w:line="360" w:lineRule="auto"/>
        <w:jc w:val="both"/>
        <w:rPr>
          <w:rFonts w:eastAsiaTheme="minorHAnsi"/>
          <w:kern w:val="11"/>
          <w:lang w:val="uk-UA" w:eastAsia="en-US"/>
        </w:rPr>
      </w:pPr>
      <w:r w:rsidRPr="001416ED">
        <w:rPr>
          <w:rFonts w:eastAsiaTheme="minorHAnsi"/>
          <w:kern w:val="11"/>
          <w:lang w:val="en-US" w:eastAsia="en-US"/>
        </w:rPr>
        <w:t>ZRIST</w:t>
      </w:r>
      <w:r w:rsidRPr="001416ED">
        <w:rPr>
          <w:rFonts w:eastAsiaTheme="minorHAnsi"/>
          <w:kern w:val="11"/>
          <w:lang w:val="uk-UA" w:eastAsia="en-US"/>
        </w:rPr>
        <w:t xml:space="preserve"> – зріст пацієнта</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IMT</w:t>
      </w:r>
      <w:r w:rsidRPr="001416ED">
        <w:rPr>
          <w:rFonts w:eastAsiaTheme="minorHAnsi"/>
          <w:kern w:val="11"/>
          <w:lang w:val="uk-UA" w:eastAsia="en-US"/>
        </w:rPr>
        <w:t xml:space="preserve"> – індекс маси тіла</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PALIN</w:t>
      </w:r>
      <w:r w:rsidRPr="001416ED">
        <w:rPr>
          <w:rFonts w:eastAsiaTheme="minorHAnsi"/>
          <w:kern w:val="11"/>
          <w:lang w:val="uk-UA" w:eastAsia="en-US"/>
        </w:rPr>
        <w:t xml:space="preserve"> – якщо пацієнт палить, підставляємо замість </w:t>
      </w:r>
      <w:r w:rsidRPr="001416ED">
        <w:rPr>
          <w:rFonts w:eastAsiaTheme="minorHAnsi"/>
          <w:kern w:val="11"/>
          <w:lang w:val="en-US" w:eastAsia="en-US"/>
        </w:rPr>
        <w:t>PALIN</w:t>
      </w:r>
      <w:r w:rsidRPr="001416ED">
        <w:rPr>
          <w:rFonts w:eastAsiaTheme="minorHAnsi"/>
          <w:kern w:val="11"/>
          <w:lang w:val="uk-UA" w:eastAsia="en-US"/>
        </w:rPr>
        <w:t xml:space="preserve"> – 1, якщо ні – 2</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SPADK</w:t>
      </w:r>
      <w:r w:rsidRPr="001416ED">
        <w:rPr>
          <w:rFonts w:eastAsiaTheme="minorHAnsi"/>
          <w:kern w:val="11"/>
          <w:lang w:val="uk-UA" w:eastAsia="en-US"/>
        </w:rPr>
        <w:t xml:space="preserve"> – якщо спадковість не обтяжена по ГХ, підставляємо замість SPADK – 0, якщо обтя</w:t>
      </w:r>
      <w:r w:rsidRPr="001416ED">
        <w:rPr>
          <w:rFonts w:eastAsiaTheme="minorHAnsi"/>
          <w:kern w:val="11"/>
          <w:lang w:eastAsia="en-US"/>
        </w:rPr>
        <w:t xml:space="preserve">жена по матері </w:t>
      </w:r>
      <w:r w:rsidR="00BC0119" w:rsidRPr="001416ED">
        <w:rPr>
          <w:rFonts w:eastAsiaTheme="minorHAnsi"/>
          <w:kern w:val="11"/>
          <w:lang w:eastAsia="en-US"/>
        </w:rPr>
        <w:t>–</w:t>
      </w:r>
      <w:r w:rsidRPr="001416ED">
        <w:rPr>
          <w:rFonts w:eastAsiaTheme="minorHAnsi"/>
          <w:kern w:val="11"/>
          <w:lang w:eastAsia="en-US"/>
        </w:rPr>
        <w:t xml:space="preserve"> 1, по батькові </w:t>
      </w:r>
      <w:r w:rsidR="00BC0119" w:rsidRPr="001416ED">
        <w:rPr>
          <w:rFonts w:eastAsiaTheme="minorHAnsi"/>
          <w:kern w:val="11"/>
          <w:lang w:eastAsia="en-US"/>
        </w:rPr>
        <w:t>–</w:t>
      </w:r>
      <w:r w:rsidRPr="001416ED">
        <w:rPr>
          <w:rFonts w:eastAsiaTheme="minorHAnsi"/>
          <w:kern w:val="11"/>
          <w:lang w:eastAsia="en-US"/>
        </w:rPr>
        <w:t xml:space="preserve"> 2, по матері і батькові </w:t>
      </w:r>
      <w:r w:rsidR="00BC0119" w:rsidRPr="001416ED">
        <w:rPr>
          <w:rFonts w:eastAsiaTheme="minorHAnsi"/>
          <w:kern w:val="11"/>
          <w:lang w:eastAsia="en-US"/>
        </w:rPr>
        <w:t>–</w:t>
      </w:r>
      <w:r w:rsidRPr="001416ED">
        <w:rPr>
          <w:rFonts w:eastAsiaTheme="minorHAnsi"/>
          <w:kern w:val="11"/>
          <w:lang w:eastAsia="en-US"/>
        </w:rPr>
        <w:t xml:space="preserve"> 3</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GR</w:t>
      </w:r>
      <w:r w:rsidRPr="001416ED">
        <w:rPr>
          <w:rFonts w:eastAsiaTheme="minorHAnsi"/>
          <w:kern w:val="11"/>
          <w:lang w:val="uk-UA" w:eastAsia="en-US"/>
        </w:rPr>
        <w:t>2</w:t>
      </w:r>
      <w:r w:rsidRPr="001416ED">
        <w:rPr>
          <w:rFonts w:eastAsiaTheme="minorHAnsi"/>
          <w:kern w:val="11"/>
          <w:lang w:val="en-US" w:eastAsia="en-US"/>
        </w:rPr>
        <w:t>D</w:t>
      </w:r>
      <w:r w:rsidR="00D01177" w:rsidRPr="001416ED">
        <w:rPr>
          <w:rFonts w:eastAsiaTheme="minorHAnsi"/>
          <w:kern w:val="11"/>
          <w:lang w:val="uk-UA" w:eastAsia="en-US"/>
        </w:rPr>
        <w:t xml:space="preserve"> – ГР</w:t>
      </w:r>
      <w:r w:rsidRPr="001416ED">
        <w:rPr>
          <w:rFonts w:eastAsiaTheme="minorHAnsi"/>
          <w:kern w:val="11"/>
          <w:lang w:val="uk-UA" w:eastAsia="en-US"/>
        </w:rPr>
        <w:t xml:space="preserve"> на другому пальці </w:t>
      </w:r>
      <w:r w:rsidR="006410D0" w:rsidRPr="001416ED">
        <w:rPr>
          <w:rFonts w:eastAsiaTheme="minorHAnsi"/>
          <w:kern w:val="11"/>
          <w:lang w:val="uk-UA" w:eastAsia="en-US"/>
        </w:rPr>
        <w:t>ПК</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GR</w:t>
      </w:r>
      <w:r w:rsidRPr="001416ED">
        <w:rPr>
          <w:rFonts w:eastAsiaTheme="minorHAnsi"/>
          <w:kern w:val="11"/>
          <w:lang w:val="uk-UA" w:eastAsia="en-US"/>
        </w:rPr>
        <w:t>1</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00D01177" w:rsidRPr="001416ED">
        <w:rPr>
          <w:rFonts w:eastAsiaTheme="minorHAnsi"/>
          <w:kern w:val="11"/>
          <w:lang w:val="uk-UA" w:eastAsia="en-US"/>
        </w:rPr>
        <w:t xml:space="preserve"> ГР </w:t>
      </w:r>
      <w:r w:rsidRPr="001416ED">
        <w:rPr>
          <w:rFonts w:eastAsiaTheme="minorHAnsi"/>
          <w:kern w:val="11"/>
          <w:lang w:val="uk-UA" w:eastAsia="en-US"/>
        </w:rPr>
        <w:t xml:space="preserve">на першому пальці </w:t>
      </w:r>
      <w:r w:rsidR="006410D0" w:rsidRPr="001416ED">
        <w:rPr>
          <w:rFonts w:eastAsiaTheme="minorHAnsi"/>
          <w:kern w:val="11"/>
          <w:lang w:val="uk-UA" w:eastAsia="en-US"/>
        </w:rPr>
        <w:t>ЛК</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D</w:t>
      </w:r>
      <w:r w:rsidRPr="001416ED">
        <w:rPr>
          <w:rFonts w:eastAsiaTheme="minorHAnsi"/>
          <w:kern w:val="11"/>
          <w:lang w:val="uk-UA" w:eastAsia="en-US"/>
        </w:rPr>
        <w:t>2</w:t>
      </w:r>
      <w:r w:rsidRPr="001416ED">
        <w:rPr>
          <w:rFonts w:eastAsiaTheme="minorHAnsi"/>
          <w:kern w:val="11"/>
          <w:lang w:val="en-US" w:eastAsia="en-US"/>
        </w:rPr>
        <w:t>A</w:t>
      </w:r>
      <w:r w:rsidRPr="001416ED">
        <w:rPr>
          <w:rFonts w:eastAsiaTheme="minorHAnsi"/>
          <w:kern w:val="11"/>
          <w:lang w:val="uk-UA" w:eastAsia="en-US"/>
        </w:rPr>
        <w:t xml:space="preserve"> – якщо на другому пальці </w:t>
      </w:r>
      <w:r w:rsidR="006410D0" w:rsidRPr="001416ED">
        <w:rPr>
          <w:rFonts w:eastAsiaTheme="minorHAnsi"/>
          <w:kern w:val="11"/>
          <w:lang w:val="uk-UA" w:eastAsia="en-US"/>
        </w:rPr>
        <w:t>ПК</w:t>
      </w:r>
      <w:r w:rsidRPr="001416ED">
        <w:rPr>
          <w:rFonts w:eastAsiaTheme="minorHAnsi"/>
          <w:kern w:val="11"/>
          <w:lang w:val="uk-UA" w:eastAsia="en-US"/>
        </w:rPr>
        <w:t xml:space="preserve"> (</w:t>
      </w:r>
      <w:r w:rsidRPr="001416ED">
        <w:rPr>
          <w:rFonts w:eastAsiaTheme="minorHAnsi"/>
          <w:kern w:val="11"/>
          <w:lang w:val="en-US" w:eastAsia="en-US"/>
        </w:rPr>
        <w:t>D</w:t>
      </w:r>
      <w:r w:rsidRPr="001416ED">
        <w:rPr>
          <w:rFonts w:eastAsiaTheme="minorHAnsi"/>
          <w:kern w:val="11"/>
          <w:lang w:val="uk-UA" w:eastAsia="en-US"/>
        </w:rPr>
        <w:t>2) присутній дерматогліфічний малюнок дуга (</w:t>
      </w:r>
      <w:r w:rsidRPr="001416ED">
        <w:rPr>
          <w:rFonts w:eastAsiaTheme="minorHAnsi"/>
          <w:kern w:val="11"/>
          <w:lang w:val="en-US" w:eastAsia="en-US"/>
        </w:rPr>
        <w:t>A</w:t>
      </w:r>
      <w:r w:rsidRPr="001416ED">
        <w:rPr>
          <w:rFonts w:eastAsiaTheme="minorHAnsi"/>
          <w:kern w:val="11"/>
          <w:lang w:val="uk-UA" w:eastAsia="en-US"/>
        </w:rPr>
        <w:t xml:space="preserve">), то підставляємо замість комплексу </w:t>
      </w:r>
      <w:r w:rsidRPr="001416ED">
        <w:rPr>
          <w:rFonts w:eastAsiaTheme="minorHAnsi"/>
          <w:kern w:val="11"/>
          <w:lang w:val="en-US" w:eastAsia="en-US"/>
        </w:rPr>
        <w:t>D</w:t>
      </w:r>
      <w:r w:rsidRPr="001416ED">
        <w:rPr>
          <w:rFonts w:eastAsiaTheme="minorHAnsi"/>
          <w:kern w:val="11"/>
          <w:lang w:val="uk-UA" w:eastAsia="en-US"/>
        </w:rPr>
        <w:t>2</w:t>
      </w:r>
      <w:r w:rsidRPr="001416ED">
        <w:rPr>
          <w:rFonts w:eastAsiaTheme="minorHAnsi"/>
          <w:kern w:val="11"/>
          <w:lang w:val="en-US" w:eastAsia="en-US"/>
        </w:rPr>
        <w:t>A</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1, якщо ульнарна петля (</w:t>
      </w:r>
      <w:r w:rsidRPr="001416ED">
        <w:rPr>
          <w:rFonts w:eastAsiaTheme="minorHAnsi"/>
          <w:kern w:val="11"/>
          <w:lang w:val="en-US" w:eastAsia="en-US"/>
        </w:rPr>
        <w:t>U</w:t>
      </w:r>
      <w:r w:rsidRPr="001416ED">
        <w:rPr>
          <w:rFonts w:eastAsiaTheme="minorHAnsi"/>
          <w:kern w:val="11"/>
          <w:lang w:val="uk-UA" w:eastAsia="en-US"/>
        </w:rPr>
        <w:t>), радіальна петля (</w:t>
      </w:r>
      <w:r w:rsidRPr="001416ED">
        <w:rPr>
          <w:rFonts w:eastAsiaTheme="minorHAnsi"/>
          <w:kern w:val="11"/>
          <w:lang w:val="en-US" w:eastAsia="en-US"/>
        </w:rPr>
        <w:t>R</w:t>
      </w:r>
      <w:r w:rsidRPr="001416ED">
        <w:rPr>
          <w:rFonts w:eastAsiaTheme="minorHAnsi"/>
          <w:kern w:val="11"/>
          <w:lang w:val="uk-UA" w:eastAsia="en-US"/>
        </w:rPr>
        <w:t>), завиток (</w:t>
      </w:r>
      <w:r w:rsidRPr="001416ED">
        <w:rPr>
          <w:rFonts w:eastAsiaTheme="minorHAnsi"/>
          <w:kern w:val="11"/>
          <w:lang w:val="en-US" w:eastAsia="en-US"/>
        </w:rPr>
        <w:t>W</w:t>
      </w:r>
      <w:r w:rsidRPr="001416ED">
        <w:rPr>
          <w:rFonts w:eastAsiaTheme="minorHAnsi"/>
          <w:kern w:val="11"/>
          <w:lang w:val="uk-UA" w:eastAsia="en-US"/>
        </w:rPr>
        <w:t>) – 0</w:t>
      </w:r>
    </w:p>
    <w:p w:rsidR="00AB1ED8"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якщо на третьому пальці </w:t>
      </w:r>
      <w:r w:rsidR="006410D0" w:rsidRPr="001416ED">
        <w:rPr>
          <w:rFonts w:eastAsiaTheme="minorHAnsi"/>
          <w:kern w:val="11"/>
          <w:lang w:val="uk-UA" w:eastAsia="en-US"/>
        </w:rPr>
        <w:t>ЛК</w:t>
      </w:r>
      <w:r w:rsidRPr="001416ED">
        <w:rPr>
          <w:rFonts w:eastAsiaTheme="minorHAnsi"/>
          <w:kern w:val="11"/>
          <w:lang w:val="uk-UA" w:eastAsia="en-US"/>
        </w:rPr>
        <w:t xml:space="preserve"> (</w:t>
      </w:r>
      <w:r w:rsidRPr="001416ED">
        <w:rPr>
          <w:rFonts w:eastAsiaTheme="minorHAnsi"/>
          <w:kern w:val="11"/>
          <w:lang w:val="en-US" w:eastAsia="en-US"/>
        </w:rPr>
        <w:t>S</w:t>
      </w:r>
      <w:r w:rsidRPr="001416ED">
        <w:rPr>
          <w:rFonts w:eastAsiaTheme="minorHAnsi"/>
          <w:kern w:val="11"/>
          <w:lang w:val="uk-UA" w:eastAsia="en-US"/>
        </w:rPr>
        <w:t>3) присутній дерматогліфічний малюнок завиток (</w:t>
      </w:r>
      <w:r w:rsidRPr="001416ED">
        <w:rPr>
          <w:rFonts w:eastAsiaTheme="minorHAnsi"/>
          <w:kern w:val="11"/>
          <w:lang w:val="en-US" w:eastAsia="en-US"/>
        </w:rPr>
        <w:t>W</w:t>
      </w:r>
      <w:r w:rsidRPr="001416ED">
        <w:rPr>
          <w:rFonts w:eastAsiaTheme="minorHAnsi"/>
          <w:kern w:val="11"/>
          <w:lang w:val="uk-UA" w:eastAsia="en-US"/>
        </w:rPr>
        <w:t xml:space="preserve">) то підставляємо замість комплексу </w:t>
      </w: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1, якщо ульнарна петля (</w:t>
      </w:r>
      <w:r w:rsidRPr="001416ED">
        <w:rPr>
          <w:rFonts w:eastAsiaTheme="minorHAnsi"/>
          <w:kern w:val="11"/>
          <w:lang w:val="en-US" w:eastAsia="en-US"/>
        </w:rPr>
        <w:t>U</w:t>
      </w:r>
      <w:r w:rsidRPr="001416ED">
        <w:rPr>
          <w:rFonts w:eastAsiaTheme="minorHAnsi"/>
          <w:kern w:val="11"/>
          <w:lang w:val="uk-UA" w:eastAsia="en-US"/>
        </w:rPr>
        <w:t>), радіальна петля (</w:t>
      </w:r>
      <w:r w:rsidRPr="001416ED">
        <w:rPr>
          <w:rFonts w:eastAsiaTheme="minorHAnsi"/>
          <w:kern w:val="11"/>
          <w:lang w:val="en-US" w:eastAsia="en-US"/>
        </w:rPr>
        <w:t>R</w:t>
      </w:r>
      <w:r w:rsidRPr="001416ED">
        <w:rPr>
          <w:rFonts w:eastAsiaTheme="minorHAnsi"/>
          <w:kern w:val="11"/>
          <w:lang w:val="uk-UA" w:eastAsia="en-US"/>
        </w:rPr>
        <w:t>), дуга (</w:t>
      </w:r>
      <w:r w:rsidRPr="001416ED">
        <w:rPr>
          <w:rFonts w:eastAsiaTheme="minorHAnsi"/>
          <w:kern w:val="11"/>
          <w:lang w:val="en-US" w:eastAsia="en-US"/>
        </w:rPr>
        <w:t>A</w:t>
      </w:r>
      <w:r w:rsidRPr="001416ED">
        <w:rPr>
          <w:rFonts w:eastAsiaTheme="minorHAnsi"/>
          <w:kern w:val="11"/>
          <w:lang w:val="uk-UA" w:eastAsia="en-US"/>
        </w:rPr>
        <w:t>) – 0</w:t>
      </w:r>
    </w:p>
    <w:p w:rsidR="00F760AF" w:rsidRPr="001416ED" w:rsidRDefault="00AB1ED8" w:rsidP="00F760AF">
      <w:pPr>
        <w:spacing w:line="360" w:lineRule="auto"/>
        <w:jc w:val="both"/>
        <w:rPr>
          <w:rFonts w:eastAsiaTheme="minorHAnsi"/>
          <w:kern w:val="11"/>
          <w:lang w:val="uk-UA" w:eastAsia="en-US"/>
        </w:rPr>
      </w:pPr>
      <w:r w:rsidRPr="001416ED">
        <w:rPr>
          <w:rFonts w:eastAsiaTheme="minorHAnsi"/>
          <w:kern w:val="11"/>
          <w:lang w:val="en-US" w:eastAsia="en-US"/>
        </w:rPr>
        <w:t>S</w:t>
      </w:r>
      <w:r w:rsidRPr="001416ED">
        <w:rPr>
          <w:rFonts w:eastAsiaTheme="minorHAnsi"/>
          <w:kern w:val="11"/>
          <w:lang w:val="uk-UA" w:eastAsia="en-US"/>
        </w:rPr>
        <w:t>4</w:t>
      </w:r>
      <w:r w:rsidRPr="001416ED">
        <w:rPr>
          <w:rFonts w:eastAsiaTheme="minorHAnsi"/>
          <w:kern w:val="11"/>
          <w:lang w:val="en-US" w:eastAsia="en-US"/>
        </w:rPr>
        <w:t>U</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якщо на четвертому пальці </w:t>
      </w:r>
      <w:r w:rsidR="006410D0" w:rsidRPr="001416ED">
        <w:rPr>
          <w:rFonts w:eastAsiaTheme="minorHAnsi"/>
          <w:kern w:val="11"/>
          <w:lang w:val="uk-UA" w:eastAsia="en-US"/>
        </w:rPr>
        <w:t>ЛК</w:t>
      </w:r>
      <w:r w:rsidRPr="001416ED">
        <w:rPr>
          <w:rFonts w:eastAsiaTheme="minorHAnsi"/>
          <w:kern w:val="11"/>
          <w:lang w:val="uk-UA" w:eastAsia="en-US"/>
        </w:rPr>
        <w:t xml:space="preserve"> (</w:t>
      </w:r>
      <w:r w:rsidRPr="001416ED">
        <w:rPr>
          <w:rFonts w:eastAsiaTheme="minorHAnsi"/>
          <w:kern w:val="11"/>
          <w:lang w:val="en-US" w:eastAsia="en-US"/>
        </w:rPr>
        <w:t>S</w:t>
      </w:r>
      <w:r w:rsidRPr="001416ED">
        <w:rPr>
          <w:rFonts w:eastAsiaTheme="minorHAnsi"/>
          <w:kern w:val="11"/>
          <w:lang w:val="uk-UA" w:eastAsia="en-US"/>
        </w:rPr>
        <w:t>4) присутній дерматогліфічний малюнок ульнарна петля (</w:t>
      </w:r>
      <w:r w:rsidRPr="001416ED">
        <w:rPr>
          <w:rFonts w:eastAsiaTheme="minorHAnsi"/>
          <w:kern w:val="11"/>
          <w:lang w:val="en-US" w:eastAsia="en-US"/>
        </w:rPr>
        <w:t>U</w:t>
      </w:r>
      <w:r w:rsidRPr="001416ED">
        <w:rPr>
          <w:rFonts w:eastAsiaTheme="minorHAnsi"/>
          <w:kern w:val="11"/>
          <w:lang w:val="uk-UA" w:eastAsia="en-US"/>
        </w:rPr>
        <w:t xml:space="preserve">), то підставляємо замість комплексу </w:t>
      </w:r>
      <w:r w:rsidRPr="001416ED">
        <w:rPr>
          <w:rFonts w:eastAsiaTheme="minorHAnsi"/>
          <w:kern w:val="11"/>
          <w:lang w:val="en-US" w:eastAsia="en-US"/>
        </w:rPr>
        <w:t>S</w:t>
      </w:r>
      <w:r w:rsidR="00D01793" w:rsidRPr="001416ED">
        <w:rPr>
          <w:rFonts w:eastAsiaTheme="minorHAnsi"/>
          <w:kern w:val="11"/>
          <w:lang w:val="uk-UA" w:eastAsia="en-US"/>
        </w:rPr>
        <w:t>4</w:t>
      </w:r>
      <w:r w:rsidR="00D01793" w:rsidRPr="001416ED">
        <w:rPr>
          <w:rFonts w:eastAsiaTheme="minorHAnsi"/>
          <w:kern w:val="11"/>
          <w:lang w:val="en-US" w:eastAsia="en-US"/>
        </w:rPr>
        <w:t>U</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1, якщо радіальна петля (</w:t>
      </w:r>
      <w:r w:rsidRPr="001416ED">
        <w:rPr>
          <w:rFonts w:eastAsiaTheme="minorHAnsi"/>
          <w:kern w:val="11"/>
          <w:lang w:val="en-US" w:eastAsia="en-US"/>
        </w:rPr>
        <w:t>R</w:t>
      </w:r>
      <w:r w:rsidRPr="001416ED">
        <w:rPr>
          <w:rFonts w:eastAsiaTheme="minorHAnsi"/>
          <w:kern w:val="11"/>
          <w:lang w:val="uk-UA" w:eastAsia="en-US"/>
        </w:rPr>
        <w:t>), дуга (</w:t>
      </w:r>
      <w:r w:rsidRPr="001416ED">
        <w:rPr>
          <w:rFonts w:eastAsiaTheme="minorHAnsi"/>
          <w:kern w:val="11"/>
          <w:lang w:val="en-US" w:eastAsia="en-US"/>
        </w:rPr>
        <w:t>A</w:t>
      </w:r>
      <w:r w:rsidRPr="001416ED">
        <w:rPr>
          <w:rFonts w:eastAsiaTheme="minorHAnsi"/>
          <w:kern w:val="11"/>
          <w:lang w:val="uk-UA" w:eastAsia="en-US"/>
        </w:rPr>
        <w:t>), завиток (</w:t>
      </w:r>
      <w:r w:rsidRPr="001416ED">
        <w:rPr>
          <w:rFonts w:eastAsiaTheme="minorHAnsi"/>
          <w:kern w:val="11"/>
          <w:lang w:val="en-US" w:eastAsia="en-US"/>
        </w:rPr>
        <w:t>W</w:t>
      </w:r>
      <w:r w:rsidRPr="001416ED">
        <w:rPr>
          <w:rFonts w:eastAsiaTheme="minorHAnsi"/>
          <w:kern w:val="11"/>
          <w:lang w:val="uk-UA" w:eastAsia="en-US"/>
        </w:rPr>
        <w:t>) – 0.</w:t>
      </w:r>
    </w:p>
    <w:p w:rsidR="00AB1ED8" w:rsidRPr="001416ED" w:rsidRDefault="00AB1ED8" w:rsidP="00F760AF">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 Чутливість методу становить 93,6</w:t>
      </w:r>
      <w:r w:rsidR="00D4219F" w:rsidRPr="001416ED">
        <w:rPr>
          <w:rFonts w:eastAsiaTheme="minorHAnsi"/>
          <w:kern w:val="11"/>
          <w:lang w:val="uk-UA" w:eastAsia="en-US"/>
        </w:rPr>
        <w:t xml:space="preserve"> %</w:t>
      </w:r>
      <w:r w:rsidRPr="001416ED">
        <w:rPr>
          <w:rFonts w:eastAsiaTheme="minorHAnsi"/>
          <w:kern w:val="11"/>
          <w:lang w:val="uk-UA" w:eastAsia="en-US"/>
        </w:rPr>
        <w:t>, специфічність – 79,03</w:t>
      </w:r>
      <w:r w:rsidR="00D4219F" w:rsidRPr="001416ED">
        <w:rPr>
          <w:rFonts w:eastAsiaTheme="minorHAnsi"/>
          <w:kern w:val="11"/>
          <w:lang w:val="uk-UA" w:eastAsia="en-US"/>
        </w:rPr>
        <w:t xml:space="preserve"> %</w:t>
      </w:r>
      <w:r w:rsidRPr="001416ED">
        <w:rPr>
          <w:rFonts w:eastAsiaTheme="minorHAnsi"/>
          <w:kern w:val="11"/>
          <w:lang w:val="uk-UA" w:eastAsia="en-US"/>
        </w:rPr>
        <w:t xml:space="preserve"> </w:t>
      </w:r>
      <w:r w:rsidR="0029032E" w:rsidRPr="001416ED">
        <w:rPr>
          <w:rFonts w:eastAsiaTheme="minorHAnsi"/>
          <w:kern w:val="11"/>
          <w:lang w:val="uk-UA" w:eastAsia="en-US"/>
        </w:rPr>
        <w:t>.</w:t>
      </w:r>
    </w:p>
    <w:p w:rsidR="00AB1ED8" w:rsidRPr="001416ED" w:rsidRDefault="00F760AF" w:rsidP="00AB1ED8">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 </w:t>
      </w:r>
      <w:r w:rsidR="00AB1ED8" w:rsidRPr="001416ED">
        <w:rPr>
          <w:rFonts w:eastAsiaTheme="minorHAnsi"/>
          <w:kern w:val="11"/>
          <w:lang w:val="uk-UA" w:eastAsia="en-US"/>
        </w:rPr>
        <w:t>Для початку у формули ризику (</w:t>
      </w:r>
      <w:r w:rsidR="00AB1ED8" w:rsidRPr="001416ED">
        <w:rPr>
          <w:rFonts w:eastAsiaTheme="minorHAnsi"/>
          <w:kern w:val="11"/>
          <w:lang w:val="en-US" w:eastAsia="en-US"/>
        </w:rPr>
        <w:t>Y</w:t>
      </w:r>
      <w:r w:rsidR="00AB1ED8" w:rsidRPr="001416ED">
        <w:rPr>
          <w:rFonts w:eastAsiaTheme="minorHAnsi"/>
          <w:kern w:val="11"/>
          <w:vertAlign w:val="subscript"/>
          <w:lang w:eastAsia="en-US"/>
        </w:rPr>
        <w:t>2</w:t>
      </w:r>
      <w:r w:rsidR="00AB1ED8" w:rsidRPr="001416ED">
        <w:rPr>
          <w:rFonts w:eastAsiaTheme="minorHAnsi"/>
          <w:kern w:val="11"/>
          <w:lang w:eastAsia="en-US"/>
        </w:rPr>
        <w:t>)</w:t>
      </w:r>
      <w:r w:rsidR="00AB1ED8" w:rsidRPr="001416ED">
        <w:rPr>
          <w:rFonts w:eastAsiaTheme="minorHAnsi"/>
          <w:kern w:val="11"/>
          <w:lang w:val="uk-UA" w:eastAsia="en-US"/>
        </w:rPr>
        <w:t>/антиризику</w:t>
      </w:r>
      <w:r w:rsidRPr="001416ED">
        <w:rPr>
          <w:rFonts w:eastAsiaTheme="minorHAnsi"/>
          <w:kern w:val="11"/>
          <w:lang w:val="uk-UA" w:eastAsia="en-US"/>
        </w:rPr>
        <w:t xml:space="preserve"> </w:t>
      </w:r>
      <w:r w:rsidR="00AB1ED8" w:rsidRPr="001416ED">
        <w:rPr>
          <w:rFonts w:eastAsiaTheme="minorHAnsi"/>
          <w:kern w:val="11"/>
          <w:lang w:eastAsia="en-US"/>
        </w:rPr>
        <w:t>(</w:t>
      </w:r>
      <w:r w:rsidR="00AB1ED8" w:rsidRPr="001416ED">
        <w:rPr>
          <w:rFonts w:eastAsiaTheme="minorHAnsi"/>
          <w:kern w:val="11"/>
          <w:lang w:val="en-US" w:eastAsia="en-US"/>
        </w:rPr>
        <w:t>Y</w:t>
      </w:r>
      <w:r w:rsidR="00AB1ED8" w:rsidRPr="001416ED">
        <w:rPr>
          <w:rFonts w:eastAsiaTheme="minorHAnsi"/>
          <w:kern w:val="11"/>
          <w:vertAlign w:val="subscript"/>
          <w:lang w:eastAsia="en-US"/>
        </w:rPr>
        <w:t>1</w:t>
      </w:r>
      <w:r w:rsidR="00AB1ED8" w:rsidRPr="001416ED">
        <w:rPr>
          <w:rFonts w:eastAsiaTheme="minorHAnsi"/>
          <w:kern w:val="11"/>
          <w:lang w:eastAsia="en-US"/>
        </w:rPr>
        <w:t xml:space="preserve">) </w:t>
      </w:r>
      <w:r w:rsidR="00AB1ED8" w:rsidRPr="001416ED">
        <w:rPr>
          <w:rFonts w:eastAsiaTheme="minorHAnsi"/>
          <w:kern w:val="11"/>
          <w:lang w:val="uk-UA" w:eastAsia="en-US"/>
        </w:rPr>
        <w:t xml:space="preserve">розвитку ГХ підставляють дані, що були отримані при опитуванні і об’єктивному обстеженні хворого. Якщо сума більша у формулі </w:t>
      </w:r>
      <w:r w:rsidR="00AB1ED8" w:rsidRPr="001416ED">
        <w:rPr>
          <w:rFonts w:eastAsiaTheme="minorHAnsi"/>
          <w:kern w:val="11"/>
          <w:lang w:val="en-US" w:eastAsia="en-US"/>
        </w:rPr>
        <w:t>Y</w:t>
      </w:r>
      <w:r w:rsidR="00AB1ED8" w:rsidRPr="001416ED">
        <w:rPr>
          <w:rFonts w:eastAsiaTheme="minorHAnsi"/>
          <w:kern w:val="11"/>
          <w:vertAlign w:val="subscript"/>
          <w:lang w:val="uk-UA" w:eastAsia="en-US"/>
        </w:rPr>
        <w:t>1</w:t>
      </w:r>
      <w:r w:rsidR="00AB1ED8" w:rsidRPr="001416ED">
        <w:rPr>
          <w:rFonts w:eastAsiaTheme="minorHAnsi"/>
          <w:kern w:val="11"/>
          <w:lang w:val="uk-UA" w:eastAsia="en-US"/>
        </w:rPr>
        <w:t xml:space="preserve"> – це говорить про те, що пацієнт з ймовірністю 93,6 </w:t>
      </w:r>
      <w:r w:rsidR="00D4219F" w:rsidRPr="001416ED">
        <w:rPr>
          <w:rFonts w:eastAsiaTheme="minorHAnsi"/>
          <w:kern w:val="11"/>
          <w:lang w:val="uk-UA" w:eastAsia="en-US"/>
        </w:rPr>
        <w:t xml:space="preserve"> %</w:t>
      </w:r>
      <w:r w:rsidR="00AB1ED8" w:rsidRPr="001416ED">
        <w:rPr>
          <w:rFonts w:eastAsiaTheme="minorHAnsi"/>
          <w:kern w:val="11"/>
          <w:lang w:val="uk-UA" w:eastAsia="en-US"/>
        </w:rPr>
        <w:t xml:space="preserve"> не захворіє на ГХ, якщо у формулі  </w:t>
      </w:r>
      <w:r w:rsidR="00AB1ED8" w:rsidRPr="001416ED">
        <w:rPr>
          <w:rFonts w:eastAsiaTheme="minorHAnsi"/>
          <w:kern w:val="11"/>
          <w:lang w:val="en-US" w:eastAsia="en-US"/>
        </w:rPr>
        <w:t>Y</w:t>
      </w:r>
      <w:r w:rsidR="00AB1ED8" w:rsidRPr="001416ED">
        <w:rPr>
          <w:rFonts w:eastAsiaTheme="minorHAnsi"/>
          <w:kern w:val="11"/>
          <w:vertAlign w:val="subscript"/>
          <w:lang w:val="uk-UA" w:eastAsia="en-US"/>
        </w:rPr>
        <w:t xml:space="preserve">2 </w:t>
      </w:r>
      <w:r w:rsidR="00AB1ED8" w:rsidRPr="001416ED">
        <w:rPr>
          <w:rFonts w:eastAsiaTheme="minorHAnsi"/>
          <w:kern w:val="11"/>
          <w:lang w:val="uk-UA" w:eastAsia="en-US"/>
        </w:rPr>
        <w:t xml:space="preserve">–  </w:t>
      </w:r>
      <w:r w:rsidR="00AB1ED8" w:rsidRPr="001416ED">
        <w:rPr>
          <w:rFonts w:eastAsiaTheme="minorHAnsi"/>
          <w:kern w:val="11"/>
          <w:lang w:eastAsia="en-US"/>
        </w:rPr>
        <w:t xml:space="preserve">обстежуваний </w:t>
      </w:r>
      <w:r w:rsidR="00AB1ED8" w:rsidRPr="001416ED">
        <w:rPr>
          <w:rFonts w:eastAsiaTheme="minorHAnsi"/>
          <w:kern w:val="11"/>
          <w:lang w:val="uk-UA" w:eastAsia="en-US"/>
        </w:rPr>
        <w:t>з йм</w:t>
      </w:r>
      <w:r w:rsidR="00610FA7" w:rsidRPr="001416ED">
        <w:rPr>
          <w:rFonts w:eastAsiaTheme="minorHAnsi"/>
          <w:kern w:val="11"/>
          <w:lang w:val="uk-UA" w:eastAsia="en-US"/>
        </w:rPr>
        <w:t>овірністю 79,03</w:t>
      </w:r>
      <w:r w:rsidR="00D4219F" w:rsidRPr="001416ED">
        <w:rPr>
          <w:rFonts w:eastAsiaTheme="minorHAnsi"/>
          <w:kern w:val="11"/>
          <w:lang w:val="uk-UA" w:eastAsia="en-US"/>
        </w:rPr>
        <w:t xml:space="preserve"> %</w:t>
      </w:r>
      <w:r w:rsidR="00610FA7" w:rsidRPr="001416ED">
        <w:rPr>
          <w:rFonts w:eastAsiaTheme="minorHAnsi"/>
          <w:kern w:val="11"/>
          <w:lang w:val="uk-UA" w:eastAsia="en-US"/>
        </w:rPr>
        <w:t xml:space="preserve"> захворіє на ГХ</w:t>
      </w:r>
      <w:r w:rsidR="00AB1ED8" w:rsidRPr="001416ED">
        <w:rPr>
          <w:rFonts w:eastAsiaTheme="minorHAnsi"/>
          <w:kern w:val="11"/>
          <w:lang w:val="uk-UA" w:eastAsia="en-US"/>
        </w:rPr>
        <w:t>.</w:t>
      </w:r>
    </w:p>
    <w:p w:rsidR="00F44C50" w:rsidRPr="001416ED" w:rsidRDefault="00F44C50" w:rsidP="00F44C50">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Другий спосіб передбачає визначення дерматогліфічних ознак пальців </w:t>
      </w:r>
      <w:r w:rsidR="00900361" w:rsidRPr="001416ED">
        <w:rPr>
          <w:rFonts w:eastAsiaTheme="minorHAnsi"/>
          <w:kern w:val="11"/>
          <w:lang w:val="uk-UA" w:eastAsia="en-US"/>
        </w:rPr>
        <w:t>кистей</w:t>
      </w:r>
      <w:r w:rsidRPr="001416ED">
        <w:rPr>
          <w:rFonts w:eastAsiaTheme="minorHAnsi"/>
          <w:kern w:val="11"/>
          <w:lang w:val="uk-UA" w:eastAsia="en-US"/>
        </w:rPr>
        <w:t>, наявність обтяженої спадковості по ГХ, визначають індивідуальні фактори ризику розвитку ГХ – вік, паління, ва</w:t>
      </w:r>
      <w:r w:rsidR="007B3240" w:rsidRPr="001416ED">
        <w:rPr>
          <w:rFonts w:eastAsiaTheme="minorHAnsi"/>
          <w:kern w:val="11"/>
          <w:lang w:val="uk-UA" w:eastAsia="en-US"/>
        </w:rPr>
        <w:t>гу, зріст, ІМТ</w:t>
      </w:r>
      <w:r w:rsidRPr="001416ED">
        <w:rPr>
          <w:rFonts w:eastAsiaTheme="minorHAnsi"/>
          <w:kern w:val="11"/>
          <w:lang w:val="uk-UA" w:eastAsia="en-US"/>
        </w:rPr>
        <w:t xml:space="preserve">, отримують дерматогліфічні малюнки з третього і четвертого пальців </w:t>
      </w:r>
      <w:r w:rsidR="006410D0" w:rsidRPr="001416ED">
        <w:rPr>
          <w:rFonts w:eastAsiaTheme="minorHAnsi"/>
          <w:kern w:val="11"/>
          <w:lang w:val="uk-UA" w:eastAsia="en-US"/>
        </w:rPr>
        <w:t>ЛК</w:t>
      </w:r>
      <w:r w:rsidRPr="001416ED">
        <w:rPr>
          <w:rFonts w:eastAsiaTheme="minorHAnsi"/>
          <w:kern w:val="11"/>
          <w:lang w:val="uk-UA" w:eastAsia="en-US"/>
        </w:rPr>
        <w:t xml:space="preserve">, та </w:t>
      </w:r>
      <w:r w:rsidR="00900361" w:rsidRPr="001416ED">
        <w:rPr>
          <w:rFonts w:eastAsiaTheme="minorHAnsi"/>
          <w:kern w:val="11"/>
          <w:lang w:val="uk-UA" w:eastAsia="en-US"/>
        </w:rPr>
        <w:t>ГР</w:t>
      </w:r>
      <w:r w:rsidRPr="001416ED">
        <w:rPr>
          <w:rFonts w:eastAsiaTheme="minorHAnsi"/>
          <w:kern w:val="11"/>
          <w:lang w:val="uk-UA" w:eastAsia="en-US"/>
        </w:rPr>
        <w:t xml:space="preserve"> з першого пальця </w:t>
      </w:r>
      <w:r w:rsidR="006410D0" w:rsidRPr="001416ED">
        <w:rPr>
          <w:rFonts w:eastAsiaTheme="minorHAnsi"/>
          <w:kern w:val="11"/>
          <w:lang w:val="uk-UA" w:eastAsia="en-US"/>
        </w:rPr>
        <w:t>ЛК</w:t>
      </w:r>
      <w:r w:rsidRPr="001416ED">
        <w:rPr>
          <w:rFonts w:eastAsiaTheme="minorHAnsi"/>
          <w:kern w:val="11"/>
          <w:lang w:val="uk-UA" w:eastAsia="en-US"/>
        </w:rPr>
        <w:t xml:space="preserve"> за </w:t>
      </w:r>
      <w:r w:rsidRPr="001416ED">
        <w:rPr>
          <w:rFonts w:eastAsiaTheme="minorHAnsi"/>
          <w:kern w:val="11"/>
          <w:lang w:val="uk-UA" w:eastAsia="en-US"/>
        </w:rPr>
        <w:lastRenderedPageBreak/>
        <w:t xml:space="preserve">допомогою прокатного електронного сканера та прогнозують ризик/антиризик розвитку </w:t>
      </w:r>
      <w:r w:rsidR="00B943FD" w:rsidRPr="001416ED">
        <w:rPr>
          <w:rFonts w:eastAsiaTheme="minorHAnsi"/>
          <w:kern w:val="11"/>
          <w:lang w:val="uk-UA" w:eastAsia="en-US"/>
        </w:rPr>
        <w:t xml:space="preserve">ХСН </w:t>
      </w:r>
      <w:r w:rsidR="004A4E68" w:rsidRPr="001416ED">
        <w:rPr>
          <w:rFonts w:eastAsiaTheme="minorHAnsi"/>
          <w:kern w:val="11"/>
          <w:lang w:val="uk-UA" w:eastAsia="en-US"/>
        </w:rPr>
        <w:t>ІІ А</w:t>
      </w:r>
      <w:r w:rsidR="00B943FD" w:rsidRPr="001416ED">
        <w:rPr>
          <w:rFonts w:eastAsiaTheme="minorHAnsi"/>
          <w:kern w:val="11"/>
          <w:lang w:val="uk-UA" w:eastAsia="en-US"/>
        </w:rPr>
        <w:t xml:space="preserve"> ст. на тлі ГХ </w:t>
      </w:r>
      <w:r w:rsidRPr="001416ED">
        <w:rPr>
          <w:rFonts w:eastAsiaTheme="minorHAnsi"/>
          <w:kern w:val="11"/>
          <w:lang w:val="uk-UA" w:eastAsia="en-US"/>
        </w:rPr>
        <w:t>за допомогою формул лінійної дискрімінатної функції.</w:t>
      </w:r>
    </w:p>
    <w:p w:rsidR="005451C3" w:rsidRPr="001416ED" w:rsidRDefault="005451C3" w:rsidP="005451C3">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Модель прогнозу ризику розвитку </w:t>
      </w:r>
      <w:r w:rsidR="00B943FD" w:rsidRPr="001416ED">
        <w:rPr>
          <w:rFonts w:eastAsiaTheme="minorHAnsi"/>
          <w:kern w:val="11"/>
          <w:lang w:val="uk-UA" w:eastAsia="en-US"/>
        </w:rPr>
        <w:t xml:space="preserve">ХСН </w:t>
      </w:r>
      <w:r w:rsidR="004A4E68" w:rsidRPr="001416ED">
        <w:rPr>
          <w:rFonts w:eastAsiaTheme="minorHAnsi"/>
          <w:kern w:val="11"/>
          <w:lang w:val="uk-UA" w:eastAsia="en-US"/>
        </w:rPr>
        <w:t>ІІ А</w:t>
      </w:r>
      <w:r w:rsidR="00B943FD" w:rsidRPr="001416ED">
        <w:rPr>
          <w:rFonts w:eastAsiaTheme="minorHAnsi"/>
          <w:kern w:val="11"/>
          <w:lang w:val="uk-UA" w:eastAsia="en-US"/>
        </w:rPr>
        <w:t xml:space="preserve"> ст. на тлі ГХ </w:t>
      </w:r>
      <w:r w:rsidRPr="001416ED">
        <w:rPr>
          <w:rFonts w:eastAsiaTheme="minorHAnsi"/>
          <w:kern w:val="11"/>
          <w:lang w:val="uk-UA" w:eastAsia="en-US"/>
        </w:rPr>
        <w:t>має наступний вигляд:</w:t>
      </w:r>
    </w:p>
    <w:p w:rsidR="005451C3" w:rsidRPr="001416ED" w:rsidRDefault="005451C3" w:rsidP="005451C3">
      <w:pPr>
        <w:spacing w:line="360" w:lineRule="auto"/>
        <w:ind w:firstLine="709"/>
        <w:jc w:val="both"/>
        <w:rPr>
          <w:rFonts w:eastAsiaTheme="minorHAnsi"/>
          <w:kern w:val="11"/>
          <w:lang w:val="en-US" w:eastAsia="en-US"/>
        </w:rPr>
      </w:pPr>
      <w:r w:rsidRPr="001416ED">
        <w:rPr>
          <w:rFonts w:eastAsiaTheme="minorHAnsi"/>
          <w:kern w:val="11"/>
          <w:lang w:val="en-US" w:eastAsia="en-US"/>
        </w:rPr>
        <w:t>Y</w:t>
      </w:r>
      <w:r w:rsidRPr="001416ED">
        <w:rPr>
          <w:rFonts w:eastAsiaTheme="minorHAnsi"/>
          <w:kern w:val="11"/>
          <w:vertAlign w:val="subscript"/>
          <w:lang w:val="uk-UA" w:eastAsia="en-US"/>
        </w:rPr>
        <w:t>1</w:t>
      </w:r>
      <w:r w:rsidRPr="001416ED">
        <w:rPr>
          <w:rFonts w:eastAsiaTheme="minorHAnsi"/>
          <w:kern w:val="11"/>
          <w:lang w:val="uk-UA" w:eastAsia="en-US"/>
        </w:rPr>
        <w:t>=</w:t>
      </w:r>
      <w:r w:rsidR="00BC0119" w:rsidRPr="001416ED">
        <w:rPr>
          <w:rFonts w:eastAsiaTheme="minorHAnsi"/>
          <w:kern w:val="11"/>
          <w:lang w:val="uk-UA" w:eastAsia="en-US"/>
        </w:rPr>
        <w:t>–</w:t>
      </w:r>
      <w:r w:rsidRPr="001416ED">
        <w:rPr>
          <w:rFonts w:eastAsiaTheme="minorHAnsi"/>
          <w:kern w:val="11"/>
          <w:lang w:val="en-US" w:eastAsia="en-US"/>
        </w:rPr>
        <w:t>1276</w:t>
      </w:r>
      <w:r w:rsidR="00BC0119" w:rsidRPr="001416ED">
        <w:rPr>
          <w:rFonts w:eastAsiaTheme="minorHAnsi"/>
          <w:kern w:val="11"/>
          <w:lang w:val="en-US" w:eastAsia="en-US"/>
        </w:rPr>
        <w:t>–</w:t>
      </w:r>
      <w:r w:rsidRPr="001416ED">
        <w:rPr>
          <w:rFonts w:eastAsiaTheme="minorHAnsi"/>
          <w:kern w:val="11"/>
          <w:lang w:val="uk-UA" w:eastAsia="en-US"/>
        </w:rPr>
        <w:t>0,</w:t>
      </w:r>
      <w:r w:rsidRPr="001416ED">
        <w:rPr>
          <w:rFonts w:eastAsiaTheme="minorHAnsi"/>
          <w:kern w:val="11"/>
          <w:lang w:val="en-US" w:eastAsia="en-US"/>
        </w:rPr>
        <w:t>98VIK</w:t>
      </w:r>
      <w:r w:rsidR="00BC0119" w:rsidRPr="001416ED">
        <w:rPr>
          <w:rFonts w:eastAsiaTheme="minorHAnsi"/>
          <w:kern w:val="11"/>
          <w:lang w:val="uk-UA" w:eastAsia="en-US"/>
        </w:rPr>
        <w:t>–</w:t>
      </w:r>
      <w:r w:rsidRPr="001416ED">
        <w:rPr>
          <w:rFonts w:eastAsiaTheme="minorHAnsi"/>
          <w:kern w:val="11"/>
          <w:lang w:val="en-US" w:eastAsia="en-US"/>
        </w:rPr>
        <w:t>6</w:t>
      </w:r>
      <w:r w:rsidRPr="001416ED">
        <w:rPr>
          <w:rFonts w:eastAsiaTheme="minorHAnsi"/>
          <w:kern w:val="11"/>
          <w:lang w:val="uk-UA" w:eastAsia="en-US"/>
        </w:rPr>
        <w:t>,</w:t>
      </w:r>
      <w:r w:rsidRPr="001416ED">
        <w:rPr>
          <w:rFonts w:eastAsiaTheme="minorHAnsi"/>
          <w:kern w:val="11"/>
          <w:lang w:val="en-US" w:eastAsia="en-US"/>
        </w:rPr>
        <w:t>62VAGA</w:t>
      </w:r>
      <w:r w:rsidRPr="001416ED">
        <w:rPr>
          <w:rFonts w:eastAsiaTheme="minorHAnsi"/>
          <w:kern w:val="11"/>
          <w:lang w:val="uk-UA" w:eastAsia="en-US"/>
        </w:rPr>
        <w:t>+15,</w:t>
      </w:r>
      <w:r w:rsidRPr="001416ED">
        <w:rPr>
          <w:rFonts w:eastAsiaTheme="minorHAnsi"/>
          <w:kern w:val="11"/>
          <w:lang w:val="en-US" w:eastAsia="en-US"/>
        </w:rPr>
        <w:t>00ZRIST</w:t>
      </w:r>
      <w:r w:rsidRPr="001416ED">
        <w:rPr>
          <w:rFonts w:eastAsiaTheme="minorHAnsi"/>
          <w:kern w:val="11"/>
          <w:lang w:val="uk-UA" w:eastAsia="en-US"/>
        </w:rPr>
        <w:t>+</w:t>
      </w:r>
      <w:r w:rsidRPr="001416ED">
        <w:rPr>
          <w:rFonts w:eastAsiaTheme="minorHAnsi"/>
          <w:kern w:val="11"/>
          <w:lang w:val="en-US" w:eastAsia="en-US"/>
        </w:rPr>
        <w:t>23</w:t>
      </w:r>
      <w:r w:rsidRPr="001416ED">
        <w:rPr>
          <w:rFonts w:eastAsiaTheme="minorHAnsi"/>
          <w:kern w:val="11"/>
          <w:lang w:val="uk-UA" w:eastAsia="en-US"/>
        </w:rPr>
        <w:t>,</w:t>
      </w:r>
      <w:r w:rsidRPr="001416ED">
        <w:rPr>
          <w:rFonts w:eastAsiaTheme="minorHAnsi"/>
          <w:kern w:val="11"/>
          <w:lang w:val="en-US" w:eastAsia="en-US"/>
        </w:rPr>
        <w:t>40IMT</w:t>
      </w:r>
      <w:r w:rsidRPr="001416ED">
        <w:rPr>
          <w:rFonts w:eastAsiaTheme="minorHAnsi"/>
          <w:kern w:val="11"/>
          <w:lang w:val="uk-UA" w:eastAsia="en-US"/>
        </w:rPr>
        <w:t>+1,</w:t>
      </w:r>
      <w:r w:rsidRPr="001416ED">
        <w:rPr>
          <w:rFonts w:eastAsiaTheme="minorHAnsi"/>
          <w:kern w:val="11"/>
          <w:lang w:val="en-US" w:eastAsia="en-US"/>
        </w:rPr>
        <w:t>7</w:t>
      </w:r>
      <w:r w:rsidRPr="001416ED">
        <w:rPr>
          <w:rFonts w:eastAsiaTheme="minorHAnsi"/>
          <w:kern w:val="11"/>
          <w:lang w:val="uk-UA" w:eastAsia="en-US"/>
        </w:rPr>
        <w:t>5</w:t>
      </w:r>
      <w:r w:rsidRPr="001416ED">
        <w:rPr>
          <w:rFonts w:eastAsiaTheme="minorHAnsi"/>
          <w:kern w:val="11"/>
          <w:lang w:val="en-US" w:eastAsia="en-US"/>
        </w:rPr>
        <w:t>PALIN</w:t>
      </w:r>
      <w:r w:rsidR="00BC0119" w:rsidRPr="001416ED">
        <w:rPr>
          <w:rFonts w:eastAsiaTheme="minorHAnsi"/>
          <w:kern w:val="11"/>
          <w:lang w:val="uk-UA" w:eastAsia="en-US"/>
        </w:rPr>
        <w:t>–</w:t>
      </w:r>
      <w:r w:rsidRPr="001416ED">
        <w:rPr>
          <w:rFonts w:eastAsiaTheme="minorHAnsi"/>
          <w:kern w:val="11"/>
          <w:lang w:val="uk-UA" w:eastAsia="en-US"/>
        </w:rPr>
        <w:t>6,</w:t>
      </w:r>
      <w:r w:rsidRPr="001416ED">
        <w:rPr>
          <w:rFonts w:eastAsiaTheme="minorHAnsi"/>
          <w:kern w:val="11"/>
          <w:lang w:val="en-US" w:eastAsia="en-US"/>
        </w:rPr>
        <w:t>11SPADK</w:t>
      </w:r>
      <w:r w:rsidR="00BC0119" w:rsidRPr="001416ED">
        <w:rPr>
          <w:rFonts w:eastAsiaTheme="minorHAnsi"/>
          <w:kern w:val="11"/>
          <w:lang w:val="en-US" w:eastAsia="en-US"/>
        </w:rPr>
        <w:t>–</w:t>
      </w:r>
      <w:r w:rsidRPr="001416ED">
        <w:rPr>
          <w:rFonts w:eastAsiaTheme="minorHAnsi"/>
          <w:kern w:val="11"/>
          <w:lang w:val="en-US" w:eastAsia="en-US"/>
        </w:rPr>
        <w:t>0</w:t>
      </w:r>
      <w:r w:rsidRPr="001416ED">
        <w:rPr>
          <w:rFonts w:eastAsiaTheme="minorHAnsi"/>
          <w:kern w:val="11"/>
          <w:lang w:val="uk-UA" w:eastAsia="en-US"/>
        </w:rPr>
        <w:t>,</w:t>
      </w:r>
      <w:r w:rsidRPr="001416ED">
        <w:rPr>
          <w:rFonts w:eastAsiaTheme="minorHAnsi"/>
          <w:kern w:val="11"/>
          <w:lang w:val="en-US" w:eastAsia="en-US"/>
        </w:rPr>
        <w:t>91GR1S+5</w:t>
      </w:r>
      <w:r w:rsidRPr="001416ED">
        <w:rPr>
          <w:rFonts w:eastAsiaTheme="minorHAnsi"/>
          <w:kern w:val="11"/>
          <w:lang w:val="uk-UA" w:eastAsia="en-US"/>
        </w:rPr>
        <w:t>,</w:t>
      </w:r>
      <w:r w:rsidRPr="001416ED">
        <w:rPr>
          <w:rFonts w:eastAsiaTheme="minorHAnsi"/>
          <w:kern w:val="11"/>
          <w:lang w:val="en-US" w:eastAsia="en-US"/>
        </w:rPr>
        <w:t>58S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+2</w:t>
      </w:r>
      <w:r w:rsidRPr="001416ED">
        <w:rPr>
          <w:rFonts w:eastAsiaTheme="minorHAnsi"/>
          <w:kern w:val="11"/>
          <w:lang w:val="en-US" w:eastAsia="en-US"/>
        </w:rPr>
        <w:t>8</w:t>
      </w:r>
      <w:r w:rsidRPr="001416ED">
        <w:rPr>
          <w:rFonts w:eastAsiaTheme="minorHAnsi"/>
          <w:kern w:val="11"/>
          <w:lang w:val="uk-UA" w:eastAsia="en-US"/>
        </w:rPr>
        <w:t>,</w:t>
      </w:r>
      <w:r w:rsidRPr="001416ED">
        <w:rPr>
          <w:rFonts w:eastAsiaTheme="minorHAnsi"/>
          <w:kern w:val="11"/>
          <w:lang w:val="en-US" w:eastAsia="en-US"/>
        </w:rPr>
        <w:t>22S</w:t>
      </w:r>
      <w:r w:rsidRPr="001416ED">
        <w:rPr>
          <w:rFonts w:eastAsiaTheme="minorHAnsi"/>
          <w:kern w:val="11"/>
          <w:lang w:val="uk-UA" w:eastAsia="en-US"/>
        </w:rPr>
        <w:t>4</w:t>
      </w:r>
      <w:r w:rsidRPr="001416ED">
        <w:rPr>
          <w:rFonts w:eastAsiaTheme="minorHAnsi"/>
          <w:kern w:val="11"/>
          <w:lang w:val="en-US" w:eastAsia="en-US"/>
        </w:rPr>
        <w:t>U</w:t>
      </w:r>
    </w:p>
    <w:p w:rsidR="005451C3" w:rsidRPr="001416ED" w:rsidRDefault="005451C3" w:rsidP="005451C3">
      <w:pPr>
        <w:spacing w:line="360" w:lineRule="auto"/>
        <w:ind w:firstLine="709"/>
        <w:jc w:val="both"/>
        <w:rPr>
          <w:rFonts w:eastAsiaTheme="minorHAnsi"/>
          <w:kern w:val="11"/>
          <w:lang w:val="uk-UA" w:eastAsia="en-US"/>
        </w:rPr>
      </w:pPr>
      <w:r w:rsidRPr="001416ED">
        <w:rPr>
          <w:rFonts w:eastAsiaTheme="minorHAnsi"/>
          <w:kern w:val="11"/>
          <w:lang w:val="en-US" w:eastAsia="en-US"/>
        </w:rPr>
        <w:t>Y</w:t>
      </w:r>
      <w:r w:rsidRPr="001416ED">
        <w:rPr>
          <w:rFonts w:eastAsiaTheme="minorHAnsi"/>
          <w:kern w:val="11"/>
          <w:vertAlign w:val="subscript"/>
          <w:lang w:val="en-US" w:eastAsia="en-US"/>
        </w:rPr>
        <w:t>2</w:t>
      </w:r>
      <w:r w:rsidRPr="001416ED">
        <w:rPr>
          <w:rFonts w:eastAsiaTheme="minorHAnsi"/>
          <w:kern w:val="11"/>
          <w:lang w:val="en-US" w:eastAsia="en-US"/>
        </w:rPr>
        <w:t>=</w:t>
      </w:r>
      <w:r w:rsidR="00BC0119" w:rsidRPr="001416ED">
        <w:rPr>
          <w:rFonts w:eastAsiaTheme="minorHAnsi"/>
          <w:kern w:val="11"/>
          <w:lang w:val="uk-UA" w:eastAsia="en-US"/>
        </w:rPr>
        <w:t>–</w:t>
      </w:r>
      <w:r w:rsidRPr="001416ED">
        <w:rPr>
          <w:rFonts w:eastAsiaTheme="minorHAnsi"/>
          <w:kern w:val="11"/>
          <w:lang w:val="en-US" w:eastAsia="en-US"/>
        </w:rPr>
        <w:t>12</w:t>
      </w:r>
      <w:r w:rsidRPr="001416ED">
        <w:rPr>
          <w:rFonts w:eastAsiaTheme="minorHAnsi"/>
          <w:kern w:val="11"/>
          <w:lang w:val="uk-UA" w:eastAsia="en-US"/>
        </w:rPr>
        <w:t>10</w:t>
      </w:r>
      <w:r w:rsidR="00BC0119" w:rsidRPr="001416ED">
        <w:rPr>
          <w:rFonts w:eastAsiaTheme="minorHAnsi"/>
          <w:kern w:val="11"/>
          <w:lang w:val="en-US" w:eastAsia="en-US"/>
        </w:rPr>
        <w:t>–</w:t>
      </w:r>
      <w:r w:rsidRPr="001416ED">
        <w:rPr>
          <w:rFonts w:eastAsiaTheme="minorHAnsi"/>
          <w:kern w:val="11"/>
          <w:lang w:val="uk-UA" w:eastAsia="en-US"/>
        </w:rPr>
        <w:t>0,16</w:t>
      </w:r>
      <w:r w:rsidRPr="001416ED">
        <w:rPr>
          <w:rFonts w:eastAsiaTheme="minorHAnsi"/>
          <w:kern w:val="11"/>
          <w:lang w:val="en-US" w:eastAsia="en-US"/>
        </w:rPr>
        <w:t>VIK</w:t>
      </w:r>
      <w:r w:rsidR="00BC0119" w:rsidRPr="001416ED">
        <w:rPr>
          <w:rFonts w:eastAsiaTheme="minorHAnsi"/>
          <w:kern w:val="11"/>
          <w:lang w:val="uk-UA" w:eastAsia="en-US"/>
        </w:rPr>
        <w:t>–</w:t>
      </w:r>
      <w:r w:rsidRPr="001416ED">
        <w:rPr>
          <w:rFonts w:eastAsiaTheme="minorHAnsi"/>
          <w:kern w:val="11"/>
          <w:lang w:val="en-US" w:eastAsia="en-US"/>
        </w:rPr>
        <w:t>6</w:t>
      </w:r>
      <w:r w:rsidRPr="001416ED">
        <w:rPr>
          <w:rFonts w:eastAsiaTheme="minorHAnsi"/>
          <w:kern w:val="11"/>
          <w:lang w:val="uk-UA" w:eastAsia="en-US"/>
        </w:rPr>
        <w:t>,0</w:t>
      </w:r>
      <w:r w:rsidRPr="001416ED">
        <w:rPr>
          <w:rFonts w:eastAsiaTheme="minorHAnsi"/>
          <w:kern w:val="11"/>
          <w:lang w:val="en-US" w:eastAsia="en-US"/>
        </w:rPr>
        <w:t>2VAGA</w:t>
      </w:r>
      <w:r w:rsidRPr="001416ED">
        <w:rPr>
          <w:rFonts w:eastAsiaTheme="minorHAnsi"/>
          <w:kern w:val="11"/>
          <w:lang w:val="uk-UA" w:eastAsia="en-US"/>
        </w:rPr>
        <w:t>+14,28</w:t>
      </w:r>
      <w:r w:rsidRPr="001416ED">
        <w:rPr>
          <w:rFonts w:eastAsiaTheme="minorHAnsi"/>
          <w:kern w:val="11"/>
          <w:lang w:val="en-US" w:eastAsia="en-US"/>
        </w:rPr>
        <w:t>ZRIST</w:t>
      </w:r>
      <w:r w:rsidRPr="001416ED">
        <w:rPr>
          <w:rFonts w:eastAsiaTheme="minorHAnsi"/>
          <w:kern w:val="11"/>
          <w:lang w:val="uk-UA" w:eastAsia="en-US"/>
        </w:rPr>
        <w:t>+</w:t>
      </w:r>
      <w:r w:rsidRPr="001416ED">
        <w:rPr>
          <w:rFonts w:eastAsiaTheme="minorHAnsi"/>
          <w:kern w:val="11"/>
          <w:lang w:val="en-US" w:eastAsia="en-US"/>
        </w:rPr>
        <w:t>2</w:t>
      </w:r>
      <w:r w:rsidRPr="001416ED">
        <w:rPr>
          <w:rFonts w:eastAsiaTheme="minorHAnsi"/>
          <w:kern w:val="11"/>
          <w:lang w:val="uk-UA" w:eastAsia="en-US"/>
        </w:rPr>
        <w:t>1,7</w:t>
      </w:r>
      <w:r w:rsidRPr="001416ED">
        <w:rPr>
          <w:rFonts w:eastAsiaTheme="minorHAnsi"/>
          <w:kern w:val="11"/>
          <w:lang w:val="en-US" w:eastAsia="en-US"/>
        </w:rPr>
        <w:t>0IMT</w:t>
      </w:r>
      <w:r w:rsidR="00BC0119" w:rsidRPr="001416ED">
        <w:rPr>
          <w:rFonts w:eastAsiaTheme="minorHAnsi"/>
          <w:kern w:val="11"/>
          <w:lang w:val="uk-UA" w:eastAsia="en-US"/>
        </w:rPr>
        <w:t>–</w:t>
      </w:r>
      <w:r w:rsidRPr="001416ED">
        <w:rPr>
          <w:rFonts w:eastAsiaTheme="minorHAnsi"/>
          <w:kern w:val="11"/>
          <w:lang w:val="uk-UA" w:eastAsia="en-US"/>
        </w:rPr>
        <w:t>1,58</w:t>
      </w:r>
      <w:r w:rsidRPr="001416ED">
        <w:rPr>
          <w:rFonts w:eastAsiaTheme="minorHAnsi"/>
          <w:kern w:val="11"/>
          <w:lang w:val="en-US" w:eastAsia="en-US"/>
        </w:rPr>
        <w:t>PALIN</w:t>
      </w:r>
      <w:r w:rsidR="00BC0119" w:rsidRPr="001416ED">
        <w:rPr>
          <w:rFonts w:eastAsiaTheme="minorHAnsi"/>
          <w:kern w:val="11"/>
          <w:lang w:val="uk-UA" w:eastAsia="en-US"/>
        </w:rPr>
        <w:t>–</w:t>
      </w:r>
      <w:r w:rsidRPr="001416ED">
        <w:rPr>
          <w:rFonts w:eastAsiaTheme="minorHAnsi"/>
          <w:kern w:val="11"/>
          <w:lang w:val="uk-UA" w:eastAsia="en-US"/>
        </w:rPr>
        <w:t>3,52</w:t>
      </w:r>
      <w:r w:rsidRPr="001416ED">
        <w:rPr>
          <w:rFonts w:eastAsiaTheme="minorHAnsi"/>
          <w:kern w:val="11"/>
          <w:lang w:val="en-US" w:eastAsia="en-US"/>
        </w:rPr>
        <w:t>SPADK</w:t>
      </w:r>
      <w:r w:rsidR="00BC0119" w:rsidRPr="001416ED">
        <w:rPr>
          <w:rFonts w:eastAsiaTheme="minorHAnsi"/>
          <w:kern w:val="11"/>
          <w:lang w:val="en-US" w:eastAsia="en-US"/>
        </w:rPr>
        <w:t>–</w:t>
      </w:r>
      <w:r w:rsidRPr="001416ED">
        <w:rPr>
          <w:rFonts w:eastAsiaTheme="minorHAnsi"/>
          <w:kern w:val="11"/>
          <w:lang w:val="en-US" w:eastAsia="en-US"/>
        </w:rPr>
        <w:t>0</w:t>
      </w:r>
      <w:r w:rsidRPr="001416ED">
        <w:rPr>
          <w:rFonts w:eastAsiaTheme="minorHAnsi"/>
          <w:kern w:val="11"/>
          <w:lang w:val="uk-UA" w:eastAsia="en-US"/>
        </w:rPr>
        <w:t>,73</w:t>
      </w:r>
      <w:r w:rsidRPr="001416ED">
        <w:rPr>
          <w:rFonts w:eastAsiaTheme="minorHAnsi"/>
          <w:kern w:val="11"/>
          <w:lang w:val="en-US" w:eastAsia="en-US"/>
        </w:rPr>
        <w:t>GR1S+</w:t>
      </w:r>
      <w:r w:rsidRPr="001416ED">
        <w:rPr>
          <w:rFonts w:eastAsiaTheme="minorHAnsi"/>
          <w:kern w:val="11"/>
          <w:lang w:val="uk-UA" w:eastAsia="en-US"/>
        </w:rPr>
        <w:t>1,96</w:t>
      </w: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+25,6</w:t>
      </w:r>
      <w:r w:rsidRPr="001416ED">
        <w:rPr>
          <w:rFonts w:eastAsiaTheme="minorHAnsi"/>
          <w:kern w:val="11"/>
          <w:lang w:val="en-US" w:eastAsia="en-US"/>
        </w:rPr>
        <w:t>2S</w:t>
      </w:r>
      <w:r w:rsidRPr="001416ED">
        <w:rPr>
          <w:rFonts w:eastAsiaTheme="minorHAnsi"/>
          <w:kern w:val="11"/>
          <w:lang w:val="uk-UA" w:eastAsia="en-US"/>
        </w:rPr>
        <w:t>4</w:t>
      </w:r>
      <w:r w:rsidRPr="001416ED">
        <w:rPr>
          <w:rFonts w:eastAsiaTheme="minorHAnsi"/>
          <w:kern w:val="11"/>
          <w:lang w:val="en-US" w:eastAsia="en-US"/>
        </w:rPr>
        <w:t>U</w:t>
      </w:r>
      <w:r w:rsidRPr="001416ED">
        <w:rPr>
          <w:rFonts w:eastAsiaTheme="minorHAnsi"/>
          <w:kern w:val="11"/>
          <w:lang w:val="uk-UA" w:eastAsia="en-US"/>
        </w:rPr>
        <w:t>,</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uk-UA" w:eastAsia="en-US"/>
        </w:rPr>
        <w:t xml:space="preserve">де </w:t>
      </w:r>
      <w:r w:rsidRPr="001416ED">
        <w:rPr>
          <w:rFonts w:eastAsiaTheme="minorHAnsi"/>
          <w:kern w:val="11"/>
          <w:lang w:val="en-US" w:eastAsia="en-US"/>
        </w:rPr>
        <w:t>Y</w:t>
      </w:r>
      <w:r w:rsidRPr="001416ED">
        <w:rPr>
          <w:rFonts w:eastAsiaTheme="minorHAnsi"/>
          <w:kern w:val="11"/>
          <w:vertAlign w:val="subscript"/>
          <w:lang w:val="uk-UA" w:eastAsia="en-US"/>
        </w:rPr>
        <w:t xml:space="preserve">1 </w:t>
      </w:r>
      <w:r w:rsidRPr="001416ED">
        <w:rPr>
          <w:rFonts w:eastAsiaTheme="minorHAnsi"/>
          <w:kern w:val="11"/>
          <w:lang w:val="uk-UA" w:eastAsia="en-US"/>
        </w:rPr>
        <w:t>– практично здорові особи,</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Y</w:t>
      </w:r>
      <w:r w:rsidRPr="001416ED">
        <w:rPr>
          <w:rFonts w:eastAsiaTheme="minorHAnsi"/>
          <w:kern w:val="11"/>
          <w:vertAlign w:val="subscript"/>
          <w:lang w:val="uk-UA" w:eastAsia="en-US"/>
        </w:rPr>
        <w:t xml:space="preserve">2 </w:t>
      </w:r>
      <w:r w:rsidRPr="001416ED">
        <w:rPr>
          <w:rFonts w:eastAsiaTheme="minorHAnsi"/>
          <w:kern w:val="11"/>
          <w:lang w:val="uk-UA" w:eastAsia="en-US"/>
        </w:rPr>
        <w:t>– хворі з ХСН ІІ А ст</w:t>
      </w:r>
      <w:r w:rsidR="006410D0" w:rsidRPr="001416ED">
        <w:rPr>
          <w:rFonts w:eastAsiaTheme="minorHAnsi"/>
          <w:kern w:val="11"/>
          <w:lang w:val="uk-UA" w:eastAsia="en-US"/>
        </w:rPr>
        <w:t>.</w:t>
      </w:r>
      <w:r w:rsidRPr="001416ED">
        <w:rPr>
          <w:rFonts w:eastAsiaTheme="minorHAnsi"/>
          <w:kern w:val="11"/>
          <w:lang w:val="uk-UA" w:eastAsia="en-US"/>
        </w:rPr>
        <w:t xml:space="preserve"> на тлі ГХ, </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VIK</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вік пацієнта,</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VAGA</w:t>
      </w:r>
      <w:r w:rsidRPr="001416ED">
        <w:rPr>
          <w:rFonts w:eastAsiaTheme="minorHAnsi"/>
          <w:kern w:val="11"/>
          <w:lang w:val="uk-UA" w:eastAsia="en-US"/>
        </w:rPr>
        <w:t xml:space="preserve"> – вага пацієнта,</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ZRIST</w:t>
      </w:r>
      <w:r w:rsidRPr="001416ED">
        <w:rPr>
          <w:rFonts w:eastAsiaTheme="minorHAnsi"/>
          <w:kern w:val="11"/>
          <w:lang w:val="uk-UA" w:eastAsia="en-US"/>
        </w:rPr>
        <w:t xml:space="preserve"> – зріст пацієнта,</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IMT</w:t>
      </w:r>
      <w:r w:rsidRPr="001416ED">
        <w:rPr>
          <w:rFonts w:eastAsiaTheme="minorHAnsi"/>
          <w:kern w:val="11"/>
          <w:lang w:val="uk-UA" w:eastAsia="en-US"/>
        </w:rPr>
        <w:t xml:space="preserve"> – індекс маси тіла пацієнта,</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PALIN</w:t>
      </w:r>
      <w:r w:rsidRPr="001416ED">
        <w:rPr>
          <w:rFonts w:eastAsiaTheme="minorHAnsi"/>
          <w:kern w:val="11"/>
          <w:lang w:val="uk-UA" w:eastAsia="en-US"/>
        </w:rPr>
        <w:t xml:space="preserve"> – якщо пацієнт палить, підставляємо замість </w:t>
      </w:r>
      <w:r w:rsidRPr="001416ED">
        <w:rPr>
          <w:rFonts w:eastAsiaTheme="minorHAnsi"/>
          <w:kern w:val="11"/>
          <w:lang w:val="en-US" w:eastAsia="en-US"/>
        </w:rPr>
        <w:t>PALIN</w:t>
      </w:r>
      <w:r w:rsidRPr="001416ED">
        <w:rPr>
          <w:rFonts w:eastAsiaTheme="minorHAnsi"/>
          <w:kern w:val="11"/>
          <w:lang w:val="uk-UA" w:eastAsia="en-US"/>
        </w:rPr>
        <w:t xml:space="preserve"> – 1; якщо ні – 2,</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SPADK</w:t>
      </w:r>
      <w:r w:rsidRPr="001416ED">
        <w:rPr>
          <w:rFonts w:eastAsiaTheme="minorHAnsi"/>
          <w:kern w:val="11"/>
          <w:lang w:val="uk-UA" w:eastAsia="en-US"/>
        </w:rPr>
        <w:t xml:space="preserve"> – якщо спадковість не обтяжена по ГХ </w:t>
      </w:r>
      <w:r w:rsidR="00BC0119" w:rsidRPr="001416ED">
        <w:rPr>
          <w:rFonts w:eastAsiaTheme="minorHAnsi"/>
          <w:kern w:val="11"/>
          <w:lang w:val="uk-UA" w:eastAsia="en-US"/>
        </w:rPr>
        <w:t>–</w:t>
      </w:r>
      <w:r w:rsidRPr="001416ED">
        <w:rPr>
          <w:rFonts w:eastAsiaTheme="minorHAnsi"/>
          <w:kern w:val="11"/>
          <w:lang w:val="uk-UA" w:eastAsia="en-US"/>
        </w:rPr>
        <w:t xml:space="preserve"> підставляємо замість SPADK – 0; якщо обтяжена по матері – 1; по батькові – 2; по матері і батькові – 3,</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GR</w:t>
      </w:r>
      <w:r w:rsidRPr="001416ED">
        <w:rPr>
          <w:rFonts w:eastAsiaTheme="minorHAnsi"/>
          <w:kern w:val="11"/>
          <w:lang w:val="uk-UA" w:eastAsia="en-US"/>
        </w:rPr>
        <w:t>1</w:t>
      </w:r>
      <w:r w:rsidRPr="001416ED">
        <w:rPr>
          <w:rFonts w:eastAsiaTheme="minorHAnsi"/>
          <w:kern w:val="11"/>
          <w:lang w:val="en-US" w:eastAsia="en-US"/>
        </w:rPr>
        <w:t>S</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гребінцевий рахунок на 1 пальці </w:t>
      </w:r>
      <w:r w:rsidR="006410D0" w:rsidRPr="001416ED">
        <w:rPr>
          <w:rFonts w:eastAsiaTheme="minorHAnsi"/>
          <w:kern w:val="11"/>
          <w:lang w:val="uk-UA" w:eastAsia="en-US"/>
        </w:rPr>
        <w:t>ЛК</w:t>
      </w:r>
      <w:r w:rsidRPr="001416ED">
        <w:rPr>
          <w:rFonts w:eastAsiaTheme="minorHAnsi"/>
          <w:kern w:val="11"/>
          <w:lang w:val="uk-UA" w:eastAsia="en-US"/>
        </w:rPr>
        <w:t>,</w:t>
      </w:r>
    </w:p>
    <w:p w:rsidR="005451C3" w:rsidRPr="001416ED" w:rsidRDefault="005451C3" w:rsidP="005451C3">
      <w:pPr>
        <w:spacing w:line="360" w:lineRule="auto"/>
        <w:jc w:val="both"/>
        <w:rPr>
          <w:rFonts w:eastAsiaTheme="minorHAnsi"/>
          <w:kern w:val="11"/>
          <w:lang w:val="uk-UA" w:eastAsia="en-US"/>
        </w:rPr>
      </w:pP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якщо на 3 пальці </w:t>
      </w:r>
      <w:r w:rsidR="006410D0" w:rsidRPr="001416ED">
        <w:rPr>
          <w:rFonts w:eastAsiaTheme="minorHAnsi"/>
          <w:kern w:val="11"/>
          <w:lang w:val="uk-UA" w:eastAsia="en-US"/>
        </w:rPr>
        <w:t>ЛК</w:t>
      </w:r>
      <w:r w:rsidR="00900361" w:rsidRPr="001416ED">
        <w:rPr>
          <w:rFonts w:eastAsiaTheme="minorHAnsi"/>
          <w:kern w:val="11"/>
          <w:lang w:val="uk-UA" w:eastAsia="en-US"/>
        </w:rPr>
        <w:t xml:space="preserve"> </w:t>
      </w:r>
      <w:r w:rsidRPr="001416ED">
        <w:rPr>
          <w:rFonts w:eastAsiaTheme="minorHAnsi"/>
          <w:kern w:val="11"/>
          <w:lang w:val="uk-UA" w:eastAsia="en-US"/>
        </w:rPr>
        <w:t>(</w:t>
      </w:r>
      <w:r w:rsidRPr="001416ED">
        <w:rPr>
          <w:rFonts w:eastAsiaTheme="minorHAnsi"/>
          <w:kern w:val="11"/>
          <w:lang w:val="en-US" w:eastAsia="en-US"/>
        </w:rPr>
        <w:t>S</w:t>
      </w:r>
      <w:r w:rsidRPr="001416ED">
        <w:rPr>
          <w:rFonts w:eastAsiaTheme="minorHAnsi"/>
          <w:kern w:val="11"/>
          <w:lang w:val="uk-UA" w:eastAsia="en-US"/>
        </w:rPr>
        <w:t xml:space="preserve">3) присутній дерматогліфічний малюнок </w:t>
      </w:r>
      <w:r w:rsidR="00BC0119" w:rsidRPr="001416ED">
        <w:rPr>
          <w:rFonts w:eastAsiaTheme="minorHAnsi"/>
          <w:kern w:val="11"/>
          <w:lang w:val="uk-UA" w:eastAsia="en-US"/>
        </w:rPr>
        <w:t>–</w:t>
      </w:r>
      <w:r w:rsidRPr="001416ED">
        <w:rPr>
          <w:rFonts w:eastAsiaTheme="minorHAnsi"/>
          <w:kern w:val="11"/>
          <w:lang w:val="uk-UA" w:eastAsia="en-US"/>
        </w:rPr>
        <w:t xml:space="preserve"> типу завиток (</w:t>
      </w:r>
      <w:r w:rsidRPr="001416ED">
        <w:rPr>
          <w:rFonts w:eastAsiaTheme="minorHAnsi"/>
          <w:kern w:val="11"/>
          <w:lang w:val="en-US" w:eastAsia="en-US"/>
        </w:rPr>
        <w:t>W</w:t>
      </w:r>
      <w:r w:rsidRPr="001416ED">
        <w:rPr>
          <w:rFonts w:eastAsiaTheme="minorHAnsi"/>
          <w:kern w:val="11"/>
          <w:lang w:val="uk-UA" w:eastAsia="en-US"/>
        </w:rPr>
        <w:t xml:space="preserve">), то підставляємо замість комплексу </w:t>
      </w: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W</w:t>
      </w:r>
      <w:r w:rsidRPr="001416ED">
        <w:rPr>
          <w:rFonts w:eastAsiaTheme="minorHAnsi"/>
          <w:kern w:val="11"/>
          <w:lang w:val="uk-UA" w:eastAsia="en-US"/>
        </w:rPr>
        <w:t xml:space="preserve"> – 1; якщо ж ульнарна петля (</w:t>
      </w:r>
      <w:r w:rsidRPr="001416ED">
        <w:rPr>
          <w:rFonts w:eastAsiaTheme="minorHAnsi"/>
          <w:kern w:val="11"/>
          <w:lang w:val="en-US" w:eastAsia="en-US"/>
        </w:rPr>
        <w:t>U</w:t>
      </w:r>
      <w:r w:rsidRPr="001416ED">
        <w:rPr>
          <w:rFonts w:eastAsiaTheme="minorHAnsi"/>
          <w:kern w:val="11"/>
          <w:lang w:val="uk-UA" w:eastAsia="en-US"/>
        </w:rPr>
        <w:t>), радіальна петля (</w:t>
      </w:r>
      <w:r w:rsidRPr="001416ED">
        <w:rPr>
          <w:rFonts w:eastAsiaTheme="minorHAnsi"/>
          <w:kern w:val="11"/>
          <w:lang w:val="en-US" w:eastAsia="en-US"/>
        </w:rPr>
        <w:t>R</w:t>
      </w:r>
      <w:r w:rsidRPr="001416ED">
        <w:rPr>
          <w:rFonts w:eastAsiaTheme="minorHAnsi"/>
          <w:kern w:val="11"/>
          <w:lang w:val="uk-UA" w:eastAsia="en-US"/>
        </w:rPr>
        <w:t xml:space="preserve">) або </w:t>
      </w:r>
      <w:r w:rsidR="00FF5B8D" w:rsidRPr="001416ED">
        <w:rPr>
          <w:rFonts w:eastAsiaTheme="minorHAnsi"/>
          <w:kern w:val="11"/>
          <w:lang w:val="uk-UA" w:eastAsia="en-US"/>
        </w:rPr>
        <w:t>дуга</w:t>
      </w:r>
      <w:r w:rsidRPr="001416ED">
        <w:rPr>
          <w:rFonts w:eastAsiaTheme="minorHAnsi"/>
          <w:kern w:val="11"/>
          <w:lang w:val="uk-UA" w:eastAsia="en-US"/>
        </w:rPr>
        <w:t xml:space="preserve"> (</w:t>
      </w:r>
      <w:r w:rsidRPr="001416ED">
        <w:rPr>
          <w:rFonts w:eastAsiaTheme="minorHAnsi"/>
          <w:kern w:val="11"/>
          <w:lang w:val="en-US" w:eastAsia="en-US"/>
        </w:rPr>
        <w:t>A</w:t>
      </w:r>
      <w:r w:rsidRPr="001416ED">
        <w:rPr>
          <w:rFonts w:eastAsiaTheme="minorHAnsi"/>
          <w:kern w:val="11"/>
          <w:lang w:val="uk-UA" w:eastAsia="en-US"/>
        </w:rPr>
        <w:t xml:space="preserve">), то підставляємо </w:t>
      </w:r>
      <w:r w:rsidR="00BC0119" w:rsidRPr="001416ED">
        <w:rPr>
          <w:rFonts w:eastAsiaTheme="minorHAnsi"/>
          <w:kern w:val="11"/>
          <w:lang w:val="uk-UA" w:eastAsia="en-US"/>
        </w:rPr>
        <w:t>–</w:t>
      </w:r>
      <w:r w:rsidRPr="001416ED">
        <w:rPr>
          <w:rFonts w:eastAsiaTheme="minorHAnsi"/>
          <w:kern w:val="11"/>
          <w:lang w:val="uk-UA" w:eastAsia="en-US"/>
        </w:rPr>
        <w:t xml:space="preserve"> 0,</w:t>
      </w:r>
    </w:p>
    <w:p w:rsidR="007B3240" w:rsidRPr="001416ED" w:rsidRDefault="005451C3" w:rsidP="007B3240">
      <w:pPr>
        <w:spacing w:line="360" w:lineRule="auto"/>
        <w:jc w:val="both"/>
        <w:rPr>
          <w:rFonts w:eastAsiaTheme="minorHAnsi"/>
          <w:kern w:val="11"/>
          <w:lang w:val="uk-UA" w:eastAsia="en-US"/>
        </w:rPr>
      </w:pPr>
      <w:r w:rsidRPr="001416ED">
        <w:rPr>
          <w:rFonts w:eastAsiaTheme="minorHAnsi"/>
          <w:kern w:val="11"/>
          <w:lang w:val="en-US" w:eastAsia="en-US"/>
        </w:rPr>
        <w:t>S</w:t>
      </w:r>
      <w:r w:rsidRPr="001416ED">
        <w:rPr>
          <w:rFonts w:eastAsiaTheme="minorHAnsi"/>
          <w:kern w:val="11"/>
          <w:lang w:val="uk-UA" w:eastAsia="en-US"/>
        </w:rPr>
        <w:t>4</w:t>
      </w:r>
      <w:r w:rsidRPr="001416ED">
        <w:rPr>
          <w:rFonts w:eastAsiaTheme="minorHAnsi"/>
          <w:kern w:val="11"/>
          <w:lang w:val="en-US" w:eastAsia="en-US"/>
        </w:rPr>
        <w:t>U</w:t>
      </w:r>
      <w:r w:rsidRPr="001416ED">
        <w:rPr>
          <w:rFonts w:eastAsiaTheme="minorHAnsi"/>
          <w:kern w:val="11"/>
          <w:lang w:val="uk-UA" w:eastAsia="en-US"/>
        </w:rPr>
        <w:t xml:space="preserve"> </w:t>
      </w:r>
      <w:r w:rsidR="00BC0119" w:rsidRPr="001416ED">
        <w:rPr>
          <w:rFonts w:eastAsiaTheme="minorHAnsi"/>
          <w:kern w:val="11"/>
          <w:lang w:val="uk-UA" w:eastAsia="en-US"/>
        </w:rPr>
        <w:t>–</w:t>
      </w:r>
      <w:r w:rsidRPr="001416ED">
        <w:rPr>
          <w:rFonts w:eastAsiaTheme="minorHAnsi"/>
          <w:kern w:val="11"/>
          <w:lang w:val="uk-UA" w:eastAsia="en-US"/>
        </w:rPr>
        <w:t xml:space="preserve"> якщо на 4 пальці </w:t>
      </w:r>
      <w:r w:rsidR="006410D0" w:rsidRPr="001416ED">
        <w:rPr>
          <w:rFonts w:eastAsiaTheme="minorHAnsi"/>
          <w:kern w:val="11"/>
          <w:lang w:val="uk-UA" w:eastAsia="en-US"/>
        </w:rPr>
        <w:t>ЛК</w:t>
      </w:r>
      <w:r w:rsidR="00900361" w:rsidRPr="001416ED">
        <w:rPr>
          <w:rFonts w:eastAsiaTheme="minorHAnsi"/>
          <w:kern w:val="11"/>
          <w:lang w:val="uk-UA" w:eastAsia="en-US"/>
        </w:rPr>
        <w:t xml:space="preserve"> </w:t>
      </w:r>
      <w:r w:rsidRPr="001416ED">
        <w:rPr>
          <w:rFonts w:eastAsiaTheme="minorHAnsi"/>
          <w:kern w:val="11"/>
          <w:lang w:val="uk-UA" w:eastAsia="en-US"/>
        </w:rPr>
        <w:t>(</w:t>
      </w:r>
      <w:r w:rsidRPr="001416ED">
        <w:rPr>
          <w:rFonts w:eastAsiaTheme="minorHAnsi"/>
          <w:kern w:val="11"/>
          <w:lang w:val="en-US" w:eastAsia="en-US"/>
        </w:rPr>
        <w:t>S</w:t>
      </w:r>
      <w:r w:rsidRPr="001416ED">
        <w:rPr>
          <w:rFonts w:eastAsiaTheme="minorHAnsi"/>
          <w:kern w:val="11"/>
          <w:lang w:val="uk-UA" w:eastAsia="en-US"/>
        </w:rPr>
        <w:t>4) присутній дерматогліфічний малюнок – типу ульнарна петля (</w:t>
      </w:r>
      <w:r w:rsidRPr="001416ED">
        <w:rPr>
          <w:rFonts w:eastAsiaTheme="minorHAnsi"/>
          <w:kern w:val="11"/>
          <w:lang w:val="en-US" w:eastAsia="en-US"/>
        </w:rPr>
        <w:t>U</w:t>
      </w:r>
      <w:r w:rsidRPr="001416ED">
        <w:rPr>
          <w:rFonts w:eastAsiaTheme="minorHAnsi"/>
          <w:kern w:val="11"/>
          <w:lang w:val="uk-UA" w:eastAsia="en-US"/>
        </w:rPr>
        <w:t xml:space="preserve">), то підставляємо замість комплексу </w:t>
      </w:r>
      <w:r w:rsidRPr="001416ED">
        <w:rPr>
          <w:rFonts w:eastAsiaTheme="minorHAnsi"/>
          <w:kern w:val="11"/>
          <w:lang w:val="en-US" w:eastAsia="en-US"/>
        </w:rPr>
        <w:t>S</w:t>
      </w:r>
      <w:r w:rsidRPr="001416ED">
        <w:rPr>
          <w:rFonts w:eastAsiaTheme="minorHAnsi"/>
          <w:kern w:val="11"/>
          <w:lang w:val="uk-UA" w:eastAsia="en-US"/>
        </w:rPr>
        <w:t>3</w:t>
      </w:r>
      <w:r w:rsidRPr="001416ED">
        <w:rPr>
          <w:rFonts w:eastAsiaTheme="minorHAnsi"/>
          <w:kern w:val="11"/>
          <w:lang w:val="en-US" w:eastAsia="en-US"/>
        </w:rPr>
        <w:t>U</w:t>
      </w:r>
      <w:r w:rsidRPr="001416ED">
        <w:rPr>
          <w:rFonts w:eastAsiaTheme="minorHAnsi"/>
          <w:kern w:val="11"/>
          <w:lang w:val="uk-UA" w:eastAsia="en-US"/>
        </w:rPr>
        <w:t xml:space="preserve"> – 1; якщо радіальна петля (</w:t>
      </w:r>
      <w:r w:rsidRPr="001416ED">
        <w:rPr>
          <w:rFonts w:eastAsiaTheme="minorHAnsi"/>
          <w:kern w:val="11"/>
          <w:lang w:val="en-US" w:eastAsia="en-US"/>
        </w:rPr>
        <w:t>R</w:t>
      </w:r>
      <w:r w:rsidRPr="001416ED">
        <w:rPr>
          <w:rFonts w:eastAsiaTheme="minorHAnsi"/>
          <w:kern w:val="11"/>
          <w:lang w:val="uk-UA" w:eastAsia="en-US"/>
        </w:rPr>
        <w:t xml:space="preserve">), </w:t>
      </w:r>
      <w:r w:rsidR="00FF5B8D" w:rsidRPr="001416ED">
        <w:rPr>
          <w:rFonts w:eastAsiaTheme="minorHAnsi"/>
          <w:kern w:val="11"/>
          <w:lang w:val="uk-UA" w:eastAsia="en-US"/>
        </w:rPr>
        <w:t>дуга</w:t>
      </w:r>
      <w:r w:rsidRPr="001416ED">
        <w:rPr>
          <w:rFonts w:eastAsiaTheme="minorHAnsi"/>
          <w:kern w:val="11"/>
          <w:lang w:val="uk-UA" w:eastAsia="en-US"/>
        </w:rPr>
        <w:t xml:space="preserve"> (</w:t>
      </w:r>
      <w:r w:rsidRPr="001416ED">
        <w:rPr>
          <w:rFonts w:eastAsiaTheme="minorHAnsi"/>
          <w:kern w:val="11"/>
          <w:lang w:val="en-US" w:eastAsia="en-US"/>
        </w:rPr>
        <w:t>A</w:t>
      </w:r>
      <w:r w:rsidRPr="001416ED">
        <w:rPr>
          <w:rFonts w:eastAsiaTheme="minorHAnsi"/>
          <w:kern w:val="11"/>
          <w:lang w:val="uk-UA" w:eastAsia="en-US"/>
        </w:rPr>
        <w:t>) або завиток (</w:t>
      </w:r>
      <w:r w:rsidRPr="001416ED">
        <w:rPr>
          <w:rFonts w:eastAsiaTheme="minorHAnsi"/>
          <w:kern w:val="11"/>
          <w:lang w:val="en-US" w:eastAsia="en-US"/>
        </w:rPr>
        <w:t>W</w:t>
      </w:r>
      <w:r w:rsidR="007B3240" w:rsidRPr="001416ED">
        <w:rPr>
          <w:rFonts w:eastAsiaTheme="minorHAnsi"/>
          <w:kern w:val="11"/>
          <w:lang w:val="uk-UA" w:eastAsia="en-US"/>
        </w:rPr>
        <w:t xml:space="preserve">), то підставляємо – 0. </w:t>
      </w:r>
    </w:p>
    <w:p w:rsidR="005451C3" w:rsidRPr="001416ED" w:rsidRDefault="007B3240" w:rsidP="007B3240">
      <w:pPr>
        <w:spacing w:line="360" w:lineRule="auto"/>
        <w:jc w:val="both"/>
        <w:rPr>
          <w:rFonts w:eastAsiaTheme="minorHAnsi"/>
          <w:kern w:val="11"/>
          <w:lang w:val="uk-UA" w:eastAsia="en-US"/>
        </w:rPr>
      </w:pPr>
      <w:r w:rsidRPr="001416ED">
        <w:rPr>
          <w:rFonts w:eastAsiaTheme="minorHAnsi"/>
          <w:kern w:val="11"/>
          <w:lang w:val="uk-UA" w:eastAsia="en-US"/>
        </w:rPr>
        <w:t xml:space="preserve">             </w:t>
      </w:r>
      <w:r w:rsidR="00900361" w:rsidRPr="001416ED">
        <w:rPr>
          <w:rFonts w:eastAsiaTheme="minorHAnsi"/>
          <w:kern w:val="11"/>
          <w:lang w:val="uk-UA" w:eastAsia="en-US"/>
        </w:rPr>
        <w:t>Ч</w:t>
      </w:r>
      <w:r w:rsidR="005451C3" w:rsidRPr="001416ED">
        <w:rPr>
          <w:rFonts w:eastAsiaTheme="minorHAnsi"/>
          <w:kern w:val="11"/>
          <w:lang w:val="uk-UA" w:eastAsia="en-US"/>
        </w:rPr>
        <w:t>утливість методу становить 97,1</w:t>
      </w:r>
      <w:r w:rsidR="00D4219F" w:rsidRPr="001416ED">
        <w:rPr>
          <w:rFonts w:eastAsiaTheme="minorHAnsi"/>
          <w:kern w:val="11"/>
          <w:lang w:val="uk-UA" w:eastAsia="en-US"/>
        </w:rPr>
        <w:t xml:space="preserve"> %</w:t>
      </w:r>
      <w:r w:rsidR="005451C3" w:rsidRPr="001416ED">
        <w:rPr>
          <w:rFonts w:eastAsiaTheme="minorHAnsi"/>
          <w:kern w:val="11"/>
          <w:lang w:val="uk-UA" w:eastAsia="en-US"/>
        </w:rPr>
        <w:t>, специфічність – 95,05</w:t>
      </w:r>
      <w:r w:rsidR="00D4219F" w:rsidRPr="001416ED">
        <w:rPr>
          <w:rFonts w:eastAsiaTheme="minorHAnsi"/>
          <w:kern w:val="11"/>
          <w:lang w:val="uk-UA" w:eastAsia="en-US"/>
        </w:rPr>
        <w:t xml:space="preserve"> %</w:t>
      </w:r>
      <w:r w:rsidR="002A4CE7">
        <w:rPr>
          <w:rFonts w:eastAsiaTheme="minorHAnsi"/>
          <w:kern w:val="11"/>
          <w:lang w:val="uk-UA" w:eastAsia="en-US"/>
        </w:rPr>
        <w:t xml:space="preserve"> </w:t>
      </w:r>
      <w:r w:rsidR="005451C3" w:rsidRPr="001416ED">
        <w:rPr>
          <w:rFonts w:eastAsiaTheme="minorHAnsi"/>
          <w:kern w:val="11"/>
          <w:lang w:val="uk-UA" w:eastAsia="en-US"/>
        </w:rPr>
        <w:t>.</w:t>
      </w:r>
    </w:p>
    <w:p w:rsidR="005451C3" w:rsidRPr="001416ED" w:rsidRDefault="006410D0" w:rsidP="005451C3">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   </w:t>
      </w:r>
      <w:r w:rsidR="005451C3" w:rsidRPr="001416ED">
        <w:rPr>
          <w:rFonts w:eastAsiaTheme="minorHAnsi"/>
          <w:kern w:val="11"/>
          <w:lang w:val="uk-UA" w:eastAsia="en-US"/>
        </w:rPr>
        <w:t xml:space="preserve">Якщо отримане числове значення буде більшим у формулі </w:t>
      </w:r>
      <w:r w:rsidR="005451C3" w:rsidRPr="001416ED">
        <w:rPr>
          <w:rFonts w:eastAsiaTheme="minorHAnsi"/>
          <w:kern w:val="11"/>
          <w:lang w:val="en-US" w:eastAsia="en-US"/>
        </w:rPr>
        <w:t>Y</w:t>
      </w:r>
      <w:r w:rsidR="005451C3" w:rsidRPr="001416ED">
        <w:rPr>
          <w:rFonts w:eastAsiaTheme="minorHAnsi"/>
          <w:kern w:val="11"/>
          <w:vertAlign w:val="subscript"/>
          <w:lang w:val="uk-UA" w:eastAsia="en-US"/>
        </w:rPr>
        <w:t>1</w:t>
      </w:r>
      <w:r w:rsidR="005451C3" w:rsidRPr="001416ED">
        <w:rPr>
          <w:rFonts w:eastAsiaTheme="minorHAnsi"/>
          <w:kern w:val="11"/>
          <w:lang w:val="uk-UA" w:eastAsia="en-US"/>
        </w:rPr>
        <w:t xml:space="preserve"> – це говорить про те, що у пацієнта ризик розвитку ХСН ІІ А ст</w:t>
      </w:r>
      <w:r w:rsidR="007B3240" w:rsidRPr="001416ED">
        <w:rPr>
          <w:rFonts w:eastAsiaTheme="minorHAnsi"/>
          <w:kern w:val="11"/>
          <w:lang w:val="uk-UA" w:eastAsia="en-US"/>
        </w:rPr>
        <w:t xml:space="preserve">. </w:t>
      </w:r>
      <w:r w:rsidR="005451C3" w:rsidRPr="001416ED">
        <w:rPr>
          <w:rFonts w:eastAsiaTheme="minorHAnsi"/>
          <w:kern w:val="11"/>
          <w:lang w:val="uk-UA" w:eastAsia="en-US"/>
        </w:rPr>
        <w:t xml:space="preserve">на тлі ГХ </w:t>
      </w:r>
      <w:r w:rsidR="00BC0119" w:rsidRPr="001416ED">
        <w:rPr>
          <w:rFonts w:eastAsiaTheme="minorHAnsi"/>
          <w:kern w:val="11"/>
          <w:lang w:val="uk-UA" w:eastAsia="en-US"/>
        </w:rPr>
        <w:t>–</w:t>
      </w:r>
      <w:r w:rsidR="005451C3" w:rsidRPr="001416ED">
        <w:rPr>
          <w:rFonts w:eastAsiaTheme="minorHAnsi"/>
          <w:kern w:val="11"/>
          <w:lang w:val="uk-UA" w:eastAsia="en-US"/>
        </w:rPr>
        <w:t xml:space="preserve"> відсутній з ймовірністю на 95,05</w:t>
      </w:r>
      <w:r w:rsidR="00D4219F" w:rsidRPr="001416ED">
        <w:rPr>
          <w:rFonts w:eastAsiaTheme="minorHAnsi"/>
          <w:kern w:val="11"/>
          <w:lang w:val="uk-UA" w:eastAsia="en-US"/>
        </w:rPr>
        <w:t xml:space="preserve"> %</w:t>
      </w:r>
      <w:r w:rsidR="005451C3" w:rsidRPr="001416ED">
        <w:rPr>
          <w:rFonts w:eastAsiaTheme="minorHAnsi"/>
          <w:kern w:val="11"/>
          <w:lang w:val="uk-UA" w:eastAsia="en-US"/>
        </w:rPr>
        <w:t xml:space="preserve">, якщо числове значення буде більшим у формулі  </w:t>
      </w:r>
      <w:r w:rsidR="005451C3" w:rsidRPr="001416ED">
        <w:rPr>
          <w:rFonts w:eastAsiaTheme="minorHAnsi"/>
          <w:kern w:val="11"/>
          <w:lang w:val="en-US" w:eastAsia="en-US"/>
        </w:rPr>
        <w:t>Y</w:t>
      </w:r>
      <w:r w:rsidR="005451C3" w:rsidRPr="001416ED">
        <w:rPr>
          <w:rFonts w:eastAsiaTheme="minorHAnsi"/>
          <w:kern w:val="11"/>
          <w:vertAlign w:val="subscript"/>
          <w:lang w:val="uk-UA" w:eastAsia="en-US"/>
        </w:rPr>
        <w:t xml:space="preserve">2 </w:t>
      </w:r>
      <w:r w:rsidR="005451C3" w:rsidRPr="001416ED">
        <w:rPr>
          <w:rFonts w:eastAsiaTheme="minorHAnsi"/>
          <w:kern w:val="11"/>
          <w:lang w:val="uk-UA" w:eastAsia="en-US"/>
        </w:rPr>
        <w:t xml:space="preserve">–  </w:t>
      </w:r>
      <w:r w:rsidR="005451C3" w:rsidRPr="001416ED">
        <w:rPr>
          <w:rFonts w:eastAsiaTheme="minorHAnsi"/>
          <w:kern w:val="11"/>
          <w:lang w:val="uk-UA" w:eastAsia="en-US"/>
        </w:rPr>
        <w:lastRenderedPageBreak/>
        <w:t xml:space="preserve">обстежуваний з ймовірністю </w:t>
      </w:r>
      <w:r w:rsidR="009F1C8B" w:rsidRPr="001416ED">
        <w:rPr>
          <w:rFonts w:eastAsiaTheme="minorHAnsi"/>
          <w:kern w:val="11"/>
          <w:lang w:val="uk-UA" w:eastAsia="en-US"/>
        </w:rPr>
        <w:t>97,1</w:t>
      </w:r>
      <w:r w:rsidR="00D4219F" w:rsidRPr="001416ED">
        <w:rPr>
          <w:rFonts w:eastAsiaTheme="minorHAnsi"/>
          <w:kern w:val="11"/>
          <w:lang w:val="uk-UA" w:eastAsia="en-US"/>
        </w:rPr>
        <w:t xml:space="preserve"> %</w:t>
      </w:r>
      <w:r w:rsidR="009F1C8B" w:rsidRPr="001416ED">
        <w:rPr>
          <w:rFonts w:eastAsiaTheme="minorHAnsi"/>
          <w:kern w:val="11"/>
          <w:lang w:val="uk-UA" w:eastAsia="en-US"/>
        </w:rPr>
        <w:t xml:space="preserve"> має ризик розвитку ХСН </w:t>
      </w:r>
      <w:r w:rsidR="004A4E68" w:rsidRPr="001416ED">
        <w:rPr>
          <w:rFonts w:eastAsiaTheme="minorHAnsi"/>
          <w:kern w:val="11"/>
          <w:lang w:val="uk-UA" w:eastAsia="en-US"/>
        </w:rPr>
        <w:t>ІІ А</w:t>
      </w:r>
      <w:r w:rsidRPr="001416ED">
        <w:rPr>
          <w:rFonts w:eastAsiaTheme="minorHAnsi"/>
          <w:kern w:val="11"/>
          <w:lang w:val="uk-UA" w:eastAsia="en-US"/>
        </w:rPr>
        <w:t xml:space="preserve"> ст.</w:t>
      </w:r>
      <w:r w:rsidR="005451C3" w:rsidRPr="001416ED">
        <w:rPr>
          <w:rFonts w:eastAsiaTheme="minorHAnsi"/>
          <w:kern w:val="11"/>
          <w:lang w:val="uk-UA" w:eastAsia="en-US"/>
        </w:rPr>
        <w:t>, що ускладнює перебіг ГХ.</w:t>
      </w:r>
    </w:p>
    <w:p w:rsidR="00D5248A" w:rsidRPr="001416ED" w:rsidRDefault="00A142C5" w:rsidP="00FD2AD4">
      <w:pPr>
        <w:spacing w:line="360" w:lineRule="auto"/>
        <w:ind w:firstLine="709"/>
        <w:jc w:val="both"/>
        <w:rPr>
          <w:rFonts w:eastAsiaTheme="minorHAnsi"/>
          <w:kern w:val="11"/>
          <w:lang w:val="uk-UA" w:eastAsia="en-US"/>
        </w:rPr>
      </w:pPr>
      <w:r w:rsidRPr="001416ED">
        <w:rPr>
          <w:rFonts w:eastAsiaTheme="minorHAnsi"/>
          <w:kern w:val="11"/>
          <w:lang w:val="uk-UA" w:eastAsia="en-US"/>
        </w:rPr>
        <w:t>Таким чином, у</w:t>
      </w:r>
      <w:r w:rsidR="009C0E75" w:rsidRPr="001416ED">
        <w:rPr>
          <w:rFonts w:eastAsiaTheme="minorHAnsi"/>
          <w:kern w:val="11"/>
          <w:lang w:val="uk-UA" w:eastAsia="en-US"/>
        </w:rPr>
        <w:t xml:space="preserve"> </w:t>
      </w:r>
      <w:r w:rsidR="00382A19" w:rsidRPr="001416ED">
        <w:rPr>
          <w:rFonts w:eastAsiaTheme="minorHAnsi"/>
          <w:kern w:val="11"/>
          <w:lang w:val="uk-UA" w:eastAsia="en-US"/>
        </w:rPr>
        <w:t>чоловіків з ГХ ІІ ст</w:t>
      </w:r>
      <w:r w:rsidR="0070227C" w:rsidRPr="001416ED">
        <w:rPr>
          <w:rFonts w:eastAsiaTheme="minorHAnsi"/>
          <w:kern w:val="11"/>
          <w:lang w:val="uk-UA" w:eastAsia="en-US"/>
        </w:rPr>
        <w:t>.</w:t>
      </w:r>
      <w:r w:rsidR="00382A19" w:rsidRPr="001416ED">
        <w:rPr>
          <w:rFonts w:eastAsiaTheme="minorHAnsi"/>
          <w:kern w:val="11"/>
          <w:lang w:val="uk-UA" w:eastAsia="en-US"/>
        </w:rPr>
        <w:t xml:space="preserve"> та </w:t>
      </w:r>
      <w:r w:rsidR="00081C6E" w:rsidRPr="001416ED">
        <w:rPr>
          <w:rFonts w:eastAsiaTheme="minorHAnsi"/>
          <w:kern w:val="11"/>
          <w:lang w:val="uk-UA" w:eastAsia="en-US"/>
        </w:rPr>
        <w:t>ГХ ІІІ ст.</w:t>
      </w:r>
      <w:r w:rsidR="00382A19" w:rsidRPr="001416ED">
        <w:rPr>
          <w:rFonts w:eastAsiaTheme="minorHAnsi"/>
          <w:kern w:val="11"/>
          <w:lang w:val="uk-UA" w:eastAsia="en-US"/>
        </w:rPr>
        <w:t xml:space="preserve"> як і у осіб групи </w:t>
      </w:r>
      <w:r w:rsidR="002271CC" w:rsidRPr="001416ED">
        <w:rPr>
          <w:rFonts w:eastAsiaTheme="minorHAnsi"/>
          <w:kern w:val="11"/>
          <w:lang w:val="uk-UA" w:eastAsia="en-US"/>
        </w:rPr>
        <w:t>контролю</w:t>
      </w:r>
      <w:r w:rsidR="00382A19" w:rsidRPr="001416ED">
        <w:rPr>
          <w:rFonts w:eastAsiaTheme="minorHAnsi"/>
          <w:kern w:val="11"/>
          <w:lang w:val="uk-UA" w:eastAsia="en-US"/>
        </w:rPr>
        <w:t>, домінує генотип Lys/Lys</w:t>
      </w:r>
      <w:r w:rsidR="006C4C52" w:rsidRPr="001416ED">
        <w:rPr>
          <w:rFonts w:eastAsiaTheme="minorHAnsi"/>
          <w:kern w:val="11"/>
          <w:lang w:val="uk-UA" w:eastAsia="en-US"/>
        </w:rPr>
        <w:t xml:space="preserve"> та алель</w:t>
      </w:r>
      <w:r w:rsidR="00382A19" w:rsidRPr="001416ED">
        <w:rPr>
          <w:rFonts w:eastAsiaTheme="minorHAnsi"/>
          <w:kern w:val="11"/>
          <w:lang w:val="uk-UA" w:eastAsia="en-US"/>
        </w:rPr>
        <w:t xml:space="preserve"> </w:t>
      </w:r>
      <w:r w:rsidR="006C4C52" w:rsidRPr="001416ED">
        <w:rPr>
          <w:rFonts w:eastAsiaTheme="minorHAnsi"/>
          <w:kern w:val="11"/>
          <w:lang w:val="uk-UA" w:eastAsia="en-US"/>
        </w:rPr>
        <w:t xml:space="preserve">Lys </w:t>
      </w:r>
      <w:r w:rsidR="00382A19" w:rsidRPr="001416ED">
        <w:rPr>
          <w:rFonts w:eastAsiaTheme="minorHAnsi"/>
          <w:kern w:val="11"/>
          <w:lang w:val="uk-UA" w:eastAsia="en-US"/>
        </w:rPr>
        <w:t>гена ЕТ</w:t>
      </w:r>
      <w:r w:rsidR="00BC0119" w:rsidRPr="001416ED">
        <w:rPr>
          <w:rFonts w:eastAsiaTheme="minorHAnsi"/>
          <w:kern w:val="11"/>
          <w:lang w:val="uk-UA" w:eastAsia="en-US"/>
        </w:rPr>
        <w:t>–</w:t>
      </w:r>
      <w:r w:rsidR="00382A19" w:rsidRPr="001416ED">
        <w:rPr>
          <w:rFonts w:eastAsiaTheme="minorHAnsi"/>
          <w:kern w:val="11"/>
          <w:lang w:val="uk-UA" w:eastAsia="en-US"/>
        </w:rPr>
        <w:t>1</w:t>
      </w:r>
      <w:r w:rsidR="006C4C52" w:rsidRPr="001416ED">
        <w:rPr>
          <w:rFonts w:eastAsiaTheme="minorHAnsi"/>
          <w:kern w:val="11"/>
          <w:lang w:val="uk-UA" w:eastAsia="en-US"/>
        </w:rPr>
        <w:t xml:space="preserve">, проте немає достовірної різниці у </w:t>
      </w:r>
      <w:r w:rsidR="009F1C8B" w:rsidRPr="001416ED">
        <w:rPr>
          <w:rFonts w:eastAsiaTheme="minorHAnsi"/>
          <w:kern w:val="11"/>
          <w:lang w:val="uk-UA" w:eastAsia="en-US"/>
        </w:rPr>
        <w:t xml:space="preserve">частоті </w:t>
      </w:r>
      <w:r w:rsidR="006C4C52" w:rsidRPr="001416ED">
        <w:rPr>
          <w:rFonts w:eastAsiaTheme="minorHAnsi"/>
          <w:kern w:val="11"/>
          <w:lang w:val="uk-UA" w:eastAsia="en-US"/>
        </w:rPr>
        <w:t>носій</w:t>
      </w:r>
      <w:r w:rsidR="0070227C" w:rsidRPr="001416ED">
        <w:rPr>
          <w:rFonts w:eastAsiaTheme="minorHAnsi"/>
          <w:kern w:val="11"/>
          <w:lang w:val="uk-UA" w:eastAsia="en-US"/>
        </w:rPr>
        <w:t>ств</w:t>
      </w:r>
      <w:r w:rsidR="009F1C8B" w:rsidRPr="001416ED">
        <w:rPr>
          <w:rFonts w:eastAsiaTheme="minorHAnsi"/>
          <w:kern w:val="11"/>
          <w:lang w:val="uk-UA" w:eastAsia="en-US"/>
        </w:rPr>
        <w:t>а</w:t>
      </w:r>
      <w:r w:rsidR="002A4CE7">
        <w:rPr>
          <w:rFonts w:eastAsiaTheme="minorHAnsi"/>
          <w:kern w:val="11"/>
          <w:lang w:val="uk-UA" w:eastAsia="en-US"/>
        </w:rPr>
        <w:t xml:space="preserve"> поліморфних</w:t>
      </w:r>
      <w:r w:rsidR="0070227C" w:rsidRPr="001416ED">
        <w:rPr>
          <w:rFonts w:eastAsiaTheme="minorHAnsi"/>
          <w:kern w:val="11"/>
          <w:lang w:val="uk-UA" w:eastAsia="en-US"/>
        </w:rPr>
        <w:t xml:space="preserve"> варіантів </w:t>
      </w:r>
      <w:r w:rsidR="002A4CE7">
        <w:rPr>
          <w:rFonts w:eastAsiaTheme="minorHAnsi"/>
          <w:kern w:val="11"/>
          <w:lang w:val="uk-UA" w:eastAsia="en-US"/>
        </w:rPr>
        <w:t>гена ЕТ-1</w:t>
      </w:r>
      <w:r w:rsidR="0070227C" w:rsidRPr="001416ED">
        <w:rPr>
          <w:rFonts w:eastAsiaTheme="minorHAnsi"/>
          <w:kern w:val="11"/>
          <w:lang w:val="uk-UA" w:eastAsia="en-US"/>
        </w:rPr>
        <w:t xml:space="preserve"> та алел</w:t>
      </w:r>
      <w:r w:rsidR="006C4C52" w:rsidRPr="001416ED">
        <w:rPr>
          <w:rFonts w:eastAsiaTheme="minorHAnsi"/>
          <w:kern w:val="11"/>
          <w:lang w:val="uk-UA" w:eastAsia="en-US"/>
        </w:rPr>
        <w:t xml:space="preserve">ей між </w:t>
      </w:r>
      <w:r w:rsidR="006410D0" w:rsidRPr="001416ED">
        <w:rPr>
          <w:rFonts w:eastAsiaTheme="minorHAnsi"/>
          <w:kern w:val="11"/>
          <w:lang w:val="uk-UA" w:eastAsia="en-US"/>
        </w:rPr>
        <w:t xml:space="preserve">усіма </w:t>
      </w:r>
      <w:r w:rsidR="006C4C52" w:rsidRPr="001416ED">
        <w:rPr>
          <w:rFonts w:eastAsiaTheme="minorHAnsi"/>
          <w:kern w:val="11"/>
          <w:lang w:val="uk-UA" w:eastAsia="en-US"/>
        </w:rPr>
        <w:t>групами дослідження</w:t>
      </w:r>
      <w:r w:rsidR="00382A19" w:rsidRPr="001416ED">
        <w:rPr>
          <w:rFonts w:eastAsiaTheme="minorHAnsi"/>
          <w:kern w:val="11"/>
          <w:lang w:val="uk-UA" w:eastAsia="en-US"/>
        </w:rPr>
        <w:t>.</w:t>
      </w:r>
      <w:r w:rsidR="006D5F31" w:rsidRPr="001416ED">
        <w:rPr>
          <w:rFonts w:eastAsiaTheme="minorHAnsi"/>
          <w:kern w:val="11"/>
          <w:lang w:val="uk-UA" w:eastAsia="en-US"/>
        </w:rPr>
        <w:t xml:space="preserve"> Носійство </w:t>
      </w:r>
      <w:r w:rsidR="00E6164F">
        <w:rPr>
          <w:rFonts w:eastAsiaTheme="minorHAnsi"/>
          <w:kern w:val="11"/>
          <w:lang w:val="uk-UA" w:eastAsia="en-US"/>
        </w:rPr>
        <w:t>поліморфного варіанту гена</w:t>
      </w:r>
      <w:r w:rsidR="006D5F31" w:rsidRPr="001416ED">
        <w:rPr>
          <w:rFonts w:eastAsiaTheme="minorHAnsi"/>
          <w:kern w:val="11"/>
          <w:lang w:val="uk-UA" w:eastAsia="en-US"/>
        </w:rPr>
        <w:t xml:space="preserve"> ЕТ</w:t>
      </w:r>
      <w:r w:rsidR="00BC0119" w:rsidRPr="001416ED">
        <w:rPr>
          <w:rFonts w:eastAsiaTheme="minorHAnsi"/>
          <w:kern w:val="11"/>
          <w:lang w:val="uk-UA" w:eastAsia="en-US"/>
        </w:rPr>
        <w:t>–</w:t>
      </w:r>
      <w:r w:rsidR="006D5F31" w:rsidRPr="001416ED">
        <w:rPr>
          <w:rFonts w:eastAsiaTheme="minorHAnsi"/>
          <w:kern w:val="11"/>
          <w:lang w:val="uk-UA" w:eastAsia="en-US"/>
        </w:rPr>
        <w:t>1 не асоціюється з розвитком ГХ або ХСН на її тлі.</w:t>
      </w:r>
      <w:r w:rsidR="00770D3E" w:rsidRPr="001416ED">
        <w:rPr>
          <w:rFonts w:eastAsiaTheme="minorHAnsi"/>
          <w:kern w:val="11"/>
          <w:lang w:val="uk-UA" w:eastAsia="en-US"/>
        </w:rPr>
        <w:t xml:space="preserve"> Однак, очевидно, </w:t>
      </w:r>
      <w:r w:rsidR="000E1BE3" w:rsidRPr="001416ED">
        <w:rPr>
          <w:rFonts w:eastAsiaTheme="minorHAnsi"/>
          <w:kern w:val="11"/>
          <w:lang w:val="uk-UA" w:eastAsia="en-US"/>
        </w:rPr>
        <w:t>що концентрація ЕТ</w:t>
      </w:r>
      <w:r w:rsidR="00BC0119" w:rsidRPr="001416ED">
        <w:rPr>
          <w:rFonts w:eastAsiaTheme="minorHAnsi"/>
          <w:kern w:val="11"/>
          <w:lang w:val="uk-UA" w:eastAsia="en-US"/>
        </w:rPr>
        <w:t>–</w:t>
      </w:r>
      <w:r w:rsidR="000E1BE3" w:rsidRPr="001416ED">
        <w:rPr>
          <w:rFonts w:eastAsiaTheme="minorHAnsi"/>
          <w:kern w:val="11"/>
          <w:lang w:val="uk-UA" w:eastAsia="en-US"/>
        </w:rPr>
        <w:t>1 підтримує певним чином</w:t>
      </w:r>
      <w:r w:rsidR="00770D3E" w:rsidRPr="001416ED">
        <w:rPr>
          <w:rFonts w:eastAsiaTheme="minorHAnsi"/>
          <w:kern w:val="11"/>
          <w:lang w:val="uk-UA" w:eastAsia="en-US"/>
        </w:rPr>
        <w:t xml:space="preserve"> базовий рівень звуження артеріальних судин при ЕГ.</w:t>
      </w:r>
    </w:p>
    <w:p w:rsidR="005B3004" w:rsidRPr="001416ED" w:rsidRDefault="00401810" w:rsidP="005B3004">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У </w:t>
      </w:r>
      <w:r w:rsidR="00032729" w:rsidRPr="001416ED">
        <w:rPr>
          <w:rFonts w:eastAsiaTheme="minorHAnsi"/>
          <w:kern w:val="11"/>
          <w:lang w:val="uk-UA" w:eastAsia="en-US"/>
        </w:rPr>
        <w:t>осіб з ГХ</w:t>
      </w:r>
      <w:r w:rsidR="009A4F60" w:rsidRPr="001416ED">
        <w:rPr>
          <w:rFonts w:eastAsiaTheme="minorHAnsi"/>
          <w:kern w:val="11"/>
          <w:lang w:val="uk-UA" w:eastAsia="en-US"/>
        </w:rPr>
        <w:t xml:space="preserve"> різної </w:t>
      </w:r>
      <w:r w:rsidR="00046A18" w:rsidRPr="001416ED">
        <w:rPr>
          <w:rFonts w:eastAsiaTheme="minorHAnsi"/>
          <w:kern w:val="11"/>
          <w:lang w:val="uk-UA" w:eastAsia="en-US"/>
        </w:rPr>
        <w:t>стадії</w:t>
      </w:r>
      <w:r w:rsidR="00032729" w:rsidRPr="001416ED">
        <w:rPr>
          <w:rFonts w:eastAsiaTheme="minorHAnsi"/>
          <w:kern w:val="11"/>
          <w:lang w:val="uk-UA" w:eastAsia="en-US"/>
        </w:rPr>
        <w:t xml:space="preserve"> </w:t>
      </w:r>
      <w:r w:rsidR="00BC0119" w:rsidRPr="001416ED">
        <w:rPr>
          <w:rFonts w:eastAsiaTheme="minorHAnsi"/>
          <w:kern w:val="11"/>
          <w:lang w:val="uk-UA" w:eastAsia="en-US"/>
        </w:rPr>
        <w:t>–</w:t>
      </w:r>
      <w:r w:rsidR="00032729" w:rsidRPr="001416ED">
        <w:rPr>
          <w:rFonts w:eastAsiaTheme="minorHAnsi"/>
          <w:kern w:val="11"/>
          <w:lang w:val="uk-UA" w:eastAsia="en-US"/>
        </w:rPr>
        <w:t xml:space="preserve"> </w:t>
      </w:r>
      <w:r w:rsidR="003A6D8B" w:rsidRPr="001416ED">
        <w:rPr>
          <w:rFonts w:eastAsiaTheme="minorHAnsi"/>
          <w:kern w:val="11"/>
          <w:lang w:val="uk-UA" w:eastAsia="en-US"/>
        </w:rPr>
        <w:t xml:space="preserve">носіїв генотипу </w:t>
      </w:r>
      <w:r w:rsidR="003A6D8B" w:rsidRPr="001416ED">
        <w:rPr>
          <w:rFonts w:eastAsiaTheme="minorHAnsi"/>
          <w:kern w:val="11"/>
          <w:lang w:val="en-US" w:eastAsia="en-US"/>
        </w:rPr>
        <w:t>Lys</w:t>
      </w:r>
      <w:r w:rsidR="003A6D8B" w:rsidRPr="001416ED">
        <w:rPr>
          <w:rFonts w:eastAsiaTheme="minorHAnsi"/>
          <w:kern w:val="11"/>
          <w:lang w:val="uk-UA" w:eastAsia="en-US"/>
        </w:rPr>
        <w:t>/</w:t>
      </w:r>
      <w:r w:rsidR="003A6D8B" w:rsidRPr="001416ED">
        <w:rPr>
          <w:rFonts w:eastAsiaTheme="minorHAnsi"/>
          <w:kern w:val="11"/>
          <w:lang w:val="en-US" w:eastAsia="en-US"/>
        </w:rPr>
        <w:t>Lys</w:t>
      </w:r>
      <w:r w:rsidR="009A4F60" w:rsidRPr="001416ED">
        <w:rPr>
          <w:rFonts w:eastAsiaTheme="minorHAnsi"/>
          <w:kern w:val="11"/>
          <w:lang w:val="uk-UA" w:eastAsia="en-US"/>
        </w:rPr>
        <w:t xml:space="preserve"> та алелі </w:t>
      </w:r>
      <w:r w:rsidR="009A4F60" w:rsidRPr="001416ED">
        <w:rPr>
          <w:rFonts w:eastAsiaTheme="minorHAnsi"/>
          <w:kern w:val="11"/>
          <w:lang w:val="en-US" w:eastAsia="en-US"/>
        </w:rPr>
        <w:t>Asn</w:t>
      </w:r>
      <w:r w:rsidR="009A4F60" w:rsidRPr="001416ED">
        <w:rPr>
          <w:rFonts w:eastAsiaTheme="minorHAnsi"/>
          <w:kern w:val="11"/>
          <w:lang w:val="uk-UA" w:eastAsia="en-US"/>
        </w:rPr>
        <w:t xml:space="preserve"> генотип АА та носії алелі С </w:t>
      </w:r>
      <w:r w:rsidR="005356BA" w:rsidRPr="001416ED">
        <w:rPr>
          <w:rFonts w:eastAsiaTheme="minorHAnsi"/>
          <w:kern w:val="11"/>
          <w:lang w:val="uk-UA" w:eastAsia="en-US"/>
        </w:rPr>
        <w:t>гена АТ1</w:t>
      </w:r>
      <w:r w:rsidR="00BC0119" w:rsidRPr="001416ED">
        <w:rPr>
          <w:rFonts w:eastAsiaTheme="minorHAnsi"/>
          <w:kern w:val="11"/>
          <w:lang w:val="uk-UA" w:eastAsia="en-US"/>
        </w:rPr>
        <w:t>–</w:t>
      </w:r>
      <w:r w:rsidR="005356BA" w:rsidRPr="001416ED">
        <w:rPr>
          <w:rFonts w:eastAsiaTheme="minorHAnsi"/>
          <w:kern w:val="11"/>
          <w:lang w:val="uk-UA" w:eastAsia="en-US"/>
        </w:rPr>
        <w:t>Р</w:t>
      </w:r>
      <w:r w:rsidR="009A4F60" w:rsidRPr="001416ED">
        <w:rPr>
          <w:rFonts w:eastAsiaTheme="minorHAnsi"/>
          <w:kern w:val="11"/>
          <w:lang w:val="uk-UA" w:eastAsia="en-US"/>
        </w:rPr>
        <w:t xml:space="preserve"> зустрічаються майже з однаковою частотою.</w:t>
      </w:r>
    </w:p>
    <w:p w:rsidR="00CE7712" w:rsidRPr="001416ED" w:rsidRDefault="009A5BCB" w:rsidP="00CE7712">
      <w:pPr>
        <w:spacing w:line="360" w:lineRule="auto"/>
        <w:ind w:firstLine="709"/>
        <w:jc w:val="both"/>
        <w:rPr>
          <w:rFonts w:eastAsiaTheme="minorHAnsi"/>
          <w:lang w:val="uk-UA" w:eastAsia="en-US"/>
        </w:rPr>
      </w:pPr>
      <w:r w:rsidRPr="001416ED">
        <w:rPr>
          <w:rFonts w:eastAsiaTheme="minorHAnsi"/>
          <w:kern w:val="11"/>
          <w:lang w:val="uk-UA" w:eastAsia="en-US"/>
        </w:rPr>
        <w:t>У чоловіків з ГХ ІІ ст.</w:t>
      </w:r>
      <w:r w:rsidR="007B3240" w:rsidRPr="001416ED">
        <w:rPr>
          <w:rFonts w:eastAsiaTheme="minorHAnsi"/>
          <w:kern w:val="11"/>
          <w:lang w:val="uk-UA" w:eastAsia="en-US"/>
        </w:rPr>
        <w:t>, що є носіями</w:t>
      </w:r>
      <w:r w:rsidR="009F429F" w:rsidRPr="001416ED">
        <w:rPr>
          <w:rFonts w:eastAsiaTheme="minorHAnsi"/>
          <w:kern w:val="11"/>
          <w:lang w:val="uk-UA" w:eastAsia="en-US"/>
        </w:rPr>
        <w:t xml:space="preserve"> </w:t>
      </w:r>
      <w:r w:rsidR="007B3240" w:rsidRPr="001416ED">
        <w:rPr>
          <w:rFonts w:eastAsiaTheme="minorHAnsi"/>
          <w:kern w:val="11"/>
          <w:lang w:val="uk-UA" w:eastAsia="en-US"/>
        </w:rPr>
        <w:t xml:space="preserve">генотипу </w:t>
      </w:r>
      <w:r w:rsidR="007B3240" w:rsidRPr="001416ED">
        <w:rPr>
          <w:rFonts w:eastAsiaTheme="minorHAnsi"/>
          <w:kern w:val="11"/>
          <w:lang w:val="en-US" w:eastAsia="en-US"/>
        </w:rPr>
        <w:t>Lys</w:t>
      </w:r>
      <w:r w:rsidR="007B3240" w:rsidRPr="001416ED">
        <w:rPr>
          <w:rFonts w:eastAsiaTheme="minorHAnsi"/>
          <w:kern w:val="11"/>
          <w:lang w:val="uk-UA" w:eastAsia="en-US"/>
        </w:rPr>
        <w:t>/</w:t>
      </w:r>
      <w:r w:rsidR="007B3240" w:rsidRPr="001416ED">
        <w:rPr>
          <w:rFonts w:eastAsiaTheme="minorHAnsi"/>
          <w:kern w:val="11"/>
          <w:lang w:val="en-US" w:eastAsia="en-US"/>
        </w:rPr>
        <w:t>Lys</w:t>
      </w:r>
      <w:r w:rsidR="007B3240" w:rsidRPr="001416ED">
        <w:rPr>
          <w:rFonts w:eastAsiaTheme="minorHAnsi"/>
          <w:kern w:val="11"/>
          <w:lang w:val="uk-UA" w:eastAsia="en-US"/>
        </w:rPr>
        <w:t xml:space="preserve"> частіше фіксувався </w:t>
      </w:r>
      <w:r w:rsidR="00E64911" w:rsidRPr="001416ED">
        <w:rPr>
          <w:rFonts w:eastAsiaTheme="minorHAnsi"/>
          <w:kern w:val="11"/>
          <w:lang w:val="uk-UA" w:eastAsia="en-US"/>
        </w:rPr>
        <w:t>2 ступ</w:t>
      </w:r>
      <w:r w:rsidR="007B3240" w:rsidRPr="001416ED">
        <w:rPr>
          <w:rFonts w:eastAsiaTheme="minorHAnsi"/>
          <w:kern w:val="11"/>
          <w:lang w:val="uk-UA" w:eastAsia="en-US"/>
        </w:rPr>
        <w:t>інь</w:t>
      </w:r>
      <w:r w:rsidR="00E64911" w:rsidRPr="001416ED">
        <w:rPr>
          <w:rFonts w:eastAsiaTheme="minorHAnsi"/>
          <w:kern w:val="11"/>
          <w:lang w:val="uk-UA" w:eastAsia="en-US"/>
        </w:rPr>
        <w:t xml:space="preserve"> АГ</w:t>
      </w:r>
      <w:r w:rsidR="009F429F" w:rsidRPr="001416ED">
        <w:rPr>
          <w:rFonts w:eastAsiaTheme="minorHAnsi"/>
          <w:kern w:val="11"/>
          <w:lang w:val="uk-UA" w:eastAsia="en-US"/>
        </w:rPr>
        <w:t xml:space="preserve">, а </w:t>
      </w:r>
      <w:r w:rsidR="00DD628E" w:rsidRPr="001416ED">
        <w:rPr>
          <w:rFonts w:eastAsiaTheme="minorHAnsi"/>
          <w:kern w:val="11"/>
          <w:lang w:val="uk-UA" w:eastAsia="en-US"/>
        </w:rPr>
        <w:t xml:space="preserve">у володарів алелі </w:t>
      </w:r>
      <w:r w:rsidR="00DD628E" w:rsidRPr="001416ED">
        <w:rPr>
          <w:rFonts w:eastAsiaTheme="minorHAnsi"/>
          <w:kern w:val="11"/>
          <w:lang w:val="en-US" w:eastAsia="en-US"/>
        </w:rPr>
        <w:t>Asn</w:t>
      </w:r>
      <w:r w:rsidR="00DD628E" w:rsidRPr="001416ED">
        <w:rPr>
          <w:rFonts w:eastAsiaTheme="minorHAnsi"/>
          <w:kern w:val="11"/>
          <w:lang w:val="uk-UA" w:eastAsia="en-US"/>
        </w:rPr>
        <w:t xml:space="preserve"> гена ЕТ-1 -</w:t>
      </w:r>
      <w:r w:rsidR="00E64911" w:rsidRPr="001416ED">
        <w:rPr>
          <w:rFonts w:eastAsiaTheme="minorHAnsi"/>
          <w:kern w:val="11"/>
          <w:lang w:val="uk-UA" w:eastAsia="en-US"/>
        </w:rPr>
        <w:t xml:space="preserve"> 3 ступ</w:t>
      </w:r>
      <w:r w:rsidR="00DD628E" w:rsidRPr="001416ED">
        <w:rPr>
          <w:rFonts w:eastAsiaTheme="minorHAnsi"/>
          <w:kern w:val="11"/>
          <w:lang w:val="uk-UA" w:eastAsia="en-US"/>
        </w:rPr>
        <w:t>інь АГ</w:t>
      </w:r>
      <w:r w:rsidR="009F429F" w:rsidRPr="001416ED">
        <w:rPr>
          <w:rFonts w:eastAsiaTheme="minorHAnsi"/>
          <w:kern w:val="11"/>
          <w:lang w:val="uk-UA" w:eastAsia="en-US"/>
        </w:rPr>
        <w:t>.</w:t>
      </w:r>
      <w:r w:rsidR="00E6742D" w:rsidRPr="001416ED">
        <w:rPr>
          <w:rFonts w:eastAsiaTheme="minorHAnsi"/>
          <w:kern w:val="11"/>
          <w:lang w:val="uk-UA" w:eastAsia="en-US"/>
        </w:rPr>
        <w:t xml:space="preserve"> У осіб з </w:t>
      </w:r>
      <w:r w:rsidR="00EA7C60" w:rsidRPr="001416ED">
        <w:rPr>
          <w:rFonts w:eastAsiaTheme="minorHAnsi"/>
          <w:kern w:val="11"/>
          <w:lang w:val="uk-UA" w:eastAsia="en-US"/>
        </w:rPr>
        <w:t>ГХ ІІІ ст.</w:t>
      </w:r>
      <w:r w:rsidR="00DD628E" w:rsidRPr="001416ED">
        <w:rPr>
          <w:rFonts w:eastAsiaTheme="minorHAnsi"/>
          <w:kern w:val="11"/>
          <w:lang w:val="uk-UA" w:eastAsia="en-US"/>
        </w:rPr>
        <w:t xml:space="preserve"> -</w:t>
      </w:r>
      <w:r w:rsidR="00EA7C60" w:rsidRPr="001416ED">
        <w:rPr>
          <w:rFonts w:eastAsiaTheme="minorHAnsi"/>
          <w:kern w:val="11"/>
          <w:lang w:val="uk-UA" w:eastAsia="en-US"/>
        </w:rPr>
        <w:t xml:space="preserve">  </w:t>
      </w:r>
      <w:r w:rsidR="00DD628E" w:rsidRPr="001416ED">
        <w:rPr>
          <w:rFonts w:eastAsiaTheme="minorHAnsi"/>
          <w:kern w:val="11"/>
          <w:lang w:val="uk-UA" w:eastAsia="en-US"/>
        </w:rPr>
        <w:t xml:space="preserve">носіїв алелі </w:t>
      </w:r>
      <w:r w:rsidR="00DD628E" w:rsidRPr="001416ED">
        <w:rPr>
          <w:rFonts w:eastAsiaTheme="minorHAnsi"/>
          <w:kern w:val="11"/>
          <w:lang w:val="en-US" w:eastAsia="en-US"/>
        </w:rPr>
        <w:t>Asn</w:t>
      </w:r>
      <w:r w:rsidR="00DD628E" w:rsidRPr="001416ED">
        <w:rPr>
          <w:rFonts w:eastAsiaTheme="minorHAnsi"/>
          <w:kern w:val="11"/>
          <w:lang w:val="uk-UA" w:eastAsia="en-US"/>
        </w:rPr>
        <w:t xml:space="preserve"> також переважав </w:t>
      </w:r>
      <w:r w:rsidR="00CA6AD6" w:rsidRPr="001416ED">
        <w:rPr>
          <w:rFonts w:eastAsiaTheme="minorHAnsi"/>
          <w:kern w:val="11"/>
          <w:lang w:val="uk-UA" w:eastAsia="en-US"/>
        </w:rPr>
        <w:t>3 ступені АГ</w:t>
      </w:r>
      <w:r w:rsidR="009F429F" w:rsidRPr="001416ED">
        <w:rPr>
          <w:rFonts w:eastAsiaTheme="minorHAnsi"/>
          <w:kern w:val="11"/>
          <w:lang w:val="uk-UA" w:eastAsia="en-US"/>
        </w:rPr>
        <w:t>.</w:t>
      </w:r>
      <w:r w:rsidR="00CE7712" w:rsidRPr="001416ED">
        <w:rPr>
          <w:rFonts w:eastAsiaTheme="minorHAnsi"/>
          <w:lang w:val="uk-UA" w:eastAsia="en-US"/>
        </w:rPr>
        <w:t xml:space="preserve"> Різниці у рівні ЕТ</w:t>
      </w:r>
      <w:r w:rsidR="00BC0119" w:rsidRPr="001416ED">
        <w:rPr>
          <w:rFonts w:eastAsiaTheme="minorHAnsi"/>
          <w:lang w:val="uk-UA" w:eastAsia="en-US"/>
        </w:rPr>
        <w:t>–</w:t>
      </w:r>
      <w:r w:rsidR="00CE7712" w:rsidRPr="001416ED">
        <w:rPr>
          <w:rFonts w:eastAsiaTheme="minorHAnsi"/>
          <w:lang w:val="uk-UA" w:eastAsia="en-US"/>
        </w:rPr>
        <w:t xml:space="preserve">1 </w:t>
      </w:r>
      <w:r w:rsidR="00CD2F67" w:rsidRPr="001416ED">
        <w:rPr>
          <w:rFonts w:eastAsiaTheme="minorHAnsi"/>
          <w:lang w:val="uk-UA" w:eastAsia="en-US"/>
        </w:rPr>
        <w:t xml:space="preserve">в плазмі крові </w:t>
      </w:r>
      <w:r w:rsidR="00CE7712" w:rsidRPr="001416ED">
        <w:rPr>
          <w:rFonts w:eastAsiaTheme="minorHAnsi"/>
          <w:lang w:val="uk-UA" w:eastAsia="en-US"/>
        </w:rPr>
        <w:t>в межах кожної групи</w:t>
      </w:r>
      <w:r w:rsidR="00372472" w:rsidRPr="001416ED">
        <w:rPr>
          <w:rFonts w:eastAsiaTheme="minorHAnsi"/>
          <w:lang w:val="uk-UA" w:eastAsia="en-US"/>
        </w:rPr>
        <w:t xml:space="preserve"> дослідження</w:t>
      </w:r>
      <w:r w:rsidR="00CE7712" w:rsidRPr="001416ED">
        <w:rPr>
          <w:rFonts w:eastAsiaTheme="minorHAnsi"/>
          <w:lang w:val="uk-UA" w:eastAsia="en-US"/>
        </w:rPr>
        <w:t xml:space="preserve"> при певному ступені АГ не виявлено. </w:t>
      </w:r>
    </w:p>
    <w:p w:rsidR="00382A19" w:rsidRPr="001416ED" w:rsidRDefault="00216065" w:rsidP="00382A19">
      <w:pPr>
        <w:spacing w:line="360" w:lineRule="auto"/>
        <w:ind w:firstLine="709"/>
        <w:jc w:val="both"/>
        <w:rPr>
          <w:rFonts w:eastAsiaTheme="minorHAnsi"/>
          <w:kern w:val="11"/>
          <w:lang w:val="uk-UA" w:eastAsia="en-US"/>
        </w:rPr>
      </w:pPr>
      <w:r w:rsidRPr="001416ED">
        <w:rPr>
          <w:rFonts w:eastAsiaTheme="minorHAnsi"/>
          <w:kern w:val="11"/>
          <w:lang w:val="uk-UA" w:eastAsia="en-US"/>
        </w:rPr>
        <w:t>При дослідженні об</w:t>
      </w:r>
      <w:r w:rsidR="00C215A1" w:rsidRPr="001416ED">
        <w:rPr>
          <w:rFonts w:eastAsiaTheme="minorHAnsi"/>
          <w:kern w:val="11"/>
          <w:lang w:val="uk-UA" w:eastAsia="en-US"/>
        </w:rPr>
        <w:t>т</w:t>
      </w:r>
      <w:r w:rsidRPr="001416ED">
        <w:rPr>
          <w:rFonts w:eastAsiaTheme="minorHAnsi"/>
          <w:kern w:val="11"/>
          <w:lang w:val="uk-UA" w:eastAsia="en-US"/>
        </w:rPr>
        <w:t>я</w:t>
      </w:r>
      <w:r w:rsidR="00C215A1" w:rsidRPr="001416ED">
        <w:rPr>
          <w:rFonts w:eastAsiaTheme="minorHAnsi"/>
          <w:kern w:val="11"/>
          <w:lang w:val="uk-UA" w:eastAsia="en-US"/>
        </w:rPr>
        <w:t xml:space="preserve">женої спадковості у пацієнтів з </w:t>
      </w:r>
      <w:r w:rsidR="00043307" w:rsidRPr="001416ED">
        <w:rPr>
          <w:rFonts w:eastAsiaTheme="minorHAnsi"/>
          <w:kern w:val="11"/>
          <w:lang w:val="uk-UA" w:eastAsia="en-US"/>
        </w:rPr>
        <w:t>ГХ ІІ та ІІІ ст.</w:t>
      </w:r>
      <w:r w:rsidR="00C215A1" w:rsidRPr="001416ED">
        <w:rPr>
          <w:rFonts w:eastAsiaTheme="minorHAnsi"/>
          <w:kern w:val="11"/>
          <w:lang w:val="uk-UA" w:eastAsia="en-US"/>
        </w:rPr>
        <w:t>, встановлено, що в обох групах дослідження переважала обтяжена спадковість по ЕГ.</w:t>
      </w:r>
    </w:p>
    <w:p w:rsidR="00C215A1" w:rsidRPr="001416ED" w:rsidRDefault="00C215A1" w:rsidP="00C215A1">
      <w:pPr>
        <w:spacing w:line="360" w:lineRule="auto"/>
        <w:ind w:firstLine="709"/>
        <w:jc w:val="both"/>
        <w:rPr>
          <w:lang w:val="uk-UA"/>
        </w:rPr>
      </w:pPr>
      <w:r w:rsidRPr="001416ED">
        <w:rPr>
          <w:rFonts w:eastAsiaTheme="minorHAnsi"/>
          <w:kern w:val="11"/>
          <w:lang w:val="uk-UA" w:eastAsia="en-US"/>
        </w:rPr>
        <w:t xml:space="preserve">Аналіз розподілу чоловіків за ІМТ при носійстві </w:t>
      </w:r>
      <w:r w:rsidR="00E6164F">
        <w:rPr>
          <w:rFonts w:eastAsiaTheme="minorHAnsi"/>
          <w:kern w:val="11"/>
          <w:lang w:val="uk-UA" w:eastAsia="en-US"/>
        </w:rPr>
        <w:t>поліморфних варіантів гена ЕТ–1</w:t>
      </w:r>
      <w:r w:rsidRPr="001416ED">
        <w:rPr>
          <w:rFonts w:eastAsiaTheme="minorHAnsi"/>
          <w:kern w:val="11"/>
          <w:lang w:val="uk-UA" w:eastAsia="en-US"/>
        </w:rPr>
        <w:t xml:space="preserve"> показав, що у осіб з ГХ ІІ ст. носіїв генотипу Lys/Lys частіше виявляється надмірна маса тіла, ніж ожиріння</w:t>
      </w:r>
      <w:r w:rsidR="00DF5038" w:rsidRPr="001416ED">
        <w:rPr>
          <w:rFonts w:eastAsiaTheme="minorHAnsi"/>
          <w:kern w:val="11"/>
          <w:lang w:val="uk-UA" w:eastAsia="en-US"/>
        </w:rPr>
        <w:t xml:space="preserve"> І ст.</w:t>
      </w:r>
      <w:r w:rsidRPr="001416ED">
        <w:rPr>
          <w:rFonts w:eastAsiaTheme="minorHAnsi"/>
          <w:kern w:val="11"/>
          <w:lang w:val="uk-UA" w:eastAsia="en-US"/>
        </w:rPr>
        <w:t xml:space="preserve">, однак немає вірогідної різниці з </w:t>
      </w:r>
      <w:r w:rsidR="00624703" w:rsidRPr="001416ED">
        <w:rPr>
          <w:rFonts w:eastAsiaTheme="minorHAnsi"/>
          <w:kern w:val="11"/>
          <w:lang w:val="uk-UA" w:eastAsia="en-US"/>
        </w:rPr>
        <w:t>частото</w:t>
      </w:r>
      <w:r w:rsidR="007672DB" w:rsidRPr="001416ED">
        <w:rPr>
          <w:rFonts w:eastAsiaTheme="minorHAnsi"/>
          <w:kern w:val="11"/>
          <w:lang w:val="uk-UA" w:eastAsia="en-US"/>
        </w:rPr>
        <w:t>ю</w:t>
      </w:r>
      <w:r w:rsidR="00624703" w:rsidRPr="001416ED">
        <w:rPr>
          <w:rFonts w:eastAsiaTheme="minorHAnsi"/>
          <w:kern w:val="11"/>
          <w:lang w:val="uk-UA" w:eastAsia="en-US"/>
        </w:rPr>
        <w:t xml:space="preserve"> </w:t>
      </w:r>
      <w:r w:rsidRPr="001416ED">
        <w:rPr>
          <w:rFonts w:eastAsiaTheme="minorHAnsi"/>
          <w:kern w:val="11"/>
          <w:lang w:val="uk-UA" w:eastAsia="en-US"/>
        </w:rPr>
        <w:t>нормально</w:t>
      </w:r>
      <w:r w:rsidR="00624703" w:rsidRPr="001416ED">
        <w:rPr>
          <w:rFonts w:eastAsiaTheme="minorHAnsi"/>
          <w:kern w:val="11"/>
          <w:lang w:val="uk-UA" w:eastAsia="en-US"/>
        </w:rPr>
        <w:t>ї</w:t>
      </w:r>
      <w:r w:rsidRPr="001416ED">
        <w:rPr>
          <w:rFonts w:eastAsiaTheme="minorHAnsi"/>
          <w:kern w:val="11"/>
          <w:lang w:val="uk-UA" w:eastAsia="en-US"/>
        </w:rPr>
        <w:t xml:space="preserve"> мас</w:t>
      </w:r>
      <w:r w:rsidR="00624703" w:rsidRPr="001416ED">
        <w:rPr>
          <w:rFonts w:eastAsiaTheme="minorHAnsi"/>
          <w:kern w:val="11"/>
          <w:lang w:val="uk-UA" w:eastAsia="en-US"/>
        </w:rPr>
        <w:t>и</w:t>
      </w:r>
      <w:r w:rsidRPr="001416ED">
        <w:rPr>
          <w:rFonts w:eastAsiaTheme="minorHAnsi"/>
          <w:kern w:val="11"/>
          <w:lang w:val="uk-UA" w:eastAsia="en-US"/>
        </w:rPr>
        <w:t xml:space="preserve"> тіла. У </w:t>
      </w:r>
      <w:r w:rsidRPr="001416ED">
        <w:rPr>
          <w:lang w:val="uk-UA"/>
        </w:rPr>
        <w:t xml:space="preserve">носіїв алелі </w:t>
      </w:r>
      <w:r w:rsidRPr="001416ED">
        <w:rPr>
          <w:lang w:val="en-US"/>
        </w:rPr>
        <w:t>Asn</w:t>
      </w:r>
      <w:r w:rsidRPr="001416ED">
        <w:rPr>
          <w:lang w:val="uk-UA"/>
        </w:rPr>
        <w:t xml:space="preserve">, переважає нормальна маса тіла. У чоловіків з </w:t>
      </w:r>
      <w:r w:rsidR="00D66AFA" w:rsidRPr="001416ED">
        <w:rPr>
          <w:lang w:val="uk-UA"/>
        </w:rPr>
        <w:t>ГХ ІІІ ст.</w:t>
      </w:r>
      <w:r w:rsidRPr="001416ED">
        <w:rPr>
          <w:lang w:val="uk-UA"/>
        </w:rPr>
        <w:t xml:space="preserve"> носіїв всіх варіантів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w:t>
      </w:r>
      <w:r w:rsidR="004E0892" w:rsidRPr="001416ED">
        <w:rPr>
          <w:lang w:val="uk-UA"/>
        </w:rPr>
        <w:t>частіше зустрічається</w:t>
      </w:r>
      <w:r w:rsidRPr="001416ED">
        <w:rPr>
          <w:lang w:val="uk-UA"/>
        </w:rPr>
        <w:t xml:space="preserve"> надмірна маса тіла та ожиріння</w:t>
      </w:r>
      <w:r w:rsidR="00DF5038" w:rsidRPr="001416ED">
        <w:rPr>
          <w:lang w:val="uk-UA"/>
        </w:rPr>
        <w:t xml:space="preserve"> І ст.</w:t>
      </w:r>
      <w:r w:rsidRPr="001416ED">
        <w:rPr>
          <w:lang w:val="uk-UA"/>
        </w:rPr>
        <w:t xml:space="preserve"> Проте, різниці у ІМТ серед носіїв як генотипу </w:t>
      </w:r>
      <w:r w:rsidRPr="001416ED">
        <w:rPr>
          <w:rFonts w:eastAsiaTheme="minorHAnsi"/>
          <w:kern w:val="11"/>
          <w:lang w:val="uk-UA" w:eastAsia="en-US"/>
        </w:rPr>
        <w:t xml:space="preserve">Lys/Lys так і алелі </w:t>
      </w:r>
      <w:r w:rsidRPr="001416ED">
        <w:rPr>
          <w:lang w:val="en-US"/>
        </w:rPr>
        <w:t>Asn</w:t>
      </w:r>
      <w:r w:rsidRPr="001416ED">
        <w:rPr>
          <w:lang w:val="uk-UA"/>
        </w:rPr>
        <w:t xml:space="preserve"> </w:t>
      </w:r>
      <w:r w:rsidR="00C25F11" w:rsidRPr="001416ED">
        <w:rPr>
          <w:lang w:val="uk-UA"/>
        </w:rPr>
        <w:t>між</w:t>
      </w:r>
      <w:r w:rsidRPr="001416ED">
        <w:rPr>
          <w:lang w:val="uk-UA"/>
        </w:rPr>
        <w:t xml:space="preserve"> чоловік</w:t>
      </w:r>
      <w:r w:rsidR="00C25F11" w:rsidRPr="001416ED">
        <w:rPr>
          <w:lang w:val="uk-UA"/>
        </w:rPr>
        <w:t>ами</w:t>
      </w:r>
      <w:r w:rsidR="00E72E47" w:rsidRPr="001416ED">
        <w:rPr>
          <w:lang w:val="uk-UA"/>
        </w:rPr>
        <w:t xml:space="preserve"> з ГХ різної</w:t>
      </w:r>
      <w:r w:rsidRPr="001416ED">
        <w:rPr>
          <w:lang w:val="uk-UA"/>
        </w:rPr>
        <w:t xml:space="preserve"> </w:t>
      </w:r>
      <w:r w:rsidR="00046A18" w:rsidRPr="001416ED">
        <w:rPr>
          <w:lang w:val="uk-UA"/>
        </w:rPr>
        <w:t>стадії</w:t>
      </w:r>
      <w:r w:rsidRPr="001416ED">
        <w:rPr>
          <w:lang w:val="uk-UA"/>
        </w:rPr>
        <w:t xml:space="preserve"> не виявлено.</w:t>
      </w:r>
    </w:p>
    <w:p w:rsidR="00C215A1" w:rsidRPr="001416ED" w:rsidRDefault="00C25F11" w:rsidP="00C215A1">
      <w:pPr>
        <w:spacing w:line="360" w:lineRule="auto"/>
        <w:ind w:firstLine="709"/>
        <w:jc w:val="both"/>
        <w:rPr>
          <w:rFonts w:eastAsiaTheme="minorHAnsi"/>
          <w:kern w:val="11"/>
          <w:lang w:val="uk-UA" w:eastAsia="en-US"/>
        </w:rPr>
      </w:pPr>
      <w:r w:rsidRPr="001416ED">
        <w:rPr>
          <w:lang w:val="uk-UA"/>
        </w:rPr>
        <w:t>У</w:t>
      </w:r>
      <w:r w:rsidR="00C215A1" w:rsidRPr="001416ED">
        <w:rPr>
          <w:lang w:val="uk-UA"/>
        </w:rPr>
        <w:t xml:space="preserve"> </w:t>
      </w:r>
      <w:r w:rsidR="00E72E47" w:rsidRPr="001416ED">
        <w:rPr>
          <w:lang w:val="uk-UA"/>
        </w:rPr>
        <w:t xml:space="preserve">пацієнтів, що мають </w:t>
      </w:r>
      <w:r w:rsidR="00C215A1" w:rsidRPr="001416ED">
        <w:rPr>
          <w:lang w:val="uk-UA"/>
        </w:rPr>
        <w:t xml:space="preserve">ГХ </w:t>
      </w:r>
      <w:r w:rsidR="00DF5038" w:rsidRPr="001416ED">
        <w:rPr>
          <w:lang w:val="uk-UA"/>
        </w:rPr>
        <w:t>різної</w:t>
      </w:r>
      <w:r w:rsidR="00E72E47" w:rsidRPr="001416ED">
        <w:rPr>
          <w:lang w:val="uk-UA"/>
        </w:rPr>
        <w:t xml:space="preserve"> ст</w:t>
      </w:r>
      <w:r w:rsidR="00DF5038" w:rsidRPr="001416ED">
        <w:rPr>
          <w:lang w:val="uk-UA"/>
        </w:rPr>
        <w:t>адії</w:t>
      </w:r>
      <w:r w:rsidR="00E72E47" w:rsidRPr="001416ED">
        <w:rPr>
          <w:lang w:val="uk-UA"/>
        </w:rPr>
        <w:t xml:space="preserve"> </w:t>
      </w:r>
      <w:r w:rsidR="00C215A1" w:rsidRPr="001416ED">
        <w:rPr>
          <w:lang w:val="uk-UA"/>
        </w:rPr>
        <w:t xml:space="preserve">різниці у </w:t>
      </w:r>
      <w:r w:rsidRPr="001416ED">
        <w:rPr>
          <w:lang w:val="uk-UA"/>
        </w:rPr>
        <w:t xml:space="preserve">віковому </w:t>
      </w:r>
      <w:r w:rsidR="00C215A1" w:rsidRPr="001416ED">
        <w:rPr>
          <w:lang w:val="uk-UA"/>
        </w:rPr>
        <w:t xml:space="preserve">початку ГХ не встановлено. </w:t>
      </w:r>
      <w:r w:rsidR="00C215A1" w:rsidRPr="001416ED">
        <w:rPr>
          <w:rFonts w:eastAsiaTheme="minorHAnsi"/>
          <w:kern w:val="11"/>
          <w:lang w:val="uk-UA" w:eastAsia="en-US"/>
        </w:rPr>
        <w:t xml:space="preserve">При аналізі тривалості </w:t>
      </w:r>
      <w:r w:rsidRPr="001416ED">
        <w:rPr>
          <w:rFonts w:eastAsiaTheme="minorHAnsi"/>
          <w:kern w:val="11"/>
          <w:lang w:val="uk-UA" w:eastAsia="en-US"/>
        </w:rPr>
        <w:t>ГХ досліджено</w:t>
      </w:r>
      <w:r w:rsidR="00C215A1" w:rsidRPr="001416ED">
        <w:rPr>
          <w:rFonts w:eastAsiaTheme="minorHAnsi"/>
          <w:kern w:val="11"/>
          <w:lang w:val="uk-UA" w:eastAsia="en-US"/>
        </w:rPr>
        <w:t xml:space="preserve">, що у пацієнтів з </w:t>
      </w:r>
      <w:r w:rsidR="00EA7C60" w:rsidRPr="001416ED">
        <w:rPr>
          <w:rFonts w:eastAsiaTheme="minorHAnsi"/>
          <w:kern w:val="11"/>
          <w:lang w:val="uk-UA" w:eastAsia="en-US"/>
        </w:rPr>
        <w:t xml:space="preserve">ГХ ІІІ ст.  </w:t>
      </w:r>
      <w:r w:rsidR="00C215A1" w:rsidRPr="001416ED">
        <w:rPr>
          <w:rFonts w:eastAsiaTheme="minorHAnsi"/>
          <w:kern w:val="11"/>
          <w:lang w:val="uk-UA" w:eastAsia="en-US"/>
        </w:rPr>
        <w:t xml:space="preserve">тривалість захворювання більша, ніж у пацієнтів з </w:t>
      </w:r>
      <w:r w:rsidRPr="001416ED">
        <w:rPr>
          <w:rFonts w:eastAsiaTheme="minorHAnsi"/>
          <w:kern w:val="11"/>
          <w:lang w:val="uk-UA" w:eastAsia="en-US"/>
        </w:rPr>
        <w:t xml:space="preserve">ГХ ІІ ст. </w:t>
      </w:r>
    </w:p>
    <w:p w:rsidR="0072751C" w:rsidRPr="001416ED" w:rsidRDefault="0072751C" w:rsidP="003C488B">
      <w:pPr>
        <w:spacing w:line="360" w:lineRule="auto"/>
        <w:ind w:firstLine="709"/>
        <w:jc w:val="both"/>
        <w:rPr>
          <w:rFonts w:eastAsiaTheme="minorHAnsi"/>
          <w:kern w:val="11"/>
          <w:lang w:val="uk-UA" w:eastAsia="en-US"/>
        </w:rPr>
      </w:pPr>
      <w:r w:rsidRPr="001416ED">
        <w:rPr>
          <w:rFonts w:eastAsiaTheme="minorHAnsi"/>
          <w:kern w:val="11"/>
          <w:lang w:val="uk-UA" w:eastAsia="en-US"/>
        </w:rPr>
        <w:t>В</w:t>
      </w:r>
      <w:r w:rsidR="00C25F11" w:rsidRPr="001416ED">
        <w:rPr>
          <w:rFonts w:eastAsiaTheme="minorHAnsi"/>
          <w:kern w:val="11"/>
          <w:lang w:val="uk-UA" w:eastAsia="en-US"/>
        </w:rPr>
        <w:t>изначення рівня ЕТ</w:t>
      </w:r>
      <w:r w:rsidR="00BC0119" w:rsidRPr="001416ED">
        <w:rPr>
          <w:rFonts w:eastAsiaTheme="minorHAnsi"/>
          <w:kern w:val="11"/>
          <w:lang w:val="uk-UA" w:eastAsia="en-US"/>
        </w:rPr>
        <w:t>–</w:t>
      </w:r>
      <w:r w:rsidR="00C25F11" w:rsidRPr="001416ED">
        <w:rPr>
          <w:rFonts w:eastAsiaTheme="minorHAnsi"/>
          <w:kern w:val="11"/>
          <w:lang w:val="uk-UA" w:eastAsia="en-US"/>
        </w:rPr>
        <w:t>1 в плазмі крові</w:t>
      </w:r>
      <w:r w:rsidRPr="001416ED">
        <w:rPr>
          <w:rFonts w:eastAsiaTheme="minorHAnsi"/>
          <w:kern w:val="11"/>
          <w:lang w:val="uk-UA" w:eastAsia="en-US"/>
        </w:rPr>
        <w:t xml:space="preserve"> чоловіків з </w:t>
      </w:r>
      <w:r w:rsidR="00372472" w:rsidRPr="001416ED">
        <w:rPr>
          <w:rFonts w:eastAsiaTheme="minorHAnsi"/>
          <w:kern w:val="11"/>
          <w:lang w:val="uk-UA" w:eastAsia="en-US"/>
        </w:rPr>
        <w:t xml:space="preserve">ГХ різної стадії </w:t>
      </w:r>
      <w:r w:rsidRPr="001416ED">
        <w:rPr>
          <w:rFonts w:eastAsiaTheme="minorHAnsi"/>
          <w:kern w:val="11"/>
          <w:lang w:val="uk-UA" w:eastAsia="en-US"/>
        </w:rPr>
        <w:t>показало,</w:t>
      </w:r>
      <w:r w:rsidR="003C488B" w:rsidRPr="001416ED">
        <w:rPr>
          <w:rFonts w:eastAsiaTheme="minorHAnsi"/>
          <w:kern w:val="11"/>
          <w:lang w:val="uk-UA" w:eastAsia="en-US"/>
        </w:rPr>
        <w:t xml:space="preserve"> що у</w:t>
      </w:r>
      <w:r w:rsidR="00C25F11" w:rsidRPr="001416ED">
        <w:rPr>
          <w:rFonts w:eastAsiaTheme="minorHAnsi"/>
          <w:kern w:val="11"/>
          <w:lang w:val="uk-UA" w:eastAsia="en-US"/>
        </w:rPr>
        <w:t xml:space="preserve"> чоловіків з ГХ рівень ЕТ</w:t>
      </w:r>
      <w:r w:rsidR="00BC0119" w:rsidRPr="001416ED">
        <w:rPr>
          <w:rFonts w:eastAsiaTheme="minorHAnsi"/>
          <w:kern w:val="11"/>
          <w:lang w:val="uk-UA" w:eastAsia="en-US"/>
        </w:rPr>
        <w:t>–</w:t>
      </w:r>
      <w:r w:rsidR="00C25F11" w:rsidRPr="001416ED">
        <w:rPr>
          <w:rFonts w:eastAsiaTheme="minorHAnsi"/>
          <w:kern w:val="11"/>
          <w:lang w:val="uk-UA" w:eastAsia="en-US"/>
        </w:rPr>
        <w:t xml:space="preserve">1 </w:t>
      </w:r>
      <w:r w:rsidR="003C488B" w:rsidRPr="001416ED">
        <w:rPr>
          <w:rFonts w:eastAsiaTheme="minorHAnsi"/>
          <w:kern w:val="11"/>
          <w:lang w:val="uk-UA" w:eastAsia="en-US"/>
        </w:rPr>
        <w:t>вище, ніж в г</w:t>
      </w:r>
      <w:r w:rsidR="00C25F11" w:rsidRPr="001416ED">
        <w:rPr>
          <w:rFonts w:eastAsiaTheme="minorHAnsi"/>
          <w:kern w:val="11"/>
          <w:lang w:val="uk-UA" w:eastAsia="en-US"/>
        </w:rPr>
        <w:t>руп</w:t>
      </w:r>
      <w:r w:rsidR="003C488B" w:rsidRPr="001416ED">
        <w:rPr>
          <w:rFonts w:eastAsiaTheme="minorHAnsi"/>
          <w:kern w:val="11"/>
          <w:lang w:val="uk-UA" w:eastAsia="en-US"/>
        </w:rPr>
        <w:t>і</w:t>
      </w:r>
      <w:r w:rsidR="00C25F11" w:rsidRPr="001416ED">
        <w:rPr>
          <w:rFonts w:eastAsiaTheme="minorHAnsi"/>
          <w:kern w:val="11"/>
          <w:lang w:val="uk-UA" w:eastAsia="en-US"/>
        </w:rPr>
        <w:t xml:space="preserve"> контролю, </w:t>
      </w:r>
      <w:r w:rsidR="003C488B" w:rsidRPr="001416ED">
        <w:rPr>
          <w:rFonts w:eastAsiaTheme="minorHAnsi"/>
          <w:kern w:val="11"/>
          <w:lang w:val="uk-UA" w:eastAsia="en-US"/>
        </w:rPr>
        <w:t>а</w:t>
      </w:r>
      <w:r w:rsidR="00C25F11" w:rsidRPr="001416ED">
        <w:rPr>
          <w:rFonts w:eastAsiaTheme="minorHAnsi"/>
          <w:kern w:val="11"/>
          <w:lang w:val="uk-UA" w:eastAsia="en-US"/>
        </w:rPr>
        <w:t xml:space="preserve"> </w:t>
      </w:r>
      <w:r w:rsidR="004E0892" w:rsidRPr="001416ED">
        <w:rPr>
          <w:rFonts w:eastAsiaTheme="minorHAnsi"/>
          <w:kern w:val="11"/>
          <w:lang w:val="uk-UA" w:eastAsia="en-US"/>
        </w:rPr>
        <w:t>більший</w:t>
      </w:r>
      <w:r w:rsidR="00C25F11" w:rsidRPr="001416ED">
        <w:rPr>
          <w:rFonts w:eastAsiaTheme="minorHAnsi"/>
          <w:kern w:val="11"/>
          <w:lang w:val="uk-UA" w:eastAsia="en-US"/>
        </w:rPr>
        <w:t xml:space="preserve"> рівень </w:t>
      </w:r>
      <w:r w:rsidR="00C25F11" w:rsidRPr="001416ED">
        <w:rPr>
          <w:rFonts w:eastAsiaTheme="minorHAnsi"/>
          <w:kern w:val="11"/>
          <w:lang w:val="uk-UA" w:eastAsia="en-US"/>
        </w:rPr>
        <w:lastRenderedPageBreak/>
        <w:t>пептиду вс</w:t>
      </w:r>
      <w:r w:rsidR="004E0892" w:rsidRPr="001416ED">
        <w:rPr>
          <w:rFonts w:eastAsiaTheme="minorHAnsi"/>
          <w:kern w:val="11"/>
          <w:lang w:val="uk-UA" w:eastAsia="en-US"/>
        </w:rPr>
        <w:t>т</w:t>
      </w:r>
      <w:r w:rsidR="00C25F11" w:rsidRPr="001416ED">
        <w:rPr>
          <w:rFonts w:eastAsiaTheme="minorHAnsi"/>
          <w:kern w:val="11"/>
          <w:lang w:val="uk-UA" w:eastAsia="en-US"/>
        </w:rPr>
        <w:t xml:space="preserve">ановлений в групі </w:t>
      </w:r>
      <w:r w:rsidR="00EA7C60" w:rsidRPr="001416ED">
        <w:rPr>
          <w:rFonts w:eastAsiaTheme="minorHAnsi"/>
          <w:kern w:val="11"/>
          <w:lang w:val="uk-UA" w:eastAsia="en-US"/>
        </w:rPr>
        <w:t xml:space="preserve">ГХ ІІІ ст. </w:t>
      </w:r>
      <w:r w:rsidR="00DA0F91" w:rsidRPr="001416ED">
        <w:rPr>
          <w:rFonts w:eastAsiaTheme="minorHAnsi"/>
          <w:kern w:val="11"/>
          <w:lang w:val="uk-UA" w:eastAsia="en-US"/>
        </w:rPr>
        <w:t>Плазмова концентрація ЕТ</w:t>
      </w:r>
      <w:r w:rsidR="00BC0119" w:rsidRPr="001416ED">
        <w:rPr>
          <w:rFonts w:eastAsiaTheme="minorHAnsi"/>
          <w:kern w:val="11"/>
          <w:lang w:val="uk-UA" w:eastAsia="en-US"/>
        </w:rPr>
        <w:t>–</w:t>
      </w:r>
      <w:r w:rsidR="00DA0F91" w:rsidRPr="001416ED">
        <w:rPr>
          <w:rFonts w:eastAsiaTheme="minorHAnsi"/>
          <w:kern w:val="11"/>
          <w:lang w:val="uk-UA" w:eastAsia="en-US"/>
        </w:rPr>
        <w:t xml:space="preserve">1 у носіїв алелі </w:t>
      </w:r>
      <w:r w:rsidR="00DA0F91" w:rsidRPr="001416ED">
        <w:rPr>
          <w:rFonts w:eastAsiaTheme="minorHAnsi"/>
          <w:lang w:val="uk-UA" w:eastAsia="en-US"/>
        </w:rPr>
        <w:t>Asn вища, ніж у носіїв генотипу</w:t>
      </w:r>
      <w:r w:rsidR="00DA0F91" w:rsidRPr="001416ED">
        <w:rPr>
          <w:rFonts w:eastAsiaTheme="minorHAnsi"/>
          <w:kern w:val="11"/>
          <w:lang w:val="uk-UA" w:eastAsia="en-US"/>
        </w:rPr>
        <w:t xml:space="preserve"> Lys/Lys</w:t>
      </w:r>
      <w:r w:rsidRPr="001416ED">
        <w:rPr>
          <w:rFonts w:eastAsiaTheme="minorHAnsi"/>
          <w:kern w:val="11"/>
          <w:lang w:val="uk-UA" w:eastAsia="en-US"/>
        </w:rPr>
        <w:t>. Цей факт потрібно враховувати при дослідженні рівнів ЕТ</w:t>
      </w:r>
      <w:r w:rsidR="00BC0119" w:rsidRPr="001416ED">
        <w:rPr>
          <w:rFonts w:eastAsiaTheme="minorHAnsi"/>
          <w:kern w:val="11"/>
          <w:lang w:val="uk-UA" w:eastAsia="en-US"/>
        </w:rPr>
        <w:t>–</w:t>
      </w:r>
      <w:r w:rsidRPr="001416ED">
        <w:rPr>
          <w:rFonts w:eastAsiaTheme="minorHAnsi"/>
          <w:kern w:val="11"/>
          <w:lang w:val="uk-UA" w:eastAsia="en-US"/>
        </w:rPr>
        <w:t>1 у кардіологічних хворих, адже можливі хибні результати у випадках, коли генотип гена ЕТ</w:t>
      </w:r>
      <w:r w:rsidR="00BC0119" w:rsidRPr="001416ED">
        <w:rPr>
          <w:rFonts w:eastAsiaTheme="minorHAnsi"/>
          <w:kern w:val="11"/>
          <w:lang w:val="uk-UA" w:eastAsia="en-US"/>
        </w:rPr>
        <w:t>–</w:t>
      </w:r>
      <w:r w:rsidRPr="001416ED">
        <w:rPr>
          <w:rFonts w:eastAsiaTheme="minorHAnsi"/>
          <w:kern w:val="11"/>
          <w:lang w:val="uk-UA" w:eastAsia="en-US"/>
        </w:rPr>
        <w:t xml:space="preserve">1 не визначається. </w:t>
      </w:r>
      <w:r w:rsidR="00B53A07" w:rsidRPr="001416ED">
        <w:rPr>
          <w:rFonts w:eastAsiaTheme="minorHAnsi"/>
          <w:kern w:val="11"/>
          <w:lang w:val="uk-UA" w:eastAsia="en-US"/>
        </w:rPr>
        <w:t>З</w:t>
      </w:r>
      <w:r w:rsidRPr="001416ED">
        <w:rPr>
          <w:rFonts w:eastAsiaTheme="minorHAnsi"/>
          <w:kern w:val="11"/>
          <w:lang w:val="uk-UA" w:eastAsia="en-US"/>
        </w:rPr>
        <w:t xml:space="preserve">апропоновані межові </w:t>
      </w:r>
      <w:r w:rsidR="00B53A07" w:rsidRPr="001416ED">
        <w:rPr>
          <w:rFonts w:eastAsiaTheme="minorHAnsi"/>
          <w:kern w:val="11"/>
          <w:lang w:val="uk-UA" w:eastAsia="en-US"/>
        </w:rPr>
        <w:t>рівні</w:t>
      </w:r>
      <w:r w:rsidRPr="001416ED">
        <w:rPr>
          <w:rFonts w:eastAsiaTheme="minorHAnsi"/>
          <w:kern w:val="11"/>
          <w:lang w:val="uk-UA" w:eastAsia="en-US"/>
        </w:rPr>
        <w:t xml:space="preserve"> ЕТ</w:t>
      </w:r>
      <w:r w:rsidR="00BC0119" w:rsidRPr="001416ED">
        <w:rPr>
          <w:rFonts w:eastAsiaTheme="minorHAnsi"/>
          <w:kern w:val="11"/>
          <w:lang w:val="uk-UA" w:eastAsia="en-US"/>
        </w:rPr>
        <w:t>–</w:t>
      </w:r>
      <w:r w:rsidRPr="001416ED">
        <w:rPr>
          <w:rFonts w:eastAsiaTheme="minorHAnsi"/>
          <w:kern w:val="11"/>
          <w:lang w:val="uk-UA" w:eastAsia="en-US"/>
        </w:rPr>
        <w:t xml:space="preserve">1 </w:t>
      </w:r>
      <w:r w:rsidR="00AA428E" w:rsidRPr="001416ED">
        <w:rPr>
          <w:rFonts w:eastAsiaTheme="minorHAnsi"/>
          <w:lang w:val="uk-UA" w:eastAsia="en-US"/>
        </w:rPr>
        <w:t xml:space="preserve">для встановлення орієнтовного носійства </w:t>
      </w:r>
      <w:r w:rsidR="00F40216">
        <w:rPr>
          <w:rFonts w:eastAsiaTheme="minorHAnsi"/>
          <w:lang w:val="uk-UA" w:eastAsia="en-US"/>
        </w:rPr>
        <w:t xml:space="preserve"> варіантів гена</w:t>
      </w:r>
      <w:r w:rsidR="00AA428E" w:rsidRPr="001416ED">
        <w:rPr>
          <w:rFonts w:eastAsiaTheme="minorHAnsi"/>
          <w:lang w:val="uk-UA" w:eastAsia="en-US"/>
        </w:rPr>
        <w:t xml:space="preserve"> ЕТ-1 для чоловіків з вже встановленим діагнозом ГХ ІІ ст. та ГХ </w:t>
      </w:r>
      <w:r w:rsidR="00372472" w:rsidRPr="001416ED">
        <w:rPr>
          <w:rFonts w:eastAsiaTheme="minorHAnsi"/>
          <w:lang w:val="uk-UA" w:eastAsia="en-US"/>
        </w:rPr>
        <w:t>І</w:t>
      </w:r>
      <w:r w:rsidR="00AA428E" w:rsidRPr="001416ED">
        <w:rPr>
          <w:rFonts w:eastAsiaTheme="minorHAnsi"/>
          <w:lang w:val="uk-UA" w:eastAsia="en-US"/>
        </w:rPr>
        <w:t>ІІ ст.</w:t>
      </w:r>
      <w:r w:rsidRPr="001416ED">
        <w:rPr>
          <w:rFonts w:eastAsiaTheme="minorHAnsi"/>
          <w:kern w:val="11"/>
          <w:lang w:val="uk-UA" w:eastAsia="en-US"/>
        </w:rPr>
        <w:t xml:space="preserve"> </w:t>
      </w:r>
      <w:r w:rsidR="00372472" w:rsidRPr="001416ED">
        <w:rPr>
          <w:rFonts w:eastAsiaTheme="minorHAnsi"/>
          <w:kern w:val="11"/>
          <w:lang w:val="uk-UA" w:eastAsia="en-US"/>
        </w:rPr>
        <w:t xml:space="preserve">та для допоміжного встановлення стадії ГХ без урахування </w:t>
      </w:r>
      <w:r w:rsidR="00F40216">
        <w:rPr>
          <w:rFonts w:eastAsiaTheme="minorHAnsi"/>
          <w:kern w:val="11"/>
          <w:lang w:val="uk-UA" w:eastAsia="en-US"/>
        </w:rPr>
        <w:t xml:space="preserve"> варіантів гена</w:t>
      </w:r>
      <w:r w:rsidR="00372472" w:rsidRPr="001416ED">
        <w:rPr>
          <w:rFonts w:eastAsiaTheme="minorHAnsi"/>
          <w:kern w:val="11"/>
          <w:lang w:val="uk-UA" w:eastAsia="en-US"/>
        </w:rPr>
        <w:t xml:space="preserve"> ЕТ-1.</w:t>
      </w:r>
    </w:p>
    <w:p w:rsidR="009F429F" w:rsidRPr="001416ED" w:rsidRDefault="00535560" w:rsidP="009F429F">
      <w:pPr>
        <w:spacing w:line="360" w:lineRule="auto"/>
        <w:ind w:firstLine="709"/>
        <w:jc w:val="both"/>
        <w:rPr>
          <w:rFonts w:eastAsiaTheme="minorHAnsi"/>
          <w:lang w:val="uk-UA" w:eastAsia="en-US"/>
        </w:rPr>
      </w:pPr>
      <w:r w:rsidRPr="001416ED">
        <w:rPr>
          <w:rFonts w:eastAsiaTheme="minorHAnsi"/>
          <w:lang w:val="uk-UA" w:eastAsia="en-US"/>
        </w:rPr>
        <w:t xml:space="preserve">При аналізі </w:t>
      </w:r>
      <w:r w:rsidR="00544000" w:rsidRPr="001416ED">
        <w:rPr>
          <w:rFonts w:eastAsiaTheme="minorHAnsi"/>
          <w:lang w:val="uk-UA" w:eastAsia="en-US"/>
        </w:rPr>
        <w:t>рівня ЕТ</w:t>
      </w:r>
      <w:r w:rsidR="00BC0119" w:rsidRPr="001416ED">
        <w:rPr>
          <w:rFonts w:eastAsiaTheme="minorHAnsi"/>
          <w:lang w:val="uk-UA" w:eastAsia="en-US"/>
        </w:rPr>
        <w:t>–</w:t>
      </w:r>
      <w:r w:rsidR="00544000" w:rsidRPr="001416ED">
        <w:rPr>
          <w:rFonts w:eastAsiaTheme="minorHAnsi"/>
          <w:lang w:val="uk-UA" w:eastAsia="en-US"/>
        </w:rPr>
        <w:t>1 в плазмі крові чоловіків з ГХ ІІ ст. та</w:t>
      </w:r>
      <w:r w:rsidRPr="001416ED">
        <w:rPr>
          <w:rFonts w:eastAsiaTheme="minorHAnsi"/>
          <w:lang w:val="uk-UA" w:eastAsia="en-US"/>
        </w:rPr>
        <w:t xml:space="preserve"> з </w:t>
      </w:r>
      <w:r w:rsidR="00C34030" w:rsidRPr="001416ED">
        <w:rPr>
          <w:rFonts w:eastAsiaTheme="minorHAnsi"/>
          <w:lang w:val="uk-UA" w:eastAsia="en-US"/>
        </w:rPr>
        <w:t xml:space="preserve">ГХ ІІІ ст. </w:t>
      </w:r>
      <w:r w:rsidRPr="001416ED">
        <w:rPr>
          <w:rFonts w:eastAsiaTheme="minorHAnsi"/>
          <w:lang w:val="uk-UA" w:eastAsia="en-US"/>
        </w:rPr>
        <w:t xml:space="preserve">при </w:t>
      </w:r>
      <w:r w:rsidR="00F34C82" w:rsidRPr="001416ED">
        <w:rPr>
          <w:rFonts w:eastAsiaTheme="minorHAnsi"/>
          <w:lang w:val="uk-UA" w:eastAsia="en-US"/>
        </w:rPr>
        <w:t xml:space="preserve">різному ІМТ </w:t>
      </w:r>
      <w:r w:rsidR="00544000" w:rsidRPr="001416ED">
        <w:rPr>
          <w:rFonts w:eastAsiaTheme="minorHAnsi"/>
          <w:lang w:val="uk-UA" w:eastAsia="en-US"/>
        </w:rPr>
        <w:t xml:space="preserve">різниці </w:t>
      </w:r>
      <w:r w:rsidRPr="001416ED">
        <w:rPr>
          <w:rFonts w:eastAsiaTheme="minorHAnsi"/>
          <w:lang w:val="uk-UA" w:eastAsia="en-US"/>
        </w:rPr>
        <w:t xml:space="preserve">не </w:t>
      </w:r>
      <w:r w:rsidR="00544000" w:rsidRPr="001416ED">
        <w:rPr>
          <w:rFonts w:eastAsiaTheme="minorHAnsi"/>
          <w:lang w:val="uk-UA" w:eastAsia="en-US"/>
        </w:rPr>
        <w:t>встановлено</w:t>
      </w:r>
      <w:r w:rsidR="00212A57" w:rsidRPr="001416ED">
        <w:rPr>
          <w:rFonts w:eastAsiaTheme="minorHAnsi"/>
          <w:lang w:val="uk-UA" w:eastAsia="en-US"/>
        </w:rPr>
        <w:t xml:space="preserve">, що </w:t>
      </w:r>
      <w:r w:rsidR="002A4CE7">
        <w:rPr>
          <w:rFonts w:eastAsiaTheme="minorHAnsi"/>
          <w:lang w:val="uk-UA" w:eastAsia="en-US"/>
        </w:rPr>
        <w:t>надає йому перевагу при визначе</w:t>
      </w:r>
      <w:r w:rsidR="00212A57" w:rsidRPr="001416ED">
        <w:rPr>
          <w:rFonts w:eastAsiaTheme="minorHAnsi"/>
          <w:lang w:val="uk-UA" w:eastAsia="en-US"/>
        </w:rPr>
        <w:t>ні пептиду при різній масі тіла</w:t>
      </w:r>
      <w:r w:rsidRPr="001416ED">
        <w:rPr>
          <w:rFonts w:eastAsiaTheme="minorHAnsi"/>
          <w:lang w:val="uk-UA" w:eastAsia="en-US"/>
        </w:rPr>
        <w:t>.</w:t>
      </w:r>
      <w:r w:rsidR="009F429F" w:rsidRPr="001416ED">
        <w:rPr>
          <w:rFonts w:eastAsiaTheme="minorHAnsi"/>
          <w:lang w:val="uk-UA" w:eastAsia="en-US"/>
        </w:rPr>
        <w:t xml:space="preserve"> </w:t>
      </w:r>
    </w:p>
    <w:p w:rsidR="00465148" w:rsidRPr="001416ED" w:rsidRDefault="00665FAE" w:rsidP="003C488B">
      <w:pPr>
        <w:spacing w:line="360" w:lineRule="auto"/>
        <w:ind w:firstLine="709"/>
        <w:jc w:val="both"/>
        <w:rPr>
          <w:rFonts w:eastAsiaTheme="minorHAnsi"/>
          <w:kern w:val="11"/>
          <w:lang w:val="uk-UA" w:eastAsia="en-US"/>
        </w:rPr>
      </w:pPr>
      <w:r w:rsidRPr="001416ED">
        <w:rPr>
          <w:rFonts w:eastAsiaTheme="minorHAnsi"/>
          <w:kern w:val="11"/>
          <w:lang w:val="uk-UA" w:eastAsia="en-US"/>
        </w:rPr>
        <w:t>Показники</w:t>
      </w:r>
      <w:r w:rsidR="00465148" w:rsidRPr="001416ED">
        <w:rPr>
          <w:rFonts w:eastAsiaTheme="minorHAnsi"/>
          <w:kern w:val="11"/>
          <w:lang w:val="uk-UA" w:eastAsia="en-US"/>
        </w:rPr>
        <w:t xml:space="preserve"> ліпідного спектру крові у пацієнтів з ГХ різної </w:t>
      </w:r>
      <w:r w:rsidR="00046A18" w:rsidRPr="001416ED">
        <w:rPr>
          <w:rFonts w:eastAsiaTheme="minorHAnsi"/>
          <w:kern w:val="11"/>
          <w:lang w:val="uk-UA" w:eastAsia="en-US"/>
        </w:rPr>
        <w:t>стадії</w:t>
      </w:r>
      <w:r w:rsidR="00465148" w:rsidRPr="001416ED">
        <w:rPr>
          <w:rFonts w:eastAsiaTheme="minorHAnsi"/>
          <w:kern w:val="11"/>
          <w:lang w:val="uk-UA" w:eastAsia="en-US"/>
        </w:rPr>
        <w:t xml:space="preserve"> достовірно вище ніж в групі контролю </w:t>
      </w:r>
      <w:r w:rsidRPr="001416ED">
        <w:rPr>
          <w:rFonts w:eastAsiaTheme="minorHAnsi"/>
          <w:kern w:val="11"/>
          <w:lang w:val="uk-UA" w:eastAsia="en-US"/>
        </w:rPr>
        <w:t>при усіх варіантах</w:t>
      </w:r>
      <w:r w:rsidR="00F40216">
        <w:rPr>
          <w:rFonts w:eastAsiaTheme="minorHAnsi"/>
          <w:kern w:val="11"/>
          <w:lang w:val="uk-UA" w:eastAsia="en-US"/>
        </w:rPr>
        <w:t xml:space="preserve"> гена</w:t>
      </w:r>
      <w:r w:rsidR="00465148" w:rsidRPr="001416ED">
        <w:rPr>
          <w:rFonts w:eastAsiaTheme="minorHAnsi"/>
          <w:kern w:val="11"/>
          <w:lang w:val="uk-UA" w:eastAsia="en-US"/>
        </w:rPr>
        <w:t xml:space="preserve"> ЕТ</w:t>
      </w:r>
      <w:r w:rsidR="00BC0119" w:rsidRPr="001416ED">
        <w:rPr>
          <w:rFonts w:eastAsiaTheme="minorHAnsi"/>
          <w:kern w:val="11"/>
          <w:lang w:val="uk-UA" w:eastAsia="en-US"/>
        </w:rPr>
        <w:t>–</w:t>
      </w:r>
      <w:r w:rsidR="00465148" w:rsidRPr="001416ED">
        <w:rPr>
          <w:rFonts w:eastAsiaTheme="minorHAnsi"/>
          <w:kern w:val="11"/>
          <w:lang w:val="uk-UA" w:eastAsia="en-US"/>
        </w:rPr>
        <w:t xml:space="preserve">1. </w:t>
      </w:r>
      <w:r w:rsidR="002260F7" w:rsidRPr="001416ED">
        <w:rPr>
          <w:rFonts w:eastAsiaTheme="minorHAnsi"/>
          <w:kern w:val="11"/>
          <w:lang w:val="uk-UA" w:eastAsia="en-US"/>
        </w:rPr>
        <w:t>У</w:t>
      </w:r>
      <w:r w:rsidR="00465148" w:rsidRPr="001416ED">
        <w:rPr>
          <w:rFonts w:eastAsiaTheme="minorHAnsi"/>
          <w:kern w:val="11"/>
          <w:lang w:val="uk-UA" w:eastAsia="en-US"/>
        </w:rPr>
        <w:t xml:space="preserve"> </w:t>
      </w:r>
      <w:r w:rsidR="002260F7" w:rsidRPr="001416ED">
        <w:rPr>
          <w:rFonts w:eastAsiaTheme="minorHAnsi"/>
          <w:kern w:val="11"/>
          <w:lang w:val="uk-UA" w:eastAsia="en-US"/>
        </w:rPr>
        <w:t>чоловіків</w:t>
      </w:r>
      <w:r w:rsidR="00465148" w:rsidRPr="001416ED">
        <w:rPr>
          <w:rFonts w:eastAsiaTheme="minorHAnsi"/>
          <w:kern w:val="11"/>
          <w:lang w:val="uk-UA" w:eastAsia="en-US"/>
        </w:rPr>
        <w:t xml:space="preserve">, що є носіями алелі </w:t>
      </w:r>
      <w:r w:rsidR="00465148" w:rsidRPr="001416ED">
        <w:rPr>
          <w:rFonts w:eastAsiaTheme="minorHAnsi"/>
          <w:kern w:val="11"/>
          <w:lang w:val="en-US" w:eastAsia="en-US"/>
        </w:rPr>
        <w:t>Asn</w:t>
      </w:r>
      <w:r w:rsidR="00465148" w:rsidRPr="001416ED">
        <w:rPr>
          <w:rFonts w:eastAsiaTheme="minorHAnsi"/>
          <w:kern w:val="11"/>
          <w:lang w:val="uk-UA" w:eastAsia="en-US"/>
        </w:rPr>
        <w:t xml:space="preserve"> </w:t>
      </w:r>
      <w:r w:rsidR="00372472" w:rsidRPr="001416ED">
        <w:rPr>
          <w:rFonts w:eastAsiaTheme="minorHAnsi"/>
          <w:kern w:val="11"/>
          <w:lang w:val="uk-UA" w:eastAsia="en-US"/>
        </w:rPr>
        <w:t xml:space="preserve">проатерогенні показники ліпідограми </w:t>
      </w:r>
      <w:r w:rsidR="00465148" w:rsidRPr="001416ED">
        <w:rPr>
          <w:rFonts w:eastAsiaTheme="minorHAnsi"/>
          <w:kern w:val="11"/>
          <w:lang w:val="uk-UA" w:eastAsia="en-US"/>
        </w:rPr>
        <w:t>достовірно вищі, а рівень ХСЛ</w:t>
      </w:r>
      <w:r w:rsidR="002271CC" w:rsidRPr="001416ED">
        <w:rPr>
          <w:rFonts w:eastAsiaTheme="minorHAnsi"/>
          <w:kern w:val="11"/>
          <w:lang w:val="uk-UA" w:eastAsia="en-US"/>
        </w:rPr>
        <w:t>П</w:t>
      </w:r>
      <w:r w:rsidR="00465148" w:rsidRPr="001416ED">
        <w:rPr>
          <w:rFonts w:eastAsiaTheme="minorHAnsi"/>
          <w:kern w:val="11"/>
          <w:lang w:val="uk-UA" w:eastAsia="en-US"/>
        </w:rPr>
        <w:t xml:space="preserve">ВЩ нижче, ніж у носіїв генотипу </w:t>
      </w:r>
      <w:r w:rsidR="00465148" w:rsidRPr="001416ED">
        <w:rPr>
          <w:rFonts w:eastAsiaTheme="minorHAnsi"/>
          <w:kern w:val="11"/>
          <w:lang w:val="en-US" w:eastAsia="en-US"/>
        </w:rPr>
        <w:t>Lys</w:t>
      </w:r>
      <w:r w:rsidR="00465148" w:rsidRPr="001416ED">
        <w:rPr>
          <w:rFonts w:eastAsiaTheme="minorHAnsi"/>
          <w:kern w:val="11"/>
          <w:lang w:val="uk-UA" w:eastAsia="en-US"/>
        </w:rPr>
        <w:t>/</w:t>
      </w:r>
      <w:r w:rsidR="00465148" w:rsidRPr="001416ED">
        <w:rPr>
          <w:rFonts w:eastAsiaTheme="minorHAnsi"/>
          <w:kern w:val="11"/>
          <w:lang w:val="en-US" w:eastAsia="en-US"/>
        </w:rPr>
        <w:t>Lys</w:t>
      </w:r>
      <w:r w:rsidR="002260F7" w:rsidRPr="001416ED">
        <w:rPr>
          <w:rFonts w:eastAsiaTheme="minorHAnsi"/>
          <w:kern w:val="11"/>
          <w:lang w:val="uk-UA" w:eastAsia="en-US"/>
        </w:rPr>
        <w:t>.</w:t>
      </w:r>
    </w:p>
    <w:p w:rsidR="00622B35" w:rsidRPr="001416ED" w:rsidRDefault="00DD6CFA" w:rsidP="00622B35">
      <w:pPr>
        <w:spacing w:line="360" w:lineRule="auto"/>
        <w:ind w:firstLine="709"/>
        <w:jc w:val="both"/>
        <w:rPr>
          <w:rFonts w:eastAsiaTheme="minorHAnsi"/>
          <w:lang w:val="uk-UA" w:eastAsia="en-US"/>
        </w:rPr>
      </w:pPr>
      <w:r w:rsidRPr="001416ED">
        <w:rPr>
          <w:rFonts w:eastAsiaTheme="minorHAnsi"/>
          <w:lang w:val="uk-UA" w:eastAsia="en-US"/>
        </w:rPr>
        <w:t>Р</w:t>
      </w:r>
      <w:r w:rsidR="00C13260" w:rsidRPr="001416ED">
        <w:rPr>
          <w:rFonts w:eastAsiaTheme="minorHAnsi"/>
          <w:lang w:val="uk-UA" w:eastAsia="en-US"/>
        </w:rPr>
        <w:t>івень фізіологічного антагоніста ЕТ</w:t>
      </w:r>
      <w:r w:rsidR="00BC0119" w:rsidRPr="001416ED">
        <w:rPr>
          <w:rFonts w:eastAsiaTheme="minorHAnsi"/>
          <w:lang w:val="uk-UA" w:eastAsia="en-US"/>
        </w:rPr>
        <w:t>–</w:t>
      </w:r>
      <w:r w:rsidR="00C13260" w:rsidRPr="001416ED">
        <w:rPr>
          <w:rFonts w:eastAsiaTheme="minorHAnsi"/>
          <w:lang w:val="uk-UA" w:eastAsia="en-US"/>
        </w:rPr>
        <w:t>1 – С</w:t>
      </w:r>
      <w:r w:rsidR="00BC0119" w:rsidRPr="001416ED">
        <w:rPr>
          <w:rFonts w:eastAsiaTheme="minorHAnsi"/>
          <w:lang w:val="uk-UA" w:eastAsia="en-US"/>
        </w:rPr>
        <w:t>–</w:t>
      </w:r>
      <w:r w:rsidR="00C13260" w:rsidRPr="001416ED">
        <w:rPr>
          <w:rFonts w:eastAsiaTheme="minorHAnsi"/>
          <w:lang w:val="uk-UA" w:eastAsia="en-US"/>
        </w:rPr>
        <w:t xml:space="preserve">натрійуретичного пептиду у чоловіків з ГХ різної </w:t>
      </w:r>
      <w:r w:rsidR="00046A18" w:rsidRPr="001416ED">
        <w:rPr>
          <w:rFonts w:eastAsiaTheme="minorHAnsi"/>
          <w:lang w:val="uk-UA" w:eastAsia="en-US"/>
        </w:rPr>
        <w:t>стадії</w:t>
      </w:r>
      <w:r w:rsidR="00C13260" w:rsidRPr="001416ED">
        <w:rPr>
          <w:rFonts w:eastAsiaTheme="minorHAnsi"/>
          <w:lang w:val="uk-UA" w:eastAsia="en-US"/>
        </w:rPr>
        <w:t xml:space="preserve"> </w:t>
      </w:r>
      <w:r w:rsidR="00B9723E" w:rsidRPr="001416ED">
        <w:rPr>
          <w:rFonts w:eastAsiaTheme="minorHAnsi"/>
          <w:lang w:val="uk-UA" w:eastAsia="en-US"/>
        </w:rPr>
        <w:t>вірогідно</w:t>
      </w:r>
      <w:r w:rsidR="00C13260" w:rsidRPr="001416ED">
        <w:rPr>
          <w:rFonts w:eastAsiaTheme="minorHAnsi"/>
          <w:lang w:val="uk-UA" w:eastAsia="en-US"/>
        </w:rPr>
        <w:t xml:space="preserve"> вищ</w:t>
      </w:r>
      <w:r w:rsidRPr="001416ED">
        <w:rPr>
          <w:rFonts w:eastAsiaTheme="minorHAnsi"/>
          <w:lang w:val="uk-UA" w:eastAsia="en-US"/>
        </w:rPr>
        <w:t>ий</w:t>
      </w:r>
      <w:r w:rsidR="00C13260" w:rsidRPr="001416ED">
        <w:rPr>
          <w:rFonts w:eastAsiaTheme="minorHAnsi"/>
          <w:lang w:val="uk-UA" w:eastAsia="en-US"/>
        </w:rPr>
        <w:t xml:space="preserve">, ніж в групі контролю, однак немає різниці в </w:t>
      </w:r>
      <w:r w:rsidR="002C5F19" w:rsidRPr="001416ED">
        <w:rPr>
          <w:rFonts w:eastAsiaTheme="minorHAnsi"/>
          <w:lang w:val="uk-UA" w:eastAsia="en-US"/>
        </w:rPr>
        <w:t>плазмовій концентрації</w:t>
      </w:r>
      <w:r w:rsidR="00C13260" w:rsidRPr="001416ED">
        <w:rPr>
          <w:rFonts w:eastAsiaTheme="minorHAnsi"/>
          <w:lang w:val="uk-UA" w:eastAsia="en-US"/>
        </w:rPr>
        <w:t xml:space="preserve"> пептиду між пацієнтами з ГХ.</w:t>
      </w:r>
      <w:r w:rsidR="00B9723E" w:rsidRPr="001416ED">
        <w:rPr>
          <w:rFonts w:eastAsiaTheme="minorHAnsi"/>
          <w:lang w:val="uk-UA" w:eastAsia="en-US"/>
        </w:rPr>
        <w:t xml:space="preserve"> </w:t>
      </w:r>
      <w:r w:rsidR="00622B35" w:rsidRPr="001416ED">
        <w:rPr>
          <w:rFonts w:eastAsiaTheme="minorHAnsi"/>
          <w:lang w:val="uk-UA" w:eastAsia="en-US"/>
        </w:rPr>
        <w:t xml:space="preserve">У чоловіків з ГХ ІІ </w:t>
      </w:r>
      <w:r w:rsidR="007672DB" w:rsidRPr="001416ED">
        <w:rPr>
          <w:rFonts w:eastAsiaTheme="minorHAnsi"/>
          <w:lang w:val="uk-UA" w:eastAsia="en-US"/>
        </w:rPr>
        <w:t>ст.</w:t>
      </w:r>
      <w:r w:rsidR="00622B35" w:rsidRPr="001416ED">
        <w:rPr>
          <w:rFonts w:eastAsiaTheme="minorHAnsi"/>
          <w:lang w:val="uk-UA" w:eastAsia="en-US"/>
        </w:rPr>
        <w:t xml:space="preserve"> та </w:t>
      </w:r>
      <w:r w:rsidR="00081C6E" w:rsidRPr="001416ED">
        <w:rPr>
          <w:rFonts w:eastAsiaTheme="minorHAnsi"/>
          <w:lang w:val="uk-UA" w:eastAsia="en-US"/>
        </w:rPr>
        <w:t>ГХ ІІІ ст.</w:t>
      </w:r>
      <w:r w:rsidR="00622B35" w:rsidRPr="001416ED">
        <w:rPr>
          <w:rFonts w:eastAsiaTheme="minorHAnsi"/>
          <w:lang w:val="uk-UA" w:eastAsia="en-US"/>
        </w:rPr>
        <w:t xml:space="preserve"> рівень СНП достовірно вище, ніж в групі контролю при носійстві усіх варіантів </w:t>
      </w:r>
      <w:r w:rsidR="00E6164F">
        <w:rPr>
          <w:rFonts w:eastAsiaTheme="minorHAnsi"/>
          <w:lang w:val="uk-UA" w:eastAsia="en-US"/>
        </w:rPr>
        <w:t>гена</w:t>
      </w:r>
      <w:r w:rsidR="00622B35" w:rsidRPr="001416ED">
        <w:rPr>
          <w:rFonts w:eastAsiaTheme="minorHAnsi"/>
          <w:lang w:val="uk-UA" w:eastAsia="en-US"/>
        </w:rPr>
        <w:t xml:space="preserve"> ЕТ</w:t>
      </w:r>
      <w:r w:rsidR="00BC0119" w:rsidRPr="001416ED">
        <w:rPr>
          <w:rFonts w:eastAsiaTheme="minorHAnsi"/>
          <w:lang w:val="uk-UA" w:eastAsia="en-US"/>
        </w:rPr>
        <w:t>–</w:t>
      </w:r>
      <w:r w:rsidR="00622B35" w:rsidRPr="001416ED">
        <w:rPr>
          <w:rFonts w:eastAsiaTheme="minorHAnsi"/>
          <w:lang w:val="uk-UA" w:eastAsia="en-US"/>
        </w:rPr>
        <w:t xml:space="preserve">1. </w:t>
      </w:r>
      <w:r w:rsidR="00802787" w:rsidRPr="001416ED">
        <w:rPr>
          <w:lang w:val="uk-UA"/>
        </w:rPr>
        <w:t xml:space="preserve">У хворих з ГХ </w:t>
      </w:r>
      <w:r w:rsidR="00A63A7A" w:rsidRPr="001416ED">
        <w:rPr>
          <w:lang w:val="uk-UA"/>
        </w:rPr>
        <w:t>ІІ та ІІІ стадії</w:t>
      </w:r>
      <w:r w:rsidR="00802787" w:rsidRPr="001416ED">
        <w:rPr>
          <w:lang w:val="uk-UA"/>
        </w:rPr>
        <w:t xml:space="preserve"> </w:t>
      </w:r>
      <w:r w:rsidR="00BC0119" w:rsidRPr="001416ED">
        <w:rPr>
          <w:lang w:val="uk-UA"/>
        </w:rPr>
        <w:t>–</w:t>
      </w:r>
      <w:r w:rsidR="00802787" w:rsidRPr="001416ED">
        <w:rPr>
          <w:rFonts w:eastAsiaTheme="minorHAnsi"/>
          <w:lang w:val="uk-UA" w:eastAsia="en-US"/>
        </w:rPr>
        <w:t xml:space="preserve"> н</w:t>
      </w:r>
      <w:r w:rsidR="00622B35" w:rsidRPr="001416ED">
        <w:rPr>
          <w:lang w:val="uk-UA"/>
        </w:rPr>
        <w:t>осії</w:t>
      </w:r>
      <w:r w:rsidR="00802787" w:rsidRPr="001416ED">
        <w:rPr>
          <w:lang w:val="uk-UA"/>
        </w:rPr>
        <w:t>в</w:t>
      </w:r>
      <w:r w:rsidR="00622B35" w:rsidRPr="001416ED">
        <w:rPr>
          <w:lang w:val="uk-UA"/>
        </w:rPr>
        <w:t xml:space="preserve"> алелі Asn </w:t>
      </w:r>
      <w:r w:rsidR="00802787" w:rsidRPr="001416ED">
        <w:rPr>
          <w:lang w:val="uk-UA"/>
        </w:rPr>
        <w:t xml:space="preserve">рівень СНП вірогідно </w:t>
      </w:r>
      <w:r w:rsidR="00622B35" w:rsidRPr="001416ED">
        <w:rPr>
          <w:lang w:val="uk-UA"/>
        </w:rPr>
        <w:t xml:space="preserve">вищий ніж </w:t>
      </w:r>
      <w:r w:rsidR="00802787" w:rsidRPr="001416ED">
        <w:rPr>
          <w:lang w:val="uk-UA"/>
        </w:rPr>
        <w:t xml:space="preserve">у </w:t>
      </w:r>
      <w:r w:rsidR="00622B35" w:rsidRPr="001416ED">
        <w:rPr>
          <w:lang w:val="uk-UA"/>
        </w:rPr>
        <w:t>носії</w:t>
      </w:r>
      <w:r w:rsidR="00802787" w:rsidRPr="001416ED">
        <w:rPr>
          <w:lang w:val="uk-UA"/>
        </w:rPr>
        <w:t>в</w:t>
      </w:r>
      <w:r w:rsidR="00622B35" w:rsidRPr="001416ED">
        <w:rPr>
          <w:lang w:val="uk-UA"/>
        </w:rPr>
        <w:t xml:space="preserve"> генотипу </w:t>
      </w:r>
      <w:r w:rsidR="00622B35" w:rsidRPr="001416ED">
        <w:rPr>
          <w:lang w:val="en-US"/>
        </w:rPr>
        <w:t>Lys</w:t>
      </w:r>
      <w:r w:rsidR="00622B35" w:rsidRPr="001416ED">
        <w:rPr>
          <w:lang w:val="uk-UA"/>
        </w:rPr>
        <w:t>/</w:t>
      </w:r>
      <w:r w:rsidR="00622B35" w:rsidRPr="001416ED">
        <w:rPr>
          <w:lang w:val="en-US"/>
        </w:rPr>
        <w:t>Lys</w:t>
      </w:r>
      <w:r w:rsidR="00802787" w:rsidRPr="001416ED">
        <w:rPr>
          <w:lang w:val="uk-UA"/>
        </w:rPr>
        <w:t xml:space="preserve">. </w:t>
      </w:r>
      <w:r w:rsidR="00802787" w:rsidRPr="001416ED">
        <w:rPr>
          <w:rFonts w:eastAsiaTheme="minorHAnsi"/>
          <w:lang w:val="uk-UA" w:eastAsia="en-US"/>
        </w:rPr>
        <w:t>Аналіз плазмової концентраці</w:t>
      </w:r>
      <w:r w:rsidR="00B9723E" w:rsidRPr="001416ED">
        <w:rPr>
          <w:rFonts w:eastAsiaTheme="minorHAnsi"/>
          <w:lang w:val="uk-UA" w:eastAsia="en-US"/>
        </w:rPr>
        <w:t>ї</w:t>
      </w:r>
      <w:r w:rsidR="00622B35" w:rsidRPr="001416ED">
        <w:rPr>
          <w:rFonts w:eastAsiaTheme="minorHAnsi"/>
          <w:lang w:val="uk-UA" w:eastAsia="en-US"/>
        </w:rPr>
        <w:t xml:space="preserve"> СНП у чоловіків з ГХ при різних ступенях АГ</w:t>
      </w:r>
      <w:r w:rsidR="00891F7E" w:rsidRPr="001416ED">
        <w:rPr>
          <w:rFonts w:eastAsiaTheme="minorHAnsi"/>
          <w:lang w:val="uk-UA" w:eastAsia="en-US"/>
        </w:rPr>
        <w:t xml:space="preserve"> та ІМТ</w:t>
      </w:r>
      <w:r w:rsidR="00802787" w:rsidRPr="001416ED">
        <w:rPr>
          <w:rFonts w:eastAsiaTheme="minorHAnsi"/>
          <w:lang w:val="uk-UA" w:eastAsia="en-US"/>
        </w:rPr>
        <w:t xml:space="preserve"> різниці не виявив.</w:t>
      </w:r>
    </w:p>
    <w:p w:rsidR="00C13260" w:rsidRPr="001416ED" w:rsidRDefault="00891F7E" w:rsidP="00891F7E">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Був </w:t>
      </w:r>
      <w:r w:rsidR="00BE3207" w:rsidRPr="001416ED">
        <w:rPr>
          <w:rFonts w:eastAsiaTheme="minorHAnsi"/>
          <w:kern w:val="11"/>
          <w:lang w:val="uk-UA" w:eastAsia="en-US"/>
        </w:rPr>
        <w:t>досліджений</w:t>
      </w:r>
      <w:r w:rsidRPr="001416ED">
        <w:rPr>
          <w:rFonts w:eastAsiaTheme="minorHAnsi"/>
          <w:kern w:val="11"/>
          <w:lang w:val="uk-UA" w:eastAsia="en-US"/>
        </w:rPr>
        <w:t xml:space="preserve"> коефіцієнт СНП/ЕТ</w:t>
      </w:r>
      <w:r w:rsidR="00BC0119" w:rsidRPr="001416ED">
        <w:rPr>
          <w:rFonts w:eastAsiaTheme="minorHAnsi"/>
          <w:kern w:val="11"/>
          <w:lang w:val="uk-UA" w:eastAsia="en-US"/>
        </w:rPr>
        <w:t>–</w:t>
      </w:r>
      <w:r w:rsidR="00BE3207" w:rsidRPr="001416ED">
        <w:rPr>
          <w:rFonts w:eastAsiaTheme="minorHAnsi"/>
          <w:kern w:val="11"/>
          <w:lang w:val="uk-UA" w:eastAsia="en-US"/>
        </w:rPr>
        <w:t>1</w:t>
      </w:r>
      <w:r w:rsidRPr="001416ED">
        <w:rPr>
          <w:rFonts w:eastAsiaTheme="minorHAnsi"/>
          <w:kern w:val="11"/>
          <w:lang w:val="uk-UA" w:eastAsia="en-US"/>
        </w:rPr>
        <w:t xml:space="preserve"> як показник балансу вазодилятатор/вазоконстриктор у чоловіків з ГХ різної </w:t>
      </w:r>
      <w:r w:rsidR="00046A18" w:rsidRPr="001416ED">
        <w:rPr>
          <w:rFonts w:eastAsiaTheme="minorHAnsi"/>
          <w:kern w:val="11"/>
          <w:lang w:val="uk-UA" w:eastAsia="en-US"/>
        </w:rPr>
        <w:t>стадії</w:t>
      </w:r>
      <w:r w:rsidRPr="001416ED">
        <w:rPr>
          <w:rFonts w:eastAsiaTheme="minorHAnsi"/>
          <w:kern w:val="11"/>
          <w:lang w:val="uk-UA" w:eastAsia="en-US"/>
        </w:rPr>
        <w:t>.</w:t>
      </w:r>
      <w:r w:rsidRPr="001416ED">
        <w:rPr>
          <w:rFonts w:eastAsiaTheme="minorHAnsi"/>
          <w:lang w:val="uk-UA" w:eastAsia="en-US"/>
        </w:rPr>
        <w:t xml:space="preserve"> Встановлено, що у носіїв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xml:space="preserve"> та алелі Asn коефіцієнт СНП/ЕТ</w:t>
      </w:r>
      <w:r w:rsidR="00BC0119" w:rsidRPr="001416ED">
        <w:rPr>
          <w:rFonts w:eastAsiaTheme="minorHAnsi"/>
          <w:lang w:val="uk-UA" w:eastAsia="en-US"/>
        </w:rPr>
        <w:t>–</w:t>
      </w:r>
      <w:r w:rsidRPr="001416ED">
        <w:rPr>
          <w:rFonts w:eastAsiaTheme="minorHAnsi"/>
          <w:lang w:val="uk-UA" w:eastAsia="en-US"/>
        </w:rPr>
        <w:t>1 достовірно нижче у осіб з ГХ, ніж в групі ко</w:t>
      </w:r>
      <w:r w:rsidR="00BE3207" w:rsidRPr="001416ED">
        <w:rPr>
          <w:rFonts w:eastAsiaTheme="minorHAnsi"/>
          <w:lang w:val="uk-UA" w:eastAsia="en-US"/>
        </w:rPr>
        <w:t>н</w:t>
      </w:r>
      <w:r w:rsidRPr="001416ED">
        <w:rPr>
          <w:rFonts w:eastAsiaTheme="minorHAnsi"/>
          <w:lang w:val="uk-UA" w:eastAsia="en-US"/>
        </w:rPr>
        <w:t xml:space="preserve">тролю, однак немає вірогідної різниці у співвідношенні пептидів між чоловіками з ГХ </w:t>
      </w:r>
      <w:r w:rsidR="00A63A7A" w:rsidRPr="001416ED">
        <w:rPr>
          <w:rFonts w:eastAsiaTheme="minorHAnsi"/>
          <w:lang w:val="uk-UA" w:eastAsia="en-US"/>
        </w:rPr>
        <w:t>ІІ та ІІІ стадії</w:t>
      </w:r>
      <w:r w:rsidR="00372472" w:rsidRPr="001416ED">
        <w:rPr>
          <w:rFonts w:eastAsiaTheme="minorHAnsi"/>
          <w:lang w:val="uk-UA" w:eastAsia="en-US"/>
        </w:rPr>
        <w:t>.</w:t>
      </w:r>
      <w:r w:rsidRPr="001416ED">
        <w:rPr>
          <w:rFonts w:eastAsiaTheme="minorHAnsi"/>
          <w:lang w:val="uk-UA" w:eastAsia="en-US"/>
        </w:rPr>
        <w:t xml:space="preserve"> Достовірної різниці у показнику СНП/ЕТ</w:t>
      </w:r>
      <w:r w:rsidR="00BC0119" w:rsidRPr="001416ED">
        <w:rPr>
          <w:rFonts w:eastAsiaTheme="minorHAnsi"/>
          <w:lang w:val="uk-UA" w:eastAsia="en-US"/>
        </w:rPr>
        <w:t>–</w:t>
      </w:r>
      <w:r w:rsidRPr="001416ED">
        <w:rPr>
          <w:rFonts w:eastAsiaTheme="minorHAnsi"/>
          <w:lang w:val="uk-UA" w:eastAsia="en-US"/>
        </w:rPr>
        <w:t xml:space="preserve">1 між носіями </w:t>
      </w:r>
      <w:r w:rsidR="00E6164F">
        <w:rPr>
          <w:rFonts w:eastAsiaTheme="minorHAnsi"/>
          <w:lang w:val="uk-UA" w:eastAsia="en-US"/>
        </w:rPr>
        <w:t>поліморфних варіантів гена ЕТ–1</w:t>
      </w:r>
      <w:r w:rsidRPr="001416ED">
        <w:rPr>
          <w:rFonts w:eastAsiaTheme="minorHAnsi"/>
          <w:lang w:val="uk-UA" w:eastAsia="en-US"/>
        </w:rPr>
        <w:t xml:space="preserve"> у пацієнтів з ГХ різної </w:t>
      </w:r>
      <w:r w:rsidR="00046A18" w:rsidRPr="001416ED">
        <w:rPr>
          <w:rFonts w:eastAsiaTheme="minorHAnsi"/>
          <w:lang w:val="uk-UA" w:eastAsia="en-US"/>
        </w:rPr>
        <w:t>стадії</w:t>
      </w:r>
      <w:r w:rsidRPr="001416ED">
        <w:rPr>
          <w:rFonts w:eastAsiaTheme="minorHAnsi"/>
          <w:lang w:val="uk-UA" w:eastAsia="en-US"/>
        </w:rPr>
        <w:t xml:space="preserve"> не виявлено</w:t>
      </w:r>
      <w:r w:rsidR="00770D3E" w:rsidRPr="001416ED">
        <w:rPr>
          <w:rFonts w:eastAsiaTheme="minorHAnsi"/>
          <w:lang w:val="uk-UA" w:eastAsia="en-US"/>
        </w:rPr>
        <w:t>, що, можливо, пояснюється включенням в процес вазоконстрикції інших судинозвужуючих субстанції при розвитку ХСН на тлі ГХ</w:t>
      </w:r>
      <w:r w:rsidRPr="001416ED">
        <w:rPr>
          <w:rFonts w:eastAsiaTheme="minorHAnsi"/>
          <w:lang w:val="uk-UA" w:eastAsia="en-US"/>
        </w:rPr>
        <w:t xml:space="preserve">. </w:t>
      </w:r>
    </w:p>
    <w:p w:rsidR="005F12E3" w:rsidRPr="001416ED" w:rsidRDefault="009244AC" w:rsidP="00BC61C3">
      <w:pPr>
        <w:spacing w:line="360" w:lineRule="auto"/>
        <w:ind w:firstLine="708"/>
        <w:jc w:val="both"/>
        <w:rPr>
          <w:lang w:val="uk-UA"/>
        </w:rPr>
      </w:pPr>
      <w:r w:rsidRPr="001416ED">
        <w:rPr>
          <w:rFonts w:eastAsiaTheme="minorHAnsi"/>
          <w:kern w:val="11"/>
          <w:lang w:val="uk-UA" w:eastAsia="en-US"/>
        </w:rPr>
        <w:lastRenderedPageBreak/>
        <w:t xml:space="preserve">У пацієнтів чоловічої статі, що мають ГХ різної </w:t>
      </w:r>
      <w:r w:rsidR="00046A18" w:rsidRPr="001416ED">
        <w:rPr>
          <w:rFonts w:eastAsiaTheme="minorHAnsi"/>
          <w:kern w:val="11"/>
          <w:lang w:val="uk-UA" w:eastAsia="en-US"/>
        </w:rPr>
        <w:t>стадії</w:t>
      </w:r>
      <w:r w:rsidRPr="001416ED">
        <w:rPr>
          <w:rFonts w:eastAsiaTheme="minorHAnsi"/>
          <w:kern w:val="11"/>
          <w:lang w:val="uk-UA" w:eastAsia="en-US"/>
        </w:rPr>
        <w:t xml:space="preserve">, як і у групі </w:t>
      </w:r>
      <w:r w:rsidR="00472F94" w:rsidRPr="001416ED">
        <w:rPr>
          <w:rFonts w:eastAsiaTheme="minorHAnsi"/>
          <w:kern w:val="11"/>
          <w:lang w:val="uk-UA" w:eastAsia="en-US"/>
        </w:rPr>
        <w:t>контролю</w:t>
      </w:r>
      <w:r w:rsidRPr="001416ED">
        <w:rPr>
          <w:rFonts w:eastAsiaTheme="minorHAnsi"/>
          <w:kern w:val="11"/>
          <w:lang w:val="uk-UA" w:eastAsia="en-US"/>
        </w:rPr>
        <w:t xml:space="preserve"> на пальцях </w:t>
      </w:r>
      <w:r w:rsidR="002C5F19" w:rsidRPr="001416ED">
        <w:rPr>
          <w:rFonts w:eastAsiaTheme="minorHAnsi"/>
          <w:kern w:val="11"/>
          <w:lang w:val="uk-UA" w:eastAsia="en-US"/>
        </w:rPr>
        <w:t>ПК та ЛК</w:t>
      </w:r>
      <w:r w:rsidRPr="001416ED">
        <w:rPr>
          <w:rFonts w:eastAsiaTheme="minorHAnsi"/>
          <w:kern w:val="11"/>
          <w:lang w:val="uk-UA" w:eastAsia="en-US"/>
        </w:rPr>
        <w:t xml:space="preserve"> переважає малюнок ульнарна петля.</w:t>
      </w:r>
      <w:r w:rsidR="00154F0A" w:rsidRPr="001416ED">
        <w:rPr>
          <w:lang w:val="uk-UA"/>
        </w:rPr>
        <w:t xml:space="preserve"> У пацієнтів з ГХ</w:t>
      </w:r>
      <w:r w:rsidR="007672DB" w:rsidRPr="001416ED">
        <w:rPr>
          <w:rFonts w:eastAsiaTheme="minorHAnsi"/>
          <w:lang w:val="uk-UA" w:eastAsia="en-US"/>
        </w:rPr>
        <w:t xml:space="preserve"> </w:t>
      </w:r>
      <w:r w:rsidR="00A63A7A" w:rsidRPr="001416ED">
        <w:rPr>
          <w:rFonts w:eastAsiaTheme="minorHAnsi"/>
          <w:lang w:val="uk-UA" w:eastAsia="en-US"/>
        </w:rPr>
        <w:t>ІІ та ІІІ стадії</w:t>
      </w:r>
      <w:r w:rsidR="00154F0A" w:rsidRPr="001416ED">
        <w:rPr>
          <w:rFonts w:eastAsiaTheme="minorHAnsi"/>
          <w:lang w:val="uk-UA" w:eastAsia="en-US"/>
        </w:rPr>
        <w:t xml:space="preserve"> </w:t>
      </w:r>
      <w:r w:rsidR="00154F0A" w:rsidRPr="001416ED">
        <w:rPr>
          <w:rFonts w:eastAsiaTheme="minorHAnsi"/>
          <w:kern w:val="11"/>
          <w:lang w:val="uk-UA" w:eastAsia="en-US"/>
        </w:rPr>
        <w:t xml:space="preserve">ГР на кожному пальці </w:t>
      </w:r>
      <w:r w:rsidR="002C5F19" w:rsidRPr="001416ED">
        <w:rPr>
          <w:rFonts w:eastAsiaTheme="minorHAnsi"/>
          <w:kern w:val="11"/>
          <w:lang w:val="uk-UA" w:eastAsia="en-US"/>
        </w:rPr>
        <w:t>ПК та ЛК</w:t>
      </w:r>
      <w:r w:rsidR="00154F0A" w:rsidRPr="001416ED">
        <w:rPr>
          <w:rFonts w:eastAsiaTheme="minorHAnsi"/>
          <w:kern w:val="11"/>
          <w:lang w:val="uk-UA" w:eastAsia="en-US"/>
        </w:rPr>
        <w:t xml:space="preserve">, окрім першого пальця </w:t>
      </w:r>
      <w:r w:rsidR="002C5F19" w:rsidRPr="001416ED">
        <w:rPr>
          <w:rFonts w:eastAsiaTheme="minorHAnsi"/>
          <w:kern w:val="11"/>
          <w:lang w:val="uk-UA" w:eastAsia="en-US"/>
        </w:rPr>
        <w:t>ЛК</w:t>
      </w:r>
      <w:r w:rsidR="00154F0A" w:rsidRPr="001416ED">
        <w:rPr>
          <w:rFonts w:eastAsiaTheme="minorHAnsi"/>
          <w:kern w:val="11"/>
          <w:lang w:val="uk-UA" w:eastAsia="en-US"/>
        </w:rPr>
        <w:t xml:space="preserve"> між носіями </w:t>
      </w:r>
      <w:r w:rsidR="00E6164F">
        <w:rPr>
          <w:rFonts w:eastAsiaTheme="minorHAnsi"/>
          <w:kern w:val="11"/>
          <w:lang w:val="uk-UA" w:eastAsia="en-US"/>
        </w:rPr>
        <w:t>поліморфних варіантів гена ЕТ–1</w:t>
      </w:r>
      <w:r w:rsidR="00154F0A" w:rsidRPr="001416ED">
        <w:rPr>
          <w:rFonts w:eastAsiaTheme="minorHAnsi"/>
          <w:kern w:val="11"/>
          <w:lang w:val="uk-UA" w:eastAsia="en-US"/>
        </w:rPr>
        <w:t xml:space="preserve"> </w:t>
      </w:r>
      <w:r w:rsidR="00BE3207" w:rsidRPr="001416ED">
        <w:rPr>
          <w:rFonts w:eastAsiaTheme="minorHAnsi"/>
          <w:kern w:val="11"/>
          <w:lang w:val="uk-UA" w:eastAsia="en-US"/>
        </w:rPr>
        <w:t>не відрізняється</w:t>
      </w:r>
      <w:r w:rsidR="00154F0A" w:rsidRPr="001416ED">
        <w:rPr>
          <w:rFonts w:eastAsiaTheme="minorHAnsi"/>
          <w:kern w:val="11"/>
          <w:lang w:val="uk-UA" w:eastAsia="en-US"/>
        </w:rPr>
        <w:t xml:space="preserve">. </w:t>
      </w:r>
      <w:r w:rsidR="00324FDF" w:rsidRPr="001416ED">
        <w:rPr>
          <w:rFonts w:eastAsiaTheme="minorHAnsi"/>
          <w:kern w:val="11"/>
          <w:lang w:val="uk-UA" w:eastAsia="en-US"/>
        </w:rPr>
        <w:t>ГР н</w:t>
      </w:r>
      <w:r w:rsidR="00154F0A" w:rsidRPr="001416ED">
        <w:rPr>
          <w:rFonts w:eastAsiaTheme="minorHAnsi"/>
          <w:kern w:val="11"/>
          <w:lang w:val="uk-UA" w:eastAsia="en-US"/>
        </w:rPr>
        <w:t xml:space="preserve">а першому пальці </w:t>
      </w:r>
      <w:r w:rsidR="002C5F19" w:rsidRPr="001416ED">
        <w:rPr>
          <w:rFonts w:eastAsiaTheme="minorHAnsi"/>
          <w:kern w:val="11"/>
          <w:lang w:val="uk-UA" w:eastAsia="en-US"/>
        </w:rPr>
        <w:t>ЛК</w:t>
      </w:r>
      <w:r w:rsidR="00154F0A" w:rsidRPr="001416ED">
        <w:rPr>
          <w:rFonts w:eastAsiaTheme="minorHAnsi"/>
          <w:kern w:val="11"/>
          <w:lang w:val="uk-UA" w:eastAsia="en-US"/>
        </w:rPr>
        <w:t xml:space="preserve"> у чоловіків з ГХ ІІ ст. достовірно вище у носіїв алелі Asn, ніж  у осіб з генотипом Lys/Lys гена ЕТ</w:t>
      </w:r>
      <w:r w:rsidR="00BC0119" w:rsidRPr="001416ED">
        <w:rPr>
          <w:rFonts w:eastAsiaTheme="minorHAnsi"/>
          <w:kern w:val="11"/>
          <w:lang w:val="uk-UA" w:eastAsia="en-US"/>
        </w:rPr>
        <w:t>–</w:t>
      </w:r>
      <w:r w:rsidR="00154F0A" w:rsidRPr="001416ED">
        <w:rPr>
          <w:rFonts w:eastAsiaTheme="minorHAnsi"/>
          <w:kern w:val="11"/>
          <w:lang w:val="uk-UA" w:eastAsia="en-US"/>
        </w:rPr>
        <w:t>1.</w:t>
      </w:r>
      <w:r w:rsidR="005723C6" w:rsidRPr="001416ED">
        <w:rPr>
          <w:lang w:val="uk-UA"/>
        </w:rPr>
        <w:t xml:space="preserve"> </w:t>
      </w:r>
    </w:p>
    <w:p w:rsidR="007672DB" w:rsidRPr="001416ED" w:rsidRDefault="005723C6" w:rsidP="00BC61C3">
      <w:pPr>
        <w:spacing w:line="360" w:lineRule="auto"/>
        <w:ind w:firstLine="708"/>
        <w:jc w:val="both"/>
        <w:rPr>
          <w:lang w:val="uk-UA"/>
        </w:rPr>
      </w:pPr>
      <w:r w:rsidRPr="001416ED">
        <w:rPr>
          <w:lang w:val="uk-UA"/>
        </w:rPr>
        <w:t>Проаналізувавши ЗГР в групі ко</w:t>
      </w:r>
      <w:r w:rsidR="00BE3207" w:rsidRPr="001416ED">
        <w:rPr>
          <w:lang w:val="uk-UA"/>
        </w:rPr>
        <w:t>н</w:t>
      </w:r>
      <w:r w:rsidRPr="001416ED">
        <w:rPr>
          <w:lang w:val="uk-UA"/>
        </w:rPr>
        <w:t xml:space="preserve">тролю та у пацієнтів з ГХ різної </w:t>
      </w:r>
      <w:r w:rsidR="00046A18" w:rsidRPr="001416ED">
        <w:rPr>
          <w:lang w:val="uk-UA"/>
        </w:rPr>
        <w:t>стадії</w:t>
      </w:r>
      <w:r w:rsidRPr="001416ED">
        <w:rPr>
          <w:lang w:val="uk-UA"/>
        </w:rPr>
        <w:t xml:space="preserve">, при носійстві різних варіантів </w:t>
      </w:r>
      <w:r w:rsidR="00F40216">
        <w:rPr>
          <w:lang w:val="uk-UA"/>
        </w:rPr>
        <w:t>гена</w:t>
      </w:r>
      <w:r w:rsidRPr="001416ED">
        <w:rPr>
          <w:lang w:val="uk-UA"/>
        </w:rPr>
        <w:t xml:space="preserve"> ЕТ</w:t>
      </w:r>
      <w:r w:rsidR="00BC0119" w:rsidRPr="001416ED">
        <w:rPr>
          <w:lang w:val="uk-UA"/>
        </w:rPr>
        <w:t>–</w:t>
      </w:r>
      <w:r w:rsidRPr="001416ED">
        <w:rPr>
          <w:lang w:val="uk-UA"/>
        </w:rPr>
        <w:t xml:space="preserve">1, вірогідної різниці не виявлено. Проте, у пацієнтів з ГХ </w:t>
      </w:r>
      <w:r w:rsidR="00372472" w:rsidRPr="001416ED">
        <w:rPr>
          <w:lang w:val="uk-UA"/>
        </w:rPr>
        <w:t xml:space="preserve">ІІ ст. </w:t>
      </w:r>
      <w:r w:rsidRPr="001416ED">
        <w:rPr>
          <w:lang w:val="uk-UA"/>
        </w:rPr>
        <w:t xml:space="preserve">рівень ЗГР на </w:t>
      </w:r>
      <w:r w:rsidR="002C5F19" w:rsidRPr="001416ED">
        <w:rPr>
          <w:lang w:val="uk-UA"/>
        </w:rPr>
        <w:t>ПК та ЛК</w:t>
      </w:r>
      <w:r w:rsidRPr="001416ED">
        <w:rPr>
          <w:lang w:val="uk-UA"/>
        </w:rPr>
        <w:t xml:space="preserve"> при носійстві </w:t>
      </w:r>
      <w:r w:rsidR="002A4CE7">
        <w:rPr>
          <w:lang w:val="uk-UA"/>
        </w:rPr>
        <w:t xml:space="preserve">поліморфних </w:t>
      </w:r>
      <w:r w:rsidR="00F40216">
        <w:rPr>
          <w:lang w:val="uk-UA"/>
        </w:rPr>
        <w:t>варіантів гена</w:t>
      </w:r>
      <w:r w:rsidRPr="001416ED">
        <w:rPr>
          <w:lang w:val="uk-UA"/>
        </w:rPr>
        <w:t xml:space="preserve"> ЕТ</w:t>
      </w:r>
      <w:r w:rsidR="00BC0119" w:rsidRPr="001416ED">
        <w:rPr>
          <w:lang w:val="uk-UA"/>
        </w:rPr>
        <w:t>–</w:t>
      </w:r>
      <w:r w:rsidRPr="001416ED">
        <w:rPr>
          <w:lang w:val="uk-UA"/>
        </w:rPr>
        <w:t>1 виявився найнижчим.</w:t>
      </w:r>
      <w:r w:rsidR="00BC61C3" w:rsidRPr="001416ED">
        <w:rPr>
          <w:lang w:val="uk-UA"/>
        </w:rPr>
        <w:t xml:space="preserve"> </w:t>
      </w:r>
    </w:p>
    <w:p w:rsidR="00BC61C3" w:rsidRPr="001416ED" w:rsidRDefault="00BC61C3" w:rsidP="00BC61C3">
      <w:pPr>
        <w:spacing w:line="360" w:lineRule="auto"/>
        <w:ind w:firstLine="708"/>
        <w:jc w:val="both"/>
        <w:rPr>
          <w:lang w:val="uk-UA"/>
        </w:rPr>
      </w:pPr>
      <w:r w:rsidRPr="001416ED">
        <w:rPr>
          <w:rFonts w:eastAsiaTheme="minorHAnsi"/>
          <w:kern w:val="11"/>
          <w:lang w:val="uk-UA" w:eastAsia="en-US"/>
        </w:rPr>
        <w:t>Встановлено, що у чоловіків з ГХ ІІ ст. СГР виявився достовірно найнижчи</w:t>
      </w:r>
      <w:r w:rsidR="00BE3207" w:rsidRPr="001416ED">
        <w:rPr>
          <w:rFonts w:eastAsiaTheme="minorHAnsi"/>
          <w:kern w:val="11"/>
          <w:lang w:val="uk-UA" w:eastAsia="en-US"/>
        </w:rPr>
        <w:t>м</w:t>
      </w:r>
      <w:r w:rsidRPr="001416ED">
        <w:rPr>
          <w:rFonts w:eastAsiaTheme="minorHAnsi"/>
          <w:kern w:val="11"/>
          <w:lang w:val="uk-UA" w:eastAsia="en-US"/>
        </w:rPr>
        <w:t xml:space="preserve"> ніж у пацієнтів з </w:t>
      </w:r>
      <w:r w:rsidR="00C34030" w:rsidRPr="001416ED">
        <w:rPr>
          <w:rFonts w:eastAsiaTheme="minorHAnsi"/>
          <w:kern w:val="11"/>
          <w:lang w:val="uk-UA" w:eastAsia="en-US"/>
        </w:rPr>
        <w:t xml:space="preserve">ГХ ІІІ ст. </w:t>
      </w:r>
      <w:r w:rsidRPr="001416ED">
        <w:rPr>
          <w:rFonts w:eastAsiaTheme="minorHAnsi"/>
          <w:kern w:val="11"/>
          <w:lang w:val="uk-UA" w:eastAsia="en-US"/>
        </w:rPr>
        <w:t xml:space="preserve">та </w:t>
      </w:r>
      <w:r w:rsidR="00A004B3" w:rsidRPr="001416ED">
        <w:rPr>
          <w:rFonts w:eastAsiaTheme="minorHAnsi"/>
          <w:kern w:val="11"/>
          <w:lang w:val="uk-UA" w:eastAsia="en-US"/>
        </w:rPr>
        <w:t>у осіб</w:t>
      </w:r>
      <w:r w:rsidRPr="001416ED">
        <w:rPr>
          <w:rFonts w:eastAsiaTheme="minorHAnsi"/>
          <w:kern w:val="11"/>
          <w:lang w:val="uk-UA" w:eastAsia="en-US"/>
        </w:rPr>
        <w:t xml:space="preserve"> групи ко</w:t>
      </w:r>
      <w:r w:rsidR="00BE3207" w:rsidRPr="001416ED">
        <w:rPr>
          <w:rFonts w:eastAsiaTheme="minorHAnsi"/>
          <w:kern w:val="11"/>
          <w:lang w:val="uk-UA" w:eastAsia="en-US"/>
        </w:rPr>
        <w:t>н</w:t>
      </w:r>
      <w:r w:rsidRPr="001416ED">
        <w:rPr>
          <w:rFonts w:eastAsiaTheme="minorHAnsi"/>
          <w:kern w:val="11"/>
          <w:lang w:val="uk-UA" w:eastAsia="en-US"/>
        </w:rPr>
        <w:t>тролю</w:t>
      </w:r>
      <w:r w:rsidRPr="001416ED">
        <w:rPr>
          <w:rFonts w:eastAsiaTheme="minorHAnsi"/>
          <w:b/>
          <w:kern w:val="11"/>
          <w:lang w:val="uk-UA" w:eastAsia="en-US"/>
        </w:rPr>
        <w:t xml:space="preserve">. </w:t>
      </w:r>
      <w:r w:rsidRPr="001416ED">
        <w:rPr>
          <w:rFonts w:eastAsiaTheme="minorHAnsi"/>
          <w:kern w:val="11"/>
          <w:lang w:val="uk-UA" w:eastAsia="en-US"/>
        </w:rPr>
        <w:t>Показник СГР між чоловіками з різними генотипами гена ЕТ</w:t>
      </w:r>
      <w:r w:rsidR="00BC0119" w:rsidRPr="001416ED">
        <w:rPr>
          <w:rFonts w:eastAsiaTheme="minorHAnsi"/>
          <w:kern w:val="11"/>
          <w:lang w:val="uk-UA" w:eastAsia="en-US"/>
        </w:rPr>
        <w:t>–</w:t>
      </w:r>
      <w:r w:rsidRPr="001416ED">
        <w:rPr>
          <w:rFonts w:eastAsiaTheme="minorHAnsi"/>
          <w:kern w:val="11"/>
          <w:lang w:val="uk-UA" w:eastAsia="en-US"/>
        </w:rPr>
        <w:t xml:space="preserve">1 в середині кожної групи не </w:t>
      </w:r>
      <w:r w:rsidR="00C93B6D" w:rsidRPr="001416ED">
        <w:rPr>
          <w:rFonts w:eastAsiaTheme="minorHAnsi"/>
          <w:kern w:val="11"/>
          <w:lang w:val="uk-UA" w:eastAsia="en-US"/>
        </w:rPr>
        <w:t>відрізняється</w:t>
      </w:r>
      <w:r w:rsidRPr="001416ED">
        <w:rPr>
          <w:rFonts w:eastAsiaTheme="minorHAnsi"/>
          <w:kern w:val="11"/>
          <w:lang w:val="uk-UA" w:eastAsia="en-US"/>
        </w:rPr>
        <w:t>.</w:t>
      </w:r>
      <w:r w:rsidR="00A004B3" w:rsidRPr="001416ED">
        <w:rPr>
          <w:rFonts w:eastAsiaTheme="minorHAnsi"/>
          <w:kern w:val="11"/>
          <w:lang w:val="uk-UA" w:eastAsia="en-US"/>
        </w:rPr>
        <w:t xml:space="preserve"> </w:t>
      </w:r>
      <w:r w:rsidR="004E0892" w:rsidRPr="001416ED">
        <w:rPr>
          <w:rFonts w:eastAsiaTheme="minorHAnsi"/>
          <w:kern w:val="11"/>
          <w:lang w:val="uk-UA" w:eastAsia="en-US"/>
        </w:rPr>
        <w:t>Прямий з</w:t>
      </w:r>
      <w:r w:rsidRPr="001416ED">
        <w:rPr>
          <w:lang w:val="uk-UA"/>
        </w:rPr>
        <w:t xml:space="preserve">в'язок між носійством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та </w:t>
      </w:r>
      <w:r w:rsidR="00A004B3" w:rsidRPr="001416ED">
        <w:rPr>
          <w:lang w:val="uk-UA"/>
        </w:rPr>
        <w:t>варіантами дерматогліфі</w:t>
      </w:r>
      <w:r w:rsidR="00BE3207" w:rsidRPr="001416ED">
        <w:rPr>
          <w:lang w:val="uk-UA"/>
        </w:rPr>
        <w:t>чних малюнків</w:t>
      </w:r>
      <w:r w:rsidR="00A004B3" w:rsidRPr="001416ED">
        <w:rPr>
          <w:lang w:val="uk-UA"/>
        </w:rPr>
        <w:t xml:space="preserve"> </w:t>
      </w:r>
      <w:r w:rsidRPr="001416ED">
        <w:rPr>
          <w:lang w:val="uk-UA"/>
        </w:rPr>
        <w:t xml:space="preserve">у чоловіків з ГХ різної </w:t>
      </w:r>
      <w:r w:rsidR="00046A18" w:rsidRPr="001416ED">
        <w:rPr>
          <w:lang w:val="uk-UA"/>
        </w:rPr>
        <w:t>стадії</w:t>
      </w:r>
      <w:r w:rsidRPr="001416ED">
        <w:rPr>
          <w:lang w:val="uk-UA"/>
        </w:rPr>
        <w:t xml:space="preserve"> не знайдено.</w:t>
      </w:r>
      <w:r w:rsidR="00A004B3" w:rsidRPr="001416ED">
        <w:rPr>
          <w:lang w:val="uk-UA"/>
        </w:rPr>
        <w:t xml:space="preserve"> </w:t>
      </w:r>
      <w:r w:rsidRPr="001416ED">
        <w:rPr>
          <w:lang w:val="uk-UA"/>
        </w:rPr>
        <w:t xml:space="preserve">Для </w:t>
      </w:r>
      <w:r w:rsidR="00A004B3" w:rsidRPr="001416ED">
        <w:rPr>
          <w:lang w:val="uk-UA"/>
        </w:rPr>
        <w:t>скринінгової діагностики можливо</w:t>
      </w:r>
      <w:r w:rsidR="004E0892" w:rsidRPr="001416ED">
        <w:rPr>
          <w:lang w:val="uk-UA"/>
        </w:rPr>
        <w:t xml:space="preserve">сті захворіти на </w:t>
      </w:r>
      <w:r w:rsidR="00372472" w:rsidRPr="001416ED">
        <w:rPr>
          <w:lang w:val="uk-UA"/>
        </w:rPr>
        <w:t xml:space="preserve">ГХ різної стадії </w:t>
      </w:r>
      <w:r w:rsidR="004E0892" w:rsidRPr="001416ED">
        <w:rPr>
          <w:lang w:val="uk-UA"/>
        </w:rPr>
        <w:t xml:space="preserve">у осіб чоловічої статі, </w:t>
      </w:r>
      <w:r w:rsidRPr="001416ED">
        <w:rPr>
          <w:lang w:val="uk-UA"/>
        </w:rPr>
        <w:t xml:space="preserve">носійства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у осіб чоловічої статі, що мають ГХ </w:t>
      </w:r>
      <w:r w:rsidR="00895E23" w:rsidRPr="001416ED">
        <w:rPr>
          <w:lang w:val="uk-UA"/>
        </w:rPr>
        <w:t xml:space="preserve">ІІ ст. </w:t>
      </w:r>
      <w:r w:rsidRPr="001416ED">
        <w:rPr>
          <w:lang w:val="uk-UA"/>
        </w:rPr>
        <w:t>розроблені формули</w:t>
      </w:r>
      <w:r w:rsidR="00BE3207" w:rsidRPr="001416ED">
        <w:rPr>
          <w:lang w:val="uk-UA"/>
        </w:rPr>
        <w:t>,</w:t>
      </w:r>
      <w:r w:rsidR="004E0892" w:rsidRPr="001416ED">
        <w:rPr>
          <w:lang w:val="uk-UA"/>
        </w:rPr>
        <w:t xml:space="preserve"> та межові рівні ЕТ</w:t>
      </w:r>
      <w:r w:rsidR="00BC0119" w:rsidRPr="001416ED">
        <w:rPr>
          <w:lang w:val="uk-UA"/>
        </w:rPr>
        <w:t>–</w:t>
      </w:r>
      <w:r w:rsidR="004E0892" w:rsidRPr="001416ED">
        <w:rPr>
          <w:lang w:val="uk-UA"/>
        </w:rPr>
        <w:t>1</w:t>
      </w:r>
      <w:r w:rsidR="00895E23" w:rsidRPr="001416ED">
        <w:rPr>
          <w:lang w:val="uk-UA"/>
        </w:rPr>
        <w:t>,</w:t>
      </w:r>
      <w:r w:rsidR="00BE3207" w:rsidRPr="001416ED">
        <w:rPr>
          <w:lang w:val="uk-UA"/>
        </w:rPr>
        <w:t xml:space="preserve"> які дадуть можливість обстежувати великі контингенти осіб, які підлягатимуть подальшому більш детальному дообстежен</w:t>
      </w:r>
      <w:r w:rsidR="004E0892" w:rsidRPr="001416ED">
        <w:rPr>
          <w:lang w:val="uk-UA"/>
        </w:rPr>
        <w:t>н</w:t>
      </w:r>
      <w:r w:rsidR="00BE3207" w:rsidRPr="001416ED">
        <w:rPr>
          <w:lang w:val="uk-UA"/>
        </w:rPr>
        <w:t>ю</w:t>
      </w:r>
      <w:r w:rsidR="00A004B3" w:rsidRPr="001416ED">
        <w:rPr>
          <w:lang w:val="uk-UA"/>
        </w:rPr>
        <w:t>.</w:t>
      </w:r>
    </w:p>
    <w:p w:rsidR="002437E2" w:rsidRPr="001416ED" w:rsidRDefault="002437E2" w:rsidP="00BC61C3">
      <w:pPr>
        <w:spacing w:line="360" w:lineRule="auto"/>
        <w:ind w:firstLine="708"/>
        <w:jc w:val="both"/>
        <w:rPr>
          <w:lang w:val="uk-UA"/>
        </w:rPr>
      </w:pPr>
    </w:p>
    <w:p w:rsidR="002437E2" w:rsidRPr="001416ED" w:rsidRDefault="002437E2" w:rsidP="00BC61C3">
      <w:pPr>
        <w:spacing w:line="360" w:lineRule="auto"/>
        <w:ind w:firstLine="708"/>
        <w:jc w:val="both"/>
        <w:rPr>
          <w:lang w:val="uk-UA"/>
        </w:rPr>
      </w:pPr>
    </w:p>
    <w:p w:rsidR="002437E2" w:rsidRPr="001416ED" w:rsidRDefault="002437E2" w:rsidP="00BC61C3">
      <w:pPr>
        <w:spacing w:line="360" w:lineRule="auto"/>
        <w:ind w:firstLine="708"/>
        <w:jc w:val="both"/>
        <w:rPr>
          <w:lang w:val="uk-UA"/>
        </w:rPr>
      </w:pPr>
    </w:p>
    <w:p w:rsidR="007369EC" w:rsidRPr="001416ED" w:rsidRDefault="007369EC" w:rsidP="00BC61C3">
      <w:pPr>
        <w:spacing w:line="360" w:lineRule="auto"/>
        <w:ind w:firstLine="708"/>
        <w:jc w:val="both"/>
        <w:rPr>
          <w:lang w:val="uk-UA"/>
        </w:rPr>
      </w:pPr>
    </w:p>
    <w:p w:rsidR="007369EC" w:rsidRPr="001416ED" w:rsidRDefault="007369EC" w:rsidP="00BC61C3">
      <w:pPr>
        <w:spacing w:line="360" w:lineRule="auto"/>
        <w:ind w:firstLine="708"/>
        <w:jc w:val="both"/>
        <w:rPr>
          <w:lang w:val="uk-UA"/>
        </w:rPr>
      </w:pPr>
    </w:p>
    <w:p w:rsidR="007369EC" w:rsidRPr="001416ED" w:rsidRDefault="007369EC" w:rsidP="00BC61C3">
      <w:pPr>
        <w:spacing w:line="360" w:lineRule="auto"/>
        <w:ind w:firstLine="708"/>
        <w:jc w:val="both"/>
        <w:rPr>
          <w:lang w:val="uk-UA"/>
        </w:rPr>
      </w:pPr>
    </w:p>
    <w:p w:rsidR="002437E2" w:rsidRPr="001416ED" w:rsidRDefault="002437E2" w:rsidP="00BC61C3">
      <w:pPr>
        <w:spacing w:line="360" w:lineRule="auto"/>
        <w:ind w:firstLine="708"/>
        <w:jc w:val="both"/>
        <w:rPr>
          <w:lang w:val="uk-UA"/>
        </w:rPr>
      </w:pPr>
    </w:p>
    <w:p w:rsidR="00D53FB9" w:rsidRPr="001416ED" w:rsidRDefault="00D53FB9" w:rsidP="00BC61C3">
      <w:pPr>
        <w:spacing w:line="360" w:lineRule="auto"/>
        <w:ind w:firstLine="708"/>
        <w:jc w:val="both"/>
        <w:rPr>
          <w:lang w:val="uk-UA"/>
        </w:rPr>
      </w:pPr>
    </w:p>
    <w:p w:rsidR="00D53FB9" w:rsidRPr="001416ED" w:rsidRDefault="00D53FB9" w:rsidP="00BC61C3">
      <w:pPr>
        <w:spacing w:line="360" w:lineRule="auto"/>
        <w:ind w:firstLine="708"/>
        <w:jc w:val="both"/>
        <w:rPr>
          <w:lang w:val="uk-UA"/>
        </w:rPr>
      </w:pPr>
    </w:p>
    <w:p w:rsidR="00D53FB9" w:rsidRPr="001416ED" w:rsidRDefault="00D53FB9" w:rsidP="00BC61C3">
      <w:pPr>
        <w:spacing w:line="360" w:lineRule="auto"/>
        <w:ind w:firstLine="708"/>
        <w:jc w:val="both"/>
        <w:rPr>
          <w:lang w:val="uk-UA"/>
        </w:rPr>
      </w:pPr>
    </w:p>
    <w:p w:rsidR="00382A19" w:rsidRPr="001416ED" w:rsidRDefault="008469B6" w:rsidP="00C71AD2">
      <w:pPr>
        <w:spacing w:line="360" w:lineRule="auto"/>
        <w:ind w:firstLine="709"/>
        <w:jc w:val="both"/>
        <w:rPr>
          <w:rFonts w:eastAsiaTheme="minorHAnsi"/>
          <w:b/>
          <w:kern w:val="11"/>
          <w:lang w:val="uk-UA" w:eastAsia="en-US"/>
        </w:rPr>
      </w:pPr>
      <w:r w:rsidRPr="001416ED">
        <w:rPr>
          <w:rFonts w:eastAsiaTheme="minorHAnsi"/>
          <w:b/>
          <w:kern w:val="11"/>
          <w:lang w:val="uk-UA" w:eastAsia="en-US"/>
        </w:rPr>
        <w:lastRenderedPageBreak/>
        <w:t>Основні положення розділу відображені у публікаціях:</w:t>
      </w:r>
    </w:p>
    <w:p w:rsidR="00070555" w:rsidRPr="001416ED" w:rsidRDefault="00070555" w:rsidP="0012229A">
      <w:pPr>
        <w:pStyle w:val="ae"/>
        <w:numPr>
          <w:ilvl w:val="0"/>
          <w:numId w:val="8"/>
        </w:numPr>
        <w:suppressAutoHyphens w:val="0"/>
        <w:spacing w:line="360" w:lineRule="auto"/>
        <w:ind w:left="426" w:hanging="426"/>
        <w:jc w:val="both"/>
        <w:rPr>
          <w:color w:val="auto"/>
          <w:sz w:val="28"/>
          <w:szCs w:val="28"/>
          <w:lang w:val="uk-UA"/>
        </w:rPr>
      </w:pPr>
      <w:r w:rsidRPr="001416ED">
        <w:rPr>
          <w:rFonts w:eastAsia="Calibri"/>
          <w:color w:val="auto"/>
          <w:sz w:val="28"/>
          <w:szCs w:val="28"/>
          <w:lang w:val="uk-UA"/>
        </w:rPr>
        <w:t>Пашкова Ю.П. “Нове” – “Старе” у скринінговій діагностиці артеріальної гіпертензії / Ю. П. Пашкова, В. М. Жебель, Г. О. Вуколова // Матеріали науково – практичної конференції з міжнародною участю «Міждисциплінарні аспекти цукрового діабету». – Харків, 11 вересня 2014. – С.107-108.</w:t>
      </w:r>
    </w:p>
    <w:p w:rsidR="00A91BA4" w:rsidRPr="001416ED" w:rsidRDefault="00A91BA4" w:rsidP="0012229A">
      <w:pPr>
        <w:pStyle w:val="ae"/>
        <w:numPr>
          <w:ilvl w:val="0"/>
          <w:numId w:val="8"/>
        </w:numPr>
        <w:spacing w:line="360" w:lineRule="auto"/>
        <w:ind w:left="426" w:hanging="426"/>
        <w:jc w:val="both"/>
        <w:rPr>
          <w:rFonts w:eastAsiaTheme="minorHAnsi"/>
          <w:color w:val="auto"/>
          <w:kern w:val="11"/>
          <w:sz w:val="28"/>
          <w:szCs w:val="28"/>
          <w:lang w:val="uk-UA" w:eastAsia="en-US"/>
        </w:rPr>
      </w:pPr>
      <w:r w:rsidRPr="001416ED">
        <w:rPr>
          <w:rFonts w:eastAsiaTheme="minorHAnsi"/>
          <w:color w:val="auto"/>
          <w:kern w:val="11"/>
          <w:sz w:val="28"/>
          <w:szCs w:val="28"/>
          <w:lang w:val="uk-UA" w:eastAsia="en-US"/>
        </w:rPr>
        <w:t>Палагнюк</w:t>
      </w:r>
      <w:r w:rsidR="002745B0" w:rsidRPr="001416ED">
        <w:rPr>
          <w:rFonts w:eastAsiaTheme="minorHAnsi"/>
          <w:color w:val="auto"/>
          <w:kern w:val="11"/>
          <w:sz w:val="28"/>
          <w:szCs w:val="28"/>
          <w:lang w:val="uk-UA" w:eastAsia="en-US"/>
        </w:rPr>
        <w:t xml:space="preserve"> Г. О.</w:t>
      </w:r>
      <w:r w:rsidRPr="001416ED">
        <w:rPr>
          <w:rFonts w:eastAsiaTheme="minorHAnsi"/>
          <w:color w:val="auto"/>
          <w:kern w:val="11"/>
          <w:sz w:val="28"/>
          <w:szCs w:val="28"/>
          <w:lang w:val="uk-UA" w:eastAsia="en-US"/>
        </w:rPr>
        <w:t xml:space="preserve"> Спосіб прогнозування ризику розвитку неускладненої гіпертонічної хвороби у чоловіків віком 40-60 років / Г. О. Палагнюк, Ю. П. Пашкова, В. О. Ружанська, В. М. Жебель // Матеріали </w:t>
      </w:r>
      <w:r w:rsidRPr="001416ED">
        <w:rPr>
          <w:color w:val="auto"/>
          <w:sz w:val="28"/>
          <w:szCs w:val="28"/>
          <w:lang w:val="uk-UA"/>
        </w:rPr>
        <w:t>науково-практичної конференції «Стандарти діагностики та лікування в клініці внутрішніх хвороб». – Вінниця, 15-16 квітня 2015. – С. 56-57</w:t>
      </w:r>
      <w:r w:rsidR="002C5F19" w:rsidRPr="001416ED">
        <w:rPr>
          <w:color w:val="auto"/>
          <w:sz w:val="28"/>
          <w:szCs w:val="28"/>
          <w:lang w:val="uk-UA"/>
        </w:rPr>
        <w:t>.</w:t>
      </w:r>
    </w:p>
    <w:p w:rsidR="00382A19" w:rsidRPr="001416ED" w:rsidRDefault="00FB29A1" w:rsidP="0012229A">
      <w:pPr>
        <w:pStyle w:val="ae"/>
        <w:numPr>
          <w:ilvl w:val="0"/>
          <w:numId w:val="8"/>
        </w:numPr>
        <w:spacing w:line="360" w:lineRule="auto"/>
        <w:ind w:left="426" w:hanging="567"/>
        <w:jc w:val="both"/>
        <w:rPr>
          <w:rFonts w:eastAsiaTheme="minorHAnsi"/>
          <w:color w:val="auto"/>
          <w:kern w:val="11"/>
          <w:sz w:val="28"/>
          <w:szCs w:val="28"/>
          <w:lang w:val="uk-UA" w:eastAsia="en-US"/>
        </w:rPr>
      </w:pPr>
      <w:r w:rsidRPr="001416ED">
        <w:rPr>
          <w:rFonts w:eastAsiaTheme="minorHAnsi"/>
          <w:color w:val="auto"/>
          <w:kern w:val="11"/>
          <w:sz w:val="28"/>
          <w:szCs w:val="28"/>
          <w:lang w:val="uk-UA" w:eastAsia="en-US"/>
        </w:rPr>
        <w:t>Palahniuk H. O. Gene polymorphism of ЕT</w:t>
      </w:r>
      <w:r w:rsidR="00BC0119" w:rsidRPr="001416ED">
        <w:rPr>
          <w:rFonts w:eastAsiaTheme="minorHAnsi"/>
          <w:color w:val="auto"/>
          <w:kern w:val="11"/>
          <w:sz w:val="28"/>
          <w:szCs w:val="28"/>
          <w:lang w:val="uk-UA" w:eastAsia="en-US"/>
        </w:rPr>
        <w:t>–</w:t>
      </w:r>
      <w:r w:rsidRPr="001416ED">
        <w:rPr>
          <w:rFonts w:eastAsiaTheme="minorHAnsi"/>
          <w:color w:val="auto"/>
          <w:kern w:val="11"/>
          <w:sz w:val="28"/>
          <w:szCs w:val="28"/>
          <w:lang w:val="uk-UA" w:eastAsia="en-US"/>
        </w:rPr>
        <w:t xml:space="preserve">1 and its plasma levels in men with uncomplicated essential hypertension and left ventricular hypertrophy </w:t>
      </w:r>
      <w:r w:rsidR="00BC07CC" w:rsidRPr="001416ED">
        <w:rPr>
          <w:rFonts w:eastAsiaTheme="minorHAnsi"/>
          <w:color w:val="auto"/>
          <w:kern w:val="11"/>
          <w:sz w:val="28"/>
          <w:szCs w:val="28"/>
          <w:lang w:val="uk-UA" w:eastAsia="en-US"/>
        </w:rPr>
        <w:t>/ H.O. Palahniuk, I.I. Pashkova</w:t>
      </w:r>
      <w:r w:rsidRPr="001416ED">
        <w:rPr>
          <w:rFonts w:eastAsiaTheme="minorHAnsi"/>
          <w:color w:val="auto"/>
          <w:kern w:val="11"/>
          <w:sz w:val="28"/>
          <w:szCs w:val="28"/>
          <w:lang w:val="uk-UA" w:eastAsia="en-US"/>
        </w:rPr>
        <w:t xml:space="preserve"> [et al.] // Biological Markers and Guided Therapy. – 2016. </w:t>
      </w:r>
      <w:r w:rsidR="00BC0119" w:rsidRPr="001416ED">
        <w:rPr>
          <w:rFonts w:eastAsiaTheme="minorHAnsi"/>
          <w:color w:val="auto"/>
          <w:kern w:val="11"/>
          <w:sz w:val="28"/>
          <w:szCs w:val="28"/>
          <w:lang w:val="uk-UA" w:eastAsia="en-US"/>
        </w:rPr>
        <w:t>–</w:t>
      </w:r>
      <w:r w:rsidRPr="001416ED">
        <w:rPr>
          <w:rFonts w:eastAsiaTheme="minorHAnsi"/>
          <w:color w:val="auto"/>
          <w:kern w:val="11"/>
          <w:sz w:val="28"/>
          <w:szCs w:val="28"/>
          <w:lang w:val="uk-UA" w:eastAsia="en-US"/>
        </w:rPr>
        <w:t xml:space="preserve">  Vol. 3. </w:t>
      </w:r>
      <w:r w:rsidR="00BC0119" w:rsidRPr="001416ED">
        <w:rPr>
          <w:rFonts w:eastAsiaTheme="minorHAnsi"/>
          <w:color w:val="auto"/>
          <w:kern w:val="11"/>
          <w:sz w:val="28"/>
          <w:szCs w:val="28"/>
          <w:lang w:val="uk-UA" w:eastAsia="en-US"/>
        </w:rPr>
        <w:t>–</w:t>
      </w:r>
      <w:r w:rsidRPr="001416ED">
        <w:rPr>
          <w:rFonts w:eastAsiaTheme="minorHAnsi"/>
          <w:color w:val="auto"/>
          <w:kern w:val="11"/>
          <w:sz w:val="28"/>
          <w:szCs w:val="28"/>
          <w:lang w:val="uk-UA" w:eastAsia="en-US"/>
        </w:rPr>
        <w:t xml:space="preserve"> P. 45</w:t>
      </w:r>
      <w:r w:rsidR="00BC0119" w:rsidRPr="001416ED">
        <w:rPr>
          <w:rFonts w:eastAsiaTheme="minorHAnsi"/>
          <w:color w:val="auto"/>
          <w:kern w:val="11"/>
          <w:sz w:val="28"/>
          <w:szCs w:val="28"/>
          <w:lang w:val="uk-UA" w:eastAsia="en-US"/>
        </w:rPr>
        <w:t>–</w:t>
      </w:r>
      <w:r w:rsidR="002C5F19" w:rsidRPr="001416ED">
        <w:rPr>
          <w:rFonts w:eastAsiaTheme="minorHAnsi"/>
          <w:color w:val="auto"/>
          <w:kern w:val="11"/>
          <w:sz w:val="28"/>
          <w:szCs w:val="28"/>
          <w:lang w:val="uk-UA" w:eastAsia="en-US"/>
        </w:rPr>
        <w:t>56.</w:t>
      </w:r>
    </w:p>
    <w:p w:rsidR="00CF45B8" w:rsidRPr="001416ED" w:rsidRDefault="00CF45B8" w:rsidP="0012229A">
      <w:pPr>
        <w:pStyle w:val="ae"/>
        <w:numPr>
          <w:ilvl w:val="0"/>
          <w:numId w:val="8"/>
        </w:numPr>
        <w:spacing w:line="360" w:lineRule="auto"/>
        <w:ind w:left="426" w:hanging="426"/>
        <w:jc w:val="both"/>
        <w:rPr>
          <w:color w:val="auto"/>
          <w:sz w:val="28"/>
          <w:szCs w:val="28"/>
          <w:lang w:val="uk-UA"/>
        </w:rPr>
      </w:pPr>
      <w:r w:rsidRPr="001416ED">
        <w:rPr>
          <w:color w:val="auto"/>
          <w:sz w:val="28"/>
          <w:szCs w:val="28"/>
        </w:rPr>
        <w:t xml:space="preserve">Gumeniuk A. F. Plasma levels of endothelin–1 and C–natriuretic peptide in men with essential hypertension in carriers of different genotypes of the ET–1 gene / A. F. Gumeniuk, </w:t>
      </w:r>
      <w:r w:rsidRPr="001416ED">
        <w:rPr>
          <w:color w:val="auto"/>
          <w:sz w:val="28"/>
          <w:szCs w:val="28"/>
          <w:lang w:val="uk-UA"/>
        </w:rPr>
        <w:t>H.</w:t>
      </w:r>
      <w:r w:rsidRPr="001416ED">
        <w:rPr>
          <w:color w:val="auto"/>
          <w:sz w:val="28"/>
          <w:szCs w:val="28"/>
        </w:rPr>
        <w:t xml:space="preserve"> </w:t>
      </w:r>
      <w:r w:rsidRPr="001416ED">
        <w:rPr>
          <w:color w:val="auto"/>
          <w:sz w:val="28"/>
          <w:szCs w:val="28"/>
          <w:lang w:val="uk-UA"/>
        </w:rPr>
        <w:t>O. Palahniuk</w:t>
      </w:r>
      <w:r w:rsidRPr="001416ED">
        <w:rPr>
          <w:color w:val="auto"/>
          <w:sz w:val="28"/>
          <w:szCs w:val="28"/>
        </w:rPr>
        <w:t>,</w:t>
      </w:r>
      <w:r w:rsidRPr="001416ED">
        <w:rPr>
          <w:color w:val="auto"/>
          <w:sz w:val="28"/>
          <w:szCs w:val="28"/>
          <w:lang w:val="uk-UA"/>
        </w:rPr>
        <w:t xml:space="preserve"> V.</w:t>
      </w:r>
      <w:r w:rsidRPr="001416ED">
        <w:rPr>
          <w:color w:val="auto"/>
          <w:sz w:val="28"/>
          <w:szCs w:val="28"/>
        </w:rPr>
        <w:t xml:space="preserve"> </w:t>
      </w:r>
      <w:r w:rsidRPr="001416ED">
        <w:rPr>
          <w:color w:val="auto"/>
          <w:sz w:val="28"/>
          <w:szCs w:val="28"/>
          <w:lang w:val="uk-UA"/>
        </w:rPr>
        <w:t>M.  Zhebel [</w:t>
      </w:r>
      <w:r w:rsidRPr="001416ED">
        <w:rPr>
          <w:color w:val="auto"/>
          <w:sz w:val="28"/>
          <w:szCs w:val="28"/>
        </w:rPr>
        <w:t>et</w:t>
      </w:r>
      <w:r w:rsidRPr="001416ED">
        <w:rPr>
          <w:color w:val="auto"/>
          <w:sz w:val="28"/>
          <w:szCs w:val="28"/>
          <w:lang w:val="uk-UA"/>
        </w:rPr>
        <w:t xml:space="preserve"> </w:t>
      </w:r>
      <w:r w:rsidRPr="001416ED">
        <w:rPr>
          <w:color w:val="auto"/>
          <w:sz w:val="28"/>
          <w:szCs w:val="28"/>
        </w:rPr>
        <w:t>al</w:t>
      </w:r>
      <w:r w:rsidRPr="001416ED">
        <w:rPr>
          <w:color w:val="auto"/>
          <w:sz w:val="28"/>
          <w:szCs w:val="28"/>
          <w:lang w:val="uk-UA"/>
        </w:rPr>
        <w:t xml:space="preserve">.] // </w:t>
      </w:r>
      <w:r w:rsidRPr="001416ED">
        <w:rPr>
          <w:color w:val="auto"/>
          <w:sz w:val="28"/>
          <w:szCs w:val="28"/>
        </w:rPr>
        <w:t>M</w:t>
      </w:r>
      <w:r w:rsidRPr="001416ED">
        <w:rPr>
          <w:color w:val="auto"/>
          <w:sz w:val="28"/>
          <w:szCs w:val="28"/>
          <w:lang w:val="uk-UA"/>
        </w:rPr>
        <w:t xml:space="preserve">ateriały </w:t>
      </w:r>
      <w:r w:rsidRPr="001416ED">
        <w:rPr>
          <w:color w:val="auto"/>
          <w:sz w:val="28"/>
          <w:szCs w:val="28"/>
        </w:rPr>
        <w:t xml:space="preserve">IX </w:t>
      </w:r>
      <w:r w:rsidRPr="001416ED">
        <w:rPr>
          <w:bCs/>
          <w:color w:val="auto"/>
          <w:sz w:val="28"/>
          <w:szCs w:val="28"/>
        </w:rPr>
        <w:t>Kongres</w:t>
      </w:r>
      <w:r w:rsidRPr="001416ED">
        <w:rPr>
          <w:bCs/>
          <w:color w:val="auto"/>
          <w:sz w:val="28"/>
          <w:szCs w:val="28"/>
          <w:lang w:val="uk-UA"/>
        </w:rPr>
        <w:t xml:space="preserve"> </w:t>
      </w:r>
      <w:r w:rsidRPr="001416ED">
        <w:rPr>
          <w:bCs/>
          <w:color w:val="auto"/>
          <w:sz w:val="28"/>
          <w:szCs w:val="28"/>
        </w:rPr>
        <w:t>Polonii</w:t>
      </w:r>
      <w:r w:rsidRPr="001416ED">
        <w:rPr>
          <w:bCs/>
          <w:color w:val="auto"/>
          <w:sz w:val="28"/>
          <w:szCs w:val="28"/>
          <w:lang w:val="uk-UA"/>
        </w:rPr>
        <w:t xml:space="preserve"> </w:t>
      </w:r>
      <w:r w:rsidRPr="001416ED">
        <w:rPr>
          <w:bCs/>
          <w:color w:val="auto"/>
          <w:sz w:val="28"/>
          <w:szCs w:val="28"/>
        </w:rPr>
        <w:t>Medycznej</w:t>
      </w:r>
      <w:r w:rsidRPr="001416ED">
        <w:rPr>
          <w:bCs/>
          <w:color w:val="auto"/>
          <w:sz w:val="28"/>
          <w:szCs w:val="28"/>
          <w:lang w:val="uk-UA"/>
        </w:rPr>
        <w:t xml:space="preserve">, </w:t>
      </w:r>
      <w:r w:rsidRPr="001416ED">
        <w:rPr>
          <w:bCs/>
          <w:color w:val="auto"/>
          <w:sz w:val="28"/>
          <w:szCs w:val="28"/>
        </w:rPr>
        <w:t>II</w:t>
      </w:r>
      <w:r w:rsidRPr="001416ED">
        <w:rPr>
          <w:bCs/>
          <w:color w:val="auto"/>
          <w:sz w:val="28"/>
          <w:szCs w:val="28"/>
          <w:lang w:val="uk-UA"/>
        </w:rPr>
        <w:t xml:space="preserve"> </w:t>
      </w:r>
      <w:r w:rsidRPr="001416ED">
        <w:rPr>
          <w:bCs/>
          <w:color w:val="auto"/>
          <w:sz w:val="28"/>
          <w:szCs w:val="28"/>
        </w:rPr>
        <w:t>Swiatowy</w:t>
      </w:r>
      <w:r w:rsidRPr="001416ED">
        <w:rPr>
          <w:bCs/>
          <w:color w:val="auto"/>
          <w:sz w:val="28"/>
          <w:szCs w:val="28"/>
          <w:lang w:val="uk-UA"/>
        </w:rPr>
        <w:t xml:space="preserve"> </w:t>
      </w:r>
      <w:r w:rsidRPr="001416ED">
        <w:rPr>
          <w:bCs/>
          <w:color w:val="auto"/>
          <w:sz w:val="28"/>
          <w:szCs w:val="28"/>
        </w:rPr>
        <w:t>Zjazd</w:t>
      </w:r>
      <w:r w:rsidRPr="001416ED">
        <w:rPr>
          <w:bCs/>
          <w:color w:val="auto"/>
          <w:sz w:val="28"/>
          <w:szCs w:val="28"/>
          <w:lang w:val="uk-UA"/>
        </w:rPr>
        <w:t xml:space="preserve"> </w:t>
      </w:r>
      <w:r w:rsidRPr="001416ED">
        <w:rPr>
          <w:bCs/>
          <w:color w:val="auto"/>
          <w:sz w:val="28"/>
          <w:szCs w:val="28"/>
        </w:rPr>
        <w:t>Lekarzy</w:t>
      </w:r>
      <w:r w:rsidRPr="001416ED">
        <w:rPr>
          <w:bCs/>
          <w:color w:val="auto"/>
          <w:sz w:val="28"/>
          <w:szCs w:val="28"/>
          <w:lang w:val="uk-UA"/>
        </w:rPr>
        <w:t xml:space="preserve"> </w:t>
      </w:r>
      <w:r w:rsidRPr="001416ED">
        <w:rPr>
          <w:bCs/>
          <w:color w:val="auto"/>
          <w:sz w:val="28"/>
          <w:szCs w:val="28"/>
        </w:rPr>
        <w:t>Polskich,</w:t>
      </w:r>
      <w:r w:rsidRPr="001416ED">
        <w:rPr>
          <w:color w:val="auto"/>
          <w:sz w:val="28"/>
          <w:szCs w:val="28"/>
        </w:rPr>
        <w:t xml:space="preserve"> Wiadomosci</w:t>
      </w:r>
      <w:r w:rsidRPr="001416ED">
        <w:rPr>
          <w:color w:val="auto"/>
          <w:sz w:val="28"/>
          <w:szCs w:val="28"/>
          <w:lang w:val="uk-UA"/>
        </w:rPr>
        <w:t xml:space="preserve"> </w:t>
      </w:r>
      <w:r w:rsidRPr="001416ED">
        <w:rPr>
          <w:color w:val="auto"/>
          <w:sz w:val="28"/>
          <w:szCs w:val="28"/>
        </w:rPr>
        <w:t>lekarskie</w:t>
      </w:r>
      <w:r w:rsidRPr="001416ED">
        <w:rPr>
          <w:color w:val="auto"/>
          <w:sz w:val="28"/>
          <w:szCs w:val="28"/>
          <w:lang w:val="uk-UA"/>
        </w:rPr>
        <w:t xml:space="preserve">. – 2016. – </w:t>
      </w:r>
      <w:r w:rsidRPr="001416ED">
        <w:rPr>
          <w:color w:val="auto"/>
          <w:sz w:val="28"/>
          <w:szCs w:val="28"/>
        </w:rPr>
        <w:t>Vol</w:t>
      </w:r>
      <w:r w:rsidRPr="001416ED">
        <w:rPr>
          <w:color w:val="auto"/>
          <w:sz w:val="28"/>
          <w:szCs w:val="28"/>
          <w:lang w:val="uk-UA"/>
        </w:rPr>
        <w:t xml:space="preserve">. 3(1). – </w:t>
      </w:r>
      <w:r w:rsidRPr="001416ED">
        <w:rPr>
          <w:color w:val="auto"/>
          <w:sz w:val="28"/>
          <w:szCs w:val="28"/>
        </w:rPr>
        <w:t>P</w:t>
      </w:r>
      <w:r w:rsidRPr="001416ED">
        <w:rPr>
          <w:color w:val="auto"/>
          <w:sz w:val="28"/>
          <w:szCs w:val="28"/>
          <w:lang w:val="uk-UA"/>
        </w:rPr>
        <w:t xml:space="preserve">. 370. </w:t>
      </w:r>
    </w:p>
    <w:p w:rsidR="002C5F19" w:rsidRPr="001416ED" w:rsidRDefault="00CF45B8" w:rsidP="0012229A">
      <w:pPr>
        <w:pStyle w:val="ae"/>
        <w:numPr>
          <w:ilvl w:val="0"/>
          <w:numId w:val="8"/>
        </w:numPr>
        <w:spacing w:line="360" w:lineRule="auto"/>
        <w:ind w:left="426" w:hanging="426"/>
        <w:jc w:val="both"/>
        <w:rPr>
          <w:rFonts w:eastAsiaTheme="minorHAnsi"/>
          <w:color w:val="auto"/>
          <w:kern w:val="11"/>
          <w:sz w:val="28"/>
          <w:szCs w:val="28"/>
          <w:lang w:val="uk-UA" w:eastAsia="en-US"/>
        </w:rPr>
      </w:pPr>
      <w:r w:rsidRPr="001416ED">
        <w:rPr>
          <w:rFonts w:eastAsiaTheme="minorHAnsi"/>
          <w:color w:val="auto"/>
          <w:kern w:val="11"/>
          <w:sz w:val="28"/>
          <w:szCs w:val="28"/>
          <w:lang w:val="uk-UA" w:eastAsia="en-US"/>
        </w:rPr>
        <w:t xml:space="preserve">Пат. 112124 Україна, МПК </w:t>
      </w:r>
      <w:r w:rsidRPr="001416ED">
        <w:rPr>
          <w:rFonts w:eastAsiaTheme="minorHAnsi"/>
          <w:color w:val="auto"/>
          <w:kern w:val="11"/>
          <w:sz w:val="28"/>
          <w:szCs w:val="28"/>
          <w:lang w:eastAsia="en-US"/>
        </w:rPr>
        <w:t>A</w:t>
      </w:r>
      <w:r w:rsidRPr="001416ED">
        <w:rPr>
          <w:rFonts w:eastAsiaTheme="minorHAnsi"/>
          <w:color w:val="auto"/>
          <w:kern w:val="11"/>
          <w:sz w:val="28"/>
          <w:szCs w:val="28"/>
          <w:lang w:val="uk-UA" w:eastAsia="en-US"/>
        </w:rPr>
        <w:t>61</w:t>
      </w:r>
      <w:r w:rsidRPr="001416ED">
        <w:rPr>
          <w:rFonts w:eastAsiaTheme="minorHAnsi"/>
          <w:color w:val="auto"/>
          <w:kern w:val="11"/>
          <w:sz w:val="28"/>
          <w:szCs w:val="28"/>
          <w:lang w:eastAsia="en-US"/>
        </w:rPr>
        <w:t>B</w:t>
      </w:r>
      <w:r w:rsidRPr="001416ED">
        <w:rPr>
          <w:rFonts w:eastAsiaTheme="minorHAnsi"/>
          <w:color w:val="auto"/>
          <w:kern w:val="11"/>
          <w:sz w:val="28"/>
          <w:szCs w:val="28"/>
          <w:lang w:val="uk-UA" w:eastAsia="en-US"/>
        </w:rPr>
        <w:t xml:space="preserve"> 5/107 (2006.01). Спосіб прогнозування ризику розвитку неускладненої гіпертонічної хвороби у чоловіків віком 40-60 років / Палагнюк Г. О., Жебель В. М., Антомонов М. Ю., Старжинська О. Л., Ружанська В. О., Пашкова Ю. П., Майко О. В., Антонюк Я. О.; заявник та власник Вінницький національний медичний університет ім. М.І. Пирогова. - №а201500796; заявл. 02.02.</w:t>
      </w:r>
      <w:r w:rsidR="002C5F19" w:rsidRPr="001416ED">
        <w:rPr>
          <w:rFonts w:eastAsiaTheme="minorHAnsi"/>
          <w:color w:val="auto"/>
          <w:kern w:val="11"/>
          <w:sz w:val="28"/>
          <w:szCs w:val="28"/>
          <w:lang w:val="uk-UA" w:eastAsia="en-US"/>
        </w:rPr>
        <w:t xml:space="preserve">15; опубл. 25.07.16, Бюл. №14. </w:t>
      </w:r>
    </w:p>
    <w:p w:rsidR="00CF45B8" w:rsidRPr="001416ED" w:rsidRDefault="00CF45B8" w:rsidP="0012229A">
      <w:pPr>
        <w:pStyle w:val="ae"/>
        <w:numPr>
          <w:ilvl w:val="0"/>
          <w:numId w:val="8"/>
        </w:numPr>
        <w:spacing w:line="360" w:lineRule="auto"/>
        <w:ind w:left="426" w:hanging="426"/>
        <w:jc w:val="both"/>
        <w:rPr>
          <w:rFonts w:eastAsiaTheme="minorHAnsi"/>
          <w:color w:val="auto"/>
          <w:kern w:val="11"/>
          <w:sz w:val="28"/>
          <w:szCs w:val="28"/>
          <w:lang w:val="uk-UA" w:eastAsia="en-US"/>
        </w:rPr>
      </w:pPr>
      <w:r w:rsidRPr="001416ED">
        <w:rPr>
          <w:rFonts w:eastAsiaTheme="minorHAnsi"/>
          <w:color w:val="auto"/>
          <w:kern w:val="11"/>
          <w:sz w:val="28"/>
          <w:szCs w:val="28"/>
          <w:lang w:val="uk-UA" w:eastAsia="en-US"/>
        </w:rPr>
        <w:t xml:space="preserve">Пат. 112123 Україна,  А61В 5/107 (2006.01). Спосіб прогнозування ризику розвитку хронічної серцевої недостатності на тлі гіпертонічної хвороби у чоловіків 40-60 років / Пашкова Ю. П., Жебель В. М., Антомонов М. Ю., Сакович О. О., Старжинська О. Л., Жебель Н. В., Палагнюк Г. О., Сивак В. Г.; </w:t>
      </w:r>
      <w:r w:rsidRPr="001416ED">
        <w:rPr>
          <w:rFonts w:eastAsiaTheme="minorHAnsi"/>
          <w:color w:val="auto"/>
          <w:kern w:val="11"/>
          <w:sz w:val="28"/>
          <w:szCs w:val="28"/>
          <w:lang w:val="uk-UA" w:eastAsia="en-US"/>
        </w:rPr>
        <w:lastRenderedPageBreak/>
        <w:t xml:space="preserve">заявник та власник Вінницький національний медичний університет ім. М.І. Пирогова. - № а201500795; заявл. 02.02.15; опубл. 25.07.16, Бюл. № 14. </w:t>
      </w:r>
    </w:p>
    <w:p w:rsidR="002C5F19" w:rsidRPr="001416ED" w:rsidRDefault="00184A9D" w:rsidP="0012229A">
      <w:pPr>
        <w:pStyle w:val="ae"/>
        <w:numPr>
          <w:ilvl w:val="0"/>
          <w:numId w:val="8"/>
        </w:numPr>
        <w:spacing w:line="360" w:lineRule="auto"/>
        <w:ind w:left="426" w:hanging="426"/>
        <w:jc w:val="both"/>
        <w:rPr>
          <w:color w:val="auto"/>
          <w:sz w:val="28"/>
          <w:szCs w:val="28"/>
          <w:lang w:val="uk-UA"/>
        </w:rPr>
      </w:pPr>
      <w:r w:rsidRPr="001416ED">
        <w:rPr>
          <w:color w:val="auto"/>
          <w:sz w:val="28"/>
          <w:szCs w:val="28"/>
          <w:lang w:val="uk-UA"/>
        </w:rPr>
        <w:t xml:space="preserve">Палагнюк Г. О. Співвідношення концентрацій ендотеліну-1 та С-натрійуретичного пептиду у чоловіків з гіпертонічною хворобою різної </w:t>
      </w:r>
      <w:r w:rsidR="00046A18" w:rsidRPr="001416ED">
        <w:rPr>
          <w:color w:val="auto"/>
          <w:sz w:val="28"/>
          <w:szCs w:val="28"/>
          <w:lang w:val="uk-UA"/>
        </w:rPr>
        <w:t>стадії</w:t>
      </w:r>
      <w:r w:rsidRPr="001416ED">
        <w:rPr>
          <w:color w:val="auto"/>
          <w:sz w:val="28"/>
          <w:szCs w:val="28"/>
          <w:lang w:val="uk-UA"/>
        </w:rPr>
        <w:t xml:space="preserve">. </w:t>
      </w:r>
      <w:r w:rsidRPr="001416ED">
        <w:rPr>
          <w:color w:val="auto"/>
          <w:sz w:val="28"/>
          <w:szCs w:val="28"/>
          <w:lang w:val="ru-RU"/>
        </w:rPr>
        <w:t>Регулююча роль поліморфізму гена ендотеліну-1 / Г. О. Палагнюк // Гали</w:t>
      </w:r>
      <w:r w:rsidR="009317D9" w:rsidRPr="001416ED">
        <w:rPr>
          <w:color w:val="auto"/>
          <w:sz w:val="28"/>
          <w:szCs w:val="28"/>
          <w:lang w:val="ru-RU"/>
        </w:rPr>
        <w:t xml:space="preserve">цький лікарський вісник. – </w:t>
      </w:r>
      <w:r w:rsidR="009317D9" w:rsidRPr="001416ED">
        <w:rPr>
          <w:color w:val="auto"/>
          <w:sz w:val="28"/>
          <w:szCs w:val="28"/>
          <w:lang w:val="uk-UA"/>
        </w:rPr>
        <w:t>2016. - №3, Ч.2 (Т. 23). – С. 94-98.</w:t>
      </w:r>
      <w:r w:rsidR="009317D9" w:rsidRPr="001416ED">
        <w:rPr>
          <w:color w:val="auto"/>
          <w:sz w:val="28"/>
          <w:szCs w:val="28"/>
          <w:lang w:val="ru-RU"/>
        </w:rPr>
        <w:t xml:space="preserve"> </w:t>
      </w:r>
    </w:p>
    <w:p w:rsidR="00184A9D" w:rsidRPr="001416ED" w:rsidRDefault="00184A9D" w:rsidP="0012229A">
      <w:pPr>
        <w:pStyle w:val="ae"/>
        <w:numPr>
          <w:ilvl w:val="0"/>
          <w:numId w:val="8"/>
        </w:numPr>
        <w:spacing w:line="360" w:lineRule="auto"/>
        <w:ind w:left="426" w:hanging="426"/>
        <w:jc w:val="both"/>
        <w:rPr>
          <w:color w:val="auto"/>
          <w:sz w:val="28"/>
          <w:szCs w:val="28"/>
          <w:lang w:val="uk-UA"/>
        </w:rPr>
      </w:pPr>
      <w:r w:rsidRPr="001416ED">
        <w:rPr>
          <w:color w:val="auto"/>
          <w:sz w:val="28"/>
          <w:szCs w:val="28"/>
          <w:lang w:val="uk-UA"/>
        </w:rPr>
        <w:t>Палагнюк Г. О. Спадково</w:t>
      </w:r>
      <w:r w:rsidR="00867791" w:rsidRPr="001416ED">
        <w:rPr>
          <w:color w:val="auto"/>
          <w:sz w:val="28"/>
          <w:szCs w:val="28"/>
          <w:lang w:val="uk-UA"/>
        </w:rPr>
        <w:t xml:space="preserve"> </w:t>
      </w:r>
      <w:r w:rsidRPr="001416ED">
        <w:rPr>
          <w:color w:val="auto"/>
          <w:sz w:val="28"/>
          <w:szCs w:val="28"/>
          <w:lang w:val="uk-UA"/>
        </w:rPr>
        <w:t xml:space="preserve">обумовлені особливості плазмової концентрації ендотеліну-1 у чоловіків з гіпертонічною хворобою та хронічною серцевою недостатністю / Г. О. Палагнюк, В. М. Жебель // </w:t>
      </w:r>
      <w:r w:rsidR="00184BBF" w:rsidRPr="001416ED">
        <w:rPr>
          <w:color w:val="auto"/>
          <w:sz w:val="28"/>
          <w:szCs w:val="28"/>
          <w:lang w:val="ru-RU"/>
        </w:rPr>
        <w:t>Актуальні питання фармацевтичної і медичної науки та практики</w:t>
      </w:r>
      <w:r w:rsidR="00184BBF" w:rsidRPr="001416ED">
        <w:rPr>
          <w:color w:val="auto"/>
          <w:sz w:val="28"/>
          <w:szCs w:val="28"/>
          <w:lang w:val="uk-UA"/>
        </w:rPr>
        <w:t>.</w:t>
      </w:r>
      <w:r w:rsidR="002A4CE7">
        <w:rPr>
          <w:color w:val="auto"/>
          <w:sz w:val="28"/>
          <w:szCs w:val="28"/>
          <w:lang w:val="uk-UA"/>
        </w:rPr>
        <w:t xml:space="preserve"> – 2016</w:t>
      </w:r>
      <w:r w:rsidR="004446A4" w:rsidRPr="001416ED">
        <w:rPr>
          <w:color w:val="auto"/>
          <w:sz w:val="28"/>
          <w:szCs w:val="28"/>
          <w:lang w:val="uk-UA"/>
        </w:rPr>
        <w:t>. - №3(22). – С. 80-86.</w:t>
      </w:r>
      <w:r w:rsidRPr="001416ED">
        <w:rPr>
          <w:color w:val="auto"/>
          <w:sz w:val="28"/>
          <w:szCs w:val="28"/>
          <w:lang w:val="uk-UA"/>
        </w:rPr>
        <w:t xml:space="preserve"> </w:t>
      </w:r>
    </w:p>
    <w:p w:rsidR="002C5F19" w:rsidRPr="001416ED" w:rsidRDefault="00883728" w:rsidP="0012229A">
      <w:pPr>
        <w:pStyle w:val="ae"/>
        <w:numPr>
          <w:ilvl w:val="0"/>
          <w:numId w:val="8"/>
        </w:numPr>
        <w:spacing w:line="360" w:lineRule="auto"/>
        <w:ind w:left="426" w:hanging="426"/>
        <w:jc w:val="both"/>
        <w:rPr>
          <w:color w:val="auto"/>
          <w:sz w:val="28"/>
          <w:szCs w:val="28"/>
          <w:lang w:val="uk-UA"/>
        </w:rPr>
      </w:pPr>
      <w:r w:rsidRPr="001416ED">
        <w:rPr>
          <w:color w:val="auto"/>
          <w:sz w:val="28"/>
          <w:szCs w:val="28"/>
          <w:lang w:val="uk-UA"/>
        </w:rPr>
        <w:t xml:space="preserve">Palahniuk H. The relationship between plasma endothelin-1 concentrations and ET-1 gene polymorphism in men with essential hypertension / </w:t>
      </w:r>
      <w:r w:rsidR="002745B0" w:rsidRPr="001416ED">
        <w:rPr>
          <w:color w:val="auto"/>
          <w:sz w:val="28"/>
          <w:szCs w:val="28"/>
          <w:lang w:val="uk-UA"/>
        </w:rPr>
        <w:t xml:space="preserve">H. Palahniuk // </w:t>
      </w:r>
      <w:r w:rsidRPr="001416ED">
        <w:rPr>
          <w:color w:val="auto"/>
          <w:sz w:val="28"/>
          <w:szCs w:val="28"/>
          <w:lang w:val="uk-UA"/>
        </w:rPr>
        <w:t>Journal of Hypertension: the 26th Scientific Meeting of the International Society of Hypertension (Seul, S</w:t>
      </w:r>
      <w:r w:rsidR="001F41A3" w:rsidRPr="001416ED">
        <w:rPr>
          <w:color w:val="auto"/>
          <w:sz w:val="28"/>
          <w:szCs w:val="28"/>
          <w:lang w:val="uk-UA"/>
        </w:rPr>
        <w:t xml:space="preserve">eptember 24-29 2016). - Vol.34 </w:t>
      </w:r>
      <w:r w:rsidRPr="001416ED">
        <w:rPr>
          <w:color w:val="auto"/>
          <w:sz w:val="28"/>
          <w:szCs w:val="28"/>
          <w:lang w:val="uk-UA"/>
        </w:rPr>
        <w:t>– Р.</w:t>
      </w:r>
      <w:r w:rsidR="00873DD6" w:rsidRPr="001416ED">
        <w:rPr>
          <w:color w:val="auto"/>
          <w:sz w:val="28"/>
          <w:szCs w:val="28"/>
          <w:lang w:val="uk-UA"/>
        </w:rPr>
        <w:t xml:space="preserve"> </w:t>
      </w:r>
      <w:r w:rsidRPr="001416ED">
        <w:rPr>
          <w:color w:val="auto"/>
          <w:sz w:val="28"/>
          <w:szCs w:val="28"/>
          <w:lang w:val="uk-UA"/>
        </w:rPr>
        <w:t>97</w:t>
      </w:r>
      <w:r w:rsidR="002C5F19" w:rsidRPr="001416ED">
        <w:rPr>
          <w:color w:val="auto"/>
          <w:sz w:val="28"/>
          <w:szCs w:val="28"/>
          <w:lang w:val="uk-UA"/>
        </w:rPr>
        <w:t>.</w:t>
      </w:r>
    </w:p>
    <w:p w:rsidR="00E31885" w:rsidRPr="001416ED" w:rsidRDefault="00E31885" w:rsidP="0012229A">
      <w:pPr>
        <w:pStyle w:val="ae"/>
        <w:numPr>
          <w:ilvl w:val="0"/>
          <w:numId w:val="8"/>
        </w:numPr>
        <w:spacing w:line="360" w:lineRule="auto"/>
        <w:ind w:left="426" w:hanging="426"/>
        <w:jc w:val="both"/>
        <w:rPr>
          <w:color w:val="auto"/>
          <w:sz w:val="28"/>
          <w:szCs w:val="28"/>
          <w:lang w:val="uk-UA"/>
        </w:rPr>
      </w:pPr>
      <w:r w:rsidRPr="001416ED">
        <w:rPr>
          <w:color w:val="auto"/>
          <w:sz w:val="28"/>
          <w:szCs w:val="28"/>
          <w:lang w:val="uk-UA"/>
        </w:rPr>
        <w:t xml:space="preserve">Палагнюк Г. О. Поліморфізм гена ЕТ-1 як фактор, що визначає його концентрацію в крові чоловіків, хворих на ессенціальну гіпертензію / Український кардіологічний журнал: Матеріали </w:t>
      </w:r>
      <w:r w:rsidRPr="001416ED">
        <w:rPr>
          <w:color w:val="auto"/>
          <w:sz w:val="28"/>
          <w:szCs w:val="28"/>
          <w:lang w:val="ru-RU"/>
        </w:rPr>
        <w:t>XVII</w:t>
      </w:r>
      <w:r w:rsidRPr="001416ED">
        <w:rPr>
          <w:color w:val="auto"/>
          <w:sz w:val="28"/>
          <w:szCs w:val="28"/>
          <w:lang w:val="uk-UA"/>
        </w:rPr>
        <w:t xml:space="preserve"> національного конгресу кардіологів України (Київ, 21-23 вересня 2016 року). Додаток 3. – С. 56-57</w:t>
      </w:r>
      <w:r w:rsidR="002C5F19" w:rsidRPr="001416ED">
        <w:rPr>
          <w:rFonts w:eastAsia="Calibri"/>
          <w:color w:val="auto"/>
          <w:kern w:val="0"/>
          <w:sz w:val="28"/>
          <w:szCs w:val="28"/>
          <w:lang w:val="uk-UA" w:eastAsia="ru-RU"/>
        </w:rPr>
        <w:t>.</w:t>
      </w:r>
    </w:p>
    <w:p w:rsidR="00075D6E" w:rsidRDefault="00075D6E"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4E1F0B" w:rsidRDefault="004E1F0B" w:rsidP="003A12D9">
      <w:pPr>
        <w:spacing w:before="240" w:after="240" w:line="360" w:lineRule="auto"/>
        <w:jc w:val="center"/>
        <w:rPr>
          <w:b/>
          <w:bCs/>
          <w:lang w:val="uk-UA"/>
        </w:rPr>
      </w:pPr>
    </w:p>
    <w:p w:rsidR="00075D6E" w:rsidRDefault="00075D6E" w:rsidP="003A12D9">
      <w:pPr>
        <w:spacing w:before="240" w:after="240" w:line="360" w:lineRule="auto"/>
        <w:jc w:val="center"/>
        <w:rPr>
          <w:b/>
          <w:bCs/>
          <w:lang w:val="uk-UA"/>
        </w:rPr>
      </w:pPr>
    </w:p>
    <w:p w:rsidR="005F1F66" w:rsidRPr="001416ED" w:rsidRDefault="005F1F66" w:rsidP="003A12D9">
      <w:pPr>
        <w:spacing w:before="240" w:after="240" w:line="360" w:lineRule="auto"/>
        <w:jc w:val="center"/>
        <w:rPr>
          <w:b/>
          <w:lang w:val="uk-UA"/>
        </w:rPr>
      </w:pPr>
      <w:r w:rsidRPr="001416ED">
        <w:rPr>
          <w:b/>
          <w:bCs/>
          <w:lang w:val="uk-UA"/>
        </w:rPr>
        <w:lastRenderedPageBreak/>
        <w:t>РОЗДІЛ 5</w:t>
      </w:r>
    </w:p>
    <w:p w:rsidR="005F1F66" w:rsidRPr="001416ED" w:rsidRDefault="005F1F66" w:rsidP="005F1F66">
      <w:pPr>
        <w:spacing w:after="240" w:line="360" w:lineRule="auto"/>
        <w:jc w:val="center"/>
        <w:rPr>
          <w:b/>
          <w:lang w:val="uk-UA"/>
        </w:rPr>
      </w:pPr>
      <w:r w:rsidRPr="001416ED">
        <w:rPr>
          <w:b/>
          <w:lang w:val="uk-UA"/>
        </w:rPr>
        <w:t xml:space="preserve">ПОКАЗНИКИ </w:t>
      </w:r>
      <w:r w:rsidR="00A870B3" w:rsidRPr="001416ED">
        <w:rPr>
          <w:b/>
          <w:lang w:val="uk-UA"/>
        </w:rPr>
        <w:t>ВНУТРІШНЬО</w:t>
      </w:r>
      <w:r w:rsidR="00905733" w:rsidRPr="001416ED">
        <w:rPr>
          <w:b/>
          <w:lang w:val="uk-UA"/>
        </w:rPr>
        <w:t>СЕРЦЕВОЇ</w:t>
      </w:r>
      <w:r w:rsidRPr="001416ED">
        <w:rPr>
          <w:b/>
          <w:lang w:val="uk-UA"/>
        </w:rPr>
        <w:t xml:space="preserve"> ТА СИСТЕМНОЇ ГЕМОДИНАМІКИ У ЧОЛОВІКІВ З ГХ РІЗНОЇ </w:t>
      </w:r>
      <w:r w:rsidR="00046A18" w:rsidRPr="001416ED">
        <w:rPr>
          <w:b/>
          <w:lang w:val="uk-UA"/>
        </w:rPr>
        <w:t>СТАДІЇ</w:t>
      </w:r>
      <w:r w:rsidRPr="001416ED">
        <w:rPr>
          <w:b/>
          <w:lang w:val="uk-UA"/>
        </w:rPr>
        <w:t>, НОСІЇ</w:t>
      </w:r>
      <w:r w:rsidR="00905733" w:rsidRPr="001416ED">
        <w:rPr>
          <w:b/>
          <w:lang w:val="uk-UA"/>
        </w:rPr>
        <w:t>В</w:t>
      </w:r>
      <w:r w:rsidRPr="001416ED">
        <w:rPr>
          <w:b/>
          <w:lang w:val="uk-UA"/>
        </w:rPr>
        <w:t xml:space="preserve"> ПОЛІМОРФНИХ ВАРІАНТ</w:t>
      </w:r>
      <w:r w:rsidR="00905733" w:rsidRPr="001416ED">
        <w:rPr>
          <w:b/>
          <w:lang w:val="uk-UA"/>
        </w:rPr>
        <w:t xml:space="preserve">ІВ ГЕНА </w:t>
      </w:r>
      <w:r w:rsidR="0009648E" w:rsidRPr="001416ED">
        <w:rPr>
          <w:b/>
          <w:lang w:val="uk-UA"/>
        </w:rPr>
        <w:t>ЕТ</w:t>
      </w:r>
      <w:r w:rsidR="00BC0119" w:rsidRPr="001416ED">
        <w:rPr>
          <w:b/>
          <w:lang w:val="uk-UA"/>
        </w:rPr>
        <w:t>–</w:t>
      </w:r>
      <w:r w:rsidR="00905733" w:rsidRPr="001416ED">
        <w:rPr>
          <w:b/>
          <w:lang w:val="uk-UA"/>
        </w:rPr>
        <w:t>1, МЕШКАНЦІВ ПОДІЛЛЯ</w:t>
      </w:r>
    </w:p>
    <w:p w:rsidR="000901E4" w:rsidRPr="001416ED" w:rsidRDefault="00444900" w:rsidP="000901E4">
      <w:pPr>
        <w:widowControl w:val="0"/>
        <w:spacing w:line="360" w:lineRule="auto"/>
        <w:ind w:firstLine="720"/>
        <w:contextualSpacing/>
        <w:jc w:val="both"/>
        <w:rPr>
          <w:b/>
          <w:lang w:val="uk-UA"/>
        </w:rPr>
      </w:pPr>
      <w:r w:rsidRPr="001416ED">
        <w:rPr>
          <w:b/>
          <w:lang w:val="uk-UA"/>
        </w:rPr>
        <w:t>5.1</w:t>
      </w:r>
      <w:r w:rsidR="00FE3640">
        <w:rPr>
          <w:b/>
          <w:lang w:val="uk-UA"/>
        </w:rPr>
        <w:t>.</w:t>
      </w:r>
      <w:r w:rsidRPr="001416ED">
        <w:rPr>
          <w:b/>
          <w:lang w:val="uk-UA"/>
        </w:rPr>
        <w:t xml:space="preserve"> </w:t>
      </w:r>
      <w:r w:rsidR="00970339" w:rsidRPr="001416ED">
        <w:rPr>
          <w:b/>
          <w:lang w:val="uk-UA"/>
        </w:rPr>
        <w:t xml:space="preserve">Показники структурно–функціонального стану міокарда та системної гемодинаміки у осіб чоловічої статі групи контролю та з ГХ ІІ ст. – носіїв </w:t>
      </w:r>
      <w:r w:rsidR="00E6164F">
        <w:rPr>
          <w:b/>
          <w:lang w:val="uk-UA"/>
        </w:rPr>
        <w:t>поліморфних варіантів гена ЕТ–1</w:t>
      </w:r>
    </w:p>
    <w:p w:rsidR="0042458C" w:rsidRPr="001416ED" w:rsidRDefault="00A36455" w:rsidP="0042458C">
      <w:pPr>
        <w:widowControl w:val="0"/>
        <w:spacing w:line="360" w:lineRule="auto"/>
        <w:ind w:firstLine="720"/>
        <w:contextualSpacing/>
        <w:jc w:val="both"/>
        <w:rPr>
          <w:lang w:val="uk-UA"/>
        </w:rPr>
      </w:pPr>
      <w:r w:rsidRPr="001416ED">
        <w:rPr>
          <w:lang w:val="uk-UA"/>
        </w:rPr>
        <w:t>Як згадувалось вище, ЕТ</w:t>
      </w:r>
      <w:r w:rsidR="00BC0119" w:rsidRPr="001416ED">
        <w:rPr>
          <w:lang w:val="uk-UA"/>
        </w:rPr>
        <w:t>–</w:t>
      </w:r>
      <w:r w:rsidRPr="001416ED">
        <w:rPr>
          <w:lang w:val="uk-UA"/>
        </w:rPr>
        <w:t>1 має потужний інотропний ефект на міокард, впливає на величину переднавантаження і післянавантаження, призводить до посилення мітотичного процесу в міокарді і розвитку гіпертрофії серцевого м’яза</w:t>
      </w:r>
      <w:r w:rsidR="00D472DA" w:rsidRPr="001416ED">
        <w:rPr>
          <w:lang w:val="uk-UA"/>
        </w:rPr>
        <w:t xml:space="preserve"> [1</w:t>
      </w:r>
      <w:r w:rsidR="00476397" w:rsidRPr="001416ED">
        <w:rPr>
          <w:lang w:val="uk-UA"/>
        </w:rPr>
        <w:t>86</w:t>
      </w:r>
      <w:r w:rsidR="00D472DA" w:rsidRPr="001416ED">
        <w:rPr>
          <w:lang w:val="uk-UA"/>
        </w:rPr>
        <w:t>]</w:t>
      </w:r>
      <w:r w:rsidRPr="001416ED">
        <w:rPr>
          <w:lang w:val="uk-UA"/>
        </w:rPr>
        <w:t>. Окрім цього, ЕТ</w:t>
      </w:r>
      <w:r w:rsidR="00BC0119" w:rsidRPr="001416ED">
        <w:rPr>
          <w:lang w:val="uk-UA"/>
        </w:rPr>
        <w:t>–</w:t>
      </w:r>
      <w:r w:rsidRPr="001416ED">
        <w:rPr>
          <w:lang w:val="uk-UA"/>
        </w:rPr>
        <w:t>1 сприяє синтезу колагену в серцевому м’язі і розвитку кардіофіброзу [</w:t>
      </w:r>
      <w:r w:rsidR="00795E4E" w:rsidRPr="001416ED">
        <w:rPr>
          <w:lang w:val="uk-UA"/>
        </w:rPr>
        <w:t>1</w:t>
      </w:r>
      <w:r w:rsidR="00476397" w:rsidRPr="001416ED">
        <w:rPr>
          <w:lang w:val="uk-UA"/>
        </w:rPr>
        <w:t>46</w:t>
      </w:r>
      <w:r w:rsidR="00B8148D" w:rsidRPr="001416ED">
        <w:rPr>
          <w:lang w:val="uk-UA"/>
        </w:rPr>
        <w:t>,</w:t>
      </w:r>
      <w:r w:rsidR="00560395" w:rsidRPr="001416ED">
        <w:rPr>
          <w:lang w:val="uk-UA"/>
        </w:rPr>
        <w:t xml:space="preserve"> </w:t>
      </w:r>
      <w:r w:rsidRPr="001416ED">
        <w:rPr>
          <w:lang w:val="uk-UA"/>
        </w:rPr>
        <w:t>1</w:t>
      </w:r>
      <w:r w:rsidR="00795E4E" w:rsidRPr="001416ED">
        <w:rPr>
          <w:lang w:val="uk-UA"/>
        </w:rPr>
        <w:t>5</w:t>
      </w:r>
      <w:r w:rsidR="00476397" w:rsidRPr="001416ED">
        <w:rPr>
          <w:lang w:val="uk-UA"/>
        </w:rPr>
        <w:t>0</w:t>
      </w:r>
      <w:r w:rsidR="00B8148D" w:rsidRPr="001416ED">
        <w:rPr>
          <w:lang w:val="uk-UA"/>
        </w:rPr>
        <w:t>,</w:t>
      </w:r>
      <w:r w:rsidR="00560395" w:rsidRPr="001416ED">
        <w:rPr>
          <w:lang w:val="uk-UA"/>
        </w:rPr>
        <w:t xml:space="preserve"> </w:t>
      </w:r>
      <w:r w:rsidRPr="001416ED">
        <w:rPr>
          <w:lang w:val="uk-UA"/>
        </w:rPr>
        <w:t>1</w:t>
      </w:r>
      <w:r w:rsidR="00476397" w:rsidRPr="001416ED">
        <w:rPr>
          <w:lang w:val="uk-UA"/>
        </w:rPr>
        <w:t>65</w:t>
      </w:r>
      <w:r w:rsidRPr="001416ED">
        <w:rPr>
          <w:lang w:val="uk-UA"/>
        </w:rPr>
        <w:t>], що стало під</w:t>
      </w:r>
      <w:r w:rsidR="0009648E" w:rsidRPr="001416ED">
        <w:rPr>
          <w:lang w:val="uk-UA"/>
        </w:rPr>
        <w:t>г</w:t>
      </w:r>
      <w:r w:rsidRPr="001416ED">
        <w:rPr>
          <w:lang w:val="uk-UA"/>
        </w:rPr>
        <w:t>рунттям для аналізу структурно</w:t>
      </w:r>
      <w:r w:rsidR="00BC0119" w:rsidRPr="001416ED">
        <w:rPr>
          <w:lang w:val="uk-UA"/>
        </w:rPr>
        <w:t>–</w:t>
      </w:r>
      <w:r w:rsidRPr="001416ED">
        <w:rPr>
          <w:lang w:val="uk-UA"/>
        </w:rPr>
        <w:t>функціональних показників міока</w:t>
      </w:r>
      <w:r w:rsidR="000901E4" w:rsidRPr="001416ED">
        <w:rPr>
          <w:lang w:val="uk-UA"/>
        </w:rPr>
        <w:t xml:space="preserve">рда у чоловіків групи контролю </w:t>
      </w:r>
      <w:r w:rsidR="002A791B" w:rsidRPr="001416ED">
        <w:rPr>
          <w:lang w:val="uk-UA"/>
        </w:rPr>
        <w:t xml:space="preserve">та з </w:t>
      </w:r>
      <w:r w:rsidR="00560395" w:rsidRPr="001416ED">
        <w:rPr>
          <w:lang w:val="uk-UA"/>
        </w:rPr>
        <w:t>ГХ</w:t>
      </w:r>
      <w:r w:rsidR="0042458C" w:rsidRPr="001416ED">
        <w:rPr>
          <w:lang w:val="uk-UA"/>
        </w:rPr>
        <w:t xml:space="preserve"> </w:t>
      </w:r>
      <w:r w:rsidR="00A63A7A" w:rsidRPr="001416ED">
        <w:rPr>
          <w:lang w:val="uk-UA"/>
        </w:rPr>
        <w:t>ІІ та ІІІ стаді</w:t>
      </w:r>
      <w:r w:rsidR="00560395" w:rsidRPr="001416ED">
        <w:rPr>
          <w:lang w:val="uk-UA"/>
        </w:rPr>
        <w:t>й</w:t>
      </w:r>
      <w:r w:rsidR="00B67566" w:rsidRPr="001416ED">
        <w:rPr>
          <w:lang w:val="uk-UA"/>
        </w:rPr>
        <w:t xml:space="preserve"> </w:t>
      </w:r>
      <w:r w:rsidR="0042458C" w:rsidRPr="001416ED">
        <w:rPr>
          <w:lang w:val="uk-UA"/>
        </w:rPr>
        <w:t>віком від 4</w:t>
      </w:r>
      <w:r w:rsidR="00B67566" w:rsidRPr="001416ED">
        <w:rPr>
          <w:lang w:val="uk-UA"/>
        </w:rPr>
        <w:t>0</w:t>
      </w:r>
      <w:r w:rsidR="0042458C" w:rsidRPr="001416ED">
        <w:rPr>
          <w:lang w:val="uk-UA"/>
        </w:rPr>
        <w:t xml:space="preserve"> до 6</w:t>
      </w:r>
      <w:r w:rsidR="00B67566" w:rsidRPr="001416ED">
        <w:rPr>
          <w:lang w:val="uk-UA"/>
        </w:rPr>
        <w:t>0</w:t>
      </w:r>
      <w:r w:rsidR="000901E4" w:rsidRPr="001416ED">
        <w:rPr>
          <w:lang w:val="uk-UA"/>
        </w:rPr>
        <w:t xml:space="preserve"> років</w:t>
      </w:r>
      <w:r w:rsidR="0042458C" w:rsidRPr="001416ED">
        <w:rPr>
          <w:lang w:val="uk-UA"/>
        </w:rPr>
        <w:t xml:space="preserve"> </w:t>
      </w:r>
      <w:r w:rsidR="000901E4" w:rsidRPr="001416ED">
        <w:rPr>
          <w:lang w:val="uk-UA"/>
        </w:rPr>
        <w:t>(</w:t>
      </w:r>
      <w:r w:rsidR="0042458C" w:rsidRPr="001416ED">
        <w:rPr>
          <w:lang w:val="uk-UA"/>
        </w:rPr>
        <w:t xml:space="preserve">табл. </w:t>
      </w:r>
      <w:r w:rsidR="00CA2C2F" w:rsidRPr="001416ED">
        <w:rPr>
          <w:lang w:val="uk-UA"/>
        </w:rPr>
        <w:t>5</w:t>
      </w:r>
      <w:r w:rsidR="0042458C" w:rsidRPr="001416ED">
        <w:rPr>
          <w:lang w:val="uk-UA"/>
        </w:rPr>
        <w:t>.</w:t>
      </w:r>
      <w:r w:rsidR="00CA2C2F" w:rsidRPr="001416ED">
        <w:rPr>
          <w:lang w:val="uk-UA"/>
        </w:rPr>
        <w:t>1</w:t>
      </w:r>
      <w:r w:rsidR="000901E4" w:rsidRPr="001416ED">
        <w:rPr>
          <w:lang w:val="uk-UA"/>
        </w:rPr>
        <w:t>)</w:t>
      </w:r>
    </w:p>
    <w:p w:rsidR="00B67566" w:rsidRPr="001416ED" w:rsidRDefault="00B67566" w:rsidP="005F35D4">
      <w:pPr>
        <w:spacing w:line="360" w:lineRule="auto"/>
        <w:ind w:firstLine="709"/>
        <w:jc w:val="right"/>
        <w:rPr>
          <w:b/>
          <w:lang w:val="uk-UA"/>
        </w:rPr>
      </w:pPr>
      <w:r w:rsidRPr="001416ED">
        <w:rPr>
          <w:b/>
          <w:lang w:val="uk-UA"/>
        </w:rPr>
        <w:t xml:space="preserve">Таблиця </w:t>
      </w:r>
      <w:r w:rsidR="00CA2C2F" w:rsidRPr="001416ED">
        <w:rPr>
          <w:b/>
          <w:lang w:val="uk-UA"/>
        </w:rPr>
        <w:t>5.1</w:t>
      </w:r>
    </w:p>
    <w:p w:rsidR="00CA2C2F" w:rsidRPr="001416ED" w:rsidRDefault="00CA2C2F" w:rsidP="00CA2C2F">
      <w:pPr>
        <w:spacing w:line="360" w:lineRule="auto"/>
        <w:jc w:val="center"/>
        <w:rPr>
          <w:b/>
          <w:lang w:val="uk-UA"/>
        </w:rPr>
      </w:pPr>
      <w:r w:rsidRPr="001416ED">
        <w:rPr>
          <w:b/>
          <w:lang w:val="uk-UA"/>
        </w:rPr>
        <w:t xml:space="preserve">Показники серцевої та системної гемодинаміки у чоловіків </w:t>
      </w:r>
      <w:r w:rsidR="00DD1F2A" w:rsidRPr="001416ED">
        <w:rPr>
          <w:b/>
          <w:lang w:val="uk-UA"/>
        </w:rPr>
        <w:t xml:space="preserve">групи контролю та у </w:t>
      </w:r>
      <w:r w:rsidR="00883001" w:rsidRPr="001416ED">
        <w:rPr>
          <w:b/>
          <w:lang w:val="uk-UA"/>
        </w:rPr>
        <w:t>осіб</w:t>
      </w:r>
      <w:r w:rsidR="00DD1F2A" w:rsidRPr="001416ED">
        <w:rPr>
          <w:b/>
          <w:lang w:val="uk-UA"/>
        </w:rPr>
        <w:t xml:space="preserve"> </w:t>
      </w:r>
      <w:r w:rsidRPr="001416ED">
        <w:rPr>
          <w:b/>
          <w:lang w:val="uk-UA"/>
        </w:rPr>
        <w:t xml:space="preserve">з ГХ </w:t>
      </w:r>
      <w:r w:rsidR="006B5BF0" w:rsidRPr="001416ED">
        <w:rPr>
          <w:b/>
          <w:lang w:val="uk-UA"/>
        </w:rPr>
        <w:t>ІІ ст.</w:t>
      </w:r>
      <w:r w:rsidRPr="001416ED">
        <w:rPr>
          <w:b/>
          <w:lang w:val="uk-UA"/>
        </w:rPr>
        <w:t xml:space="preserve">, при носійстві </w:t>
      </w:r>
      <w:r w:rsidR="00FF5C21">
        <w:rPr>
          <w:b/>
          <w:lang w:val="uk-UA"/>
        </w:rPr>
        <w:t>поліморфних варіантів гена</w:t>
      </w:r>
      <w:r w:rsidRPr="001416ED">
        <w:rPr>
          <w:b/>
          <w:lang w:val="uk-UA"/>
        </w:rPr>
        <w:t xml:space="preserve"> ЕТ</w:t>
      </w:r>
      <w:r w:rsidR="00BC0119" w:rsidRPr="001416ED">
        <w:rPr>
          <w:b/>
          <w:lang w:val="uk-UA"/>
        </w:rPr>
        <w:t>–</w:t>
      </w:r>
      <w:r w:rsidRPr="001416ED">
        <w:rPr>
          <w:b/>
          <w:lang w:val="uk-UA"/>
        </w:rPr>
        <w:t>1, (</w:t>
      </w:r>
      <w:r w:rsidRPr="001416ED">
        <w:rPr>
          <w:b/>
          <w:lang w:val="en-US"/>
        </w:rPr>
        <w:t>M</w:t>
      </w:r>
      <w:r w:rsidR="007A07A9" w:rsidRPr="001416ED">
        <w:rPr>
          <w:b/>
          <w:lang w:val="uk-UA"/>
        </w:rPr>
        <w:t xml:space="preserve"> ± </w:t>
      </w:r>
      <w:r w:rsidRPr="001416ED">
        <w:rPr>
          <w:b/>
          <w:lang w:val="en-US"/>
        </w:rPr>
        <w:t>m</w:t>
      </w:r>
      <w:r w:rsidRPr="001416ED">
        <w:rPr>
          <w:b/>
          <w:lang w:val="uk-UA"/>
        </w:rPr>
        <w:t>)</w:t>
      </w:r>
    </w:p>
    <w:tbl>
      <w:tblPr>
        <w:tblStyle w:val="af5"/>
        <w:tblW w:w="10031" w:type="dxa"/>
        <w:tblLayout w:type="fixed"/>
        <w:tblLook w:val="04A0" w:firstRow="1" w:lastRow="0" w:firstColumn="1" w:lastColumn="0" w:noHBand="0" w:noVBand="1"/>
      </w:tblPr>
      <w:tblGrid>
        <w:gridCol w:w="1668"/>
        <w:gridCol w:w="1701"/>
        <w:gridCol w:w="1559"/>
        <w:gridCol w:w="1559"/>
        <w:gridCol w:w="1559"/>
        <w:gridCol w:w="1985"/>
      </w:tblGrid>
      <w:tr w:rsidR="004F6BD5" w:rsidRPr="001416ED" w:rsidTr="006C53B7">
        <w:tc>
          <w:tcPr>
            <w:tcW w:w="1668" w:type="dxa"/>
            <w:vMerge w:val="restart"/>
          </w:tcPr>
          <w:p w:rsidR="00F807D1" w:rsidRPr="001416ED" w:rsidRDefault="00F807D1" w:rsidP="00CA2C2F">
            <w:pPr>
              <w:spacing w:line="360" w:lineRule="auto"/>
              <w:jc w:val="center"/>
              <w:rPr>
                <w:b/>
                <w:szCs w:val="22"/>
              </w:rPr>
            </w:pPr>
            <w:r w:rsidRPr="001416ED">
              <w:rPr>
                <w:b/>
                <w:szCs w:val="22"/>
              </w:rPr>
              <w:t>Показники</w:t>
            </w:r>
          </w:p>
        </w:tc>
        <w:tc>
          <w:tcPr>
            <w:tcW w:w="3260" w:type="dxa"/>
            <w:gridSpan w:val="2"/>
          </w:tcPr>
          <w:p w:rsidR="00F807D1" w:rsidRPr="001416ED" w:rsidRDefault="00F807D1" w:rsidP="00CA2C2F">
            <w:pPr>
              <w:spacing w:line="360" w:lineRule="auto"/>
              <w:jc w:val="center"/>
              <w:rPr>
                <w:b/>
                <w:szCs w:val="22"/>
              </w:rPr>
            </w:pPr>
            <w:r w:rsidRPr="001416ED">
              <w:rPr>
                <w:b/>
                <w:szCs w:val="22"/>
              </w:rPr>
              <w:t xml:space="preserve">Чоловіки групи контролю </w:t>
            </w:r>
            <w:r w:rsidRPr="001416ED">
              <w:rPr>
                <w:b/>
                <w:szCs w:val="22"/>
                <w:lang w:val="en-US"/>
              </w:rPr>
              <w:t>(n=</w:t>
            </w:r>
            <w:r w:rsidRPr="001416ED">
              <w:rPr>
                <w:b/>
                <w:szCs w:val="22"/>
              </w:rPr>
              <w:t>79</w:t>
            </w:r>
            <w:r w:rsidRPr="001416ED">
              <w:rPr>
                <w:b/>
                <w:szCs w:val="22"/>
                <w:lang w:val="en-US"/>
              </w:rPr>
              <w:t>)</w:t>
            </w:r>
          </w:p>
        </w:tc>
        <w:tc>
          <w:tcPr>
            <w:tcW w:w="3118" w:type="dxa"/>
            <w:gridSpan w:val="2"/>
          </w:tcPr>
          <w:p w:rsidR="00F807D1" w:rsidRPr="001416ED" w:rsidRDefault="00F807D1" w:rsidP="00CA2C2F">
            <w:pPr>
              <w:spacing w:line="360" w:lineRule="auto"/>
              <w:jc w:val="center"/>
              <w:rPr>
                <w:b/>
                <w:szCs w:val="22"/>
              </w:rPr>
            </w:pPr>
            <w:r w:rsidRPr="001416ED">
              <w:rPr>
                <w:b/>
                <w:szCs w:val="22"/>
              </w:rPr>
              <w:t>Чоловіки з ГХ ІІ ст. (</w:t>
            </w:r>
            <w:r w:rsidRPr="001416ED">
              <w:rPr>
                <w:b/>
                <w:szCs w:val="22"/>
                <w:lang w:val="en-US"/>
              </w:rPr>
              <w:t>n</w:t>
            </w:r>
            <w:r w:rsidRPr="001416ED">
              <w:rPr>
                <w:b/>
                <w:szCs w:val="22"/>
              </w:rPr>
              <w:t>=62)</w:t>
            </w:r>
          </w:p>
        </w:tc>
        <w:tc>
          <w:tcPr>
            <w:tcW w:w="1985" w:type="dxa"/>
            <w:vMerge w:val="restart"/>
          </w:tcPr>
          <w:p w:rsidR="00F807D1" w:rsidRPr="001416ED" w:rsidRDefault="00F807D1" w:rsidP="00CA2C2F">
            <w:pPr>
              <w:spacing w:line="360" w:lineRule="auto"/>
              <w:jc w:val="center"/>
              <w:rPr>
                <w:b/>
                <w:szCs w:val="22"/>
              </w:rPr>
            </w:pPr>
            <w:r w:rsidRPr="001416ED">
              <w:rPr>
                <w:b/>
                <w:szCs w:val="22"/>
              </w:rPr>
              <w:t>р</w:t>
            </w:r>
          </w:p>
        </w:tc>
      </w:tr>
      <w:tr w:rsidR="004F6BD5" w:rsidRPr="001416ED" w:rsidTr="006C53B7">
        <w:tc>
          <w:tcPr>
            <w:tcW w:w="1668" w:type="dxa"/>
            <w:vMerge/>
          </w:tcPr>
          <w:p w:rsidR="00F807D1" w:rsidRPr="001416ED" w:rsidRDefault="00F807D1" w:rsidP="00CA2C2F">
            <w:pPr>
              <w:spacing w:line="360" w:lineRule="auto"/>
              <w:rPr>
                <w:szCs w:val="22"/>
              </w:rPr>
            </w:pPr>
          </w:p>
        </w:tc>
        <w:tc>
          <w:tcPr>
            <w:tcW w:w="1701" w:type="dxa"/>
          </w:tcPr>
          <w:p w:rsidR="00F807D1" w:rsidRPr="001416ED" w:rsidRDefault="00F807D1" w:rsidP="00CA2C2F">
            <w:pPr>
              <w:spacing w:line="360" w:lineRule="auto"/>
              <w:jc w:val="center"/>
              <w:rPr>
                <w:b/>
                <w:szCs w:val="22"/>
              </w:rPr>
            </w:pPr>
            <w:r w:rsidRPr="001416ED">
              <w:rPr>
                <w:b/>
                <w:szCs w:val="22"/>
              </w:rPr>
              <w:t>1</w:t>
            </w:r>
          </w:p>
        </w:tc>
        <w:tc>
          <w:tcPr>
            <w:tcW w:w="1559" w:type="dxa"/>
          </w:tcPr>
          <w:p w:rsidR="00F807D1" w:rsidRPr="001416ED" w:rsidRDefault="00F807D1" w:rsidP="00CA2C2F">
            <w:pPr>
              <w:spacing w:line="360" w:lineRule="auto"/>
              <w:jc w:val="center"/>
              <w:rPr>
                <w:b/>
                <w:szCs w:val="22"/>
              </w:rPr>
            </w:pPr>
            <w:r w:rsidRPr="001416ED">
              <w:rPr>
                <w:b/>
                <w:szCs w:val="22"/>
              </w:rPr>
              <w:t>2</w:t>
            </w:r>
          </w:p>
        </w:tc>
        <w:tc>
          <w:tcPr>
            <w:tcW w:w="1559" w:type="dxa"/>
          </w:tcPr>
          <w:p w:rsidR="00F807D1" w:rsidRPr="001416ED" w:rsidRDefault="00F807D1" w:rsidP="00CA2C2F">
            <w:pPr>
              <w:spacing w:line="360" w:lineRule="auto"/>
              <w:jc w:val="center"/>
              <w:rPr>
                <w:b/>
                <w:szCs w:val="22"/>
              </w:rPr>
            </w:pPr>
            <w:r w:rsidRPr="001416ED">
              <w:rPr>
                <w:b/>
                <w:szCs w:val="22"/>
              </w:rPr>
              <w:t>3</w:t>
            </w:r>
          </w:p>
        </w:tc>
        <w:tc>
          <w:tcPr>
            <w:tcW w:w="1559" w:type="dxa"/>
          </w:tcPr>
          <w:p w:rsidR="00F807D1" w:rsidRPr="001416ED" w:rsidRDefault="00F807D1" w:rsidP="00CA2C2F">
            <w:pPr>
              <w:spacing w:line="360" w:lineRule="auto"/>
              <w:jc w:val="center"/>
              <w:rPr>
                <w:b/>
                <w:szCs w:val="22"/>
              </w:rPr>
            </w:pPr>
            <w:r w:rsidRPr="001416ED">
              <w:rPr>
                <w:b/>
                <w:szCs w:val="22"/>
              </w:rPr>
              <w:t>4</w:t>
            </w:r>
          </w:p>
        </w:tc>
        <w:tc>
          <w:tcPr>
            <w:tcW w:w="1985" w:type="dxa"/>
            <w:vMerge/>
          </w:tcPr>
          <w:p w:rsidR="00F807D1" w:rsidRPr="001416ED" w:rsidRDefault="00F807D1" w:rsidP="00CA2C2F">
            <w:pPr>
              <w:spacing w:line="360" w:lineRule="auto"/>
              <w:jc w:val="center"/>
              <w:rPr>
                <w:szCs w:val="22"/>
              </w:rPr>
            </w:pPr>
          </w:p>
        </w:tc>
      </w:tr>
      <w:tr w:rsidR="004F6BD5" w:rsidRPr="001416ED" w:rsidTr="006C53B7">
        <w:tc>
          <w:tcPr>
            <w:tcW w:w="1668" w:type="dxa"/>
            <w:vMerge/>
          </w:tcPr>
          <w:p w:rsidR="00F807D1" w:rsidRPr="001416ED" w:rsidRDefault="00F807D1" w:rsidP="00CA2C2F">
            <w:pPr>
              <w:spacing w:line="360" w:lineRule="auto"/>
              <w:rPr>
                <w:szCs w:val="22"/>
              </w:rPr>
            </w:pPr>
          </w:p>
        </w:tc>
        <w:tc>
          <w:tcPr>
            <w:tcW w:w="1701" w:type="dxa"/>
          </w:tcPr>
          <w:p w:rsidR="00F807D1" w:rsidRPr="001416ED" w:rsidRDefault="001F01B6" w:rsidP="001F01B6">
            <w:pPr>
              <w:spacing w:line="360" w:lineRule="auto"/>
              <w:jc w:val="center"/>
              <w:rPr>
                <w:b/>
                <w:szCs w:val="22"/>
                <w:lang w:val="uk-UA"/>
              </w:rPr>
            </w:pPr>
            <w:r w:rsidRPr="001416ED">
              <w:rPr>
                <w:b/>
                <w:szCs w:val="22"/>
                <w:lang w:val="uk-UA"/>
              </w:rPr>
              <w:t>Г</w:t>
            </w:r>
            <w:r w:rsidR="00F807D1" w:rsidRPr="001416ED">
              <w:rPr>
                <w:b/>
                <w:szCs w:val="22"/>
              </w:rPr>
              <w:t xml:space="preserve">енотип </w:t>
            </w:r>
            <w:r w:rsidR="00F807D1" w:rsidRPr="001416ED">
              <w:rPr>
                <w:b/>
                <w:szCs w:val="22"/>
                <w:lang w:val="en-US"/>
              </w:rPr>
              <w:t>Lys/Lys</w:t>
            </w:r>
            <w:r w:rsidR="00560395" w:rsidRPr="001416ED">
              <w:rPr>
                <w:b/>
                <w:szCs w:val="22"/>
                <w:lang w:val="uk-UA"/>
              </w:rPr>
              <w:t xml:space="preserve"> </w:t>
            </w:r>
            <w:r w:rsidR="00560395" w:rsidRPr="001416ED">
              <w:rPr>
                <w:b/>
                <w:szCs w:val="22"/>
                <w:lang w:val="en-US"/>
              </w:rPr>
              <w:t>(n=</w:t>
            </w:r>
            <w:r w:rsidR="00560395" w:rsidRPr="001416ED">
              <w:rPr>
                <w:b/>
                <w:szCs w:val="22"/>
                <w:lang w:val="uk-UA"/>
              </w:rPr>
              <w:t>52</w:t>
            </w:r>
            <w:r w:rsidR="00560395" w:rsidRPr="001416ED">
              <w:rPr>
                <w:b/>
                <w:szCs w:val="22"/>
                <w:lang w:val="en-US"/>
              </w:rPr>
              <w:t>)</w:t>
            </w:r>
          </w:p>
        </w:tc>
        <w:tc>
          <w:tcPr>
            <w:tcW w:w="1559" w:type="dxa"/>
          </w:tcPr>
          <w:p w:rsidR="00F807D1" w:rsidRPr="001416ED" w:rsidRDefault="00F807D1" w:rsidP="00560395">
            <w:pPr>
              <w:spacing w:line="360" w:lineRule="auto"/>
              <w:jc w:val="center"/>
              <w:rPr>
                <w:b/>
                <w:szCs w:val="22"/>
                <w:lang w:val="en-US"/>
              </w:rPr>
            </w:pPr>
            <w:r w:rsidRPr="001416ED">
              <w:rPr>
                <w:b/>
                <w:szCs w:val="22"/>
              </w:rPr>
              <w:t>Носії алелі</w:t>
            </w:r>
            <w:r w:rsidRPr="001416ED">
              <w:rPr>
                <w:b/>
                <w:szCs w:val="22"/>
                <w:lang w:val="en-US"/>
              </w:rPr>
              <w:t xml:space="preserve"> Asn</w:t>
            </w:r>
            <w:r w:rsidR="00560395" w:rsidRPr="001416ED">
              <w:rPr>
                <w:b/>
                <w:szCs w:val="22"/>
                <w:lang w:val="uk-UA"/>
              </w:rPr>
              <w:t xml:space="preserve"> </w:t>
            </w:r>
            <w:r w:rsidR="00560395" w:rsidRPr="001416ED">
              <w:rPr>
                <w:b/>
                <w:szCs w:val="22"/>
                <w:lang w:val="en-US"/>
              </w:rPr>
              <w:t>(n=</w:t>
            </w:r>
            <w:r w:rsidR="00560395" w:rsidRPr="001416ED">
              <w:rPr>
                <w:b/>
                <w:szCs w:val="22"/>
                <w:lang w:val="uk-UA"/>
              </w:rPr>
              <w:t>27</w:t>
            </w:r>
            <w:r w:rsidR="00560395" w:rsidRPr="001416ED">
              <w:rPr>
                <w:b/>
                <w:szCs w:val="22"/>
                <w:lang w:val="en-US"/>
              </w:rPr>
              <w:t>)</w:t>
            </w:r>
          </w:p>
        </w:tc>
        <w:tc>
          <w:tcPr>
            <w:tcW w:w="1559" w:type="dxa"/>
          </w:tcPr>
          <w:p w:rsidR="00F807D1" w:rsidRPr="001416ED" w:rsidRDefault="001F01B6" w:rsidP="001F01B6">
            <w:pPr>
              <w:spacing w:line="360" w:lineRule="auto"/>
              <w:jc w:val="center"/>
              <w:rPr>
                <w:b/>
                <w:szCs w:val="22"/>
              </w:rPr>
            </w:pPr>
            <w:r w:rsidRPr="001416ED">
              <w:rPr>
                <w:b/>
                <w:szCs w:val="22"/>
                <w:lang w:val="uk-UA"/>
              </w:rPr>
              <w:t>Г</w:t>
            </w:r>
            <w:r w:rsidR="00F807D1" w:rsidRPr="001416ED">
              <w:rPr>
                <w:b/>
                <w:szCs w:val="22"/>
              </w:rPr>
              <w:t>енотип</w:t>
            </w:r>
            <w:r w:rsidR="00F807D1" w:rsidRPr="001416ED">
              <w:rPr>
                <w:b/>
                <w:szCs w:val="22"/>
                <w:lang w:val="en-US"/>
              </w:rPr>
              <w:t xml:space="preserve"> Lys/Lys</w:t>
            </w:r>
            <w:r w:rsidR="00560395" w:rsidRPr="001416ED">
              <w:rPr>
                <w:b/>
                <w:szCs w:val="22"/>
                <w:lang w:val="uk-UA"/>
              </w:rPr>
              <w:t xml:space="preserve"> </w:t>
            </w:r>
            <w:r w:rsidR="00560395" w:rsidRPr="001416ED">
              <w:rPr>
                <w:b/>
                <w:szCs w:val="22"/>
                <w:lang w:val="en-US"/>
              </w:rPr>
              <w:t>(n=</w:t>
            </w:r>
            <w:r w:rsidR="00560395" w:rsidRPr="001416ED">
              <w:rPr>
                <w:b/>
                <w:szCs w:val="22"/>
                <w:lang w:val="uk-UA"/>
              </w:rPr>
              <w:t>35</w:t>
            </w:r>
            <w:r w:rsidR="00560395" w:rsidRPr="001416ED">
              <w:rPr>
                <w:b/>
                <w:szCs w:val="22"/>
                <w:lang w:val="en-US"/>
              </w:rPr>
              <w:t>)</w:t>
            </w:r>
          </w:p>
        </w:tc>
        <w:tc>
          <w:tcPr>
            <w:tcW w:w="1559" w:type="dxa"/>
          </w:tcPr>
          <w:p w:rsidR="00F807D1" w:rsidRPr="001416ED" w:rsidRDefault="00F807D1" w:rsidP="00560395">
            <w:pPr>
              <w:spacing w:line="360" w:lineRule="auto"/>
              <w:jc w:val="center"/>
              <w:rPr>
                <w:b/>
                <w:szCs w:val="22"/>
              </w:rPr>
            </w:pPr>
            <w:r w:rsidRPr="001416ED">
              <w:rPr>
                <w:b/>
                <w:szCs w:val="22"/>
              </w:rPr>
              <w:t>Носії алелі</w:t>
            </w:r>
            <w:r w:rsidRPr="001416ED">
              <w:rPr>
                <w:b/>
                <w:szCs w:val="22"/>
                <w:lang w:val="en-US"/>
              </w:rPr>
              <w:t xml:space="preserve"> Asn</w:t>
            </w:r>
            <w:r w:rsidR="00560395" w:rsidRPr="001416ED">
              <w:rPr>
                <w:b/>
                <w:szCs w:val="22"/>
                <w:lang w:val="uk-UA"/>
              </w:rPr>
              <w:t xml:space="preserve"> </w:t>
            </w:r>
            <w:r w:rsidR="00560395" w:rsidRPr="001416ED">
              <w:rPr>
                <w:b/>
                <w:szCs w:val="22"/>
                <w:lang w:val="en-US"/>
              </w:rPr>
              <w:t>(n=</w:t>
            </w:r>
            <w:r w:rsidR="00560395" w:rsidRPr="001416ED">
              <w:rPr>
                <w:b/>
                <w:szCs w:val="22"/>
                <w:lang w:val="uk-UA"/>
              </w:rPr>
              <w:t>27</w:t>
            </w:r>
            <w:r w:rsidR="00560395" w:rsidRPr="001416ED">
              <w:rPr>
                <w:b/>
                <w:szCs w:val="22"/>
                <w:lang w:val="en-US"/>
              </w:rPr>
              <w:t>)</w:t>
            </w:r>
          </w:p>
        </w:tc>
        <w:tc>
          <w:tcPr>
            <w:tcW w:w="1985" w:type="dxa"/>
            <w:vMerge/>
          </w:tcPr>
          <w:p w:rsidR="00F807D1" w:rsidRPr="001416ED" w:rsidRDefault="00F807D1" w:rsidP="00CA2C2F">
            <w:pPr>
              <w:spacing w:line="360" w:lineRule="auto"/>
              <w:jc w:val="center"/>
              <w:rPr>
                <w:szCs w:val="22"/>
              </w:rPr>
            </w:pPr>
          </w:p>
        </w:tc>
      </w:tr>
      <w:tr w:rsidR="004F6BD5" w:rsidRPr="001416ED" w:rsidTr="006C53B7">
        <w:tc>
          <w:tcPr>
            <w:tcW w:w="1668" w:type="dxa"/>
          </w:tcPr>
          <w:p w:rsidR="00F807D1" w:rsidRPr="001416ED" w:rsidRDefault="00F807D1" w:rsidP="00CA2C2F">
            <w:pPr>
              <w:spacing w:line="360" w:lineRule="auto"/>
              <w:rPr>
                <w:szCs w:val="22"/>
              </w:rPr>
            </w:pPr>
            <w:r w:rsidRPr="001416ED">
              <w:rPr>
                <w:szCs w:val="22"/>
              </w:rPr>
              <w:t>КДР, см</w:t>
            </w:r>
          </w:p>
        </w:tc>
        <w:tc>
          <w:tcPr>
            <w:tcW w:w="1701" w:type="dxa"/>
          </w:tcPr>
          <w:p w:rsidR="00F807D1" w:rsidRPr="001416ED" w:rsidRDefault="00F807D1" w:rsidP="00AB2FA9">
            <w:pPr>
              <w:spacing w:line="360" w:lineRule="auto"/>
              <w:rPr>
                <w:szCs w:val="22"/>
                <w:lang w:val="en-US"/>
              </w:rPr>
            </w:pPr>
            <w:r w:rsidRPr="001416ED">
              <w:rPr>
                <w:szCs w:val="22"/>
              </w:rPr>
              <w:t>4,</w:t>
            </w:r>
            <w:r w:rsidR="00AB2FA9" w:rsidRPr="001416ED">
              <w:rPr>
                <w:szCs w:val="22"/>
                <w:lang w:val="en-US"/>
              </w:rPr>
              <w:t>40</w:t>
            </w:r>
            <w:r w:rsidR="007A07A9" w:rsidRPr="001416ED">
              <w:rPr>
                <w:szCs w:val="22"/>
              </w:rPr>
              <w:t xml:space="preserve"> ± </w:t>
            </w:r>
            <w:r w:rsidRPr="001416ED">
              <w:rPr>
                <w:szCs w:val="22"/>
              </w:rPr>
              <w:t>0,0</w:t>
            </w:r>
            <w:r w:rsidRPr="001416ED">
              <w:rPr>
                <w:szCs w:val="22"/>
                <w:lang w:val="en-US"/>
              </w:rPr>
              <w:t>4</w:t>
            </w:r>
          </w:p>
        </w:tc>
        <w:tc>
          <w:tcPr>
            <w:tcW w:w="1559" w:type="dxa"/>
          </w:tcPr>
          <w:p w:rsidR="00F807D1" w:rsidRPr="001416ED" w:rsidRDefault="00F807D1" w:rsidP="00AB2FA9">
            <w:pPr>
              <w:spacing w:line="360" w:lineRule="auto"/>
              <w:rPr>
                <w:szCs w:val="22"/>
              </w:rPr>
            </w:pPr>
            <w:r w:rsidRPr="001416ED">
              <w:rPr>
                <w:szCs w:val="22"/>
              </w:rPr>
              <w:t>4,</w:t>
            </w:r>
            <w:r w:rsidR="00AB2FA9" w:rsidRPr="001416ED">
              <w:rPr>
                <w:szCs w:val="22"/>
                <w:lang w:val="en-US"/>
              </w:rPr>
              <w:t>4</w:t>
            </w:r>
            <w:r w:rsidRPr="001416ED">
              <w:rPr>
                <w:szCs w:val="22"/>
              </w:rPr>
              <w:t>5</w:t>
            </w:r>
            <w:r w:rsidR="007A07A9" w:rsidRPr="001416ED">
              <w:rPr>
                <w:szCs w:val="22"/>
              </w:rPr>
              <w:t xml:space="preserve"> ± </w:t>
            </w:r>
            <w:r w:rsidRPr="001416ED">
              <w:rPr>
                <w:szCs w:val="22"/>
              </w:rPr>
              <w:t>0,05</w:t>
            </w:r>
          </w:p>
        </w:tc>
        <w:tc>
          <w:tcPr>
            <w:tcW w:w="1559" w:type="dxa"/>
          </w:tcPr>
          <w:p w:rsidR="00F807D1" w:rsidRPr="001416ED" w:rsidRDefault="00F807D1" w:rsidP="005477AB">
            <w:pPr>
              <w:spacing w:line="360" w:lineRule="auto"/>
              <w:rPr>
                <w:szCs w:val="22"/>
              </w:rPr>
            </w:pPr>
            <w:r w:rsidRPr="001416ED">
              <w:rPr>
                <w:szCs w:val="22"/>
              </w:rPr>
              <w:t>4,</w:t>
            </w:r>
            <w:r w:rsidR="005477AB" w:rsidRPr="001416ED">
              <w:rPr>
                <w:szCs w:val="22"/>
                <w:lang w:val="en-US"/>
              </w:rPr>
              <w:t>8</w:t>
            </w:r>
            <w:r w:rsidRPr="001416ED">
              <w:rPr>
                <w:szCs w:val="22"/>
              </w:rPr>
              <w:t>9</w:t>
            </w:r>
            <w:r w:rsidR="007A07A9" w:rsidRPr="001416ED">
              <w:rPr>
                <w:szCs w:val="22"/>
              </w:rPr>
              <w:t xml:space="preserve"> ± </w:t>
            </w:r>
            <w:r w:rsidRPr="001416ED">
              <w:rPr>
                <w:szCs w:val="22"/>
              </w:rPr>
              <w:t>0,07</w:t>
            </w:r>
          </w:p>
        </w:tc>
        <w:tc>
          <w:tcPr>
            <w:tcW w:w="1559" w:type="dxa"/>
          </w:tcPr>
          <w:p w:rsidR="00F807D1" w:rsidRPr="001416ED" w:rsidRDefault="005477AB" w:rsidP="005477AB">
            <w:pPr>
              <w:spacing w:line="360" w:lineRule="auto"/>
              <w:rPr>
                <w:szCs w:val="22"/>
              </w:rPr>
            </w:pPr>
            <w:r w:rsidRPr="001416ED">
              <w:rPr>
                <w:szCs w:val="22"/>
                <w:lang w:val="en-US"/>
              </w:rPr>
              <w:t>5</w:t>
            </w:r>
            <w:r w:rsidR="00F807D1" w:rsidRPr="001416ED">
              <w:rPr>
                <w:szCs w:val="22"/>
              </w:rPr>
              <w:t>,</w:t>
            </w:r>
            <w:r w:rsidRPr="001416ED">
              <w:rPr>
                <w:szCs w:val="22"/>
                <w:lang w:val="en-US"/>
              </w:rPr>
              <w:t>23</w:t>
            </w:r>
            <w:r w:rsidR="007A07A9" w:rsidRPr="001416ED">
              <w:rPr>
                <w:szCs w:val="22"/>
              </w:rPr>
              <w:t xml:space="preserve"> ± </w:t>
            </w:r>
            <w:r w:rsidR="00F807D1" w:rsidRPr="001416ED">
              <w:rPr>
                <w:szCs w:val="22"/>
              </w:rPr>
              <w:t>0,06</w:t>
            </w:r>
          </w:p>
        </w:tc>
        <w:tc>
          <w:tcPr>
            <w:tcW w:w="1985" w:type="dxa"/>
          </w:tcPr>
          <w:p w:rsidR="00F807D1" w:rsidRPr="001416ED" w:rsidRDefault="00F807D1" w:rsidP="00CA2C2F">
            <w:pPr>
              <w:spacing w:line="360" w:lineRule="auto"/>
              <w:rPr>
                <w:szCs w:val="22"/>
                <w:vertAlign w:val="subscript"/>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6C53B7">
        <w:tc>
          <w:tcPr>
            <w:tcW w:w="1668" w:type="dxa"/>
          </w:tcPr>
          <w:p w:rsidR="00F807D1" w:rsidRPr="001416ED" w:rsidRDefault="00F807D1" w:rsidP="00CA2C2F">
            <w:pPr>
              <w:spacing w:line="360" w:lineRule="auto"/>
              <w:rPr>
                <w:szCs w:val="22"/>
              </w:rPr>
            </w:pPr>
            <w:r w:rsidRPr="001416ED">
              <w:rPr>
                <w:szCs w:val="22"/>
              </w:rPr>
              <w:t>КСР, см</w:t>
            </w:r>
          </w:p>
        </w:tc>
        <w:tc>
          <w:tcPr>
            <w:tcW w:w="1701" w:type="dxa"/>
          </w:tcPr>
          <w:p w:rsidR="00F807D1" w:rsidRPr="001416ED" w:rsidRDefault="00F807D1" w:rsidP="00A22EDA">
            <w:pPr>
              <w:spacing w:line="360" w:lineRule="auto"/>
              <w:rPr>
                <w:szCs w:val="22"/>
                <w:lang w:val="en-US"/>
              </w:rPr>
            </w:pPr>
            <w:r w:rsidRPr="001416ED">
              <w:rPr>
                <w:szCs w:val="22"/>
              </w:rPr>
              <w:t>2,</w:t>
            </w:r>
            <w:r w:rsidR="006B3BE0" w:rsidRPr="001416ED">
              <w:rPr>
                <w:szCs w:val="22"/>
                <w:lang w:val="en-US"/>
              </w:rPr>
              <w:t>7</w:t>
            </w:r>
            <w:r w:rsidR="00A22EDA" w:rsidRPr="001416ED">
              <w:rPr>
                <w:szCs w:val="22"/>
              </w:rPr>
              <w:t>9</w:t>
            </w:r>
            <w:r w:rsidR="007A07A9" w:rsidRPr="001416ED">
              <w:rPr>
                <w:szCs w:val="22"/>
              </w:rPr>
              <w:t xml:space="preserve"> ± </w:t>
            </w:r>
            <w:r w:rsidRPr="001416ED">
              <w:rPr>
                <w:szCs w:val="22"/>
              </w:rPr>
              <w:t>0,0</w:t>
            </w:r>
            <w:r w:rsidRPr="001416ED">
              <w:rPr>
                <w:szCs w:val="22"/>
                <w:lang w:val="en-US"/>
              </w:rPr>
              <w:t>4</w:t>
            </w:r>
          </w:p>
        </w:tc>
        <w:tc>
          <w:tcPr>
            <w:tcW w:w="1559" w:type="dxa"/>
          </w:tcPr>
          <w:p w:rsidR="00F807D1" w:rsidRPr="001416ED" w:rsidRDefault="00F807D1" w:rsidP="00A22EDA">
            <w:pPr>
              <w:spacing w:line="360" w:lineRule="auto"/>
              <w:rPr>
                <w:szCs w:val="22"/>
              </w:rPr>
            </w:pPr>
            <w:r w:rsidRPr="001416ED">
              <w:rPr>
                <w:szCs w:val="22"/>
              </w:rPr>
              <w:t>2,</w:t>
            </w:r>
            <w:r w:rsidR="00DD6B06" w:rsidRPr="001416ED">
              <w:rPr>
                <w:szCs w:val="22"/>
                <w:lang w:val="en-US"/>
              </w:rPr>
              <w:t>9</w:t>
            </w:r>
            <w:r w:rsidR="00A22EDA" w:rsidRPr="001416ED">
              <w:rPr>
                <w:szCs w:val="22"/>
              </w:rPr>
              <w:t>0</w:t>
            </w:r>
            <w:r w:rsidR="007A07A9" w:rsidRPr="001416ED">
              <w:rPr>
                <w:szCs w:val="22"/>
              </w:rPr>
              <w:t xml:space="preserve"> ± </w:t>
            </w:r>
            <w:r w:rsidRPr="001416ED">
              <w:rPr>
                <w:szCs w:val="22"/>
              </w:rPr>
              <w:t>0,05</w:t>
            </w:r>
          </w:p>
        </w:tc>
        <w:tc>
          <w:tcPr>
            <w:tcW w:w="1559" w:type="dxa"/>
          </w:tcPr>
          <w:p w:rsidR="00F807D1" w:rsidRPr="001416ED" w:rsidRDefault="00F807D1" w:rsidP="00CA2C2F">
            <w:pPr>
              <w:spacing w:line="360" w:lineRule="auto"/>
              <w:rPr>
                <w:szCs w:val="22"/>
              </w:rPr>
            </w:pPr>
            <w:r w:rsidRPr="001416ED">
              <w:rPr>
                <w:szCs w:val="22"/>
              </w:rPr>
              <w:t>3,16</w:t>
            </w:r>
            <w:r w:rsidR="007A07A9" w:rsidRPr="001416ED">
              <w:rPr>
                <w:szCs w:val="22"/>
              </w:rPr>
              <w:t xml:space="preserve"> ± </w:t>
            </w:r>
            <w:r w:rsidRPr="001416ED">
              <w:rPr>
                <w:szCs w:val="22"/>
              </w:rPr>
              <w:t>0,06</w:t>
            </w:r>
          </w:p>
        </w:tc>
        <w:tc>
          <w:tcPr>
            <w:tcW w:w="1559" w:type="dxa"/>
          </w:tcPr>
          <w:p w:rsidR="00F807D1" w:rsidRPr="001416ED" w:rsidRDefault="00F807D1" w:rsidP="00CA2C2F">
            <w:pPr>
              <w:spacing w:line="360" w:lineRule="auto"/>
              <w:rPr>
                <w:szCs w:val="22"/>
              </w:rPr>
            </w:pPr>
            <w:r w:rsidRPr="001416ED">
              <w:rPr>
                <w:szCs w:val="22"/>
              </w:rPr>
              <w:t>3,44</w:t>
            </w:r>
            <w:r w:rsidR="007A07A9" w:rsidRPr="001416ED">
              <w:rPr>
                <w:szCs w:val="22"/>
              </w:rPr>
              <w:t xml:space="preserve"> ± </w:t>
            </w:r>
            <w:r w:rsidRPr="001416ED">
              <w:rPr>
                <w:szCs w:val="22"/>
              </w:rPr>
              <w:t>0,07</w:t>
            </w:r>
          </w:p>
        </w:tc>
        <w:tc>
          <w:tcPr>
            <w:tcW w:w="1985" w:type="dxa"/>
          </w:tcPr>
          <w:p w:rsidR="00F807D1" w:rsidRPr="001416ED" w:rsidRDefault="00F807D1" w:rsidP="0047004B">
            <w:pPr>
              <w:spacing w:line="360" w:lineRule="auto"/>
              <w:rPr>
                <w:szCs w:val="22"/>
                <w:vertAlign w:val="subscript"/>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0047004B"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6C53B7">
        <w:tc>
          <w:tcPr>
            <w:tcW w:w="1668" w:type="dxa"/>
          </w:tcPr>
          <w:p w:rsidR="00F807D1" w:rsidRPr="001416ED" w:rsidRDefault="00F807D1" w:rsidP="00CA2C2F">
            <w:pPr>
              <w:spacing w:line="360" w:lineRule="auto"/>
              <w:rPr>
                <w:szCs w:val="22"/>
              </w:rPr>
            </w:pPr>
            <w:r w:rsidRPr="001416ED">
              <w:rPr>
                <w:szCs w:val="22"/>
              </w:rPr>
              <w:t>ТЗСЛШ, см</w:t>
            </w:r>
          </w:p>
        </w:tc>
        <w:tc>
          <w:tcPr>
            <w:tcW w:w="1701" w:type="dxa"/>
          </w:tcPr>
          <w:p w:rsidR="00F807D1" w:rsidRPr="001416ED" w:rsidRDefault="00F807D1" w:rsidP="00CA2C2F">
            <w:pPr>
              <w:spacing w:line="360" w:lineRule="auto"/>
              <w:rPr>
                <w:szCs w:val="22"/>
              </w:rPr>
            </w:pPr>
            <w:r w:rsidRPr="001416ED">
              <w:rPr>
                <w:szCs w:val="22"/>
              </w:rPr>
              <w:t>0,94</w:t>
            </w:r>
            <w:r w:rsidR="007A07A9" w:rsidRPr="001416ED">
              <w:rPr>
                <w:szCs w:val="22"/>
              </w:rPr>
              <w:t xml:space="preserve"> ± </w:t>
            </w:r>
            <w:r w:rsidRPr="001416ED">
              <w:rPr>
                <w:szCs w:val="22"/>
              </w:rPr>
              <w:t>0,01</w:t>
            </w:r>
          </w:p>
        </w:tc>
        <w:tc>
          <w:tcPr>
            <w:tcW w:w="1559" w:type="dxa"/>
          </w:tcPr>
          <w:p w:rsidR="00F807D1" w:rsidRPr="001416ED" w:rsidRDefault="00F807D1" w:rsidP="00CA2C2F">
            <w:pPr>
              <w:spacing w:line="360" w:lineRule="auto"/>
              <w:rPr>
                <w:szCs w:val="22"/>
              </w:rPr>
            </w:pPr>
            <w:r w:rsidRPr="001416ED">
              <w:rPr>
                <w:szCs w:val="22"/>
              </w:rPr>
              <w:t>0,95</w:t>
            </w:r>
            <w:r w:rsidR="007A07A9" w:rsidRPr="001416ED">
              <w:rPr>
                <w:szCs w:val="22"/>
              </w:rPr>
              <w:t xml:space="preserve"> ± </w:t>
            </w:r>
            <w:r w:rsidRPr="001416ED">
              <w:rPr>
                <w:szCs w:val="22"/>
              </w:rPr>
              <w:t>0,01</w:t>
            </w:r>
          </w:p>
        </w:tc>
        <w:tc>
          <w:tcPr>
            <w:tcW w:w="1559" w:type="dxa"/>
          </w:tcPr>
          <w:p w:rsidR="00F807D1" w:rsidRPr="001416ED" w:rsidRDefault="00F807D1" w:rsidP="005477AB">
            <w:pPr>
              <w:spacing w:line="360" w:lineRule="auto"/>
              <w:rPr>
                <w:szCs w:val="22"/>
              </w:rPr>
            </w:pPr>
            <w:r w:rsidRPr="001416ED">
              <w:rPr>
                <w:szCs w:val="22"/>
              </w:rPr>
              <w:t>1,</w:t>
            </w:r>
            <w:r w:rsidR="00C838FA" w:rsidRPr="001416ED">
              <w:rPr>
                <w:szCs w:val="22"/>
                <w:lang w:val="uk-UA"/>
              </w:rPr>
              <w:t>1</w:t>
            </w:r>
            <w:r w:rsidR="005477AB" w:rsidRPr="001416ED">
              <w:rPr>
                <w:szCs w:val="22"/>
                <w:lang w:val="en-US"/>
              </w:rPr>
              <w:t>8</w:t>
            </w:r>
            <w:r w:rsidR="007A07A9" w:rsidRPr="001416ED">
              <w:rPr>
                <w:szCs w:val="22"/>
              </w:rPr>
              <w:t xml:space="preserve"> ± </w:t>
            </w:r>
            <w:r w:rsidRPr="001416ED">
              <w:rPr>
                <w:szCs w:val="22"/>
              </w:rPr>
              <w:t>0,02</w:t>
            </w:r>
          </w:p>
        </w:tc>
        <w:tc>
          <w:tcPr>
            <w:tcW w:w="1559" w:type="dxa"/>
          </w:tcPr>
          <w:p w:rsidR="00F807D1" w:rsidRPr="001416ED" w:rsidRDefault="00F807D1" w:rsidP="005477AB">
            <w:pPr>
              <w:spacing w:line="360" w:lineRule="auto"/>
              <w:rPr>
                <w:szCs w:val="22"/>
              </w:rPr>
            </w:pPr>
            <w:r w:rsidRPr="001416ED">
              <w:rPr>
                <w:szCs w:val="22"/>
              </w:rPr>
              <w:t>1,</w:t>
            </w:r>
            <w:r w:rsidR="005477AB" w:rsidRPr="001416ED">
              <w:rPr>
                <w:szCs w:val="22"/>
                <w:lang w:val="en-US"/>
              </w:rPr>
              <w:t>22</w:t>
            </w:r>
            <w:r w:rsidR="007A07A9" w:rsidRPr="001416ED">
              <w:rPr>
                <w:szCs w:val="22"/>
              </w:rPr>
              <w:t xml:space="preserve"> ± </w:t>
            </w:r>
            <w:r w:rsidRPr="001416ED">
              <w:rPr>
                <w:szCs w:val="22"/>
              </w:rPr>
              <w:t>0,03</w:t>
            </w:r>
          </w:p>
        </w:tc>
        <w:tc>
          <w:tcPr>
            <w:tcW w:w="1985" w:type="dxa"/>
          </w:tcPr>
          <w:p w:rsidR="00F807D1" w:rsidRPr="001416ED" w:rsidRDefault="00F807D1" w:rsidP="0047004B">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0047004B"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6C53B7">
        <w:tc>
          <w:tcPr>
            <w:tcW w:w="1668" w:type="dxa"/>
          </w:tcPr>
          <w:p w:rsidR="00F807D1" w:rsidRPr="001416ED" w:rsidRDefault="00F807D1" w:rsidP="00CA2C2F">
            <w:pPr>
              <w:spacing w:line="360" w:lineRule="auto"/>
              <w:rPr>
                <w:szCs w:val="22"/>
              </w:rPr>
            </w:pPr>
            <w:r w:rsidRPr="001416ED">
              <w:rPr>
                <w:szCs w:val="22"/>
              </w:rPr>
              <w:t>ТМШП, см</w:t>
            </w:r>
          </w:p>
        </w:tc>
        <w:tc>
          <w:tcPr>
            <w:tcW w:w="1701" w:type="dxa"/>
          </w:tcPr>
          <w:p w:rsidR="00F807D1" w:rsidRPr="001416ED" w:rsidRDefault="00F807D1" w:rsidP="00CA2C2F">
            <w:pPr>
              <w:spacing w:line="360" w:lineRule="auto"/>
              <w:rPr>
                <w:szCs w:val="22"/>
                <w:lang w:val="en-US"/>
              </w:rPr>
            </w:pPr>
            <w:r w:rsidRPr="001416ED">
              <w:rPr>
                <w:szCs w:val="22"/>
              </w:rPr>
              <w:t>0,9</w:t>
            </w:r>
            <w:r w:rsidRPr="001416ED">
              <w:rPr>
                <w:szCs w:val="22"/>
                <w:lang w:val="en-US"/>
              </w:rPr>
              <w:t>2</w:t>
            </w:r>
            <w:r w:rsidR="007A07A9" w:rsidRPr="001416ED">
              <w:rPr>
                <w:szCs w:val="22"/>
              </w:rPr>
              <w:t xml:space="preserve"> ± </w:t>
            </w:r>
            <w:r w:rsidRPr="001416ED">
              <w:rPr>
                <w:szCs w:val="22"/>
              </w:rPr>
              <w:t>0,0</w:t>
            </w:r>
            <w:r w:rsidRPr="001416ED">
              <w:rPr>
                <w:szCs w:val="22"/>
                <w:lang w:val="en-US"/>
              </w:rPr>
              <w:t>09</w:t>
            </w:r>
          </w:p>
        </w:tc>
        <w:tc>
          <w:tcPr>
            <w:tcW w:w="1559" w:type="dxa"/>
          </w:tcPr>
          <w:p w:rsidR="00F807D1" w:rsidRPr="001416ED" w:rsidRDefault="00F807D1" w:rsidP="00CA2C2F">
            <w:pPr>
              <w:spacing w:line="360" w:lineRule="auto"/>
              <w:rPr>
                <w:szCs w:val="22"/>
              </w:rPr>
            </w:pPr>
            <w:r w:rsidRPr="001416ED">
              <w:rPr>
                <w:szCs w:val="22"/>
              </w:rPr>
              <w:t>0,93</w:t>
            </w:r>
            <w:r w:rsidR="007A07A9" w:rsidRPr="001416ED">
              <w:rPr>
                <w:szCs w:val="22"/>
              </w:rPr>
              <w:t xml:space="preserve"> ± </w:t>
            </w:r>
            <w:r w:rsidRPr="001416ED">
              <w:rPr>
                <w:szCs w:val="22"/>
              </w:rPr>
              <w:t>0,01</w:t>
            </w:r>
          </w:p>
        </w:tc>
        <w:tc>
          <w:tcPr>
            <w:tcW w:w="1559" w:type="dxa"/>
          </w:tcPr>
          <w:p w:rsidR="00F807D1" w:rsidRPr="001416ED" w:rsidRDefault="00F807D1" w:rsidP="005477AB">
            <w:pPr>
              <w:spacing w:line="360" w:lineRule="auto"/>
              <w:rPr>
                <w:szCs w:val="22"/>
              </w:rPr>
            </w:pPr>
            <w:r w:rsidRPr="001416ED">
              <w:rPr>
                <w:szCs w:val="22"/>
              </w:rPr>
              <w:t>1,</w:t>
            </w:r>
            <w:r w:rsidR="005477AB" w:rsidRPr="001416ED">
              <w:rPr>
                <w:szCs w:val="22"/>
                <w:lang w:val="en-US"/>
              </w:rPr>
              <w:t>19</w:t>
            </w:r>
            <w:r w:rsidR="007A07A9" w:rsidRPr="001416ED">
              <w:rPr>
                <w:szCs w:val="22"/>
              </w:rPr>
              <w:t xml:space="preserve"> ± </w:t>
            </w:r>
            <w:r w:rsidRPr="001416ED">
              <w:rPr>
                <w:szCs w:val="22"/>
              </w:rPr>
              <w:t>0,03</w:t>
            </w:r>
          </w:p>
        </w:tc>
        <w:tc>
          <w:tcPr>
            <w:tcW w:w="1559" w:type="dxa"/>
          </w:tcPr>
          <w:p w:rsidR="00F807D1" w:rsidRPr="001416ED" w:rsidRDefault="00F807D1" w:rsidP="005477AB">
            <w:pPr>
              <w:spacing w:line="360" w:lineRule="auto"/>
              <w:rPr>
                <w:szCs w:val="22"/>
              </w:rPr>
            </w:pPr>
            <w:r w:rsidRPr="001416ED">
              <w:rPr>
                <w:szCs w:val="22"/>
              </w:rPr>
              <w:t>1,</w:t>
            </w:r>
            <w:r w:rsidR="005477AB" w:rsidRPr="001416ED">
              <w:rPr>
                <w:szCs w:val="22"/>
                <w:lang w:val="en-US"/>
              </w:rPr>
              <w:t>23</w:t>
            </w:r>
            <w:r w:rsidR="007A07A9" w:rsidRPr="001416ED">
              <w:rPr>
                <w:szCs w:val="22"/>
              </w:rPr>
              <w:t xml:space="preserve"> ± </w:t>
            </w:r>
            <w:r w:rsidRPr="001416ED">
              <w:rPr>
                <w:szCs w:val="22"/>
              </w:rPr>
              <w:t>0,03</w:t>
            </w:r>
          </w:p>
        </w:tc>
        <w:tc>
          <w:tcPr>
            <w:tcW w:w="1985" w:type="dxa"/>
          </w:tcPr>
          <w:p w:rsidR="00F807D1" w:rsidRPr="001416ED" w:rsidRDefault="0047004B" w:rsidP="00030AD5">
            <w:pPr>
              <w:spacing w:line="360" w:lineRule="auto"/>
              <w:rPr>
                <w:szCs w:val="22"/>
                <w:lang w:val="uk-UA"/>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6C53B7">
        <w:tc>
          <w:tcPr>
            <w:tcW w:w="1668" w:type="dxa"/>
          </w:tcPr>
          <w:p w:rsidR="00F807D1" w:rsidRPr="001416ED" w:rsidRDefault="00F807D1" w:rsidP="00CA2C2F">
            <w:pPr>
              <w:spacing w:line="360" w:lineRule="auto"/>
              <w:rPr>
                <w:szCs w:val="22"/>
              </w:rPr>
            </w:pPr>
            <w:r w:rsidRPr="001416ED">
              <w:rPr>
                <w:szCs w:val="22"/>
              </w:rPr>
              <w:t>ВТС, ум.од.</w:t>
            </w:r>
          </w:p>
        </w:tc>
        <w:tc>
          <w:tcPr>
            <w:tcW w:w="1701" w:type="dxa"/>
          </w:tcPr>
          <w:p w:rsidR="00F807D1" w:rsidRPr="001416ED" w:rsidRDefault="00F807D1" w:rsidP="006B3BE0">
            <w:pPr>
              <w:spacing w:line="360" w:lineRule="auto"/>
              <w:rPr>
                <w:szCs w:val="22"/>
                <w:lang w:val="en-US"/>
              </w:rPr>
            </w:pPr>
            <w:r w:rsidRPr="001416ED">
              <w:rPr>
                <w:szCs w:val="22"/>
              </w:rPr>
              <w:t>0,4</w:t>
            </w:r>
            <w:r w:rsidR="006B3BE0" w:rsidRPr="001416ED">
              <w:rPr>
                <w:szCs w:val="22"/>
                <w:lang w:val="en-US"/>
              </w:rPr>
              <w:t>1</w:t>
            </w:r>
            <w:r w:rsidR="007A07A9" w:rsidRPr="001416ED">
              <w:rPr>
                <w:szCs w:val="22"/>
              </w:rPr>
              <w:t xml:space="preserve"> ± </w:t>
            </w:r>
            <w:r w:rsidRPr="001416ED">
              <w:rPr>
                <w:szCs w:val="22"/>
              </w:rPr>
              <w:t>0,00</w:t>
            </w:r>
            <w:r w:rsidRPr="001416ED">
              <w:rPr>
                <w:szCs w:val="22"/>
                <w:lang w:val="en-US"/>
              </w:rPr>
              <w:t>4</w:t>
            </w:r>
          </w:p>
        </w:tc>
        <w:tc>
          <w:tcPr>
            <w:tcW w:w="1559" w:type="dxa"/>
          </w:tcPr>
          <w:p w:rsidR="00F807D1" w:rsidRPr="001416ED" w:rsidRDefault="00F807D1" w:rsidP="006C53B7">
            <w:pPr>
              <w:spacing w:line="360" w:lineRule="auto"/>
              <w:rPr>
                <w:szCs w:val="22"/>
              </w:rPr>
            </w:pPr>
            <w:r w:rsidRPr="001416ED">
              <w:rPr>
                <w:szCs w:val="22"/>
              </w:rPr>
              <w:t>0,4</w:t>
            </w:r>
            <w:r w:rsidR="006B3BE0" w:rsidRPr="001416ED">
              <w:rPr>
                <w:szCs w:val="22"/>
                <w:lang w:val="en-US"/>
              </w:rPr>
              <w:t>2</w:t>
            </w:r>
            <w:r w:rsidR="006C53B7" w:rsidRPr="001416ED">
              <w:rPr>
                <w:szCs w:val="22"/>
              </w:rPr>
              <w:t>±</w:t>
            </w:r>
            <w:r w:rsidR="006C53B7" w:rsidRPr="001416ED">
              <w:rPr>
                <w:szCs w:val="22"/>
                <w:lang w:val="uk-UA"/>
              </w:rPr>
              <w:t>0</w:t>
            </w:r>
            <w:r w:rsidRPr="001416ED">
              <w:rPr>
                <w:szCs w:val="22"/>
              </w:rPr>
              <w:t>,003</w:t>
            </w:r>
          </w:p>
        </w:tc>
        <w:tc>
          <w:tcPr>
            <w:tcW w:w="1559" w:type="dxa"/>
          </w:tcPr>
          <w:p w:rsidR="00F807D1" w:rsidRPr="001416ED" w:rsidRDefault="00F807D1" w:rsidP="005477AB">
            <w:pPr>
              <w:spacing w:line="360" w:lineRule="auto"/>
              <w:rPr>
                <w:szCs w:val="22"/>
              </w:rPr>
            </w:pPr>
            <w:r w:rsidRPr="001416ED">
              <w:rPr>
                <w:szCs w:val="22"/>
              </w:rPr>
              <w:t>0,4</w:t>
            </w:r>
            <w:r w:rsidR="005477AB" w:rsidRPr="001416ED">
              <w:rPr>
                <w:szCs w:val="22"/>
                <w:lang w:val="en-US"/>
              </w:rPr>
              <w:t>7</w:t>
            </w:r>
            <w:r w:rsidR="007A07A9" w:rsidRPr="001416ED">
              <w:rPr>
                <w:szCs w:val="22"/>
              </w:rPr>
              <w:t xml:space="preserve"> ± </w:t>
            </w:r>
            <w:r w:rsidRPr="001416ED">
              <w:rPr>
                <w:szCs w:val="22"/>
              </w:rPr>
              <w:t>0,01</w:t>
            </w:r>
          </w:p>
        </w:tc>
        <w:tc>
          <w:tcPr>
            <w:tcW w:w="1559" w:type="dxa"/>
          </w:tcPr>
          <w:p w:rsidR="00F807D1" w:rsidRPr="001416ED" w:rsidRDefault="00F807D1" w:rsidP="005477AB">
            <w:pPr>
              <w:spacing w:line="360" w:lineRule="auto"/>
              <w:rPr>
                <w:szCs w:val="22"/>
              </w:rPr>
            </w:pPr>
            <w:r w:rsidRPr="001416ED">
              <w:rPr>
                <w:szCs w:val="22"/>
              </w:rPr>
              <w:t>0,4</w:t>
            </w:r>
            <w:r w:rsidR="005477AB" w:rsidRPr="001416ED">
              <w:rPr>
                <w:szCs w:val="22"/>
                <w:lang w:val="en-US"/>
              </w:rPr>
              <w:t>9</w:t>
            </w:r>
            <w:r w:rsidR="007A07A9" w:rsidRPr="001416ED">
              <w:rPr>
                <w:szCs w:val="22"/>
              </w:rPr>
              <w:t xml:space="preserve"> ± </w:t>
            </w:r>
            <w:r w:rsidRPr="001416ED">
              <w:rPr>
                <w:szCs w:val="22"/>
              </w:rPr>
              <w:t>0,01</w:t>
            </w:r>
          </w:p>
        </w:tc>
        <w:tc>
          <w:tcPr>
            <w:tcW w:w="1985" w:type="dxa"/>
          </w:tcPr>
          <w:p w:rsidR="00F807D1" w:rsidRPr="001416ED" w:rsidRDefault="00F807D1" w:rsidP="006E1123">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00CC2761"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00CC2761"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bl>
    <w:p w:rsidR="006E1123" w:rsidRPr="001416ED" w:rsidRDefault="006E1123" w:rsidP="006E1123">
      <w:pPr>
        <w:spacing w:before="240" w:line="360" w:lineRule="auto"/>
        <w:ind w:firstLine="709"/>
        <w:jc w:val="right"/>
        <w:rPr>
          <w:i/>
          <w:lang w:val="uk-UA"/>
        </w:rPr>
      </w:pPr>
      <w:r w:rsidRPr="001416ED">
        <w:rPr>
          <w:i/>
          <w:lang w:val="uk-UA"/>
        </w:rPr>
        <w:lastRenderedPageBreak/>
        <w:t>Продовження табл. 5.</w:t>
      </w:r>
      <w:r w:rsidR="001E1A15" w:rsidRPr="001416ED">
        <w:rPr>
          <w:i/>
          <w:lang w:val="uk-UA"/>
        </w:rPr>
        <w:t>1</w:t>
      </w:r>
    </w:p>
    <w:tbl>
      <w:tblPr>
        <w:tblStyle w:val="af5"/>
        <w:tblW w:w="0" w:type="auto"/>
        <w:tblLayout w:type="fixed"/>
        <w:tblLook w:val="04A0" w:firstRow="1" w:lastRow="0" w:firstColumn="1" w:lastColumn="0" w:noHBand="0" w:noVBand="1"/>
      </w:tblPr>
      <w:tblGrid>
        <w:gridCol w:w="1668"/>
        <w:gridCol w:w="1559"/>
        <w:gridCol w:w="1701"/>
        <w:gridCol w:w="1701"/>
        <w:gridCol w:w="1559"/>
        <w:gridCol w:w="1950"/>
      </w:tblGrid>
      <w:tr w:rsidR="006E1123" w:rsidRPr="001416ED" w:rsidTr="006C53B7">
        <w:tc>
          <w:tcPr>
            <w:tcW w:w="1668" w:type="dxa"/>
          </w:tcPr>
          <w:p w:rsidR="006E1123" w:rsidRPr="001416ED" w:rsidRDefault="006E1123" w:rsidP="001F5D9E">
            <w:pPr>
              <w:spacing w:line="360" w:lineRule="auto"/>
              <w:rPr>
                <w:szCs w:val="22"/>
              </w:rPr>
            </w:pPr>
            <w:r w:rsidRPr="001416ED">
              <w:rPr>
                <w:szCs w:val="22"/>
              </w:rPr>
              <w:t>іММЛШ, г/м</w:t>
            </w:r>
            <w:r w:rsidRPr="001416ED">
              <w:rPr>
                <w:szCs w:val="22"/>
                <w:vertAlign w:val="superscript"/>
              </w:rPr>
              <w:t>2</w:t>
            </w:r>
          </w:p>
        </w:tc>
        <w:tc>
          <w:tcPr>
            <w:tcW w:w="1559" w:type="dxa"/>
          </w:tcPr>
          <w:p w:rsidR="006E1123" w:rsidRPr="001416ED" w:rsidRDefault="006E1123" w:rsidP="001F5D9E">
            <w:pPr>
              <w:spacing w:line="360" w:lineRule="auto"/>
              <w:rPr>
                <w:szCs w:val="22"/>
                <w:lang w:val="en-US"/>
              </w:rPr>
            </w:pPr>
            <w:r w:rsidRPr="001416ED">
              <w:rPr>
                <w:szCs w:val="22"/>
                <w:lang w:val="en-US"/>
              </w:rPr>
              <w:t>79</w:t>
            </w:r>
            <w:r w:rsidRPr="001416ED">
              <w:rPr>
                <w:szCs w:val="22"/>
              </w:rPr>
              <w:t>,06</w:t>
            </w:r>
            <w:r w:rsidR="007A07A9" w:rsidRPr="001416ED">
              <w:rPr>
                <w:szCs w:val="22"/>
              </w:rPr>
              <w:t xml:space="preserve"> ± </w:t>
            </w:r>
            <w:r w:rsidRPr="001416ED">
              <w:rPr>
                <w:szCs w:val="22"/>
              </w:rPr>
              <w:t>2,0</w:t>
            </w:r>
            <w:r w:rsidRPr="001416ED">
              <w:rPr>
                <w:szCs w:val="22"/>
                <w:lang w:val="en-US"/>
              </w:rPr>
              <w:t>0</w:t>
            </w:r>
          </w:p>
        </w:tc>
        <w:tc>
          <w:tcPr>
            <w:tcW w:w="1701" w:type="dxa"/>
          </w:tcPr>
          <w:p w:rsidR="006E1123" w:rsidRPr="001416ED" w:rsidRDefault="006E1123" w:rsidP="001F5D9E">
            <w:pPr>
              <w:spacing w:line="360" w:lineRule="auto"/>
              <w:rPr>
                <w:szCs w:val="22"/>
              </w:rPr>
            </w:pPr>
            <w:r w:rsidRPr="001416ED">
              <w:rPr>
                <w:szCs w:val="22"/>
                <w:lang w:val="en-US"/>
              </w:rPr>
              <w:t>80</w:t>
            </w:r>
            <w:r w:rsidRPr="001416ED">
              <w:rPr>
                <w:szCs w:val="22"/>
              </w:rPr>
              <w:t>,10</w:t>
            </w:r>
            <w:r w:rsidR="007A07A9" w:rsidRPr="001416ED">
              <w:rPr>
                <w:szCs w:val="22"/>
              </w:rPr>
              <w:t xml:space="preserve"> ± </w:t>
            </w:r>
            <w:r w:rsidRPr="001416ED">
              <w:rPr>
                <w:szCs w:val="22"/>
              </w:rPr>
              <w:t>3,33</w:t>
            </w:r>
          </w:p>
        </w:tc>
        <w:tc>
          <w:tcPr>
            <w:tcW w:w="1701" w:type="dxa"/>
          </w:tcPr>
          <w:p w:rsidR="007F7AE6" w:rsidRPr="001416ED" w:rsidRDefault="006E1123" w:rsidP="007F7AE6">
            <w:pPr>
              <w:spacing w:line="360" w:lineRule="auto"/>
              <w:rPr>
                <w:szCs w:val="22"/>
              </w:rPr>
            </w:pPr>
            <w:r w:rsidRPr="001416ED">
              <w:rPr>
                <w:szCs w:val="22"/>
              </w:rPr>
              <w:t>1</w:t>
            </w:r>
            <w:r w:rsidRPr="001416ED">
              <w:rPr>
                <w:szCs w:val="22"/>
                <w:lang w:val="en-US"/>
              </w:rPr>
              <w:t>3</w:t>
            </w:r>
            <w:r w:rsidRPr="001416ED">
              <w:rPr>
                <w:szCs w:val="22"/>
              </w:rPr>
              <w:t>3,63</w:t>
            </w:r>
            <w:r w:rsidR="007A07A9" w:rsidRPr="001416ED">
              <w:rPr>
                <w:szCs w:val="22"/>
              </w:rPr>
              <w:t xml:space="preserve"> ± </w:t>
            </w:r>
          </w:p>
          <w:p w:rsidR="006E1123" w:rsidRPr="001416ED" w:rsidRDefault="006E1123" w:rsidP="007F7AE6">
            <w:pPr>
              <w:spacing w:line="360" w:lineRule="auto"/>
              <w:rPr>
                <w:szCs w:val="22"/>
              </w:rPr>
            </w:pPr>
            <w:r w:rsidRPr="001416ED">
              <w:rPr>
                <w:szCs w:val="22"/>
              </w:rPr>
              <w:t>6,65</w:t>
            </w:r>
          </w:p>
        </w:tc>
        <w:tc>
          <w:tcPr>
            <w:tcW w:w="1559" w:type="dxa"/>
          </w:tcPr>
          <w:p w:rsidR="007F7AE6" w:rsidRPr="001416ED" w:rsidRDefault="006E1123" w:rsidP="007F7AE6">
            <w:pPr>
              <w:spacing w:line="360" w:lineRule="auto"/>
              <w:rPr>
                <w:szCs w:val="22"/>
              </w:rPr>
            </w:pPr>
            <w:r w:rsidRPr="001416ED">
              <w:rPr>
                <w:szCs w:val="22"/>
              </w:rPr>
              <w:t>1</w:t>
            </w:r>
            <w:r w:rsidRPr="001416ED">
              <w:rPr>
                <w:szCs w:val="22"/>
                <w:lang w:val="en-US"/>
              </w:rPr>
              <w:t>42</w:t>
            </w:r>
            <w:r w:rsidRPr="001416ED">
              <w:rPr>
                <w:szCs w:val="22"/>
              </w:rPr>
              <w:t>,15</w:t>
            </w:r>
            <w:r w:rsidR="007A07A9" w:rsidRPr="001416ED">
              <w:rPr>
                <w:szCs w:val="22"/>
              </w:rPr>
              <w:t xml:space="preserve"> ± </w:t>
            </w:r>
          </w:p>
          <w:p w:rsidR="006E1123" w:rsidRPr="001416ED" w:rsidRDefault="006E1123" w:rsidP="007F7AE6">
            <w:pPr>
              <w:spacing w:line="360" w:lineRule="auto"/>
              <w:rPr>
                <w:szCs w:val="22"/>
              </w:rPr>
            </w:pPr>
            <w:r w:rsidRPr="001416ED">
              <w:rPr>
                <w:szCs w:val="22"/>
              </w:rPr>
              <w:t>6,25</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vertAlign w:val="superscript"/>
              </w:rPr>
            </w:pPr>
            <w:r w:rsidRPr="001416ED">
              <w:rPr>
                <w:szCs w:val="22"/>
              </w:rPr>
              <w:t>іКДО, мл/м</w:t>
            </w:r>
            <w:r w:rsidRPr="001416ED">
              <w:rPr>
                <w:szCs w:val="22"/>
                <w:vertAlign w:val="superscript"/>
              </w:rPr>
              <w:t>2</w:t>
            </w:r>
          </w:p>
        </w:tc>
        <w:tc>
          <w:tcPr>
            <w:tcW w:w="1559" w:type="dxa"/>
          </w:tcPr>
          <w:p w:rsidR="006E1123" w:rsidRPr="001416ED" w:rsidRDefault="006E1123" w:rsidP="001F5D9E">
            <w:pPr>
              <w:spacing w:line="360" w:lineRule="auto"/>
              <w:rPr>
                <w:szCs w:val="22"/>
              </w:rPr>
            </w:pPr>
            <w:r w:rsidRPr="001416ED">
              <w:rPr>
                <w:szCs w:val="22"/>
              </w:rPr>
              <w:t>44,13</w:t>
            </w:r>
            <w:r w:rsidR="007A07A9" w:rsidRPr="001416ED">
              <w:rPr>
                <w:szCs w:val="22"/>
              </w:rPr>
              <w:t xml:space="preserve"> ± </w:t>
            </w:r>
            <w:r w:rsidRPr="001416ED">
              <w:rPr>
                <w:szCs w:val="22"/>
              </w:rPr>
              <w:t>1,00</w:t>
            </w:r>
          </w:p>
        </w:tc>
        <w:tc>
          <w:tcPr>
            <w:tcW w:w="1701" w:type="dxa"/>
          </w:tcPr>
          <w:p w:rsidR="006E1123" w:rsidRPr="001416ED" w:rsidRDefault="006E1123" w:rsidP="001F5D9E">
            <w:pPr>
              <w:spacing w:line="360" w:lineRule="auto"/>
              <w:rPr>
                <w:szCs w:val="22"/>
              </w:rPr>
            </w:pPr>
            <w:r w:rsidRPr="001416ED">
              <w:rPr>
                <w:szCs w:val="22"/>
              </w:rPr>
              <w:t>46,89</w:t>
            </w:r>
            <w:r w:rsidR="007A07A9" w:rsidRPr="001416ED">
              <w:rPr>
                <w:szCs w:val="22"/>
              </w:rPr>
              <w:t xml:space="preserve"> ± </w:t>
            </w:r>
            <w:r w:rsidRPr="001416ED">
              <w:rPr>
                <w:szCs w:val="22"/>
              </w:rPr>
              <w:t>1,42</w:t>
            </w:r>
          </w:p>
        </w:tc>
        <w:tc>
          <w:tcPr>
            <w:tcW w:w="1701" w:type="dxa"/>
          </w:tcPr>
          <w:p w:rsidR="006E1123" w:rsidRPr="001416ED" w:rsidRDefault="006E1123" w:rsidP="001F5D9E">
            <w:pPr>
              <w:spacing w:line="360" w:lineRule="auto"/>
              <w:rPr>
                <w:szCs w:val="22"/>
              </w:rPr>
            </w:pPr>
            <w:r w:rsidRPr="001416ED">
              <w:rPr>
                <w:szCs w:val="22"/>
              </w:rPr>
              <w:t>5</w:t>
            </w:r>
            <w:r w:rsidRPr="001416ED">
              <w:rPr>
                <w:szCs w:val="22"/>
                <w:lang w:val="en-US"/>
              </w:rPr>
              <w:t>5</w:t>
            </w:r>
            <w:r w:rsidRPr="001416ED">
              <w:rPr>
                <w:szCs w:val="22"/>
              </w:rPr>
              <w:t>,99</w:t>
            </w:r>
            <w:r w:rsidR="007A07A9" w:rsidRPr="001416ED">
              <w:rPr>
                <w:szCs w:val="22"/>
              </w:rPr>
              <w:t xml:space="preserve"> ± </w:t>
            </w:r>
            <w:r w:rsidRPr="001416ED">
              <w:rPr>
                <w:szCs w:val="22"/>
              </w:rPr>
              <w:t>1,77</w:t>
            </w:r>
          </w:p>
        </w:tc>
        <w:tc>
          <w:tcPr>
            <w:tcW w:w="1559" w:type="dxa"/>
          </w:tcPr>
          <w:p w:rsidR="006E1123" w:rsidRPr="001416ED" w:rsidRDefault="006E1123" w:rsidP="001F5D9E">
            <w:pPr>
              <w:spacing w:line="360" w:lineRule="auto"/>
              <w:rPr>
                <w:szCs w:val="22"/>
              </w:rPr>
            </w:pPr>
            <w:r w:rsidRPr="001416ED">
              <w:rPr>
                <w:szCs w:val="22"/>
              </w:rPr>
              <w:t>5</w:t>
            </w:r>
            <w:r w:rsidRPr="001416ED">
              <w:rPr>
                <w:szCs w:val="22"/>
                <w:lang w:val="en-US"/>
              </w:rPr>
              <w:t>8</w:t>
            </w:r>
            <w:r w:rsidRPr="001416ED">
              <w:rPr>
                <w:szCs w:val="22"/>
              </w:rPr>
              <w:t>,37</w:t>
            </w:r>
            <w:r w:rsidR="007A07A9" w:rsidRPr="001416ED">
              <w:rPr>
                <w:szCs w:val="22"/>
              </w:rPr>
              <w:t xml:space="preserve"> ± </w:t>
            </w:r>
            <w:r w:rsidRPr="001416ED">
              <w:rPr>
                <w:szCs w:val="22"/>
              </w:rPr>
              <w:t>1,66</w:t>
            </w:r>
          </w:p>
        </w:tc>
        <w:tc>
          <w:tcPr>
            <w:tcW w:w="1950" w:type="dxa"/>
          </w:tcPr>
          <w:p w:rsidR="006E1123" w:rsidRPr="001416ED" w:rsidRDefault="006E1123" w:rsidP="006E1123">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іКСО, мл/м</w:t>
            </w:r>
            <w:r w:rsidRPr="001416ED">
              <w:rPr>
                <w:szCs w:val="22"/>
                <w:vertAlign w:val="superscript"/>
              </w:rPr>
              <w:t>2</w:t>
            </w:r>
          </w:p>
        </w:tc>
        <w:tc>
          <w:tcPr>
            <w:tcW w:w="1559" w:type="dxa"/>
          </w:tcPr>
          <w:p w:rsidR="006E1123" w:rsidRPr="001416ED" w:rsidRDefault="006E1123" w:rsidP="001F5D9E">
            <w:pPr>
              <w:spacing w:line="360" w:lineRule="auto"/>
              <w:rPr>
                <w:szCs w:val="22"/>
              </w:rPr>
            </w:pPr>
            <w:r w:rsidRPr="001416ED">
              <w:rPr>
                <w:szCs w:val="22"/>
              </w:rPr>
              <w:t>1</w:t>
            </w:r>
            <w:r w:rsidRPr="001416ED">
              <w:rPr>
                <w:szCs w:val="22"/>
                <w:lang w:val="en-US"/>
              </w:rPr>
              <w:t>5</w:t>
            </w:r>
            <w:r w:rsidRPr="001416ED">
              <w:rPr>
                <w:szCs w:val="22"/>
              </w:rPr>
              <w:t>,02</w:t>
            </w:r>
            <w:r w:rsidR="007A07A9" w:rsidRPr="001416ED">
              <w:rPr>
                <w:szCs w:val="22"/>
              </w:rPr>
              <w:t xml:space="preserve"> ± </w:t>
            </w:r>
            <w:r w:rsidRPr="001416ED">
              <w:rPr>
                <w:szCs w:val="22"/>
              </w:rPr>
              <w:t>0,50</w:t>
            </w:r>
          </w:p>
        </w:tc>
        <w:tc>
          <w:tcPr>
            <w:tcW w:w="1701" w:type="dxa"/>
          </w:tcPr>
          <w:p w:rsidR="006E1123" w:rsidRPr="001416ED" w:rsidRDefault="006E1123" w:rsidP="001F5D9E">
            <w:pPr>
              <w:spacing w:line="360" w:lineRule="auto"/>
              <w:rPr>
                <w:szCs w:val="22"/>
              </w:rPr>
            </w:pPr>
            <w:r w:rsidRPr="001416ED">
              <w:rPr>
                <w:szCs w:val="22"/>
              </w:rPr>
              <w:t>1</w:t>
            </w:r>
            <w:r w:rsidRPr="001416ED">
              <w:rPr>
                <w:szCs w:val="22"/>
                <w:lang w:val="en-US"/>
              </w:rPr>
              <w:t>6</w:t>
            </w:r>
            <w:r w:rsidRPr="001416ED">
              <w:rPr>
                <w:szCs w:val="22"/>
              </w:rPr>
              <w:t>,94</w:t>
            </w:r>
            <w:r w:rsidR="007A07A9" w:rsidRPr="001416ED">
              <w:rPr>
                <w:szCs w:val="22"/>
              </w:rPr>
              <w:t xml:space="preserve"> ± </w:t>
            </w:r>
            <w:r w:rsidRPr="001416ED">
              <w:rPr>
                <w:szCs w:val="22"/>
              </w:rPr>
              <w:t>0,67</w:t>
            </w:r>
          </w:p>
        </w:tc>
        <w:tc>
          <w:tcPr>
            <w:tcW w:w="1701" w:type="dxa"/>
          </w:tcPr>
          <w:p w:rsidR="006E1123" w:rsidRPr="001416ED" w:rsidRDefault="006E1123" w:rsidP="001F5D9E">
            <w:pPr>
              <w:spacing w:line="360" w:lineRule="auto"/>
              <w:rPr>
                <w:szCs w:val="22"/>
              </w:rPr>
            </w:pPr>
            <w:r w:rsidRPr="001416ED">
              <w:rPr>
                <w:szCs w:val="22"/>
              </w:rPr>
              <w:t>19,25</w:t>
            </w:r>
            <w:r w:rsidR="007A07A9" w:rsidRPr="001416ED">
              <w:rPr>
                <w:szCs w:val="22"/>
              </w:rPr>
              <w:t xml:space="preserve"> ± </w:t>
            </w:r>
            <w:r w:rsidRPr="001416ED">
              <w:rPr>
                <w:szCs w:val="22"/>
              </w:rPr>
              <w:t>1,00</w:t>
            </w:r>
          </w:p>
        </w:tc>
        <w:tc>
          <w:tcPr>
            <w:tcW w:w="1559" w:type="dxa"/>
          </w:tcPr>
          <w:p w:rsidR="006E1123" w:rsidRPr="001416ED" w:rsidRDefault="006E1123" w:rsidP="001F5D9E">
            <w:pPr>
              <w:spacing w:line="360" w:lineRule="auto"/>
              <w:rPr>
                <w:szCs w:val="22"/>
              </w:rPr>
            </w:pPr>
            <w:r w:rsidRPr="001416ED">
              <w:rPr>
                <w:szCs w:val="22"/>
              </w:rPr>
              <w:t>23,60</w:t>
            </w:r>
            <w:r w:rsidR="007A07A9" w:rsidRPr="001416ED">
              <w:rPr>
                <w:szCs w:val="22"/>
              </w:rPr>
              <w:t xml:space="preserve"> ± </w:t>
            </w:r>
            <w:r w:rsidRPr="001416ED">
              <w:rPr>
                <w:szCs w:val="22"/>
              </w:rPr>
              <w:t>1,15</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 xml:space="preserve">ФВ, </w:t>
            </w:r>
            <w:r w:rsidR="00D4219F" w:rsidRPr="001416ED">
              <w:rPr>
                <w:szCs w:val="22"/>
              </w:rPr>
              <w:t xml:space="preserve"> %</w:t>
            </w:r>
          </w:p>
        </w:tc>
        <w:tc>
          <w:tcPr>
            <w:tcW w:w="1559" w:type="dxa"/>
          </w:tcPr>
          <w:p w:rsidR="006E1123" w:rsidRPr="001416ED" w:rsidRDefault="006E1123" w:rsidP="001F5D9E">
            <w:pPr>
              <w:spacing w:line="360" w:lineRule="auto"/>
              <w:rPr>
                <w:szCs w:val="22"/>
              </w:rPr>
            </w:pPr>
            <w:r w:rsidRPr="001416ED">
              <w:rPr>
                <w:szCs w:val="22"/>
              </w:rPr>
              <w:t>6</w:t>
            </w:r>
            <w:r w:rsidRPr="001416ED">
              <w:rPr>
                <w:szCs w:val="22"/>
                <w:lang w:val="en-US"/>
              </w:rPr>
              <w:t>6</w:t>
            </w:r>
            <w:r w:rsidRPr="001416ED">
              <w:rPr>
                <w:szCs w:val="22"/>
              </w:rPr>
              <w:t>,90</w:t>
            </w:r>
            <w:r w:rsidR="007A07A9" w:rsidRPr="001416ED">
              <w:rPr>
                <w:szCs w:val="22"/>
              </w:rPr>
              <w:t xml:space="preserve"> ± </w:t>
            </w:r>
            <w:r w:rsidRPr="001416ED">
              <w:rPr>
                <w:szCs w:val="22"/>
              </w:rPr>
              <w:t>1,06</w:t>
            </w:r>
          </w:p>
        </w:tc>
        <w:tc>
          <w:tcPr>
            <w:tcW w:w="1701" w:type="dxa"/>
          </w:tcPr>
          <w:p w:rsidR="006E1123" w:rsidRPr="001416ED" w:rsidRDefault="006E1123" w:rsidP="001F5D9E">
            <w:pPr>
              <w:spacing w:line="360" w:lineRule="auto"/>
              <w:rPr>
                <w:szCs w:val="22"/>
              </w:rPr>
            </w:pPr>
            <w:r w:rsidRPr="001416ED">
              <w:rPr>
                <w:szCs w:val="22"/>
              </w:rPr>
              <w:t>63,28</w:t>
            </w:r>
            <w:r w:rsidR="007A07A9" w:rsidRPr="001416ED">
              <w:rPr>
                <w:szCs w:val="22"/>
              </w:rPr>
              <w:t xml:space="preserve"> ± </w:t>
            </w:r>
            <w:r w:rsidRPr="001416ED">
              <w:rPr>
                <w:szCs w:val="22"/>
              </w:rPr>
              <w:t>1,36</w:t>
            </w:r>
          </w:p>
        </w:tc>
        <w:tc>
          <w:tcPr>
            <w:tcW w:w="1701" w:type="dxa"/>
          </w:tcPr>
          <w:p w:rsidR="006E1123" w:rsidRPr="001416ED" w:rsidRDefault="006E1123" w:rsidP="001F5D9E">
            <w:pPr>
              <w:spacing w:line="360" w:lineRule="auto"/>
              <w:rPr>
                <w:szCs w:val="22"/>
              </w:rPr>
            </w:pPr>
            <w:r w:rsidRPr="001416ED">
              <w:rPr>
                <w:szCs w:val="22"/>
                <w:lang w:val="en-US"/>
              </w:rPr>
              <w:t>63</w:t>
            </w:r>
            <w:r w:rsidRPr="001416ED">
              <w:rPr>
                <w:szCs w:val="22"/>
              </w:rPr>
              <w:t>,97</w:t>
            </w:r>
            <w:r w:rsidR="007A07A9" w:rsidRPr="001416ED">
              <w:rPr>
                <w:szCs w:val="22"/>
              </w:rPr>
              <w:t xml:space="preserve"> ± </w:t>
            </w:r>
            <w:r w:rsidRPr="001416ED">
              <w:rPr>
                <w:szCs w:val="22"/>
              </w:rPr>
              <w:t>1,24</w:t>
            </w:r>
          </w:p>
        </w:tc>
        <w:tc>
          <w:tcPr>
            <w:tcW w:w="1559" w:type="dxa"/>
          </w:tcPr>
          <w:p w:rsidR="006E1123" w:rsidRPr="001416ED" w:rsidRDefault="006E1123" w:rsidP="001F5D9E">
            <w:pPr>
              <w:spacing w:line="360" w:lineRule="auto"/>
              <w:rPr>
                <w:szCs w:val="22"/>
              </w:rPr>
            </w:pPr>
            <w:r w:rsidRPr="001416ED">
              <w:rPr>
                <w:szCs w:val="22"/>
                <w:lang w:val="en-US"/>
              </w:rPr>
              <w:t>59</w:t>
            </w:r>
            <w:r w:rsidRPr="001416ED">
              <w:rPr>
                <w:szCs w:val="22"/>
              </w:rPr>
              <w:t>,14</w:t>
            </w:r>
            <w:r w:rsidR="007A07A9" w:rsidRPr="001416ED">
              <w:rPr>
                <w:szCs w:val="22"/>
              </w:rPr>
              <w:t xml:space="preserve"> ± </w:t>
            </w:r>
            <w:r w:rsidRPr="001416ED">
              <w:rPr>
                <w:szCs w:val="22"/>
              </w:rPr>
              <w:t>1,71</w:t>
            </w:r>
          </w:p>
        </w:tc>
        <w:tc>
          <w:tcPr>
            <w:tcW w:w="1950" w:type="dxa"/>
          </w:tcPr>
          <w:p w:rsidR="006E1123" w:rsidRPr="001416ED" w:rsidRDefault="006E1123" w:rsidP="001F5D9E">
            <w:pPr>
              <w:spacing w:line="360" w:lineRule="auto"/>
              <w:rPr>
                <w:szCs w:val="22"/>
                <w:lang w:val="uk-UA"/>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uk-UA"/>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rPr>
              <w:t xml:space="preserve"> 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СІ, л/(хв.·м</w:t>
            </w:r>
            <w:r w:rsidRPr="001416ED">
              <w:rPr>
                <w:szCs w:val="22"/>
                <w:vertAlign w:val="superscript"/>
              </w:rPr>
              <w:t>2</w:t>
            </w:r>
            <w:r w:rsidRPr="001416ED">
              <w:rPr>
                <w:szCs w:val="22"/>
              </w:rPr>
              <w:t>)</w:t>
            </w:r>
          </w:p>
        </w:tc>
        <w:tc>
          <w:tcPr>
            <w:tcW w:w="1559" w:type="dxa"/>
          </w:tcPr>
          <w:p w:rsidR="006E1123" w:rsidRPr="001416ED" w:rsidRDefault="006E1123" w:rsidP="001F5D9E">
            <w:pPr>
              <w:spacing w:line="360" w:lineRule="auto"/>
              <w:rPr>
                <w:szCs w:val="22"/>
              </w:rPr>
            </w:pPr>
            <w:r w:rsidRPr="001416ED">
              <w:rPr>
                <w:szCs w:val="22"/>
              </w:rPr>
              <w:t>1,93</w:t>
            </w:r>
            <w:r w:rsidR="007A07A9" w:rsidRPr="001416ED">
              <w:rPr>
                <w:szCs w:val="22"/>
              </w:rPr>
              <w:t xml:space="preserve"> ± </w:t>
            </w:r>
            <w:r w:rsidRPr="001416ED">
              <w:rPr>
                <w:szCs w:val="22"/>
              </w:rPr>
              <w:t>0,06</w:t>
            </w:r>
          </w:p>
        </w:tc>
        <w:tc>
          <w:tcPr>
            <w:tcW w:w="1701" w:type="dxa"/>
          </w:tcPr>
          <w:p w:rsidR="006E1123" w:rsidRPr="001416ED" w:rsidRDefault="006E1123" w:rsidP="001F5D9E">
            <w:pPr>
              <w:spacing w:line="360" w:lineRule="auto"/>
              <w:rPr>
                <w:szCs w:val="22"/>
              </w:rPr>
            </w:pPr>
            <w:r w:rsidRPr="001416ED">
              <w:rPr>
                <w:szCs w:val="22"/>
              </w:rPr>
              <w:t>2,15</w:t>
            </w:r>
            <w:r w:rsidR="007A07A9" w:rsidRPr="001416ED">
              <w:rPr>
                <w:szCs w:val="22"/>
              </w:rPr>
              <w:t xml:space="preserve"> ± </w:t>
            </w:r>
            <w:r w:rsidRPr="001416ED">
              <w:rPr>
                <w:szCs w:val="22"/>
              </w:rPr>
              <w:t>0,09</w:t>
            </w:r>
          </w:p>
        </w:tc>
        <w:tc>
          <w:tcPr>
            <w:tcW w:w="1701" w:type="dxa"/>
          </w:tcPr>
          <w:p w:rsidR="006E1123" w:rsidRPr="001416ED" w:rsidRDefault="006E1123" w:rsidP="001F5D9E">
            <w:pPr>
              <w:spacing w:line="360" w:lineRule="auto"/>
              <w:rPr>
                <w:szCs w:val="22"/>
              </w:rPr>
            </w:pPr>
            <w:r w:rsidRPr="001416ED">
              <w:rPr>
                <w:szCs w:val="22"/>
              </w:rPr>
              <w:t>2,41</w:t>
            </w:r>
            <w:r w:rsidR="007A07A9" w:rsidRPr="001416ED">
              <w:rPr>
                <w:szCs w:val="22"/>
              </w:rPr>
              <w:t xml:space="preserve"> ± </w:t>
            </w:r>
            <w:r w:rsidRPr="001416ED">
              <w:rPr>
                <w:szCs w:val="22"/>
              </w:rPr>
              <w:t>0,10</w:t>
            </w:r>
          </w:p>
        </w:tc>
        <w:tc>
          <w:tcPr>
            <w:tcW w:w="1559" w:type="dxa"/>
          </w:tcPr>
          <w:p w:rsidR="006E1123" w:rsidRPr="001416ED" w:rsidRDefault="006E1123" w:rsidP="001F5D9E">
            <w:pPr>
              <w:spacing w:line="360" w:lineRule="auto"/>
              <w:rPr>
                <w:szCs w:val="22"/>
              </w:rPr>
            </w:pPr>
            <w:r w:rsidRPr="001416ED">
              <w:rPr>
                <w:szCs w:val="22"/>
              </w:rPr>
              <w:t>2,98</w:t>
            </w:r>
            <w:r w:rsidR="007A07A9" w:rsidRPr="001416ED">
              <w:rPr>
                <w:szCs w:val="22"/>
              </w:rPr>
              <w:t xml:space="preserve"> ± </w:t>
            </w:r>
            <w:r w:rsidRPr="001416ED">
              <w:rPr>
                <w:szCs w:val="22"/>
              </w:rPr>
              <w:t>0,16</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vertAlign w:val="superscript"/>
              </w:rPr>
            </w:pPr>
            <w:r w:rsidRPr="001416ED">
              <w:rPr>
                <w:szCs w:val="22"/>
              </w:rPr>
              <w:t>УІ, мл/м</w:t>
            </w:r>
            <w:r w:rsidRPr="001416ED">
              <w:rPr>
                <w:szCs w:val="22"/>
                <w:vertAlign w:val="superscript"/>
              </w:rPr>
              <w:t>2</w:t>
            </w:r>
          </w:p>
        </w:tc>
        <w:tc>
          <w:tcPr>
            <w:tcW w:w="1559" w:type="dxa"/>
          </w:tcPr>
          <w:p w:rsidR="006E1123" w:rsidRPr="001416ED" w:rsidRDefault="006E1123" w:rsidP="001F5D9E">
            <w:pPr>
              <w:spacing w:line="360" w:lineRule="auto"/>
              <w:rPr>
                <w:szCs w:val="22"/>
              </w:rPr>
            </w:pPr>
            <w:r w:rsidRPr="001416ED">
              <w:rPr>
                <w:szCs w:val="22"/>
              </w:rPr>
              <w:t>30,12</w:t>
            </w:r>
            <w:r w:rsidR="007A07A9" w:rsidRPr="001416ED">
              <w:rPr>
                <w:szCs w:val="22"/>
              </w:rPr>
              <w:t xml:space="preserve"> ± </w:t>
            </w:r>
            <w:r w:rsidRPr="001416ED">
              <w:rPr>
                <w:szCs w:val="22"/>
              </w:rPr>
              <w:t>0,94</w:t>
            </w:r>
          </w:p>
        </w:tc>
        <w:tc>
          <w:tcPr>
            <w:tcW w:w="1701" w:type="dxa"/>
          </w:tcPr>
          <w:p w:rsidR="006E1123" w:rsidRPr="001416ED" w:rsidRDefault="006E1123" w:rsidP="001F5D9E">
            <w:pPr>
              <w:spacing w:line="360" w:lineRule="auto"/>
              <w:rPr>
                <w:szCs w:val="22"/>
              </w:rPr>
            </w:pPr>
            <w:r w:rsidRPr="001416ED">
              <w:rPr>
                <w:szCs w:val="22"/>
              </w:rPr>
              <w:t>28,95</w:t>
            </w:r>
            <w:r w:rsidR="007A07A9" w:rsidRPr="001416ED">
              <w:rPr>
                <w:szCs w:val="22"/>
              </w:rPr>
              <w:t xml:space="preserve"> ± </w:t>
            </w:r>
            <w:r w:rsidRPr="001416ED">
              <w:rPr>
                <w:szCs w:val="22"/>
              </w:rPr>
              <w:t>1,22</w:t>
            </w:r>
          </w:p>
        </w:tc>
        <w:tc>
          <w:tcPr>
            <w:tcW w:w="1701" w:type="dxa"/>
          </w:tcPr>
          <w:p w:rsidR="006E1123" w:rsidRPr="001416ED" w:rsidRDefault="006E1123" w:rsidP="001F5D9E">
            <w:pPr>
              <w:spacing w:line="360" w:lineRule="auto"/>
              <w:rPr>
                <w:szCs w:val="22"/>
              </w:rPr>
            </w:pPr>
            <w:r w:rsidRPr="001416ED">
              <w:rPr>
                <w:szCs w:val="22"/>
              </w:rPr>
              <w:t>34,74</w:t>
            </w:r>
            <w:r w:rsidR="007A07A9" w:rsidRPr="001416ED">
              <w:rPr>
                <w:szCs w:val="22"/>
              </w:rPr>
              <w:t xml:space="preserve"> ± </w:t>
            </w:r>
            <w:r w:rsidRPr="001416ED">
              <w:rPr>
                <w:szCs w:val="22"/>
              </w:rPr>
              <w:t>1,25</w:t>
            </w:r>
          </w:p>
        </w:tc>
        <w:tc>
          <w:tcPr>
            <w:tcW w:w="1559" w:type="dxa"/>
          </w:tcPr>
          <w:p w:rsidR="006E1123" w:rsidRPr="001416ED" w:rsidRDefault="006E1123" w:rsidP="001F5D9E">
            <w:pPr>
              <w:spacing w:line="360" w:lineRule="auto"/>
              <w:rPr>
                <w:szCs w:val="22"/>
              </w:rPr>
            </w:pPr>
            <w:r w:rsidRPr="001416ED">
              <w:rPr>
                <w:szCs w:val="22"/>
              </w:rPr>
              <w:t>35,78</w:t>
            </w:r>
            <w:r w:rsidR="007A07A9" w:rsidRPr="001416ED">
              <w:rPr>
                <w:szCs w:val="22"/>
              </w:rPr>
              <w:t xml:space="preserve"> ± </w:t>
            </w:r>
            <w:r w:rsidRPr="001416ED">
              <w:rPr>
                <w:szCs w:val="22"/>
              </w:rPr>
              <w:t>1,53</w:t>
            </w:r>
          </w:p>
        </w:tc>
        <w:tc>
          <w:tcPr>
            <w:tcW w:w="1950" w:type="dxa"/>
          </w:tcPr>
          <w:p w:rsidR="006E1123" w:rsidRPr="001416ED" w:rsidRDefault="006E1123" w:rsidP="001F5D9E">
            <w:pPr>
              <w:spacing w:line="360" w:lineRule="auto"/>
              <w:rPr>
                <w:szCs w:val="22"/>
                <w:vertAlign w:val="subscript"/>
                <w:lang w:val="en-US"/>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lang w:val="en-US"/>
              </w:rPr>
              <w:t>S</w:t>
            </w:r>
            <w:r w:rsidRPr="001416ED">
              <w:rPr>
                <w:szCs w:val="22"/>
              </w:rPr>
              <w:t xml:space="preserve">, </w:t>
            </w:r>
            <w:r w:rsidR="00D4219F" w:rsidRPr="001416ED">
              <w:rPr>
                <w:szCs w:val="22"/>
              </w:rPr>
              <w:t xml:space="preserve"> %</w:t>
            </w:r>
          </w:p>
        </w:tc>
        <w:tc>
          <w:tcPr>
            <w:tcW w:w="1559" w:type="dxa"/>
          </w:tcPr>
          <w:p w:rsidR="006E1123" w:rsidRPr="001416ED" w:rsidRDefault="006E1123" w:rsidP="001F5D9E">
            <w:pPr>
              <w:spacing w:line="360" w:lineRule="auto"/>
              <w:rPr>
                <w:szCs w:val="22"/>
              </w:rPr>
            </w:pPr>
            <w:r w:rsidRPr="001416ED">
              <w:rPr>
                <w:szCs w:val="22"/>
              </w:rPr>
              <w:t>35,70</w:t>
            </w:r>
            <w:r w:rsidR="007A07A9" w:rsidRPr="001416ED">
              <w:rPr>
                <w:szCs w:val="22"/>
              </w:rPr>
              <w:t xml:space="preserve"> ± </w:t>
            </w:r>
            <w:r w:rsidRPr="001416ED">
              <w:rPr>
                <w:szCs w:val="22"/>
              </w:rPr>
              <w:t>0,84</w:t>
            </w:r>
          </w:p>
        </w:tc>
        <w:tc>
          <w:tcPr>
            <w:tcW w:w="1701" w:type="dxa"/>
          </w:tcPr>
          <w:p w:rsidR="006E1123" w:rsidRPr="001416ED" w:rsidRDefault="006E1123" w:rsidP="001F5D9E">
            <w:pPr>
              <w:spacing w:line="360" w:lineRule="auto"/>
              <w:rPr>
                <w:szCs w:val="22"/>
              </w:rPr>
            </w:pPr>
            <w:r w:rsidRPr="001416ED">
              <w:rPr>
                <w:szCs w:val="22"/>
              </w:rPr>
              <w:t>34,35</w:t>
            </w:r>
            <w:r w:rsidR="007A07A9" w:rsidRPr="001416ED">
              <w:rPr>
                <w:szCs w:val="22"/>
              </w:rPr>
              <w:t xml:space="preserve"> ± </w:t>
            </w:r>
            <w:r w:rsidRPr="001416ED">
              <w:rPr>
                <w:szCs w:val="22"/>
              </w:rPr>
              <w:t>1,04</w:t>
            </w:r>
          </w:p>
        </w:tc>
        <w:tc>
          <w:tcPr>
            <w:tcW w:w="1701" w:type="dxa"/>
          </w:tcPr>
          <w:p w:rsidR="006E1123" w:rsidRPr="001416ED" w:rsidRDefault="006E1123" w:rsidP="001F5D9E">
            <w:pPr>
              <w:spacing w:line="360" w:lineRule="auto"/>
              <w:rPr>
                <w:szCs w:val="22"/>
              </w:rPr>
            </w:pPr>
            <w:r w:rsidRPr="001416ED">
              <w:rPr>
                <w:szCs w:val="22"/>
              </w:rPr>
              <w:t>32,30</w:t>
            </w:r>
            <w:r w:rsidR="007A07A9" w:rsidRPr="001416ED">
              <w:rPr>
                <w:szCs w:val="22"/>
              </w:rPr>
              <w:t xml:space="preserve"> ± </w:t>
            </w:r>
            <w:r w:rsidRPr="001416ED">
              <w:rPr>
                <w:szCs w:val="22"/>
              </w:rPr>
              <w:t>0,89</w:t>
            </w:r>
          </w:p>
        </w:tc>
        <w:tc>
          <w:tcPr>
            <w:tcW w:w="1559" w:type="dxa"/>
          </w:tcPr>
          <w:p w:rsidR="006E1123" w:rsidRPr="001416ED" w:rsidRDefault="006E1123" w:rsidP="001F5D9E">
            <w:pPr>
              <w:spacing w:line="360" w:lineRule="auto"/>
              <w:rPr>
                <w:szCs w:val="22"/>
              </w:rPr>
            </w:pPr>
            <w:r w:rsidRPr="001416ED">
              <w:rPr>
                <w:szCs w:val="22"/>
              </w:rPr>
              <w:t>34,04</w:t>
            </w:r>
            <w:r w:rsidR="007A07A9" w:rsidRPr="001416ED">
              <w:rPr>
                <w:szCs w:val="22"/>
              </w:rPr>
              <w:t xml:space="preserve"> ± </w:t>
            </w:r>
            <w:r w:rsidRPr="001416ED">
              <w:rPr>
                <w:szCs w:val="22"/>
              </w:rPr>
              <w:t>1,36</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&amp;</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ЗПСО, дин•с•см</w:t>
            </w:r>
            <w:r w:rsidR="00BC0119" w:rsidRPr="001416ED">
              <w:rPr>
                <w:szCs w:val="22"/>
                <w:vertAlign w:val="superscript"/>
              </w:rPr>
              <w:t>–</w:t>
            </w:r>
            <w:r w:rsidRPr="001416ED">
              <w:rPr>
                <w:szCs w:val="22"/>
                <w:vertAlign w:val="superscript"/>
              </w:rPr>
              <w:t>5</w:t>
            </w:r>
          </w:p>
        </w:tc>
        <w:tc>
          <w:tcPr>
            <w:tcW w:w="1559" w:type="dxa"/>
          </w:tcPr>
          <w:p w:rsidR="006E1123" w:rsidRPr="001416ED" w:rsidRDefault="006E1123" w:rsidP="001F5D9E">
            <w:pPr>
              <w:spacing w:line="360" w:lineRule="auto"/>
              <w:rPr>
                <w:szCs w:val="22"/>
              </w:rPr>
            </w:pPr>
            <w:r w:rsidRPr="001416ED">
              <w:rPr>
                <w:szCs w:val="22"/>
              </w:rPr>
              <w:t>1345,21</w:t>
            </w:r>
            <w:r w:rsidR="007A07A9" w:rsidRPr="001416ED">
              <w:rPr>
                <w:szCs w:val="22"/>
              </w:rPr>
              <w:t xml:space="preserve"> ± </w:t>
            </w:r>
          </w:p>
          <w:p w:rsidR="006E1123" w:rsidRPr="001416ED" w:rsidRDefault="006E1123" w:rsidP="001F5D9E">
            <w:pPr>
              <w:spacing w:line="360" w:lineRule="auto"/>
              <w:rPr>
                <w:szCs w:val="22"/>
              </w:rPr>
            </w:pPr>
            <w:r w:rsidRPr="001416ED">
              <w:rPr>
                <w:szCs w:val="22"/>
              </w:rPr>
              <w:t>46,22</w:t>
            </w:r>
          </w:p>
        </w:tc>
        <w:tc>
          <w:tcPr>
            <w:tcW w:w="1701" w:type="dxa"/>
          </w:tcPr>
          <w:p w:rsidR="006E1123" w:rsidRPr="001416ED" w:rsidRDefault="006E1123" w:rsidP="001F5D9E">
            <w:pPr>
              <w:spacing w:line="360" w:lineRule="auto"/>
              <w:rPr>
                <w:szCs w:val="22"/>
              </w:rPr>
            </w:pPr>
            <w:r w:rsidRPr="001416ED">
              <w:rPr>
                <w:szCs w:val="22"/>
              </w:rPr>
              <w:t>1828,46</w:t>
            </w:r>
            <w:r w:rsidR="007A07A9" w:rsidRPr="001416ED">
              <w:rPr>
                <w:szCs w:val="22"/>
              </w:rPr>
              <w:t xml:space="preserve"> ± </w:t>
            </w:r>
          </w:p>
          <w:p w:rsidR="006E1123" w:rsidRPr="001416ED" w:rsidRDefault="006E1123" w:rsidP="001F5D9E">
            <w:pPr>
              <w:spacing w:line="360" w:lineRule="auto"/>
              <w:rPr>
                <w:szCs w:val="22"/>
              </w:rPr>
            </w:pPr>
            <w:r w:rsidRPr="001416ED">
              <w:rPr>
                <w:szCs w:val="22"/>
              </w:rPr>
              <w:t>91,74</w:t>
            </w:r>
          </w:p>
        </w:tc>
        <w:tc>
          <w:tcPr>
            <w:tcW w:w="1701" w:type="dxa"/>
          </w:tcPr>
          <w:p w:rsidR="006E1123" w:rsidRPr="001416ED" w:rsidRDefault="006E1123" w:rsidP="001F5D9E">
            <w:pPr>
              <w:spacing w:line="360" w:lineRule="auto"/>
              <w:rPr>
                <w:szCs w:val="22"/>
              </w:rPr>
            </w:pPr>
            <w:r w:rsidRPr="001416ED">
              <w:rPr>
                <w:szCs w:val="22"/>
              </w:rPr>
              <w:t>1680,28</w:t>
            </w:r>
            <w:r w:rsidR="007A07A9" w:rsidRPr="001416ED">
              <w:rPr>
                <w:szCs w:val="22"/>
              </w:rPr>
              <w:t xml:space="preserve"> ± </w:t>
            </w:r>
          </w:p>
          <w:p w:rsidR="006E1123" w:rsidRPr="001416ED" w:rsidRDefault="006E1123" w:rsidP="001F5D9E">
            <w:pPr>
              <w:spacing w:line="360" w:lineRule="auto"/>
              <w:rPr>
                <w:szCs w:val="22"/>
              </w:rPr>
            </w:pPr>
            <w:r w:rsidRPr="001416ED">
              <w:rPr>
                <w:szCs w:val="22"/>
              </w:rPr>
              <w:t>80,27</w:t>
            </w:r>
          </w:p>
        </w:tc>
        <w:tc>
          <w:tcPr>
            <w:tcW w:w="1559" w:type="dxa"/>
          </w:tcPr>
          <w:p w:rsidR="006E1123" w:rsidRPr="001416ED" w:rsidRDefault="006E1123" w:rsidP="001F5D9E">
            <w:pPr>
              <w:spacing w:line="360" w:lineRule="auto"/>
              <w:rPr>
                <w:szCs w:val="22"/>
              </w:rPr>
            </w:pPr>
            <w:r w:rsidRPr="001416ED">
              <w:rPr>
                <w:szCs w:val="22"/>
              </w:rPr>
              <w:t>2086,80</w:t>
            </w:r>
            <w:r w:rsidR="007A07A9" w:rsidRPr="001416ED">
              <w:rPr>
                <w:szCs w:val="22"/>
              </w:rPr>
              <w:t xml:space="preserve"> ± </w:t>
            </w:r>
          </w:p>
          <w:p w:rsidR="006E1123" w:rsidRPr="001416ED" w:rsidRDefault="006E1123" w:rsidP="001F5D9E">
            <w:pPr>
              <w:spacing w:line="360" w:lineRule="auto"/>
              <w:rPr>
                <w:szCs w:val="22"/>
              </w:rPr>
            </w:pPr>
            <w:r w:rsidRPr="001416ED">
              <w:rPr>
                <w:szCs w:val="22"/>
              </w:rPr>
              <w:t>125,45</w:t>
            </w:r>
          </w:p>
        </w:tc>
        <w:tc>
          <w:tcPr>
            <w:tcW w:w="1950" w:type="dxa"/>
          </w:tcPr>
          <w:p w:rsidR="006E1123" w:rsidRPr="001416ED" w:rsidRDefault="006E1123" w:rsidP="001F5D9E">
            <w:pPr>
              <w:spacing w:line="360" w:lineRule="auto"/>
              <w:rPr>
                <w:szCs w:val="22"/>
                <w:lang w:val="en-US"/>
              </w:rPr>
            </w:pPr>
            <w:r w:rsidRPr="001416ED">
              <w:rPr>
                <w:szCs w:val="22"/>
              </w:rPr>
              <w:t>р</w:t>
            </w:r>
            <w:r w:rsidRPr="001416ED">
              <w:rPr>
                <w:szCs w:val="22"/>
                <w:vertAlign w:val="subscript"/>
              </w:rPr>
              <w:t>2</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p>
          <w:p w:rsidR="006E1123" w:rsidRPr="001416ED" w:rsidRDefault="006E1123" w:rsidP="001F5D9E">
            <w:pPr>
              <w:spacing w:line="360" w:lineRule="auto"/>
              <w:rPr>
                <w:szCs w:val="22"/>
                <w:lang w:val="en-US"/>
              </w:rPr>
            </w:pP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ППСО ум.од.</w:t>
            </w:r>
          </w:p>
        </w:tc>
        <w:tc>
          <w:tcPr>
            <w:tcW w:w="1559" w:type="dxa"/>
          </w:tcPr>
          <w:p w:rsidR="006E1123" w:rsidRPr="001416ED" w:rsidRDefault="006E1123" w:rsidP="001F5D9E">
            <w:pPr>
              <w:spacing w:line="360" w:lineRule="auto"/>
              <w:rPr>
                <w:szCs w:val="22"/>
              </w:rPr>
            </w:pPr>
            <w:r w:rsidRPr="001416ED">
              <w:rPr>
                <w:szCs w:val="22"/>
              </w:rPr>
              <w:t>48,95</w:t>
            </w:r>
            <w:r w:rsidR="007A07A9" w:rsidRPr="001416ED">
              <w:rPr>
                <w:szCs w:val="22"/>
              </w:rPr>
              <w:t xml:space="preserve"> ± </w:t>
            </w:r>
            <w:r w:rsidRPr="001416ED">
              <w:rPr>
                <w:szCs w:val="22"/>
              </w:rPr>
              <w:t>1,87</w:t>
            </w:r>
          </w:p>
        </w:tc>
        <w:tc>
          <w:tcPr>
            <w:tcW w:w="1701" w:type="dxa"/>
          </w:tcPr>
          <w:p w:rsidR="006E1123" w:rsidRPr="001416ED" w:rsidRDefault="006E1123" w:rsidP="001F5D9E">
            <w:pPr>
              <w:spacing w:line="360" w:lineRule="auto"/>
              <w:rPr>
                <w:szCs w:val="22"/>
              </w:rPr>
            </w:pPr>
            <w:r w:rsidRPr="001416ED">
              <w:rPr>
                <w:szCs w:val="22"/>
              </w:rPr>
              <w:t>50,61</w:t>
            </w:r>
            <w:r w:rsidR="007A07A9" w:rsidRPr="001416ED">
              <w:rPr>
                <w:szCs w:val="22"/>
              </w:rPr>
              <w:t xml:space="preserve"> ± </w:t>
            </w:r>
            <w:r w:rsidRPr="001416ED">
              <w:rPr>
                <w:szCs w:val="22"/>
              </w:rPr>
              <w:t>2,18</w:t>
            </w:r>
          </w:p>
        </w:tc>
        <w:tc>
          <w:tcPr>
            <w:tcW w:w="1701" w:type="dxa"/>
          </w:tcPr>
          <w:p w:rsidR="006E1123" w:rsidRPr="001416ED" w:rsidRDefault="006E1123" w:rsidP="001F5D9E">
            <w:pPr>
              <w:spacing w:line="360" w:lineRule="auto"/>
              <w:rPr>
                <w:szCs w:val="22"/>
              </w:rPr>
            </w:pPr>
            <w:r w:rsidRPr="001416ED">
              <w:rPr>
                <w:szCs w:val="22"/>
              </w:rPr>
              <w:t>5</w:t>
            </w:r>
            <w:r w:rsidRPr="001416ED">
              <w:rPr>
                <w:szCs w:val="22"/>
                <w:lang w:val="en-US"/>
              </w:rPr>
              <w:t>2</w:t>
            </w:r>
            <w:r w:rsidRPr="001416ED">
              <w:rPr>
                <w:szCs w:val="22"/>
              </w:rPr>
              <w:t>,99</w:t>
            </w:r>
            <w:r w:rsidR="007A07A9" w:rsidRPr="001416ED">
              <w:rPr>
                <w:szCs w:val="22"/>
              </w:rPr>
              <w:t xml:space="preserve"> ± </w:t>
            </w:r>
            <w:r w:rsidRPr="001416ED">
              <w:rPr>
                <w:szCs w:val="22"/>
              </w:rPr>
              <w:t>2,53</w:t>
            </w:r>
          </w:p>
        </w:tc>
        <w:tc>
          <w:tcPr>
            <w:tcW w:w="1559" w:type="dxa"/>
          </w:tcPr>
          <w:p w:rsidR="006E1123" w:rsidRPr="001416ED" w:rsidRDefault="006E1123" w:rsidP="001F5D9E">
            <w:pPr>
              <w:spacing w:line="360" w:lineRule="auto"/>
              <w:rPr>
                <w:szCs w:val="22"/>
              </w:rPr>
            </w:pPr>
            <w:r w:rsidRPr="001416ED">
              <w:rPr>
                <w:szCs w:val="22"/>
              </w:rPr>
              <w:t>4</w:t>
            </w:r>
            <w:r w:rsidRPr="001416ED">
              <w:rPr>
                <w:szCs w:val="22"/>
                <w:lang w:val="en-US"/>
              </w:rPr>
              <w:t>9</w:t>
            </w:r>
            <w:r w:rsidRPr="001416ED">
              <w:rPr>
                <w:szCs w:val="22"/>
              </w:rPr>
              <w:t>,90</w:t>
            </w:r>
            <w:r w:rsidR="007A07A9" w:rsidRPr="001416ED">
              <w:rPr>
                <w:szCs w:val="22"/>
              </w:rPr>
              <w:t xml:space="preserve"> ± </w:t>
            </w:r>
            <w:r w:rsidRPr="001416ED">
              <w:rPr>
                <w:szCs w:val="22"/>
              </w:rPr>
              <w:t>2,96</w:t>
            </w:r>
          </w:p>
        </w:tc>
        <w:tc>
          <w:tcPr>
            <w:tcW w:w="1950" w:type="dxa"/>
          </w:tcPr>
          <w:p w:rsidR="006E1123" w:rsidRPr="001416ED" w:rsidRDefault="00BC0119" w:rsidP="001F5D9E">
            <w:pPr>
              <w:spacing w:line="360" w:lineRule="auto"/>
              <w:rPr>
                <w:szCs w:val="22"/>
                <w:lang w:val="en-US"/>
              </w:rPr>
            </w:pPr>
            <w:r w:rsidRPr="001416ED">
              <w:rPr>
                <w:szCs w:val="22"/>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ЛП, см</w:t>
            </w:r>
          </w:p>
        </w:tc>
        <w:tc>
          <w:tcPr>
            <w:tcW w:w="1559" w:type="dxa"/>
          </w:tcPr>
          <w:p w:rsidR="006E1123" w:rsidRPr="001416ED" w:rsidRDefault="006E1123" w:rsidP="001F5D9E">
            <w:pPr>
              <w:spacing w:line="360" w:lineRule="auto"/>
              <w:rPr>
                <w:szCs w:val="22"/>
              </w:rPr>
            </w:pPr>
            <w:r w:rsidRPr="001416ED">
              <w:rPr>
                <w:szCs w:val="22"/>
              </w:rPr>
              <w:t>3,24</w:t>
            </w:r>
            <w:r w:rsidR="007A07A9" w:rsidRPr="001416ED">
              <w:rPr>
                <w:szCs w:val="22"/>
              </w:rPr>
              <w:t xml:space="preserve"> ± </w:t>
            </w:r>
            <w:r w:rsidRPr="001416ED">
              <w:rPr>
                <w:szCs w:val="22"/>
              </w:rPr>
              <w:t>0,05</w:t>
            </w:r>
          </w:p>
        </w:tc>
        <w:tc>
          <w:tcPr>
            <w:tcW w:w="1701" w:type="dxa"/>
          </w:tcPr>
          <w:p w:rsidR="006E1123" w:rsidRPr="001416ED" w:rsidRDefault="006E1123" w:rsidP="001F5D9E">
            <w:pPr>
              <w:spacing w:line="360" w:lineRule="auto"/>
              <w:rPr>
                <w:szCs w:val="22"/>
              </w:rPr>
            </w:pPr>
            <w:r w:rsidRPr="001416ED">
              <w:rPr>
                <w:szCs w:val="22"/>
              </w:rPr>
              <w:t>3,31</w:t>
            </w:r>
            <w:r w:rsidR="007A07A9" w:rsidRPr="001416ED">
              <w:rPr>
                <w:szCs w:val="22"/>
              </w:rPr>
              <w:t xml:space="preserve"> ± </w:t>
            </w:r>
            <w:r w:rsidRPr="001416ED">
              <w:rPr>
                <w:szCs w:val="22"/>
              </w:rPr>
              <w:t>0,09</w:t>
            </w:r>
          </w:p>
        </w:tc>
        <w:tc>
          <w:tcPr>
            <w:tcW w:w="1701" w:type="dxa"/>
          </w:tcPr>
          <w:p w:rsidR="006E1123" w:rsidRPr="001416ED" w:rsidRDefault="006E1123" w:rsidP="001F5D9E">
            <w:pPr>
              <w:spacing w:line="360" w:lineRule="auto"/>
              <w:rPr>
                <w:szCs w:val="22"/>
              </w:rPr>
            </w:pPr>
            <w:r w:rsidRPr="001416ED">
              <w:rPr>
                <w:szCs w:val="22"/>
              </w:rPr>
              <w:t>3,64</w:t>
            </w:r>
            <w:r w:rsidR="007A07A9" w:rsidRPr="001416ED">
              <w:rPr>
                <w:szCs w:val="22"/>
              </w:rPr>
              <w:t xml:space="preserve"> ± </w:t>
            </w:r>
            <w:r w:rsidRPr="001416ED">
              <w:rPr>
                <w:szCs w:val="22"/>
              </w:rPr>
              <w:t>0,09</w:t>
            </w:r>
          </w:p>
        </w:tc>
        <w:tc>
          <w:tcPr>
            <w:tcW w:w="1559" w:type="dxa"/>
          </w:tcPr>
          <w:p w:rsidR="006E1123" w:rsidRPr="001416ED" w:rsidRDefault="006E1123" w:rsidP="001F5D9E">
            <w:pPr>
              <w:spacing w:line="360" w:lineRule="auto"/>
              <w:rPr>
                <w:szCs w:val="22"/>
              </w:rPr>
            </w:pPr>
            <w:r w:rsidRPr="001416ED">
              <w:rPr>
                <w:szCs w:val="22"/>
              </w:rPr>
              <w:t>3,70</w:t>
            </w:r>
            <w:r w:rsidR="007A07A9" w:rsidRPr="001416ED">
              <w:rPr>
                <w:szCs w:val="22"/>
              </w:rPr>
              <w:t xml:space="preserve"> ± </w:t>
            </w:r>
            <w:r w:rsidRPr="001416ED">
              <w:rPr>
                <w:szCs w:val="22"/>
              </w:rPr>
              <w:t>0,09</w:t>
            </w:r>
          </w:p>
        </w:tc>
        <w:tc>
          <w:tcPr>
            <w:tcW w:w="1950" w:type="dxa"/>
          </w:tcPr>
          <w:p w:rsidR="006E1123" w:rsidRPr="001416ED" w:rsidRDefault="00BC0119" w:rsidP="001F5D9E">
            <w:pPr>
              <w:spacing w:line="360" w:lineRule="auto"/>
              <w:rPr>
                <w:szCs w:val="22"/>
                <w:lang w:val="en-US"/>
              </w:rPr>
            </w:pPr>
            <w:r w:rsidRPr="001416ED">
              <w:rPr>
                <w:szCs w:val="22"/>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Е/А, ум.од.</w:t>
            </w:r>
          </w:p>
        </w:tc>
        <w:tc>
          <w:tcPr>
            <w:tcW w:w="1559" w:type="dxa"/>
          </w:tcPr>
          <w:p w:rsidR="006E1123" w:rsidRPr="001416ED" w:rsidRDefault="006E1123" w:rsidP="001F5D9E">
            <w:pPr>
              <w:spacing w:line="360" w:lineRule="auto"/>
              <w:rPr>
                <w:szCs w:val="22"/>
              </w:rPr>
            </w:pPr>
            <w:r w:rsidRPr="001416ED">
              <w:rPr>
                <w:szCs w:val="22"/>
              </w:rPr>
              <w:t>1,55</w:t>
            </w:r>
            <w:r w:rsidR="007A07A9" w:rsidRPr="001416ED">
              <w:rPr>
                <w:szCs w:val="22"/>
              </w:rPr>
              <w:t xml:space="preserve"> ± </w:t>
            </w:r>
            <w:r w:rsidRPr="001416ED">
              <w:rPr>
                <w:szCs w:val="22"/>
              </w:rPr>
              <w:t>0,04</w:t>
            </w:r>
          </w:p>
        </w:tc>
        <w:tc>
          <w:tcPr>
            <w:tcW w:w="1701" w:type="dxa"/>
          </w:tcPr>
          <w:p w:rsidR="006E1123" w:rsidRPr="001416ED" w:rsidRDefault="006E1123" w:rsidP="001F5D9E">
            <w:pPr>
              <w:spacing w:line="360" w:lineRule="auto"/>
              <w:rPr>
                <w:szCs w:val="22"/>
              </w:rPr>
            </w:pPr>
            <w:r w:rsidRPr="001416ED">
              <w:rPr>
                <w:szCs w:val="22"/>
              </w:rPr>
              <w:t>1,53</w:t>
            </w:r>
            <w:r w:rsidR="007A07A9" w:rsidRPr="001416ED">
              <w:rPr>
                <w:szCs w:val="22"/>
              </w:rPr>
              <w:t xml:space="preserve"> ± </w:t>
            </w:r>
            <w:r w:rsidRPr="001416ED">
              <w:rPr>
                <w:szCs w:val="22"/>
              </w:rPr>
              <w:t>0,06</w:t>
            </w:r>
          </w:p>
        </w:tc>
        <w:tc>
          <w:tcPr>
            <w:tcW w:w="1701" w:type="dxa"/>
          </w:tcPr>
          <w:p w:rsidR="006E1123" w:rsidRPr="001416ED" w:rsidRDefault="006E1123" w:rsidP="001F5D9E">
            <w:pPr>
              <w:spacing w:line="360" w:lineRule="auto"/>
              <w:rPr>
                <w:szCs w:val="22"/>
              </w:rPr>
            </w:pPr>
            <w:r w:rsidRPr="001416ED">
              <w:rPr>
                <w:szCs w:val="22"/>
              </w:rPr>
              <w:t>0</w:t>
            </w:r>
            <w:r w:rsidRPr="001416ED">
              <w:rPr>
                <w:szCs w:val="22"/>
                <w:lang w:val="en-US"/>
              </w:rPr>
              <w:t>,85</w:t>
            </w:r>
            <w:r w:rsidR="007A07A9" w:rsidRPr="001416ED">
              <w:rPr>
                <w:szCs w:val="22"/>
              </w:rPr>
              <w:t xml:space="preserve"> ± </w:t>
            </w:r>
            <w:r w:rsidRPr="001416ED">
              <w:rPr>
                <w:szCs w:val="22"/>
              </w:rPr>
              <w:t>0,06</w:t>
            </w:r>
          </w:p>
        </w:tc>
        <w:tc>
          <w:tcPr>
            <w:tcW w:w="1559" w:type="dxa"/>
          </w:tcPr>
          <w:p w:rsidR="006E1123" w:rsidRPr="001416ED" w:rsidRDefault="006E1123" w:rsidP="001F5D9E">
            <w:pPr>
              <w:spacing w:line="360" w:lineRule="auto"/>
              <w:rPr>
                <w:szCs w:val="22"/>
              </w:rPr>
            </w:pPr>
            <w:r w:rsidRPr="001416ED">
              <w:rPr>
                <w:szCs w:val="22"/>
              </w:rPr>
              <w:t>0,</w:t>
            </w:r>
            <w:r w:rsidRPr="001416ED">
              <w:rPr>
                <w:szCs w:val="22"/>
                <w:lang w:val="en-US"/>
              </w:rPr>
              <w:t>72</w:t>
            </w:r>
            <w:r w:rsidR="007A07A9" w:rsidRPr="001416ED">
              <w:rPr>
                <w:szCs w:val="22"/>
              </w:rPr>
              <w:t xml:space="preserve"> ± </w:t>
            </w:r>
            <w:r w:rsidRPr="001416ED">
              <w:rPr>
                <w:szCs w:val="22"/>
              </w:rPr>
              <w:t>0,07</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lang w:val="en-US"/>
              </w:rPr>
              <w:t>D</w:t>
            </w:r>
            <w:r w:rsidRPr="001416ED">
              <w:rPr>
                <w:szCs w:val="22"/>
              </w:rPr>
              <w:t>Т, мс</w:t>
            </w:r>
          </w:p>
        </w:tc>
        <w:tc>
          <w:tcPr>
            <w:tcW w:w="1559" w:type="dxa"/>
          </w:tcPr>
          <w:p w:rsidR="006E1123" w:rsidRPr="001416ED" w:rsidRDefault="006E1123" w:rsidP="001F5D9E">
            <w:pPr>
              <w:spacing w:line="360" w:lineRule="auto"/>
              <w:rPr>
                <w:szCs w:val="22"/>
              </w:rPr>
            </w:pPr>
            <w:r w:rsidRPr="001416ED">
              <w:rPr>
                <w:szCs w:val="22"/>
              </w:rPr>
              <w:t>165,88</w:t>
            </w:r>
            <w:r w:rsidR="007A07A9" w:rsidRPr="001416ED">
              <w:rPr>
                <w:szCs w:val="22"/>
              </w:rPr>
              <w:t xml:space="preserve"> ± </w:t>
            </w:r>
          </w:p>
          <w:p w:rsidR="006E1123" w:rsidRPr="001416ED" w:rsidRDefault="006E1123" w:rsidP="001F5D9E">
            <w:pPr>
              <w:spacing w:line="360" w:lineRule="auto"/>
              <w:rPr>
                <w:szCs w:val="22"/>
              </w:rPr>
            </w:pPr>
            <w:r w:rsidRPr="001416ED">
              <w:rPr>
                <w:szCs w:val="22"/>
              </w:rPr>
              <w:t>2,28</w:t>
            </w:r>
          </w:p>
        </w:tc>
        <w:tc>
          <w:tcPr>
            <w:tcW w:w="1701" w:type="dxa"/>
          </w:tcPr>
          <w:p w:rsidR="006E1123" w:rsidRPr="001416ED" w:rsidRDefault="006E1123" w:rsidP="001F5D9E">
            <w:pPr>
              <w:spacing w:line="360" w:lineRule="auto"/>
              <w:rPr>
                <w:szCs w:val="22"/>
              </w:rPr>
            </w:pPr>
            <w:r w:rsidRPr="001416ED">
              <w:rPr>
                <w:szCs w:val="22"/>
              </w:rPr>
              <w:t>164,48</w:t>
            </w:r>
            <w:r w:rsidR="007A07A9" w:rsidRPr="001416ED">
              <w:rPr>
                <w:szCs w:val="22"/>
              </w:rPr>
              <w:t xml:space="preserve"> ± </w:t>
            </w:r>
          </w:p>
          <w:p w:rsidR="006E1123" w:rsidRPr="001416ED" w:rsidRDefault="006E1123" w:rsidP="001F5D9E">
            <w:pPr>
              <w:spacing w:line="360" w:lineRule="auto"/>
              <w:rPr>
                <w:szCs w:val="22"/>
              </w:rPr>
            </w:pPr>
            <w:r w:rsidRPr="001416ED">
              <w:rPr>
                <w:szCs w:val="22"/>
              </w:rPr>
              <w:t>3,80</w:t>
            </w:r>
          </w:p>
        </w:tc>
        <w:tc>
          <w:tcPr>
            <w:tcW w:w="1701" w:type="dxa"/>
          </w:tcPr>
          <w:p w:rsidR="006E1123" w:rsidRPr="001416ED" w:rsidRDefault="006E1123" w:rsidP="001F5D9E">
            <w:pPr>
              <w:spacing w:line="360" w:lineRule="auto"/>
              <w:rPr>
                <w:szCs w:val="22"/>
              </w:rPr>
            </w:pPr>
            <w:r w:rsidRPr="001416ED">
              <w:rPr>
                <w:szCs w:val="22"/>
              </w:rPr>
              <w:t>2</w:t>
            </w:r>
            <w:r w:rsidRPr="001416ED">
              <w:rPr>
                <w:szCs w:val="22"/>
                <w:lang w:val="en-US"/>
              </w:rPr>
              <w:t>48</w:t>
            </w:r>
            <w:r w:rsidRPr="001416ED">
              <w:rPr>
                <w:szCs w:val="22"/>
              </w:rPr>
              <w:t>,11</w:t>
            </w:r>
            <w:r w:rsidR="007A07A9" w:rsidRPr="001416ED">
              <w:rPr>
                <w:szCs w:val="22"/>
              </w:rPr>
              <w:t xml:space="preserve"> ± </w:t>
            </w:r>
          </w:p>
          <w:p w:rsidR="006E1123" w:rsidRPr="001416ED" w:rsidRDefault="006E1123" w:rsidP="001F5D9E">
            <w:pPr>
              <w:spacing w:line="360" w:lineRule="auto"/>
              <w:rPr>
                <w:szCs w:val="22"/>
              </w:rPr>
            </w:pPr>
            <w:r w:rsidRPr="001416ED">
              <w:rPr>
                <w:szCs w:val="22"/>
              </w:rPr>
              <w:t>8,47</w:t>
            </w:r>
          </w:p>
        </w:tc>
        <w:tc>
          <w:tcPr>
            <w:tcW w:w="1559" w:type="dxa"/>
          </w:tcPr>
          <w:p w:rsidR="006E1123" w:rsidRPr="001416ED" w:rsidRDefault="006E1123" w:rsidP="001F5D9E">
            <w:pPr>
              <w:spacing w:line="360" w:lineRule="auto"/>
              <w:rPr>
                <w:szCs w:val="22"/>
              </w:rPr>
            </w:pPr>
            <w:r w:rsidRPr="001416ED">
              <w:rPr>
                <w:szCs w:val="22"/>
              </w:rPr>
              <w:t>24</w:t>
            </w:r>
            <w:r w:rsidRPr="001416ED">
              <w:rPr>
                <w:szCs w:val="22"/>
                <w:lang w:val="en-US"/>
              </w:rPr>
              <w:t>4</w:t>
            </w:r>
            <w:r w:rsidRPr="001416ED">
              <w:rPr>
                <w:szCs w:val="22"/>
              </w:rPr>
              <w:t>,63</w:t>
            </w:r>
            <w:r w:rsidR="007A07A9" w:rsidRPr="001416ED">
              <w:rPr>
                <w:szCs w:val="22"/>
              </w:rPr>
              <w:t xml:space="preserve"> ± </w:t>
            </w:r>
          </w:p>
          <w:p w:rsidR="006E1123" w:rsidRPr="001416ED" w:rsidRDefault="006E1123" w:rsidP="001F5D9E">
            <w:pPr>
              <w:spacing w:line="360" w:lineRule="auto"/>
              <w:rPr>
                <w:szCs w:val="22"/>
              </w:rPr>
            </w:pPr>
            <w:r w:rsidRPr="001416ED">
              <w:rPr>
                <w:szCs w:val="22"/>
              </w:rPr>
              <w:t>8,03</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rPr>
              <w:t>,</w:t>
            </w:r>
            <w:r w:rsidRPr="001416ED">
              <w:rPr>
                <w:szCs w:val="22"/>
                <w:vertAlign w:val="subscript"/>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IVRT, мс</w:t>
            </w:r>
          </w:p>
        </w:tc>
        <w:tc>
          <w:tcPr>
            <w:tcW w:w="1559" w:type="dxa"/>
          </w:tcPr>
          <w:p w:rsidR="006E1123" w:rsidRPr="001416ED" w:rsidRDefault="006E1123" w:rsidP="001F5D9E">
            <w:pPr>
              <w:spacing w:line="360" w:lineRule="auto"/>
              <w:rPr>
                <w:szCs w:val="22"/>
              </w:rPr>
            </w:pPr>
            <w:r w:rsidRPr="001416ED">
              <w:rPr>
                <w:szCs w:val="22"/>
              </w:rPr>
              <w:t>76,42</w:t>
            </w:r>
            <w:r w:rsidR="007A07A9" w:rsidRPr="001416ED">
              <w:rPr>
                <w:szCs w:val="22"/>
              </w:rPr>
              <w:t xml:space="preserve"> ± </w:t>
            </w:r>
            <w:r w:rsidRPr="001416ED">
              <w:rPr>
                <w:szCs w:val="22"/>
              </w:rPr>
              <w:t xml:space="preserve">0,10                                                                                                                                                           </w:t>
            </w:r>
          </w:p>
        </w:tc>
        <w:tc>
          <w:tcPr>
            <w:tcW w:w="1701" w:type="dxa"/>
          </w:tcPr>
          <w:p w:rsidR="006E1123" w:rsidRPr="001416ED" w:rsidRDefault="006E1123" w:rsidP="001F5D9E">
            <w:pPr>
              <w:spacing w:line="360" w:lineRule="auto"/>
              <w:rPr>
                <w:szCs w:val="22"/>
              </w:rPr>
            </w:pPr>
            <w:r w:rsidRPr="001416ED">
              <w:rPr>
                <w:szCs w:val="22"/>
              </w:rPr>
              <w:t>77,56</w:t>
            </w:r>
            <w:r w:rsidR="007A07A9" w:rsidRPr="001416ED">
              <w:rPr>
                <w:szCs w:val="22"/>
              </w:rPr>
              <w:t xml:space="preserve"> ± </w:t>
            </w:r>
            <w:r w:rsidRPr="001416ED">
              <w:rPr>
                <w:szCs w:val="22"/>
              </w:rPr>
              <w:t>1,60</w:t>
            </w:r>
          </w:p>
        </w:tc>
        <w:tc>
          <w:tcPr>
            <w:tcW w:w="1701" w:type="dxa"/>
          </w:tcPr>
          <w:p w:rsidR="006E1123" w:rsidRPr="001416ED" w:rsidRDefault="006E1123" w:rsidP="001F5D9E">
            <w:pPr>
              <w:spacing w:line="360" w:lineRule="auto"/>
              <w:rPr>
                <w:szCs w:val="22"/>
              </w:rPr>
            </w:pPr>
            <w:r w:rsidRPr="001416ED">
              <w:rPr>
                <w:szCs w:val="22"/>
              </w:rPr>
              <w:t>82,40</w:t>
            </w:r>
            <w:r w:rsidR="007A07A9" w:rsidRPr="001416ED">
              <w:rPr>
                <w:szCs w:val="22"/>
              </w:rPr>
              <w:t xml:space="preserve"> ± </w:t>
            </w:r>
            <w:r w:rsidRPr="001416ED">
              <w:rPr>
                <w:szCs w:val="22"/>
              </w:rPr>
              <w:t>2,40</w:t>
            </w:r>
          </w:p>
        </w:tc>
        <w:tc>
          <w:tcPr>
            <w:tcW w:w="1559" w:type="dxa"/>
          </w:tcPr>
          <w:p w:rsidR="006E1123" w:rsidRPr="001416ED" w:rsidRDefault="006E1123" w:rsidP="001F5D9E">
            <w:pPr>
              <w:spacing w:line="360" w:lineRule="auto"/>
              <w:rPr>
                <w:szCs w:val="22"/>
              </w:rPr>
            </w:pPr>
            <w:r w:rsidRPr="001416ED">
              <w:rPr>
                <w:szCs w:val="22"/>
              </w:rPr>
              <w:t>98,52</w:t>
            </w:r>
            <w:r w:rsidR="007A07A9" w:rsidRPr="001416ED">
              <w:rPr>
                <w:szCs w:val="22"/>
              </w:rPr>
              <w:t xml:space="preserve"> ± </w:t>
            </w:r>
            <w:r w:rsidRPr="001416ED">
              <w:rPr>
                <w:szCs w:val="22"/>
              </w:rPr>
              <w:t>2,94</w:t>
            </w:r>
          </w:p>
        </w:tc>
        <w:tc>
          <w:tcPr>
            <w:tcW w:w="1950" w:type="dxa"/>
          </w:tcPr>
          <w:p w:rsidR="006E1123" w:rsidRPr="001416ED" w:rsidRDefault="006E1123" w:rsidP="001F5D9E">
            <w:pPr>
              <w:spacing w:line="360" w:lineRule="auto"/>
              <w:rPr>
                <w:szCs w:val="22"/>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lang w:val="en-US"/>
              </w:rPr>
            </w:pPr>
            <w:r w:rsidRPr="001416ED">
              <w:rPr>
                <w:szCs w:val="22"/>
              </w:rPr>
              <w:t>САТ,</w:t>
            </w:r>
          </w:p>
          <w:p w:rsidR="006E1123" w:rsidRPr="001416ED" w:rsidRDefault="006E1123" w:rsidP="001F5D9E">
            <w:pPr>
              <w:spacing w:line="360" w:lineRule="auto"/>
              <w:rPr>
                <w:szCs w:val="22"/>
              </w:rPr>
            </w:pPr>
            <w:proofErr w:type="gramStart"/>
            <w:r w:rsidRPr="001416ED">
              <w:rPr>
                <w:szCs w:val="22"/>
              </w:rPr>
              <w:t>мм</w:t>
            </w:r>
            <w:proofErr w:type="gramEnd"/>
            <w:r w:rsidRPr="001416ED">
              <w:rPr>
                <w:szCs w:val="22"/>
              </w:rPr>
              <w:t xml:space="preserve"> рт. ст.</w:t>
            </w:r>
          </w:p>
        </w:tc>
        <w:tc>
          <w:tcPr>
            <w:tcW w:w="1559" w:type="dxa"/>
          </w:tcPr>
          <w:p w:rsidR="00150860" w:rsidRPr="001416ED" w:rsidRDefault="006E1123" w:rsidP="00931447">
            <w:pPr>
              <w:spacing w:line="360" w:lineRule="auto"/>
              <w:rPr>
                <w:szCs w:val="22"/>
              </w:rPr>
            </w:pPr>
            <w:r w:rsidRPr="001416ED">
              <w:rPr>
                <w:szCs w:val="22"/>
              </w:rPr>
              <w:t>118,94</w:t>
            </w:r>
            <w:r w:rsidR="007A07A9" w:rsidRPr="001416ED">
              <w:rPr>
                <w:szCs w:val="22"/>
              </w:rPr>
              <w:t xml:space="preserve"> ± </w:t>
            </w:r>
          </w:p>
          <w:p w:rsidR="006E1123" w:rsidRPr="001416ED" w:rsidRDefault="006E1123" w:rsidP="00931447">
            <w:pPr>
              <w:spacing w:line="360" w:lineRule="auto"/>
              <w:rPr>
                <w:szCs w:val="22"/>
              </w:rPr>
            </w:pPr>
            <w:r w:rsidRPr="001416ED">
              <w:rPr>
                <w:szCs w:val="22"/>
              </w:rPr>
              <w:t>1,39</w:t>
            </w:r>
          </w:p>
        </w:tc>
        <w:tc>
          <w:tcPr>
            <w:tcW w:w="1701" w:type="dxa"/>
          </w:tcPr>
          <w:p w:rsidR="00150860" w:rsidRPr="001416ED" w:rsidRDefault="006E1123" w:rsidP="00931447">
            <w:pPr>
              <w:spacing w:line="360" w:lineRule="auto"/>
              <w:rPr>
                <w:szCs w:val="22"/>
              </w:rPr>
            </w:pPr>
            <w:r w:rsidRPr="001416ED">
              <w:rPr>
                <w:szCs w:val="22"/>
              </w:rPr>
              <w:t>123,52</w:t>
            </w:r>
            <w:r w:rsidR="007A07A9" w:rsidRPr="001416ED">
              <w:rPr>
                <w:szCs w:val="22"/>
              </w:rPr>
              <w:t xml:space="preserve"> ± </w:t>
            </w:r>
          </w:p>
          <w:p w:rsidR="006E1123" w:rsidRPr="001416ED" w:rsidRDefault="006E1123" w:rsidP="00931447">
            <w:pPr>
              <w:spacing w:line="360" w:lineRule="auto"/>
              <w:rPr>
                <w:szCs w:val="22"/>
              </w:rPr>
            </w:pPr>
            <w:r w:rsidRPr="001416ED">
              <w:rPr>
                <w:szCs w:val="22"/>
              </w:rPr>
              <w:t>1,71</w:t>
            </w:r>
          </w:p>
        </w:tc>
        <w:tc>
          <w:tcPr>
            <w:tcW w:w="1701" w:type="dxa"/>
          </w:tcPr>
          <w:p w:rsidR="00150860" w:rsidRPr="001416ED" w:rsidRDefault="006E1123" w:rsidP="00931447">
            <w:pPr>
              <w:spacing w:line="360" w:lineRule="auto"/>
              <w:rPr>
                <w:szCs w:val="22"/>
              </w:rPr>
            </w:pPr>
            <w:r w:rsidRPr="001416ED">
              <w:rPr>
                <w:szCs w:val="22"/>
              </w:rPr>
              <w:t>161,97</w:t>
            </w:r>
            <w:r w:rsidR="007A07A9" w:rsidRPr="001416ED">
              <w:rPr>
                <w:szCs w:val="22"/>
              </w:rPr>
              <w:t xml:space="preserve"> ± </w:t>
            </w:r>
          </w:p>
          <w:p w:rsidR="006E1123" w:rsidRPr="001416ED" w:rsidRDefault="006E1123" w:rsidP="00931447">
            <w:pPr>
              <w:spacing w:line="360" w:lineRule="auto"/>
              <w:rPr>
                <w:szCs w:val="22"/>
              </w:rPr>
            </w:pPr>
            <w:r w:rsidRPr="001416ED">
              <w:rPr>
                <w:szCs w:val="22"/>
              </w:rPr>
              <w:t>2,48</w:t>
            </w:r>
          </w:p>
        </w:tc>
        <w:tc>
          <w:tcPr>
            <w:tcW w:w="1559" w:type="dxa"/>
          </w:tcPr>
          <w:p w:rsidR="00150860" w:rsidRPr="001416ED" w:rsidRDefault="006E1123" w:rsidP="00931447">
            <w:pPr>
              <w:spacing w:line="360" w:lineRule="auto"/>
              <w:rPr>
                <w:szCs w:val="22"/>
              </w:rPr>
            </w:pPr>
            <w:r w:rsidRPr="001416ED">
              <w:rPr>
                <w:szCs w:val="22"/>
              </w:rPr>
              <w:t>170,19</w:t>
            </w:r>
            <w:r w:rsidR="007A07A9" w:rsidRPr="001416ED">
              <w:rPr>
                <w:szCs w:val="22"/>
              </w:rPr>
              <w:t xml:space="preserve"> ± </w:t>
            </w:r>
          </w:p>
          <w:p w:rsidR="006E1123" w:rsidRPr="001416ED" w:rsidRDefault="006E1123" w:rsidP="00931447">
            <w:pPr>
              <w:spacing w:line="360" w:lineRule="auto"/>
              <w:rPr>
                <w:szCs w:val="22"/>
              </w:rPr>
            </w:pPr>
            <w:r w:rsidRPr="001416ED">
              <w:rPr>
                <w:szCs w:val="22"/>
              </w:rPr>
              <w:t>3,72</w:t>
            </w:r>
          </w:p>
        </w:tc>
        <w:tc>
          <w:tcPr>
            <w:tcW w:w="1950" w:type="dxa"/>
          </w:tcPr>
          <w:p w:rsidR="006E1123" w:rsidRPr="001416ED" w:rsidRDefault="006E1123" w:rsidP="001F5D9E">
            <w:pPr>
              <w:spacing w:line="360" w:lineRule="auto"/>
              <w:rPr>
                <w:szCs w:val="22"/>
                <w:lang w:val="en-US"/>
              </w:rPr>
            </w:pP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6E1123" w:rsidRPr="001416ED" w:rsidTr="006C53B7">
        <w:tc>
          <w:tcPr>
            <w:tcW w:w="1668" w:type="dxa"/>
          </w:tcPr>
          <w:p w:rsidR="006E1123" w:rsidRPr="001416ED" w:rsidRDefault="006E1123" w:rsidP="001F5D9E">
            <w:pPr>
              <w:spacing w:line="360" w:lineRule="auto"/>
              <w:rPr>
                <w:szCs w:val="22"/>
              </w:rPr>
            </w:pPr>
            <w:r w:rsidRPr="001416ED">
              <w:rPr>
                <w:szCs w:val="22"/>
              </w:rPr>
              <w:t>ДАТ,</w:t>
            </w:r>
          </w:p>
          <w:p w:rsidR="006E1123" w:rsidRPr="001416ED" w:rsidRDefault="006E1123" w:rsidP="001F5D9E">
            <w:pPr>
              <w:spacing w:line="360" w:lineRule="auto"/>
              <w:rPr>
                <w:szCs w:val="22"/>
              </w:rPr>
            </w:pPr>
            <w:proofErr w:type="gramStart"/>
            <w:r w:rsidRPr="001416ED">
              <w:rPr>
                <w:szCs w:val="22"/>
              </w:rPr>
              <w:t>мм</w:t>
            </w:r>
            <w:proofErr w:type="gramEnd"/>
            <w:r w:rsidRPr="001416ED">
              <w:rPr>
                <w:szCs w:val="22"/>
              </w:rPr>
              <w:t xml:space="preserve"> рт. ст.</w:t>
            </w:r>
          </w:p>
        </w:tc>
        <w:tc>
          <w:tcPr>
            <w:tcW w:w="1559" w:type="dxa"/>
          </w:tcPr>
          <w:p w:rsidR="006E1123" w:rsidRPr="001416ED" w:rsidRDefault="006E1123" w:rsidP="001F5D9E">
            <w:pPr>
              <w:spacing w:line="360" w:lineRule="auto"/>
              <w:rPr>
                <w:szCs w:val="22"/>
              </w:rPr>
            </w:pPr>
            <w:r w:rsidRPr="001416ED">
              <w:rPr>
                <w:szCs w:val="22"/>
              </w:rPr>
              <w:t>73,75</w:t>
            </w:r>
            <w:r w:rsidR="007A07A9" w:rsidRPr="001416ED">
              <w:rPr>
                <w:szCs w:val="22"/>
              </w:rPr>
              <w:t xml:space="preserve"> ± </w:t>
            </w:r>
            <w:r w:rsidRPr="001416ED">
              <w:rPr>
                <w:szCs w:val="22"/>
              </w:rPr>
              <w:t>1,14</w:t>
            </w:r>
          </w:p>
        </w:tc>
        <w:tc>
          <w:tcPr>
            <w:tcW w:w="1701" w:type="dxa"/>
          </w:tcPr>
          <w:p w:rsidR="006E1123" w:rsidRPr="001416ED" w:rsidRDefault="006E1123" w:rsidP="001F5D9E">
            <w:pPr>
              <w:spacing w:line="360" w:lineRule="auto"/>
              <w:rPr>
                <w:szCs w:val="22"/>
              </w:rPr>
            </w:pPr>
            <w:r w:rsidRPr="001416ED">
              <w:rPr>
                <w:szCs w:val="22"/>
              </w:rPr>
              <w:t>78,15</w:t>
            </w:r>
            <w:r w:rsidR="007A07A9" w:rsidRPr="001416ED">
              <w:rPr>
                <w:szCs w:val="22"/>
              </w:rPr>
              <w:t xml:space="preserve"> ± </w:t>
            </w:r>
            <w:r w:rsidRPr="001416ED">
              <w:rPr>
                <w:szCs w:val="22"/>
              </w:rPr>
              <w:t>1,33</w:t>
            </w:r>
          </w:p>
        </w:tc>
        <w:tc>
          <w:tcPr>
            <w:tcW w:w="1701" w:type="dxa"/>
          </w:tcPr>
          <w:p w:rsidR="006E1123" w:rsidRPr="001416ED" w:rsidRDefault="006E1123" w:rsidP="001F5D9E">
            <w:pPr>
              <w:spacing w:line="360" w:lineRule="auto"/>
              <w:rPr>
                <w:szCs w:val="22"/>
              </w:rPr>
            </w:pPr>
            <w:r w:rsidRPr="001416ED">
              <w:rPr>
                <w:szCs w:val="22"/>
              </w:rPr>
              <w:t>97,06</w:t>
            </w:r>
            <w:r w:rsidR="007A07A9" w:rsidRPr="001416ED">
              <w:rPr>
                <w:szCs w:val="22"/>
              </w:rPr>
              <w:t xml:space="preserve"> ± </w:t>
            </w:r>
            <w:r w:rsidRPr="001416ED">
              <w:rPr>
                <w:szCs w:val="22"/>
              </w:rPr>
              <w:t>0,93</w:t>
            </w:r>
          </w:p>
        </w:tc>
        <w:tc>
          <w:tcPr>
            <w:tcW w:w="1559" w:type="dxa"/>
          </w:tcPr>
          <w:p w:rsidR="006E1123" w:rsidRPr="001416ED" w:rsidRDefault="006E1123" w:rsidP="00931447">
            <w:pPr>
              <w:spacing w:line="360" w:lineRule="auto"/>
              <w:rPr>
                <w:szCs w:val="22"/>
              </w:rPr>
            </w:pPr>
            <w:r w:rsidRPr="001416ED">
              <w:rPr>
                <w:szCs w:val="22"/>
              </w:rPr>
              <w:t>104,07</w:t>
            </w:r>
            <w:r w:rsidR="007A07A9" w:rsidRPr="001416ED">
              <w:rPr>
                <w:szCs w:val="22"/>
              </w:rPr>
              <w:t xml:space="preserve"> ± </w:t>
            </w:r>
            <w:r w:rsidRPr="001416ED">
              <w:rPr>
                <w:szCs w:val="22"/>
              </w:rPr>
              <w:t>1,77</w:t>
            </w:r>
          </w:p>
        </w:tc>
        <w:tc>
          <w:tcPr>
            <w:tcW w:w="1950" w:type="dxa"/>
          </w:tcPr>
          <w:p w:rsidR="006C53B7" w:rsidRPr="001416ED" w:rsidRDefault="006E1123" w:rsidP="007F7AE6">
            <w:pPr>
              <w:spacing w:line="360" w:lineRule="auto"/>
              <w:rPr>
                <w:szCs w:val="22"/>
                <w:lang w:val="uk-UA"/>
              </w:rPr>
            </w:pPr>
            <w:r w:rsidRPr="001416ED">
              <w:rPr>
                <w:szCs w:val="22"/>
              </w:rPr>
              <w:t>р</w:t>
            </w:r>
            <w:r w:rsidRPr="001416ED">
              <w:rPr>
                <w:szCs w:val="22"/>
                <w:vertAlign w:val="subscript"/>
              </w:rPr>
              <w:t>2</w:t>
            </w:r>
            <w:r w:rsidR="00BC0119" w:rsidRPr="001416ED">
              <w:rPr>
                <w:szCs w:val="22"/>
                <w:vertAlign w:val="subscript"/>
              </w:rPr>
              <w:t>–</w:t>
            </w:r>
            <w:r w:rsidRPr="001416ED">
              <w:rPr>
                <w:szCs w:val="22"/>
                <w:vertAlign w:val="subscript"/>
              </w:rPr>
              <w:t>1&amp;</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rPr>
              <w:t>,</w:t>
            </w:r>
          </w:p>
          <w:p w:rsidR="006E1123" w:rsidRPr="001416ED" w:rsidRDefault="006E1123" w:rsidP="007F7AE6">
            <w:pPr>
              <w:spacing w:line="360" w:lineRule="auto"/>
              <w:rPr>
                <w:szCs w:val="22"/>
              </w:rPr>
            </w:pP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rPr>
              <w:t>,</w:t>
            </w:r>
            <w:r w:rsidR="007F7AE6" w:rsidRPr="001416ED">
              <w:rPr>
                <w:szCs w:val="22"/>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p>
        </w:tc>
      </w:tr>
    </w:tbl>
    <w:p w:rsidR="006C53B7" w:rsidRPr="001416ED" w:rsidRDefault="006C53B7" w:rsidP="006C53B7">
      <w:pPr>
        <w:spacing w:before="240" w:line="360" w:lineRule="auto"/>
        <w:ind w:firstLine="709"/>
        <w:jc w:val="right"/>
        <w:rPr>
          <w:i/>
          <w:lang w:val="uk-UA"/>
        </w:rPr>
      </w:pPr>
      <w:r w:rsidRPr="001416ED">
        <w:rPr>
          <w:i/>
          <w:lang w:val="uk-UA"/>
        </w:rPr>
        <w:lastRenderedPageBreak/>
        <w:t>Продовження табл. 5.1</w:t>
      </w:r>
    </w:p>
    <w:tbl>
      <w:tblPr>
        <w:tblStyle w:val="af5"/>
        <w:tblW w:w="0" w:type="auto"/>
        <w:tblLook w:val="04A0" w:firstRow="1" w:lastRow="0" w:firstColumn="1" w:lastColumn="0" w:noHBand="0" w:noVBand="1"/>
      </w:tblPr>
      <w:tblGrid>
        <w:gridCol w:w="1689"/>
        <w:gridCol w:w="1538"/>
        <w:gridCol w:w="1701"/>
        <w:gridCol w:w="1701"/>
        <w:gridCol w:w="1559"/>
        <w:gridCol w:w="1950"/>
      </w:tblGrid>
      <w:tr w:rsidR="006C53B7" w:rsidRPr="001416ED" w:rsidTr="006C53B7">
        <w:tc>
          <w:tcPr>
            <w:tcW w:w="1689" w:type="dxa"/>
          </w:tcPr>
          <w:p w:rsidR="006C53B7" w:rsidRPr="001416ED" w:rsidRDefault="006C53B7" w:rsidP="00D80EFD">
            <w:pPr>
              <w:spacing w:line="360" w:lineRule="auto"/>
              <w:rPr>
                <w:szCs w:val="22"/>
              </w:rPr>
            </w:pPr>
            <w:r w:rsidRPr="001416ED">
              <w:rPr>
                <w:szCs w:val="22"/>
              </w:rPr>
              <w:t>ЧСС, за 1 хв.</w:t>
            </w:r>
          </w:p>
        </w:tc>
        <w:tc>
          <w:tcPr>
            <w:tcW w:w="1538" w:type="dxa"/>
          </w:tcPr>
          <w:p w:rsidR="006C53B7" w:rsidRPr="001416ED" w:rsidRDefault="006C53B7" w:rsidP="00D80EFD">
            <w:pPr>
              <w:spacing w:line="360" w:lineRule="auto"/>
              <w:rPr>
                <w:szCs w:val="22"/>
              </w:rPr>
            </w:pPr>
            <w:r w:rsidRPr="001416ED">
              <w:rPr>
                <w:szCs w:val="22"/>
              </w:rPr>
              <w:t>64,10 ± 0,84</w:t>
            </w:r>
          </w:p>
        </w:tc>
        <w:tc>
          <w:tcPr>
            <w:tcW w:w="1701" w:type="dxa"/>
          </w:tcPr>
          <w:p w:rsidR="006C53B7" w:rsidRPr="001416ED" w:rsidRDefault="006C53B7" w:rsidP="00D80EFD">
            <w:pPr>
              <w:spacing w:line="360" w:lineRule="auto"/>
              <w:rPr>
                <w:szCs w:val="22"/>
              </w:rPr>
            </w:pPr>
            <w:r w:rsidRPr="001416ED">
              <w:rPr>
                <w:szCs w:val="22"/>
              </w:rPr>
              <w:t>76,89 ± 0,83</w:t>
            </w:r>
          </w:p>
        </w:tc>
        <w:tc>
          <w:tcPr>
            <w:tcW w:w="1701" w:type="dxa"/>
          </w:tcPr>
          <w:p w:rsidR="006C53B7" w:rsidRPr="001416ED" w:rsidRDefault="006C53B7" w:rsidP="00D80EFD">
            <w:pPr>
              <w:spacing w:line="360" w:lineRule="auto"/>
              <w:rPr>
                <w:szCs w:val="22"/>
              </w:rPr>
            </w:pPr>
            <w:r w:rsidRPr="001416ED">
              <w:rPr>
                <w:szCs w:val="22"/>
              </w:rPr>
              <w:t xml:space="preserve">69,60 ±  </w:t>
            </w:r>
            <w:r w:rsidRPr="001416ED">
              <w:rPr>
                <w:szCs w:val="22"/>
                <w:lang w:val="uk-UA"/>
              </w:rPr>
              <w:t>1</w:t>
            </w:r>
            <w:r w:rsidRPr="001416ED">
              <w:rPr>
                <w:szCs w:val="22"/>
              </w:rPr>
              <w:t>,78</w:t>
            </w:r>
          </w:p>
        </w:tc>
        <w:tc>
          <w:tcPr>
            <w:tcW w:w="1559" w:type="dxa"/>
          </w:tcPr>
          <w:p w:rsidR="006C53B7" w:rsidRPr="001416ED" w:rsidRDefault="006C53B7" w:rsidP="00D80EFD">
            <w:pPr>
              <w:spacing w:line="360" w:lineRule="auto"/>
              <w:rPr>
                <w:szCs w:val="22"/>
              </w:rPr>
            </w:pPr>
            <w:r w:rsidRPr="001416ED">
              <w:rPr>
                <w:szCs w:val="22"/>
              </w:rPr>
              <w:t>83,37 ±  2,77</w:t>
            </w:r>
          </w:p>
        </w:tc>
        <w:tc>
          <w:tcPr>
            <w:tcW w:w="1950" w:type="dxa"/>
          </w:tcPr>
          <w:p w:rsidR="006C53B7" w:rsidRPr="001416ED" w:rsidRDefault="006C53B7" w:rsidP="00D80EFD">
            <w:pPr>
              <w:spacing w:line="360" w:lineRule="auto"/>
              <w:rPr>
                <w:szCs w:val="22"/>
                <w:lang w:val="en-US"/>
              </w:rPr>
            </w:pPr>
            <w:r w:rsidRPr="001416ED">
              <w:rPr>
                <w:szCs w:val="22"/>
              </w:rPr>
              <w:t>р</w:t>
            </w:r>
            <w:r w:rsidRPr="001416ED">
              <w:rPr>
                <w:szCs w:val="22"/>
                <w:vertAlign w:val="subscript"/>
              </w:rPr>
              <w:t>2–1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4–3</w:t>
            </w:r>
            <w:r w:rsidRPr="001416ED">
              <w:rPr>
                <w:szCs w:val="22"/>
                <w:vertAlign w:val="subscript"/>
                <w:lang w:val="en-US"/>
              </w:rPr>
              <w:t>*</w:t>
            </w:r>
            <w:r w:rsidRPr="001416ED">
              <w:rPr>
                <w:szCs w:val="22"/>
                <w:vertAlign w:val="subscript"/>
              </w:rPr>
              <w:t xml:space="preserve"> </w:t>
            </w:r>
            <w:r w:rsidRPr="001416ED">
              <w:rPr>
                <w:szCs w:val="22"/>
              </w:rPr>
              <w:t>р</w:t>
            </w:r>
            <w:r w:rsidRPr="001416ED">
              <w:rPr>
                <w:szCs w:val="22"/>
                <w:vertAlign w:val="subscript"/>
              </w:rPr>
              <w:t>4–2</w:t>
            </w:r>
            <w:r w:rsidRPr="001416ED">
              <w:rPr>
                <w:szCs w:val="22"/>
                <w:vertAlign w:val="subscript"/>
                <w:lang w:val="en-US"/>
              </w:rPr>
              <w:t>#</w:t>
            </w:r>
          </w:p>
        </w:tc>
      </w:tr>
    </w:tbl>
    <w:p w:rsidR="003E7B34" w:rsidRPr="001416ED" w:rsidRDefault="003E7B34" w:rsidP="00E921CC">
      <w:pPr>
        <w:spacing w:before="240" w:line="360" w:lineRule="auto"/>
        <w:ind w:firstLine="709"/>
        <w:jc w:val="both"/>
        <w:rPr>
          <w:lang w:val="uk-UA"/>
        </w:rPr>
      </w:pPr>
      <w:r w:rsidRPr="001416ED">
        <w:rPr>
          <w:lang w:val="uk-UA"/>
        </w:rPr>
        <w:t>Примітка:</w:t>
      </w:r>
      <w:r w:rsidRPr="001416ED">
        <w:rPr>
          <w:i/>
          <w:lang w:val="uk-UA"/>
        </w:rPr>
        <w:t xml:space="preserve"> </w:t>
      </w:r>
      <w:r w:rsidRPr="001416ED">
        <w:rPr>
          <w:lang w:val="uk-UA"/>
        </w:rPr>
        <w:t xml:space="preserve">різниця достовірна * </w:t>
      </w:r>
      <w:r w:rsidR="00BC0119" w:rsidRPr="001416ED">
        <w:rPr>
          <w:lang w:val="uk-UA"/>
        </w:rPr>
        <w:t>–</w:t>
      </w:r>
      <w:r w:rsidRPr="001416ED">
        <w:rPr>
          <w:lang w:val="uk-UA"/>
        </w:rPr>
        <w:t xml:space="preserve"> при р</w:t>
      </w:r>
      <w:r w:rsidR="00D41009">
        <w:rPr>
          <w:lang w:val="uk-UA"/>
        </w:rPr>
        <w:t>˂</w:t>
      </w:r>
      <w:r w:rsidRPr="001416ED">
        <w:rPr>
          <w:lang w:val="uk-UA"/>
        </w:rPr>
        <w:t xml:space="preserve">0,001, </w:t>
      </w:r>
      <w:r w:rsidRPr="001416ED">
        <w:t xml:space="preserve"># </w:t>
      </w:r>
      <w:r w:rsidR="00BC0119" w:rsidRPr="001416ED">
        <w:t>–</w:t>
      </w:r>
      <w:r w:rsidRPr="001416ED">
        <w:t xml:space="preserve"> при </w:t>
      </w:r>
      <w:r w:rsidRPr="001416ED">
        <w:rPr>
          <w:lang w:val="uk-UA"/>
        </w:rPr>
        <w:t>р</w:t>
      </w:r>
      <w:r w:rsidR="00D41009">
        <w:rPr>
          <w:lang w:val="uk-UA"/>
        </w:rPr>
        <w:t>˂</w:t>
      </w:r>
      <w:r w:rsidRPr="001416ED">
        <w:rPr>
          <w:lang w:val="uk-UA"/>
        </w:rPr>
        <w:t>0,01</w:t>
      </w:r>
      <w:r w:rsidRPr="001416ED">
        <w:t>, &amp;</w:t>
      </w:r>
      <w:r w:rsidRPr="001416ED">
        <w:rPr>
          <w:lang w:val="uk-UA"/>
        </w:rPr>
        <w:t xml:space="preserve"> </w:t>
      </w:r>
      <w:r w:rsidR="00BC0119" w:rsidRPr="001416ED">
        <w:rPr>
          <w:lang w:val="uk-UA"/>
        </w:rPr>
        <w:t>–</w:t>
      </w:r>
      <w:r w:rsidRPr="001416ED">
        <w:rPr>
          <w:lang w:val="uk-UA"/>
        </w:rPr>
        <w:t xml:space="preserve"> при р</w:t>
      </w:r>
      <w:r w:rsidR="00D41009">
        <w:rPr>
          <w:lang w:val="uk-UA"/>
        </w:rPr>
        <w:t>˂</w:t>
      </w:r>
      <w:r w:rsidRPr="001416ED">
        <w:rPr>
          <w:lang w:val="uk-UA"/>
        </w:rPr>
        <w:t>0,05</w:t>
      </w:r>
    </w:p>
    <w:p w:rsidR="00651430" w:rsidRPr="001416ED" w:rsidRDefault="00651430" w:rsidP="00651430">
      <w:pPr>
        <w:spacing w:before="240" w:line="360" w:lineRule="auto"/>
        <w:ind w:firstLine="709"/>
        <w:jc w:val="both"/>
        <w:rPr>
          <w:lang w:val="uk-UA"/>
        </w:rPr>
      </w:pPr>
      <w:r w:rsidRPr="001416ED">
        <w:rPr>
          <w:lang w:val="uk-UA"/>
        </w:rPr>
        <w:t>Слід відмітити, що усі представлені показники системної та внутрішньосерцевої гемодинаміки у чоловіків групи контролю віком 40</w:t>
      </w:r>
      <w:r w:rsidR="00BC0119" w:rsidRPr="001416ED">
        <w:rPr>
          <w:lang w:val="uk-UA"/>
        </w:rPr>
        <w:t>–</w:t>
      </w:r>
      <w:r w:rsidRPr="001416ED">
        <w:rPr>
          <w:lang w:val="uk-UA"/>
        </w:rPr>
        <w:t>60 років, знаходяться в межах загальновизнаних норм [1</w:t>
      </w:r>
      <w:r w:rsidR="00476397" w:rsidRPr="001416ED">
        <w:rPr>
          <w:lang w:val="uk-UA"/>
        </w:rPr>
        <w:t>56</w:t>
      </w:r>
      <w:r w:rsidRPr="001416ED">
        <w:rPr>
          <w:lang w:val="uk-UA"/>
        </w:rPr>
        <w:t xml:space="preserve">]. </w:t>
      </w:r>
    </w:p>
    <w:p w:rsidR="00983C26" w:rsidRPr="001416ED" w:rsidRDefault="00983C26" w:rsidP="00651430">
      <w:pPr>
        <w:spacing w:line="360" w:lineRule="auto"/>
        <w:ind w:firstLine="709"/>
        <w:jc w:val="both"/>
        <w:rPr>
          <w:lang w:val="uk-UA"/>
        </w:rPr>
      </w:pPr>
      <w:r w:rsidRPr="001416ED">
        <w:rPr>
          <w:lang w:val="uk-UA"/>
        </w:rPr>
        <w:t xml:space="preserve">У чоловіків з ГХ ІІ ст. </w:t>
      </w:r>
      <w:r w:rsidR="00772EBA" w:rsidRPr="001416ED">
        <w:rPr>
          <w:lang w:val="uk-UA"/>
        </w:rPr>
        <w:t xml:space="preserve">майже </w:t>
      </w:r>
      <w:r w:rsidRPr="001416ED">
        <w:rPr>
          <w:lang w:val="uk-UA"/>
        </w:rPr>
        <w:t xml:space="preserve">усі показники внутрішньосерцевої та системної гемодинаміки </w:t>
      </w:r>
      <w:r w:rsidR="00772EBA" w:rsidRPr="001416ED">
        <w:rPr>
          <w:lang w:val="uk-UA"/>
        </w:rPr>
        <w:t xml:space="preserve">(окрім, </w:t>
      </w:r>
      <w:r w:rsidR="008D7469" w:rsidRPr="001416ED">
        <w:rPr>
          <w:lang w:val="uk-UA"/>
        </w:rPr>
        <w:t>ударного індексу (</w:t>
      </w:r>
      <w:r w:rsidR="00772EBA" w:rsidRPr="001416ED">
        <w:rPr>
          <w:lang w:val="uk-UA"/>
        </w:rPr>
        <w:t>УІ</w:t>
      </w:r>
      <w:r w:rsidR="008D7469" w:rsidRPr="001416ED">
        <w:rPr>
          <w:lang w:val="uk-UA"/>
        </w:rPr>
        <w:t>)</w:t>
      </w:r>
      <w:r w:rsidR="00772EBA" w:rsidRPr="001416ED">
        <w:rPr>
          <w:lang w:val="uk-UA"/>
        </w:rPr>
        <w:t xml:space="preserve">, </w:t>
      </w:r>
      <w:r w:rsidR="00380B05" w:rsidRPr="001416ED">
        <w:rPr>
          <w:lang w:val="uk-UA"/>
        </w:rPr>
        <w:t>фракці</w:t>
      </w:r>
      <w:r w:rsidR="008672B3" w:rsidRPr="001416ED">
        <w:rPr>
          <w:lang w:val="uk-UA"/>
        </w:rPr>
        <w:t>ї</w:t>
      </w:r>
      <w:r w:rsidR="00380B05" w:rsidRPr="001416ED">
        <w:rPr>
          <w:lang w:val="uk-UA"/>
        </w:rPr>
        <w:t xml:space="preserve"> передньо-заднього укорочення ЛШ (</w:t>
      </w:r>
      <w:r w:rsidR="00772EBA" w:rsidRPr="001416ED">
        <w:rPr>
          <w:lang w:val="en-US"/>
        </w:rPr>
        <w:t>S</w:t>
      </w:r>
      <w:r w:rsidR="00380B05" w:rsidRPr="001416ED">
        <w:rPr>
          <w:lang w:val="uk-UA"/>
        </w:rPr>
        <w:t>)</w:t>
      </w:r>
      <w:r w:rsidR="00772EBA" w:rsidRPr="001416ED">
        <w:rPr>
          <w:lang w:val="uk-UA"/>
        </w:rPr>
        <w:t xml:space="preserve">, </w:t>
      </w:r>
      <w:r w:rsidR="0009648E" w:rsidRPr="001416ED">
        <w:rPr>
          <w:lang w:val="uk-UA"/>
        </w:rPr>
        <w:t>питомого периферичного судинного опору (</w:t>
      </w:r>
      <w:r w:rsidR="00772EBA" w:rsidRPr="001416ED">
        <w:rPr>
          <w:lang w:val="uk-UA"/>
        </w:rPr>
        <w:t>ППСО</w:t>
      </w:r>
      <w:r w:rsidR="0009648E" w:rsidRPr="001416ED">
        <w:rPr>
          <w:lang w:val="uk-UA"/>
        </w:rPr>
        <w:t>)</w:t>
      </w:r>
      <w:r w:rsidR="00772EBA" w:rsidRPr="001416ED">
        <w:rPr>
          <w:lang w:val="uk-UA"/>
        </w:rPr>
        <w:t xml:space="preserve">, </w:t>
      </w:r>
      <w:r w:rsidR="008672B3" w:rsidRPr="001416ED">
        <w:rPr>
          <w:lang w:val="uk-UA"/>
        </w:rPr>
        <w:t xml:space="preserve">розміру </w:t>
      </w:r>
      <w:r w:rsidR="008D7469" w:rsidRPr="001416ED">
        <w:rPr>
          <w:lang w:val="uk-UA"/>
        </w:rPr>
        <w:t>лівого передсердя (</w:t>
      </w:r>
      <w:r w:rsidR="00772EBA" w:rsidRPr="001416ED">
        <w:rPr>
          <w:lang w:val="uk-UA"/>
        </w:rPr>
        <w:t>ЛП</w:t>
      </w:r>
      <w:r w:rsidR="008D7469" w:rsidRPr="001416ED">
        <w:rPr>
          <w:lang w:val="uk-UA"/>
        </w:rPr>
        <w:t>)</w:t>
      </w:r>
      <w:r w:rsidR="008672B3" w:rsidRPr="001416ED">
        <w:rPr>
          <w:lang w:val="uk-UA"/>
        </w:rPr>
        <w:t xml:space="preserve"> та </w:t>
      </w:r>
      <w:r w:rsidR="00D15564" w:rsidRPr="001416ED">
        <w:rPr>
          <w:lang w:val="uk-UA"/>
        </w:rPr>
        <w:t>час</w:t>
      </w:r>
      <w:r w:rsidR="00C66604" w:rsidRPr="001416ED">
        <w:rPr>
          <w:lang w:val="uk-UA"/>
        </w:rPr>
        <w:t>у</w:t>
      </w:r>
      <w:r w:rsidR="00D15564" w:rsidRPr="001416ED">
        <w:rPr>
          <w:lang w:val="uk-UA"/>
        </w:rPr>
        <w:t xml:space="preserve"> сповільнення фази раннього дістолічного наповнення (</w:t>
      </w:r>
      <w:r w:rsidR="00772EBA" w:rsidRPr="001416ED">
        <w:rPr>
          <w:lang w:val="en-US"/>
        </w:rPr>
        <w:t>DT</w:t>
      </w:r>
      <w:r w:rsidR="00D15564" w:rsidRPr="001416ED">
        <w:rPr>
          <w:lang w:val="uk-UA"/>
        </w:rPr>
        <w:t>)</w:t>
      </w:r>
      <w:r w:rsidR="00A608D6" w:rsidRPr="001416ED">
        <w:rPr>
          <w:lang w:val="uk-UA"/>
        </w:rPr>
        <w:t>, де достовірної різниці не</w:t>
      </w:r>
      <w:r w:rsidR="001D17D6" w:rsidRPr="001416ED">
        <w:rPr>
          <w:lang w:val="uk-UA"/>
        </w:rPr>
        <w:t xml:space="preserve"> досліджено)</w:t>
      </w:r>
      <w:r w:rsidR="00772EBA" w:rsidRPr="001416ED">
        <w:rPr>
          <w:lang w:val="uk-UA"/>
        </w:rPr>
        <w:t xml:space="preserve"> </w:t>
      </w:r>
      <w:r w:rsidRPr="001416ED">
        <w:rPr>
          <w:lang w:val="uk-UA"/>
        </w:rPr>
        <w:t>вірогідно більші</w:t>
      </w:r>
      <w:r w:rsidR="00D66B7E" w:rsidRPr="001416ED">
        <w:rPr>
          <w:lang w:val="uk-UA"/>
        </w:rPr>
        <w:t>, а ФВ та Е/А менші</w:t>
      </w:r>
      <w:r w:rsidRPr="001416ED">
        <w:rPr>
          <w:lang w:val="uk-UA"/>
        </w:rPr>
        <w:t xml:space="preserve"> у володарів алелі </w:t>
      </w:r>
      <w:r w:rsidRPr="001416ED">
        <w:rPr>
          <w:lang w:val="en-US"/>
        </w:rPr>
        <w:t>Asn</w:t>
      </w:r>
      <w:r w:rsidRPr="001416ED">
        <w:rPr>
          <w:lang w:val="uk-UA"/>
        </w:rPr>
        <w:t xml:space="preserve">, ніж в носіїв гомозигот </w:t>
      </w:r>
      <w:r w:rsidRPr="001416ED">
        <w:rPr>
          <w:lang w:val="en-US"/>
        </w:rPr>
        <w:t>Lys</w:t>
      </w:r>
      <w:r w:rsidRPr="001416ED">
        <w:rPr>
          <w:lang w:val="uk-UA"/>
        </w:rPr>
        <w:t xml:space="preserve"> гена ЕТ</w:t>
      </w:r>
      <w:r w:rsidR="00BC0119" w:rsidRPr="001416ED">
        <w:rPr>
          <w:lang w:val="uk-UA"/>
        </w:rPr>
        <w:t>–</w:t>
      </w:r>
      <w:r w:rsidRPr="001416ED">
        <w:rPr>
          <w:lang w:val="uk-UA"/>
        </w:rPr>
        <w:t>1</w:t>
      </w:r>
      <w:r w:rsidR="00A608D6" w:rsidRPr="001416ED">
        <w:rPr>
          <w:lang w:val="uk-UA"/>
        </w:rPr>
        <w:t xml:space="preserve">, що вказує на </w:t>
      </w:r>
      <w:r w:rsidR="008672B3" w:rsidRPr="001416ED">
        <w:rPr>
          <w:lang w:val="uk-UA"/>
        </w:rPr>
        <w:t>виражені</w:t>
      </w:r>
      <w:r w:rsidR="00A608D6" w:rsidRPr="001416ED">
        <w:rPr>
          <w:lang w:val="uk-UA"/>
        </w:rPr>
        <w:t xml:space="preserve"> гемодинамічн</w:t>
      </w:r>
      <w:r w:rsidR="008672B3" w:rsidRPr="001416ED">
        <w:rPr>
          <w:lang w:val="uk-UA"/>
        </w:rPr>
        <w:t>і</w:t>
      </w:r>
      <w:r w:rsidR="00A608D6" w:rsidRPr="001416ED">
        <w:rPr>
          <w:lang w:val="uk-UA"/>
        </w:rPr>
        <w:t xml:space="preserve"> </w:t>
      </w:r>
      <w:r w:rsidR="008672B3" w:rsidRPr="001416ED">
        <w:rPr>
          <w:lang w:val="uk-UA"/>
        </w:rPr>
        <w:t>зміни</w:t>
      </w:r>
      <w:r w:rsidR="00A608D6" w:rsidRPr="001416ED">
        <w:rPr>
          <w:lang w:val="uk-UA"/>
        </w:rPr>
        <w:t xml:space="preserve"> у носіїв алелі </w:t>
      </w:r>
      <w:r w:rsidR="00A608D6" w:rsidRPr="001416ED">
        <w:rPr>
          <w:lang w:val="en-US"/>
        </w:rPr>
        <w:t>Asn</w:t>
      </w:r>
      <w:r w:rsidRPr="001416ED">
        <w:rPr>
          <w:lang w:val="uk-UA"/>
        </w:rPr>
        <w:t xml:space="preserve">. </w:t>
      </w:r>
    </w:p>
    <w:p w:rsidR="001D17D6" w:rsidRPr="001416ED" w:rsidRDefault="00983C26" w:rsidP="00A608D6">
      <w:pPr>
        <w:spacing w:line="360" w:lineRule="auto"/>
        <w:ind w:right="-18" w:firstLine="708"/>
        <w:jc w:val="both"/>
        <w:rPr>
          <w:lang w:val="uk-UA"/>
        </w:rPr>
      </w:pPr>
      <w:r w:rsidRPr="001416ED">
        <w:rPr>
          <w:lang w:val="uk-UA"/>
        </w:rPr>
        <w:t>Порівнюючи п</w:t>
      </w:r>
      <w:r w:rsidR="00A608D6" w:rsidRPr="001416ED">
        <w:rPr>
          <w:lang w:val="uk-UA"/>
        </w:rPr>
        <w:t>оказники гемодинаміки у носіїв</w:t>
      </w:r>
      <w:r w:rsidRPr="001416ED">
        <w:rPr>
          <w:lang w:val="uk-UA"/>
        </w:rPr>
        <w:t xml:space="preserve"> генотипу </w:t>
      </w:r>
      <w:r w:rsidRPr="001416ED">
        <w:rPr>
          <w:lang w:val="en-US"/>
        </w:rPr>
        <w:t>Lys</w:t>
      </w:r>
      <w:r w:rsidRPr="001416ED">
        <w:rPr>
          <w:lang w:val="uk-UA"/>
        </w:rPr>
        <w:t>/</w:t>
      </w:r>
      <w:r w:rsidRPr="001416ED">
        <w:rPr>
          <w:lang w:val="en-US"/>
        </w:rPr>
        <w:t>Lys</w:t>
      </w:r>
      <w:r w:rsidRPr="001416ED">
        <w:rPr>
          <w:lang w:val="uk-UA"/>
        </w:rPr>
        <w:t xml:space="preserve"> між контрольною групою та пацієнтами з ГХ ІІ ст. встановлено, що в групі останніх </w:t>
      </w:r>
      <w:r w:rsidR="001D17D6" w:rsidRPr="001416ED">
        <w:rPr>
          <w:lang w:val="uk-UA"/>
        </w:rPr>
        <w:t xml:space="preserve">майже </w:t>
      </w:r>
      <w:r w:rsidRPr="001416ED">
        <w:rPr>
          <w:lang w:val="uk-UA"/>
        </w:rPr>
        <w:t xml:space="preserve">усі значення </w:t>
      </w:r>
      <w:r w:rsidR="00A37751" w:rsidRPr="001416ED">
        <w:rPr>
          <w:lang w:val="uk-UA"/>
        </w:rPr>
        <w:t xml:space="preserve">значно </w:t>
      </w:r>
      <w:r w:rsidRPr="001416ED">
        <w:rPr>
          <w:lang w:val="uk-UA"/>
        </w:rPr>
        <w:t>вищі,</w:t>
      </w:r>
      <w:r w:rsidR="00A608D6" w:rsidRPr="001416ED">
        <w:rPr>
          <w:lang w:val="uk-UA"/>
        </w:rPr>
        <w:t xml:space="preserve"> а ФВ ЛШ, </w:t>
      </w:r>
      <w:r w:rsidR="00A608D6" w:rsidRPr="001416ED">
        <w:rPr>
          <w:lang w:val="en-US"/>
        </w:rPr>
        <w:t>S</w:t>
      </w:r>
      <w:r w:rsidR="00A608D6" w:rsidRPr="001416ED">
        <w:rPr>
          <w:lang w:val="uk-UA"/>
        </w:rPr>
        <w:t xml:space="preserve"> </w:t>
      </w:r>
      <w:r w:rsidR="001D17D6" w:rsidRPr="001416ED">
        <w:rPr>
          <w:lang w:val="uk-UA"/>
        </w:rPr>
        <w:t>та</w:t>
      </w:r>
      <w:r w:rsidRPr="001416ED">
        <w:rPr>
          <w:lang w:val="uk-UA"/>
        </w:rPr>
        <w:t xml:space="preserve"> </w:t>
      </w:r>
      <w:r w:rsidR="00A608D6" w:rsidRPr="001416ED">
        <w:rPr>
          <w:lang w:val="uk-UA"/>
        </w:rPr>
        <w:t xml:space="preserve">Е/А нижчі, </w:t>
      </w:r>
      <w:r w:rsidRPr="001416ED">
        <w:rPr>
          <w:lang w:val="uk-UA"/>
        </w:rPr>
        <w:t>ніж в осіб без серцево</w:t>
      </w:r>
      <w:r w:rsidR="00BC0119" w:rsidRPr="001416ED">
        <w:rPr>
          <w:lang w:val="uk-UA"/>
        </w:rPr>
        <w:t>–</w:t>
      </w:r>
      <w:r w:rsidRPr="001416ED">
        <w:rPr>
          <w:lang w:val="uk-UA"/>
        </w:rPr>
        <w:t>судинної патології</w:t>
      </w:r>
      <w:r w:rsidR="00A608D6" w:rsidRPr="001416ED">
        <w:rPr>
          <w:lang w:val="uk-UA"/>
        </w:rPr>
        <w:t xml:space="preserve"> (окрім ППСО та </w:t>
      </w:r>
      <w:r w:rsidR="008672B3" w:rsidRPr="001416ED">
        <w:rPr>
          <w:lang w:val="uk-UA"/>
        </w:rPr>
        <w:t>розміру</w:t>
      </w:r>
      <w:r w:rsidR="00A608D6" w:rsidRPr="001416ED">
        <w:rPr>
          <w:lang w:val="uk-UA"/>
        </w:rPr>
        <w:t xml:space="preserve"> ЛП, де вірогідної різниці не виявлено)</w:t>
      </w:r>
      <w:r w:rsidRPr="001416ED">
        <w:rPr>
          <w:lang w:val="uk-UA"/>
        </w:rPr>
        <w:t xml:space="preserve">. </w:t>
      </w:r>
    </w:p>
    <w:p w:rsidR="001D17D6" w:rsidRPr="001416ED" w:rsidRDefault="001D17D6" w:rsidP="00A608D6">
      <w:pPr>
        <w:spacing w:line="360" w:lineRule="auto"/>
        <w:ind w:right="-18" w:firstLine="708"/>
        <w:jc w:val="both"/>
        <w:rPr>
          <w:lang w:val="uk-UA"/>
        </w:rPr>
      </w:pPr>
      <w:r w:rsidRPr="001416ED">
        <w:rPr>
          <w:lang w:val="uk-UA"/>
        </w:rPr>
        <w:t xml:space="preserve">У чоловіків з ГХ ІІ ст. </w:t>
      </w:r>
      <w:r w:rsidR="00BC0119" w:rsidRPr="001416ED">
        <w:rPr>
          <w:lang w:val="uk-UA"/>
        </w:rPr>
        <w:t>–</w:t>
      </w:r>
      <w:r w:rsidRPr="001416ED">
        <w:rPr>
          <w:lang w:val="uk-UA"/>
        </w:rPr>
        <w:t xml:space="preserve"> носіїв алелі </w:t>
      </w:r>
      <w:r w:rsidRPr="001416ED">
        <w:rPr>
          <w:lang w:val="en-US"/>
        </w:rPr>
        <w:t>Asn</w:t>
      </w:r>
      <w:r w:rsidRPr="001416ED">
        <w:rPr>
          <w:lang w:val="uk-UA"/>
        </w:rPr>
        <w:t xml:space="preserve"> практично усі показники серцевої та системної гемодинаміки </w:t>
      </w:r>
      <w:r w:rsidR="00E12B8F" w:rsidRPr="001416ED">
        <w:rPr>
          <w:lang w:val="uk-UA"/>
        </w:rPr>
        <w:t xml:space="preserve">суттєво </w:t>
      </w:r>
      <w:r w:rsidRPr="001416ED">
        <w:rPr>
          <w:lang w:val="uk-UA"/>
        </w:rPr>
        <w:t xml:space="preserve">вищі, а ФВ та Е/А нижчі, ніж в осіб без </w:t>
      </w:r>
      <w:r w:rsidR="00E12B8F" w:rsidRPr="001416ED">
        <w:rPr>
          <w:lang w:val="uk-UA"/>
        </w:rPr>
        <w:t>ССЗ</w:t>
      </w:r>
      <w:r w:rsidRPr="001416ED">
        <w:rPr>
          <w:lang w:val="uk-UA"/>
        </w:rPr>
        <w:t xml:space="preserve"> (</w:t>
      </w:r>
      <w:r w:rsidR="00E12B8F" w:rsidRPr="001416ED">
        <w:rPr>
          <w:lang w:val="uk-UA"/>
        </w:rPr>
        <w:t xml:space="preserve">за виключенням </w:t>
      </w:r>
      <w:r w:rsidRPr="001416ED">
        <w:rPr>
          <w:lang w:val="uk-UA"/>
        </w:rPr>
        <w:t>ППСО, розмір</w:t>
      </w:r>
      <w:r w:rsidR="008672B3" w:rsidRPr="001416ED">
        <w:rPr>
          <w:lang w:val="uk-UA"/>
        </w:rPr>
        <w:t>у</w:t>
      </w:r>
      <w:r w:rsidRPr="001416ED">
        <w:rPr>
          <w:lang w:val="uk-UA"/>
        </w:rPr>
        <w:t xml:space="preserve"> ЛП, та </w:t>
      </w:r>
      <w:r w:rsidRPr="001416ED">
        <w:rPr>
          <w:lang w:val="en-US"/>
        </w:rPr>
        <w:t>S</w:t>
      </w:r>
      <w:r w:rsidRPr="001416ED">
        <w:rPr>
          <w:lang w:val="uk-UA"/>
        </w:rPr>
        <w:t>, де різниці не знайдено)</w:t>
      </w:r>
      <w:r w:rsidR="004F6BD5" w:rsidRPr="001416ED">
        <w:rPr>
          <w:lang w:val="uk-UA"/>
        </w:rPr>
        <w:t>.</w:t>
      </w:r>
    </w:p>
    <w:p w:rsidR="00983C26" w:rsidRPr="001416ED" w:rsidRDefault="00983C26" w:rsidP="00A608D6">
      <w:pPr>
        <w:spacing w:line="360" w:lineRule="auto"/>
        <w:ind w:right="-18" w:firstLine="708"/>
        <w:jc w:val="both"/>
        <w:rPr>
          <w:lang w:val="uk-UA"/>
        </w:rPr>
      </w:pPr>
      <w:r w:rsidRPr="001416ED">
        <w:rPr>
          <w:lang w:val="uk-UA"/>
        </w:rPr>
        <w:t xml:space="preserve">Отримані дані демонструють, що носійство алелі </w:t>
      </w:r>
      <w:r w:rsidRPr="001416ED">
        <w:rPr>
          <w:lang w:val="en-US"/>
        </w:rPr>
        <w:t>Asn</w:t>
      </w:r>
      <w:r w:rsidRPr="001416ED">
        <w:rPr>
          <w:lang w:val="uk-UA"/>
        </w:rPr>
        <w:t xml:space="preserve"> у хворих з ГХ ІІ ст. асоціюється з </w:t>
      </w:r>
      <w:r w:rsidR="00E12B8F" w:rsidRPr="001416ED">
        <w:rPr>
          <w:lang w:val="uk-UA"/>
        </w:rPr>
        <w:t>вираженими</w:t>
      </w:r>
      <w:r w:rsidRPr="001416ED">
        <w:rPr>
          <w:lang w:val="uk-UA"/>
        </w:rPr>
        <w:t xml:space="preserve"> гемодинамічними </w:t>
      </w:r>
      <w:r w:rsidR="00B37CC2" w:rsidRPr="001416ED">
        <w:rPr>
          <w:lang w:val="uk-UA"/>
        </w:rPr>
        <w:t>змінами в порівнянні з носіями</w:t>
      </w:r>
      <w:r w:rsidRPr="001416ED">
        <w:rPr>
          <w:lang w:val="uk-UA"/>
        </w:rPr>
        <w:t xml:space="preserve"> генотипу </w:t>
      </w:r>
      <w:r w:rsidRPr="001416ED">
        <w:rPr>
          <w:lang w:val="en-US"/>
        </w:rPr>
        <w:t>Lys</w:t>
      </w:r>
      <w:r w:rsidRPr="001416ED">
        <w:rPr>
          <w:lang w:val="uk-UA"/>
        </w:rPr>
        <w:t>/</w:t>
      </w:r>
      <w:r w:rsidRPr="001416ED">
        <w:rPr>
          <w:lang w:val="en-US"/>
        </w:rPr>
        <w:t>Lys</w:t>
      </w:r>
      <w:r w:rsidR="001D5DB6" w:rsidRPr="001416ED">
        <w:rPr>
          <w:lang w:val="uk-UA"/>
        </w:rPr>
        <w:t>. Це може відбивати патогенетичне значення успадкування саме цієї алелі щодо</w:t>
      </w:r>
      <w:r w:rsidR="00220257" w:rsidRPr="001416ED">
        <w:rPr>
          <w:lang w:val="uk-UA"/>
        </w:rPr>
        <w:t xml:space="preserve"> розвитку ХСН.</w:t>
      </w:r>
      <w:r w:rsidRPr="001416ED">
        <w:rPr>
          <w:lang w:val="uk-UA"/>
        </w:rPr>
        <w:t xml:space="preserve"> </w:t>
      </w:r>
    </w:p>
    <w:p w:rsidR="008771BB" w:rsidRPr="001416ED" w:rsidRDefault="0033419B" w:rsidP="00D26AE1">
      <w:pPr>
        <w:spacing w:line="360" w:lineRule="auto"/>
        <w:ind w:firstLine="709"/>
        <w:jc w:val="both"/>
        <w:rPr>
          <w:lang w:val="uk-UA"/>
        </w:rPr>
      </w:pPr>
      <w:r w:rsidRPr="001416ED">
        <w:rPr>
          <w:lang w:val="uk-UA"/>
        </w:rPr>
        <w:lastRenderedPageBreak/>
        <w:t xml:space="preserve">Наступним кроком стало визначення варіантів геометричних змін ЛШ у чоловіків з ГХ ІІ ст. при носійстві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1 (табл. 5.</w:t>
      </w:r>
      <w:r w:rsidR="001E1A15" w:rsidRPr="001416ED">
        <w:rPr>
          <w:lang w:val="uk-UA"/>
        </w:rPr>
        <w:t>2</w:t>
      </w:r>
      <w:r w:rsidRPr="001416ED">
        <w:rPr>
          <w:lang w:val="uk-UA"/>
        </w:rPr>
        <w:t>).</w:t>
      </w:r>
    </w:p>
    <w:p w:rsidR="0033419B" w:rsidRPr="001416ED" w:rsidRDefault="0033419B" w:rsidP="0033419B">
      <w:pPr>
        <w:spacing w:line="360" w:lineRule="auto"/>
        <w:ind w:firstLine="709"/>
        <w:jc w:val="right"/>
        <w:rPr>
          <w:b/>
          <w:lang w:val="uk-UA"/>
        </w:rPr>
      </w:pPr>
      <w:r w:rsidRPr="001416ED">
        <w:rPr>
          <w:b/>
          <w:lang w:val="uk-UA"/>
        </w:rPr>
        <w:t>Таблиця 5.</w:t>
      </w:r>
      <w:r w:rsidR="001E1A15" w:rsidRPr="001416ED">
        <w:rPr>
          <w:b/>
          <w:lang w:val="uk-UA"/>
        </w:rPr>
        <w:t>2</w:t>
      </w:r>
    </w:p>
    <w:p w:rsidR="0033419B" w:rsidRPr="001416ED" w:rsidRDefault="0033419B" w:rsidP="0033419B">
      <w:pPr>
        <w:spacing w:line="360" w:lineRule="auto"/>
        <w:ind w:firstLine="709"/>
        <w:jc w:val="center"/>
        <w:rPr>
          <w:b/>
          <w:lang w:val="uk-UA"/>
        </w:rPr>
      </w:pPr>
      <w:r w:rsidRPr="001416ED">
        <w:rPr>
          <w:b/>
          <w:lang w:val="uk-UA"/>
        </w:rPr>
        <w:t xml:space="preserve">Типи ГЛШ у пацієнтів з ГХ ІІ ст. – носіїв </w:t>
      </w:r>
      <w:r w:rsidR="00E6164F">
        <w:rPr>
          <w:b/>
          <w:lang w:val="uk-UA"/>
        </w:rPr>
        <w:t>поліморфних варіантів гена ЕТ–1</w:t>
      </w:r>
      <w:r w:rsidR="00175F78">
        <w:rPr>
          <w:b/>
          <w:lang w:val="uk-UA"/>
        </w:rPr>
        <w:t>,</w:t>
      </w:r>
      <w:r w:rsidR="00FE3640">
        <w:rPr>
          <w:b/>
          <w:lang w:val="uk-U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560"/>
        <w:gridCol w:w="1559"/>
      </w:tblGrid>
      <w:tr w:rsidR="00640904" w:rsidRPr="001416ED" w:rsidTr="008672B3">
        <w:tc>
          <w:tcPr>
            <w:tcW w:w="6804" w:type="dxa"/>
          </w:tcPr>
          <w:p w:rsidR="00640904" w:rsidRPr="001416ED" w:rsidRDefault="00640904" w:rsidP="000F4F73">
            <w:pPr>
              <w:spacing w:line="360" w:lineRule="auto"/>
              <w:jc w:val="center"/>
              <w:rPr>
                <w:b/>
                <w:lang w:val="uk-UA"/>
              </w:rPr>
            </w:pPr>
            <w:r w:rsidRPr="001416ED">
              <w:rPr>
                <w:b/>
                <w:lang w:val="uk-UA"/>
              </w:rPr>
              <w:t>Групи хворих</w:t>
            </w:r>
          </w:p>
        </w:tc>
        <w:tc>
          <w:tcPr>
            <w:tcW w:w="1560" w:type="dxa"/>
          </w:tcPr>
          <w:p w:rsidR="00640904" w:rsidRPr="001416ED" w:rsidRDefault="00320C6C" w:rsidP="000F4F73">
            <w:pPr>
              <w:spacing w:line="360" w:lineRule="auto"/>
              <w:jc w:val="center"/>
              <w:rPr>
                <w:b/>
                <w:lang w:val="uk-UA"/>
              </w:rPr>
            </w:pPr>
            <w:r w:rsidRPr="001416ED">
              <w:rPr>
                <w:b/>
                <w:lang w:val="uk-UA"/>
              </w:rPr>
              <w:t>Частота ГЛШ</w:t>
            </w:r>
          </w:p>
        </w:tc>
        <w:tc>
          <w:tcPr>
            <w:tcW w:w="1559" w:type="dxa"/>
          </w:tcPr>
          <w:p w:rsidR="00640904" w:rsidRPr="001416ED" w:rsidRDefault="00640904" w:rsidP="00640904">
            <w:pPr>
              <w:spacing w:line="360" w:lineRule="auto"/>
              <w:jc w:val="center"/>
              <w:rPr>
                <w:b/>
                <w:lang w:val="uk-UA"/>
              </w:rPr>
            </w:pPr>
            <w:r w:rsidRPr="001416ED">
              <w:rPr>
                <w:b/>
                <w:lang w:val="uk-UA"/>
              </w:rPr>
              <w:t>р</w:t>
            </w:r>
          </w:p>
        </w:tc>
      </w:tr>
      <w:tr w:rsidR="00640904" w:rsidRPr="001416ED" w:rsidTr="008672B3">
        <w:tc>
          <w:tcPr>
            <w:tcW w:w="6804" w:type="dxa"/>
          </w:tcPr>
          <w:p w:rsidR="00640904" w:rsidRPr="001416ED" w:rsidRDefault="00640904" w:rsidP="006204DD">
            <w:pPr>
              <w:spacing w:line="360" w:lineRule="auto"/>
              <w:jc w:val="both"/>
              <w:rPr>
                <w:lang w:val="uk-UA"/>
              </w:rPr>
            </w:pPr>
            <w:r w:rsidRPr="001416ED">
              <w:rPr>
                <w:lang w:val="uk-UA"/>
              </w:rPr>
              <w:t xml:space="preserve">1. </w:t>
            </w:r>
            <w:r w:rsidR="006204DD" w:rsidRPr="001416ED">
              <w:rPr>
                <w:lang w:val="uk-UA"/>
              </w:rPr>
              <w:t>Чоловіки</w:t>
            </w:r>
            <w:r w:rsidRPr="001416ED">
              <w:t xml:space="preserve"> з</w:t>
            </w:r>
            <w:r w:rsidRPr="001416ED">
              <w:rPr>
                <w:lang w:val="uk-UA"/>
              </w:rPr>
              <w:t xml:space="preserve"> КГЛШ</w:t>
            </w:r>
            <w:r w:rsidR="006204DD" w:rsidRPr="001416ED">
              <w:rPr>
                <w:lang w:val="uk-UA"/>
              </w:rPr>
              <w:t xml:space="preserve"> та генотипом </w:t>
            </w:r>
            <w:r w:rsidRPr="001416ED">
              <w:rPr>
                <w:lang w:val="en-US"/>
              </w:rPr>
              <w:t>L</w:t>
            </w:r>
            <w:r w:rsidRPr="001416ED">
              <w:rPr>
                <w:lang w:val="uk-UA"/>
              </w:rPr>
              <w:t>у</w:t>
            </w:r>
            <w:r w:rsidRPr="001416ED">
              <w:rPr>
                <w:lang w:val="en-US"/>
              </w:rPr>
              <w:t>s</w:t>
            </w:r>
            <w:r w:rsidRPr="001416ED">
              <w:t>/</w:t>
            </w:r>
            <w:r w:rsidRPr="001416ED">
              <w:rPr>
                <w:lang w:val="en-US"/>
              </w:rPr>
              <w:t>Lys</w:t>
            </w:r>
            <w:r w:rsidRPr="001416ED">
              <w:rPr>
                <w:lang w:val="uk-UA"/>
              </w:rPr>
              <w:t xml:space="preserve"> (</w:t>
            </w:r>
            <w:r w:rsidRPr="001416ED">
              <w:rPr>
                <w:lang w:val="en-US"/>
              </w:rPr>
              <w:t>n</w:t>
            </w:r>
            <w:r w:rsidRPr="001416ED">
              <w:rPr>
                <w:lang w:val="uk-UA"/>
              </w:rPr>
              <w:t>=24)</w:t>
            </w:r>
          </w:p>
        </w:tc>
        <w:tc>
          <w:tcPr>
            <w:tcW w:w="1560" w:type="dxa"/>
          </w:tcPr>
          <w:p w:rsidR="00640904" w:rsidRPr="001416ED" w:rsidRDefault="00640904" w:rsidP="0033419B">
            <w:pPr>
              <w:spacing w:line="360" w:lineRule="auto"/>
              <w:jc w:val="both"/>
              <w:rPr>
                <w:lang w:val="uk-UA"/>
              </w:rPr>
            </w:pPr>
            <w:r w:rsidRPr="001416ED">
              <w:rPr>
                <w:lang w:val="uk-UA"/>
              </w:rPr>
              <w:t>68,57</w:t>
            </w:r>
            <w:r w:rsidR="00D4219F" w:rsidRPr="001416ED">
              <w:rPr>
                <w:lang w:val="uk-UA"/>
              </w:rPr>
              <w:t xml:space="preserve"> %</w:t>
            </w:r>
          </w:p>
        </w:tc>
        <w:tc>
          <w:tcPr>
            <w:tcW w:w="1559" w:type="dxa"/>
            <w:vMerge w:val="restart"/>
          </w:tcPr>
          <w:p w:rsidR="00640904" w:rsidRPr="001416ED" w:rsidRDefault="00640904" w:rsidP="00640904">
            <w:pPr>
              <w:spacing w:line="360" w:lineRule="auto"/>
              <w:jc w:val="both"/>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008672B3" w:rsidRPr="001416ED">
              <w:rPr>
                <w:lang w:val="uk-UA"/>
              </w:rPr>
              <w:t>˂</w:t>
            </w:r>
            <w:r w:rsidRPr="001416ED">
              <w:rPr>
                <w:lang w:val="uk-UA"/>
              </w:rPr>
              <w:t>0,001;</w:t>
            </w:r>
          </w:p>
        </w:tc>
      </w:tr>
      <w:tr w:rsidR="00640904" w:rsidRPr="001416ED" w:rsidTr="008672B3">
        <w:tc>
          <w:tcPr>
            <w:tcW w:w="6804" w:type="dxa"/>
          </w:tcPr>
          <w:p w:rsidR="00640904" w:rsidRPr="001416ED" w:rsidRDefault="00640904" w:rsidP="006204DD">
            <w:pPr>
              <w:spacing w:line="360" w:lineRule="auto"/>
              <w:jc w:val="both"/>
              <w:rPr>
                <w:lang w:val="uk-UA"/>
              </w:rPr>
            </w:pPr>
            <w:r w:rsidRPr="001416ED">
              <w:rPr>
                <w:lang w:val="uk-UA"/>
              </w:rPr>
              <w:t xml:space="preserve">2. </w:t>
            </w:r>
            <w:r w:rsidR="006204DD" w:rsidRPr="001416ED">
              <w:rPr>
                <w:lang w:val="uk-UA"/>
              </w:rPr>
              <w:t>Чоловіки</w:t>
            </w:r>
            <w:r w:rsidR="006204DD" w:rsidRPr="001416ED">
              <w:t xml:space="preserve"> </w:t>
            </w:r>
            <w:r w:rsidRPr="001416ED">
              <w:t>з</w:t>
            </w:r>
            <w:r w:rsidRPr="001416ED">
              <w:rPr>
                <w:lang w:val="uk-UA"/>
              </w:rPr>
              <w:t xml:space="preserve"> ЕГЛШ</w:t>
            </w:r>
            <w:r w:rsidR="006204DD" w:rsidRPr="001416ED">
              <w:rPr>
                <w:lang w:val="uk-UA"/>
              </w:rPr>
              <w:t xml:space="preserve"> та</w:t>
            </w:r>
            <w:r w:rsidRPr="001416ED">
              <w:rPr>
                <w:lang w:val="uk-UA"/>
              </w:rPr>
              <w:t xml:space="preserve"> генотип</w:t>
            </w:r>
            <w:r w:rsidR="006204DD" w:rsidRPr="001416ED">
              <w:rPr>
                <w:lang w:val="uk-UA"/>
              </w:rPr>
              <w:t>ом</w:t>
            </w:r>
            <w:r w:rsidRPr="001416ED">
              <w:rPr>
                <w:lang w:val="uk-UA"/>
              </w:rPr>
              <w:t xml:space="preserve"> </w:t>
            </w:r>
            <w:r w:rsidRPr="001416ED">
              <w:rPr>
                <w:lang w:val="en-US"/>
              </w:rPr>
              <w:t>L</w:t>
            </w:r>
            <w:r w:rsidRPr="001416ED">
              <w:rPr>
                <w:lang w:val="uk-UA"/>
              </w:rPr>
              <w:t>у</w:t>
            </w:r>
            <w:r w:rsidRPr="001416ED">
              <w:rPr>
                <w:lang w:val="en-US"/>
              </w:rPr>
              <w:t>s</w:t>
            </w:r>
            <w:r w:rsidRPr="001416ED">
              <w:t>/</w:t>
            </w:r>
            <w:r w:rsidRPr="001416ED">
              <w:rPr>
                <w:lang w:val="en-US"/>
              </w:rPr>
              <w:t>Lys</w:t>
            </w:r>
            <w:r w:rsidRPr="001416ED">
              <w:rPr>
                <w:lang w:val="uk-UA"/>
              </w:rPr>
              <w:t xml:space="preserve"> (</w:t>
            </w:r>
            <w:r w:rsidRPr="001416ED">
              <w:rPr>
                <w:lang w:val="en-US"/>
              </w:rPr>
              <w:t>n</w:t>
            </w:r>
            <w:r w:rsidRPr="001416ED">
              <w:rPr>
                <w:lang w:val="uk-UA"/>
              </w:rPr>
              <w:t>=11)</w:t>
            </w:r>
          </w:p>
        </w:tc>
        <w:tc>
          <w:tcPr>
            <w:tcW w:w="1560" w:type="dxa"/>
          </w:tcPr>
          <w:p w:rsidR="00640904" w:rsidRPr="001416ED" w:rsidRDefault="00640904" w:rsidP="0033419B">
            <w:pPr>
              <w:spacing w:line="360" w:lineRule="auto"/>
              <w:jc w:val="both"/>
              <w:rPr>
                <w:lang w:val="uk-UA"/>
              </w:rPr>
            </w:pPr>
            <w:r w:rsidRPr="001416ED">
              <w:rPr>
                <w:lang w:val="uk-UA"/>
              </w:rPr>
              <w:t>31,43</w:t>
            </w:r>
            <w:r w:rsidR="00D4219F" w:rsidRPr="001416ED">
              <w:rPr>
                <w:lang w:val="uk-UA"/>
              </w:rPr>
              <w:t xml:space="preserve"> %</w:t>
            </w:r>
          </w:p>
        </w:tc>
        <w:tc>
          <w:tcPr>
            <w:tcW w:w="1559" w:type="dxa"/>
            <w:vMerge/>
          </w:tcPr>
          <w:p w:rsidR="00640904" w:rsidRPr="001416ED" w:rsidRDefault="00640904" w:rsidP="00640904">
            <w:pPr>
              <w:spacing w:line="360" w:lineRule="auto"/>
              <w:jc w:val="both"/>
              <w:rPr>
                <w:lang w:val="uk-UA"/>
              </w:rPr>
            </w:pPr>
          </w:p>
        </w:tc>
      </w:tr>
      <w:tr w:rsidR="00640904" w:rsidRPr="001416ED" w:rsidTr="008672B3">
        <w:tc>
          <w:tcPr>
            <w:tcW w:w="6804" w:type="dxa"/>
          </w:tcPr>
          <w:p w:rsidR="00640904" w:rsidRPr="001416ED" w:rsidRDefault="00640904" w:rsidP="00F6302E">
            <w:pPr>
              <w:spacing w:line="360" w:lineRule="auto"/>
              <w:jc w:val="both"/>
              <w:rPr>
                <w:lang w:val="uk-UA"/>
              </w:rPr>
            </w:pPr>
            <w:r w:rsidRPr="001416ED">
              <w:rPr>
                <w:lang w:val="uk-UA"/>
              </w:rPr>
              <w:t xml:space="preserve">3. </w:t>
            </w:r>
            <w:r w:rsidR="006204DD" w:rsidRPr="001416ED">
              <w:rPr>
                <w:lang w:val="uk-UA"/>
              </w:rPr>
              <w:t>Чоловіки</w:t>
            </w:r>
            <w:r w:rsidRPr="001416ED">
              <w:t xml:space="preserve"> з</w:t>
            </w:r>
            <w:r w:rsidRPr="001416ED">
              <w:rPr>
                <w:lang w:val="uk-UA"/>
              </w:rPr>
              <w:t xml:space="preserve"> КГЛШ, носії алелі </w:t>
            </w:r>
            <w:r w:rsidRPr="001416ED">
              <w:rPr>
                <w:lang w:val="en-US"/>
              </w:rPr>
              <w:t>Asn</w:t>
            </w:r>
            <w:r w:rsidRPr="001416ED">
              <w:rPr>
                <w:lang w:val="uk-UA"/>
              </w:rPr>
              <w:t xml:space="preserve"> (</w:t>
            </w:r>
            <w:r w:rsidRPr="001416ED">
              <w:rPr>
                <w:lang w:val="en-US"/>
              </w:rPr>
              <w:t>n</w:t>
            </w:r>
            <w:r w:rsidRPr="001416ED">
              <w:rPr>
                <w:lang w:val="uk-UA"/>
              </w:rPr>
              <w:t>=54)</w:t>
            </w:r>
          </w:p>
        </w:tc>
        <w:tc>
          <w:tcPr>
            <w:tcW w:w="1560" w:type="dxa"/>
          </w:tcPr>
          <w:p w:rsidR="00640904" w:rsidRPr="001416ED" w:rsidRDefault="00640904" w:rsidP="0033419B">
            <w:pPr>
              <w:spacing w:line="360" w:lineRule="auto"/>
              <w:jc w:val="both"/>
              <w:rPr>
                <w:lang w:val="uk-UA"/>
              </w:rPr>
            </w:pPr>
            <w:r w:rsidRPr="001416ED">
              <w:rPr>
                <w:lang w:val="uk-UA"/>
              </w:rPr>
              <w:t>74,07</w:t>
            </w:r>
            <w:r w:rsidR="00D4219F" w:rsidRPr="001416ED">
              <w:rPr>
                <w:lang w:val="uk-UA"/>
              </w:rPr>
              <w:t xml:space="preserve"> %</w:t>
            </w:r>
            <w:r w:rsidRPr="001416ED">
              <w:rPr>
                <w:lang w:val="uk-UA"/>
              </w:rPr>
              <w:t xml:space="preserve"> </w:t>
            </w:r>
          </w:p>
        </w:tc>
        <w:tc>
          <w:tcPr>
            <w:tcW w:w="1559" w:type="dxa"/>
            <w:vMerge w:val="restart"/>
          </w:tcPr>
          <w:p w:rsidR="00640904" w:rsidRPr="001416ED" w:rsidRDefault="00640904" w:rsidP="00640904">
            <w:pPr>
              <w:spacing w:line="360" w:lineRule="auto"/>
              <w:jc w:val="both"/>
              <w:rPr>
                <w:lang w:val="uk-UA"/>
              </w:rPr>
            </w:pPr>
            <w:r w:rsidRPr="001416ED">
              <w:rPr>
                <w:lang w:val="uk-UA"/>
              </w:rPr>
              <w:t>р</w:t>
            </w:r>
            <w:r w:rsidRPr="001416ED">
              <w:rPr>
                <w:vertAlign w:val="subscript"/>
                <w:lang w:val="uk-UA"/>
              </w:rPr>
              <w:t>4</w:t>
            </w:r>
            <w:r w:rsidR="00BC0119" w:rsidRPr="001416ED">
              <w:rPr>
                <w:vertAlign w:val="subscript"/>
                <w:lang w:val="uk-UA"/>
              </w:rPr>
              <w:t>–</w:t>
            </w:r>
            <w:r w:rsidRPr="001416ED">
              <w:rPr>
                <w:vertAlign w:val="subscript"/>
                <w:lang w:val="uk-UA"/>
              </w:rPr>
              <w:t>3</w:t>
            </w:r>
            <w:r w:rsidR="008672B3" w:rsidRPr="001416ED">
              <w:rPr>
                <w:lang w:val="uk-UA"/>
              </w:rPr>
              <w:t>˂</w:t>
            </w:r>
            <w:r w:rsidRPr="001416ED">
              <w:rPr>
                <w:lang w:val="uk-UA"/>
              </w:rPr>
              <w:t>0,001</w:t>
            </w:r>
          </w:p>
        </w:tc>
      </w:tr>
      <w:tr w:rsidR="00640904" w:rsidRPr="001416ED" w:rsidTr="008672B3">
        <w:tc>
          <w:tcPr>
            <w:tcW w:w="6804" w:type="dxa"/>
          </w:tcPr>
          <w:p w:rsidR="00640904" w:rsidRPr="001416ED" w:rsidRDefault="00640904" w:rsidP="00F6302E">
            <w:pPr>
              <w:spacing w:line="360" w:lineRule="auto"/>
              <w:jc w:val="both"/>
              <w:rPr>
                <w:lang w:val="uk-UA"/>
              </w:rPr>
            </w:pPr>
            <w:r w:rsidRPr="001416ED">
              <w:rPr>
                <w:lang w:val="uk-UA"/>
              </w:rPr>
              <w:t xml:space="preserve">4. </w:t>
            </w:r>
            <w:r w:rsidR="006204DD" w:rsidRPr="001416ED">
              <w:rPr>
                <w:lang w:val="uk-UA"/>
              </w:rPr>
              <w:t>Чоловіки</w:t>
            </w:r>
            <w:r w:rsidRPr="001416ED">
              <w:rPr>
                <w:lang w:val="uk-UA"/>
              </w:rPr>
              <w:t xml:space="preserve"> з ЕГЛШ, носії алелі </w:t>
            </w:r>
            <w:r w:rsidRPr="001416ED">
              <w:rPr>
                <w:lang w:val="en-US"/>
              </w:rPr>
              <w:t>Asn</w:t>
            </w:r>
            <w:r w:rsidRPr="001416ED">
              <w:rPr>
                <w:lang w:val="uk-UA"/>
              </w:rPr>
              <w:t xml:space="preserve"> (</w:t>
            </w:r>
            <w:r w:rsidRPr="001416ED">
              <w:rPr>
                <w:lang w:val="en-US"/>
              </w:rPr>
              <w:t>n</w:t>
            </w:r>
            <w:r w:rsidRPr="001416ED">
              <w:rPr>
                <w:lang w:val="uk-UA"/>
              </w:rPr>
              <w:t>=7)</w:t>
            </w:r>
          </w:p>
        </w:tc>
        <w:tc>
          <w:tcPr>
            <w:tcW w:w="1560" w:type="dxa"/>
          </w:tcPr>
          <w:p w:rsidR="00640904" w:rsidRPr="001416ED" w:rsidRDefault="00640904" w:rsidP="0033419B">
            <w:pPr>
              <w:spacing w:line="360" w:lineRule="auto"/>
              <w:jc w:val="both"/>
              <w:rPr>
                <w:lang w:val="uk-UA"/>
              </w:rPr>
            </w:pPr>
            <w:r w:rsidRPr="001416ED">
              <w:rPr>
                <w:lang w:val="uk-UA"/>
              </w:rPr>
              <w:t>25,93</w:t>
            </w:r>
            <w:r w:rsidR="00D4219F" w:rsidRPr="001416ED">
              <w:rPr>
                <w:lang w:val="uk-UA"/>
              </w:rPr>
              <w:t xml:space="preserve"> %</w:t>
            </w:r>
          </w:p>
        </w:tc>
        <w:tc>
          <w:tcPr>
            <w:tcW w:w="1559" w:type="dxa"/>
            <w:vMerge/>
          </w:tcPr>
          <w:p w:rsidR="00640904" w:rsidRPr="001416ED" w:rsidRDefault="00640904" w:rsidP="00640904">
            <w:pPr>
              <w:spacing w:line="360" w:lineRule="auto"/>
              <w:jc w:val="both"/>
              <w:rPr>
                <w:lang w:val="uk-UA"/>
              </w:rPr>
            </w:pPr>
          </w:p>
        </w:tc>
      </w:tr>
    </w:tbl>
    <w:tbl>
      <w:tblPr>
        <w:tblStyle w:val="af5"/>
        <w:tblW w:w="9923" w:type="dxa"/>
        <w:tblInd w:w="108" w:type="dxa"/>
        <w:tblLook w:val="04A0" w:firstRow="1" w:lastRow="0" w:firstColumn="1" w:lastColumn="0" w:noHBand="0" w:noVBand="1"/>
      </w:tblPr>
      <w:tblGrid>
        <w:gridCol w:w="6804"/>
        <w:gridCol w:w="1560"/>
        <w:gridCol w:w="1559"/>
      </w:tblGrid>
      <w:tr w:rsidR="00D058DE" w:rsidRPr="001416ED" w:rsidTr="008672B3">
        <w:tc>
          <w:tcPr>
            <w:tcW w:w="6804" w:type="dxa"/>
          </w:tcPr>
          <w:p w:rsidR="00D058DE" w:rsidRPr="001416ED" w:rsidRDefault="00D058DE" w:rsidP="00683BC8">
            <w:pPr>
              <w:spacing w:line="360" w:lineRule="auto"/>
              <w:jc w:val="both"/>
              <w:rPr>
                <w:lang w:val="uk-UA"/>
              </w:rPr>
            </w:pPr>
            <w:r w:rsidRPr="001416ED">
              <w:rPr>
                <w:lang w:val="uk-UA"/>
              </w:rPr>
              <w:t xml:space="preserve">5. </w:t>
            </w:r>
            <w:r w:rsidR="007002E8" w:rsidRPr="001416ED">
              <w:rPr>
                <w:lang w:val="uk-UA"/>
              </w:rPr>
              <w:t>Чоловіки</w:t>
            </w:r>
            <w:r w:rsidRPr="001416ED">
              <w:rPr>
                <w:lang w:val="uk-UA"/>
              </w:rPr>
              <w:t xml:space="preserve"> з ПГЛШ</w:t>
            </w:r>
            <w:r w:rsidR="006204DD" w:rsidRPr="001416ED">
              <w:rPr>
                <w:lang w:val="uk-UA"/>
              </w:rPr>
              <w:t xml:space="preserve"> та генотипом </w:t>
            </w:r>
            <w:r w:rsidRPr="001416ED">
              <w:rPr>
                <w:lang w:val="en-US"/>
              </w:rPr>
              <w:t>L</w:t>
            </w:r>
            <w:r w:rsidRPr="001416ED">
              <w:rPr>
                <w:lang w:val="uk-UA"/>
              </w:rPr>
              <w:t>у</w:t>
            </w:r>
            <w:r w:rsidRPr="001416ED">
              <w:rPr>
                <w:lang w:val="en-US"/>
              </w:rPr>
              <w:t>s</w:t>
            </w:r>
            <w:r w:rsidRPr="001416ED">
              <w:rPr>
                <w:lang w:val="uk-UA"/>
              </w:rPr>
              <w:t>/</w:t>
            </w:r>
            <w:r w:rsidRPr="001416ED">
              <w:rPr>
                <w:lang w:val="en-US"/>
              </w:rPr>
              <w:t>Lys</w:t>
            </w:r>
            <w:r w:rsidRPr="001416ED">
              <w:rPr>
                <w:lang w:val="uk-UA"/>
              </w:rPr>
              <w:t xml:space="preserve"> (</w:t>
            </w:r>
            <w:r w:rsidRPr="001416ED">
              <w:rPr>
                <w:lang w:val="en-US"/>
              </w:rPr>
              <w:t>n</w:t>
            </w:r>
            <w:r w:rsidRPr="001416ED">
              <w:rPr>
                <w:lang w:val="uk-UA"/>
              </w:rPr>
              <w:t>=24)</w:t>
            </w:r>
          </w:p>
        </w:tc>
        <w:tc>
          <w:tcPr>
            <w:tcW w:w="1560" w:type="dxa"/>
          </w:tcPr>
          <w:p w:rsidR="00D058DE" w:rsidRPr="001416ED" w:rsidRDefault="00D058DE" w:rsidP="00683BC8">
            <w:pPr>
              <w:spacing w:line="360" w:lineRule="auto"/>
              <w:jc w:val="both"/>
              <w:rPr>
                <w:lang w:val="uk-UA"/>
              </w:rPr>
            </w:pPr>
            <w:r w:rsidRPr="001416ED">
              <w:rPr>
                <w:lang w:val="uk-UA"/>
              </w:rPr>
              <w:t>85,71</w:t>
            </w:r>
            <w:r w:rsidR="00D4219F" w:rsidRPr="001416ED">
              <w:rPr>
                <w:lang w:val="uk-UA"/>
              </w:rPr>
              <w:t xml:space="preserve"> %</w:t>
            </w:r>
          </w:p>
        </w:tc>
        <w:tc>
          <w:tcPr>
            <w:tcW w:w="1559" w:type="dxa"/>
            <w:vMerge w:val="restart"/>
          </w:tcPr>
          <w:p w:rsidR="00D058DE" w:rsidRPr="001416ED" w:rsidRDefault="00D058DE" w:rsidP="00710BEE">
            <w:pPr>
              <w:spacing w:before="240" w:line="360" w:lineRule="auto"/>
              <w:jc w:val="both"/>
              <w:rPr>
                <w:lang w:val="uk-UA"/>
              </w:rPr>
            </w:pPr>
            <w:r w:rsidRPr="001416ED">
              <w:rPr>
                <w:lang w:val="uk-UA"/>
              </w:rPr>
              <w:t>р</w:t>
            </w:r>
            <w:r w:rsidRPr="001416ED">
              <w:rPr>
                <w:vertAlign w:val="subscript"/>
                <w:lang w:val="uk-UA"/>
              </w:rPr>
              <w:t>6–5</w:t>
            </w:r>
            <w:r w:rsidR="008672B3" w:rsidRPr="001416ED">
              <w:rPr>
                <w:lang w:val="uk-UA"/>
              </w:rPr>
              <w:t>˂</w:t>
            </w:r>
            <w:r w:rsidRPr="001416ED">
              <w:rPr>
                <w:lang w:val="uk-UA"/>
              </w:rPr>
              <w:t>0,001</w:t>
            </w:r>
          </w:p>
        </w:tc>
      </w:tr>
      <w:tr w:rsidR="00D058DE" w:rsidRPr="001416ED" w:rsidTr="008672B3">
        <w:tc>
          <w:tcPr>
            <w:tcW w:w="6804" w:type="dxa"/>
          </w:tcPr>
          <w:p w:rsidR="00D058DE" w:rsidRPr="001416ED" w:rsidRDefault="00D058DE" w:rsidP="00683BC8">
            <w:pPr>
              <w:spacing w:line="360" w:lineRule="auto"/>
              <w:jc w:val="both"/>
              <w:rPr>
                <w:lang w:val="uk-UA"/>
              </w:rPr>
            </w:pPr>
            <w:r w:rsidRPr="001416ED">
              <w:rPr>
                <w:lang w:val="uk-UA"/>
              </w:rPr>
              <w:t xml:space="preserve">6. </w:t>
            </w:r>
            <w:r w:rsidR="007002E8" w:rsidRPr="001416ED">
              <w:rPr>
                <w:lang w:val="uk-UA"/>
              </w:rPr>
              <w:t>Чоловіки</w:t>
            </w:r>
            <w:r w:rsidRPr="001416ED">
              <w:rPr>
                <w:lang w:val="uk-UA"/>
              </w:rPr>
              <w:t xml:space="preserve"> з ВГЛШ</w:t>
            </w:r>
            <w:r w:rsidR="006204DD" w:rsidRPr="001416ED">
              <w:rPr>
                <w:lang w:val="uk-UA"/>
              </w:rPr>
              <w:t xml:space="preserve"> та генотипом </w:t>
            </w:r>
            <w:r w:rsidRPr="001416ED">
              <w:rPr>
                <w:lang w:val="en-US"/>
              </w:rPr>
              <w:t>L</w:t>
            </w:r>
            <w:r w:rsidRPr="001416ED">
              <w:rPr>
                <w:lang w:val="uk-UA"/>
              </w:rPr>
              <w:t>у</w:t>
            </w:r>
            <w:r w:rsidRPr="001416ED">
              <w:rPr>
                <w:lang w:val="en-US"/>
              </w:rPr>
              <w:t>s</w:t>
            </w:r>
            <w:r w:rsidRPr="001416ED">
              <w:rPr>
                <w:lang w:val="uk-UA"/>
              </w:rPr>
              <w:t>/</w:t>
            </w:r>
            <w:r w:rsidRPr="001416ED">
              <w:rPr>
                <w:lang w:val="en-US"/>
              </w:rPr>
              <w:t>Lys</w:t>
            </w:r>
            <w:r w:rsidRPr="001416ED">
              <w:rPr>
                <w:lang w:val="uk-UA"/>
              </w:rPr>
              <w:t xml:space="preserve"> (</w:t>
            </w:r>
            <w:r w:rsidRPr="001416ED">
              <w:rPr>
                <w:lang w:val="en-US"/>
              </w:rPr>
              <w:t>n</w:t>
            </w:r>
            <w:r w:rsidRPr="001416ED">
              <w:rPr>
                <w:lang w:val="uk-UA"/>
              </w:rPr>
              <w:t>=5)</w:t>
            </w:r>
          </w:p>
        </w:tc>
        <w:tc>
          <w:tcPr>
            <w:tcW w:w="1560" w:type="dxa"/>
          </w:tcPr>
          <w:p w:rsidR="00D058DE" w:rsidRPr="001416ED" w:rsidRDefault="00D058DE" w:rsidP="00683BC8">
            <w:pPr>
              <w:spacing w:line="360" w:lineRule="auto"/>
              <w:jc w:val="both"/>
              <w:rPr>
                <w:lang w:val="uk-UA"/>
              </w:rPr>
            </w:pPr>
            <w:r w:rsidRPr="001416ED">
              <w:rPr>
                <w:lang w:val="uk-UA"/>
              </w:rPr>
              <w:t>14,29</w:t>
            </w:r>
            <w:r w:rsidR="00D4219F" w:rsidRPr="001416ED">
              <w:rPr>
                <w:lang w:val="uk-UA"/>
              </w:rPr>
              <w:t xml:space="preserve"> %</w:t>
            </w:r>
          </w:p>
        </w:tc>
        <w:tc>
          <w:tcPr>
            <w:tcW w:w="1559" w:type="dxa"/>
            <w:vMerge/>
          </w:tcPr>
          <w:p w:rsidR="00D058DE" w:rsidRPr="001416ED" w:rsidRDefault="00D058DE" w:rsidP="00710BEE">
            <w:pPr>
              <w:spacing w:before="240" w:line="360" w:lineRule="auto"/>
              <w:jc w:val="both"/>
              <w:rPr>
                <w:lang w:val="uk-UA"/>
              </w:rPr>
            </w:pPr>
          </w:p>
        </w:tc>
      </w:tr>
      <w:tr w:rsidR="00D058DE" w:rsidRPr="001416ED" w:rsidTr="008672B3">
        <w:tc>
          <w:tcPr>
            <w:tcW w:w="6804" w:type="dxa"/>
          </w:tcPr>
          <w:p w:rsidR="00D058DE" w:rsidRPr="001416ED" w:rsidRDefault="00D058DE" w:rsidP="00683BC8">
            <w:pPr>
              <w:spacing w:line="360" w:lineRule="auto"/>
              <w:jc w:val="both"/>
              <w:rPr>
                <w:lang w:val="uk-UA"/>
              </w:rPr>
            </w:pPr>
            <w:r w:rsidRPr="001416ED">
              <w:rPr>
                <w:lang w:val="uk-UA"/>
              </w:rPr>
              <w:t xml:space="preserve">7. </w:t>
            </w:r>
            <w:r w:rsidR="007002E8" w:rsidRPr="001416ED">
              <w:rPr>
                <w:lang w:val="uk-UA"/>
              </w:rPr>
              <w:t>Чоловіки</w:t>
            </w:r>
            <w:r w:rsidRPr="001416ED">
              <w:rPr>
                <w:lang w:val="uk-UA"/>
              </w:rPr>
              <w:t xml:space="preserve"> з ПГЛШ, носії алелі </w:t>
            </w:r>
            <w:r w:rsidRPr="001416ED">
              <w:rPr>
                <w:lang w:val="en-US"/>
              </w:rPr>
              <w:t>Asn</w:t>
            </w:r>
            <w:r w:rsidRPr="001416ED">
              <w:rPr>
                <w:lang w:val="uk-UA"/>
              </w:rPr>
              <w:t xml:space="preserve"> (</w:t>
            </w:r>
            <w:r w:rsidRPr="001416ED">
              <w:rPr>
                <w:lang w:val="en-US"/>
              </w:rPr>
              <w:t>n</w:t>
            </w:r>
            <w:r w:rsidRPr="001416ED">
              <w:rPr>
                <w:lang w:val="uk-UA"/>
              </w:rPr>
              <w:t>=24)</w:t>
            </w:r>
          </w:p>
        </w:tc>
        <w:tc>
          <w:tcPr>
            <w:tcW w:w="1560" w:type="dxa"/>
          </w:tcPr>
          <w:p w:rsidR="00D058DE" w:rsidRPr="001416ED" w:rsidRDefault="00D058DE" w:rsidP="00683BC8">
            <w:pPr>
              <w:spacing w:line="360" w:lineRule="auto"/>
              <w:jc w:val="both"/>
              <w:rPr>
                <w:lang w:val="uk-UA"/>
              </w:rPr>
            </w:pPr>
            <w:r w:rsidRPr="001416ED">
              <w:rPr>
                <w:lang w:val="uk-UA"/>
              </w:rPr>
              <w:t>85,19</w:t>
            </w:r>
            <w:r w:rsidR="00D4219F" w:rsidRPr="001416ED">
              <w:rPr>
                <w:lang w:val="uk-UA"/>
              </w:rPr>
              <w:t xml:space="preserve"> %</w:t>
            </w:r>
          </w:p>
        </w:tc>
        <w:tc>
          <w:tcPr>
            <w:tcW w:w="1559" w:type="dxa"/>
            <w:vMerge w:val="restart"/>
          </w:tcPr>
          <w:p w:rsidR="00D058DE" w:rsidRPr="001416ED" w:rsidRDefault="00D058DE" w:rsidP="00710BEE">
            <w:pPr>
              <w:spacing w:before="240" w:line="360" w:lineRule="auto"/>
              <w:jc w:val="both"/>
              <w:rPr>
                <w:lang w:val="uk-UA"/>
              </w:rPr>
            </w:pPr>
            <w:r w:rsidRPr="001416ED">
              <w:rPr>
                <w:lang w:val="uk-UA"/>
              </w:rPr>
              <w:t>р</w:t>
            </w:r>
            <w:r w:rsidRPr="001416ED">
              <w:rPr>
                <w:vertAlign w:val="subscript"/>
                <w:lang w:val="uk-UA"/>
              </w:rPr>
              <w:t>8–7</w:t>
            </w:r>
            <w:r w:rsidR="008672B3" w:rsidRPr="001416ED">
              <w:rPr>
                <w:lang w:val="uk-UA"/>
              </w:rPr>
              <w:t>˂</w:t>
            </w:r>
            <w:r w:rsidRPr="001416ED">
              <w:rPr>
                <w:lang w:val="uk-UA"/>
              </w:rPr>
              <w:t>0,001</w:t>
            </w:r>
          </w:p>
        </w:tc>
      </w:tr>
      <w:tr w:rsidR="00D058DE" w:rsidRPr="001416ED" w:rsidTr="008672B3">
        <w:tc>
          <w:tcPr>
            <w:tcW w:w="6804" w:type="dxa"/>
          </w:tcPr>
          <w:p w:rsidR="00D058DE" w:rsidRPr="001416ED" w:rsidRDefault="00D058DE" w:rsidP="00683BC8">
            <w:pPr>
              <w:spacing w:line="360" w:lineRule="auto"/>
              <w:jc w:val="both"/>
              <w:rPr>
                <w:lang w:val="uk-UA"/>
              </w:rPr>
            </w:pPr>
            <w:r w:rsidRPr="001416ED">
              <w:rPr>
                <w:lang w:val="uk-UA"/>
              </w:rPr>
              <w:t xml:space="preserve">8. </w:t>
            </w:r>
            <w:r w:rsidR="007002E8" w:rsidRPr="001416ED">
              <w:rPr>
                <w:lang w:val="uk-UA"/>
              </w:rPr>
              <w:t>Чоловіки</w:t>
            </w:r>
            <w:r w:rsidRPr="001416ED">
              <w:rPr>
                <w:lang w:val="uk-UA"/>
              </w:rPr>
              <w:t xml:space="preserve"> з ВГЛШ, носії алелі </w:t>
            </w:r>
            <w:r w:rsidRPr="001416ED">
              <w:rPr>
                <w:lang w:val="en-US"/>
              </w:rPr>
              <w:t>Asn</w:t>
            </w:r>
            <w:r w:rsidRPr="001416ED">
              <w:rPr>
                <w:lang w:val="uk-UA"/>
              </w:rPr>
              <w:t xml:space="preserve"> (</w:t>
            </w:r>
            <w:r w:rsidRPr="001416ED">
              <w:rPr>
                <w:lang w:val="en-US"/>
              </w:rPr>
              <w:t>n</w:t>
            </w:r>
            <w:r w:rsidRPr="001416ED">
              <w:rPr>
                <w:lang w:val="uk-UA"/>
              </w:rPr>
              <w:t>=4)</w:t>
            </w:r>
          </w:p>
        </w:tc>
        <w:tc>
          <w:tcPr>
            <w:tcW w:w="1560" w:type="dxa"/>
          </w:tcPr>
          <w:p w:rsidR="00D058DE" w:rsidRPr="001416ED" w:rsidRDefault="00D058DE" w:rsidP="00683BC8">
            <w:pPr>
              <w:spacing w:line="360" w:lineRule="auto"/>
              <w:jc w:val="both"/>
              <w:rPr>
                <w:lang w:val="uk-UA"/>
              </w:rPr>
            </w:pPr>
            <w:r w:rsidRPr="001416ED">
              <w:rPr>
                <w:lang w:val="uk-UA"/>
              </w:rPr>
              <w:t>14,81</w:t>
            </w:r>
            <w:r w:rsidR="00D4219F" w:rsidRPr="001416ED">
              <w:rPr>
                <w:lang w:val="uk-UA"/>
              </w:rPr>
              <w:t xml:space="preserve"> %</w:t>
            </w:r>
          </w:p>
        </w:tc>
        <w:tc>
          <w:tcPr>
            <w:tcW w:w="1559" w:type="dxa"/>
            <w:vMerge/>
          </w:tcPr>
          <w:p w:rsidR="00D058DE" w:rsidRPr="001416ED" w:rsidRDefault="00D058DE" w:rsidP="00710BEE">
            <w:pPr>
              <w:spacing w:before="240" w:line="360" w:lineRule="auto"/>
              <w:jc w:val="both"/>
              <w:rPr>
                <w:lang w:val="uk-UA"/>
              </w:rPr>
            </w:pPr>
          </w:p>
        </w:tc>
      </w:tr>
      <w:tr w:rsidR="00D058DE" w:rsidRPr="001416ED" w:rsidTr="008672B3">
        <w:tc>
          <w:tcPr>
            <w:tcW w:w="6804" w:type="dxa"/>
          </w:tcPr>
          <w:p w:rsidR="00D058DE" w:rsidRPr="001416ED" w:rsidRDefault="00D058DE" w:rsidP="00683BC8">
            <w:pPr>
              <w:spacing w:line="360" w:lineRule="auto"/>
              <w:jc w:val="both"/>
              <w:rPr>
                <w:lang w:val="uk-UA"/>
              </w:rPr>
            </w:pPr>
            <w:r w:rsidRPr="001416ED">
              <w:rPr>
                <w:lang w:val="uk-UA"/>
              </w:rPr>
              <w:t>р</w:t>
            </w:r>
          </w:p>
        </w:tc>
        <w:tc>
          <w:tcPr>
            <w:tcW w:w="3119" w:type="dxa"/>
            <w:gridSpan w:val="2"/>
          </w:tcPr>
          <w:p w:rsidR="00D058DE" w:rsidRPr="001416ED" w:rsidRDefault="00D058DE" w:rsidP="00D058DE">
            <w:pPr>
              <w:spacing w:line="360" w:lineRule="auto"/>
              <w:jc w:val="both"/>
              <w:rPr>
                <w:lang w:val="uk-UA"/>
              </w:rPr>
            </w:pPr>
            <w:r w:rsidRPr="001416ED">
              <w:rPr>
                <w:lang w:val="uk-UA"/>
              </w:rPr>
              <w:t>р</w:t>
            </w:r>
            <w:r w:rsidRPr="001416ED">
              <w:rPr>
                <w:vertAlign w:val="subscript"/>
                <w:lang w:val="uk-UA"/>
              </w:rPr>
              <w:t>3–1</w:t>
            </w:r>
            <w:r w:rsidR="008672B3" w:rsidRPr="001416ED">
              <w:rPr>
                <w:lang w:val="uk-UA"/>
              </w:rPr>
              <w:t>˃</w:t>
            </w:r>
            <w:r w:rsidRPr="001416ED">
              <w:rPr>
                <w:lang w:val="uk-UA"/>
              </w:rPr>
              <w:t>0,05; р</w:t>
            </w:r>
            <w:r w:rsidRPr="001416ED">
              <w:rPr>
                <w:vertAlign w:val="subscript"/>
                <w:lang w:val="uk-UA"/>
              </w:rPr>
              <w:t>4–2</w:t>
            </w:r>
            <w:r w:rsidR="008672B3" w:rsidRPr="001416ED">
              <w:rPr>
                <w:lang w:val="uk-UA"/>
              </w:rPr>
              <w:t>˃</w:t>
            </w:r>
            <w:r w:rsidRPr="001416ED">
              <w:rPr>
                <w:lang w:val="uk-UA"/>
              </w:rPr>
              <w:t>0,05;</w:t>
            </w:r>
          </w:p>
          <w:p w:rsidR="00D058DE" w:rsidRPr="001416ED" w:rsidRDefault="00D058DE" w:rsidP="008672B3">
            <w:pPr>
              <w:spacing w:line="360" w:lineRule="auto"/>
              <w:jc w:val="both"/>
              <w:rPr>
                <w:lang w:val="uk-UA"/>
              </w:rPr>
            </w:pPr>
            <w:r w:rsidRPr="001416ED">
              <w:rPr>
                <w:lang w:val="uk-UA"/>
              </w:rPr>
              <w:t>р</w:t>
            </w:r>
            <w:r w:rsidRPr="001416ED">
              <w:rPr>
                <w:vertAlign w:val="subscript"/>
                <w:lang w:val="uk-UA"/>
              </w:rPr>
              <w:t>7–5</w:t>
            </w:r>
            <w:r w:rsidR="008672B3" w:rsidRPr="001416ED">
              <w:rPr>
                <w:lang w:val="uk-UA"/>
              </w:rPr>
              <w:t>˃</w:t>
            </w:r>
            <w:r w:rsidRPr="001416ED">
              <w:rPr>
                <w:lang w:val="uk-UA"/>
              </w:rPr>
              <w:t>0,05; р</w:t>
            </w:r>
            <w:r w:rsidRPr="001416ED">
              <w:rPr>
                <w:vertAlign w:val="subscript"/>
                <w:lang w:val="uk-UA"/>
              </w:rPr>
              <w:t>8–6</w:t>
            </w:r>
            <w:r w:rsidR="008672B3" w:rsidRPr="001416ED">
              <w:rPr>
                <w:lang w:val="uk-UA"/>
              </w:rPr>
              <w:t>˃</w:t>
            </w:r>
            <w:r w:rsidRPr="001416ED">
              <w:rPr>
                <w:lang w:val="uk-UA"/>
              </w:rPr>
              <w:t>0,05</w:t>
            </w:r>
          </w:p>
        </w:tc>
      </w:tr>
    </w:tbl>
    <w:p w:rsidR="00FA305E" w:rsidRPr="001416ED" w:rsidRDefault="00320C6C" w:rsidP="00710BEE">
      <w:pPr>
        <w:spacing w:before="240" w:line="360" w:lineRule="auto"/>
        <w:ind w:firstLine="709"/>
        <w:jc w:val="both"/>
        <w:rPr>
          <w:lang w:val="uk-UA"/>
        </w:rPr>
      </w:pPr>
      <w:r w:rsidRPr="001416ED">
        <w:rPr>
          <w:lang w:val="uk-UA"/>
        </w:rPr>
        <w:t>Встановлено, що у чоловіків</w:t>
      </w:r>
      <w:r w:rsidR="00F37EA6">
        <w:rPr>
          <w:lang w:val="uk-UA"/>
        </w:rPr>
        <w:t xml:space="preserve"> з ГХ ІІ ст. при носійстві будь</w:t>
      </w:r>
      <w:r w:rsidR="00BC0119" w:rsidRPr="001416ED">
        <w:rPr>
          <w:lang w:val="uk-UA"/>
        </w:rPr>
        <w:t>–</w:t>
      </w:r>
      <w:r w:rsidRPr="001416ED">
        <w:rPr>
          <w:lang w:val="uk-UA"/>
        </w:rPr>
        <w:t xml:space="preserve">якого </w:t>
      </w:r>
      <w:r w:rsidR="00E6164F">
        <w:rPr>
          <w:lang w:val="uk-UA"/>
        </w:rPr>
        <w:t>поліморфного варіанту гена</w:t>
      </w:r>
      <w:r w:rsidR="00710BEE" w:rsidRPr="001416ED">
        <w:rPr>
          <w:lang w:val="uk-UA"/>
        </w:rPr>
        <w:t xml:space="preserve"> ЕТ</w:t>
      </w:r>
      <w:r w:rsidR="00BC0119" w:rsidRPr="001416ED">
        <w:rPr>
          <w:lang w:val="uk-UA"/>
        </w:rPr>
        <w:t>–</w:t>
      </w:r>
      <w:r w:rsidR="00710BEE" w:rsidRPr="001416ED">
        <w:rPr>
          <w:lang w:val="uk-UA"/>
        </w:rPr>
        <w:t>1</w:t>
      </w:r>
      <w:r w:rsidRPr="001416ED">
        <w:rPr>
          <w:lang w:val="uk-UA"/>
        </w:rPr>
        <w:t xml:space="preserve"> найчастіше зустрічається помірна </w:t>
      </w:r>
      <w:r w:rsidR="005647E2" w:rsidRPr="001416ED">
        <w:rPr>
          <w:lang w:val="uk-UA"/>
        </w:rPr>
        <w:t>кон</w:t>
      </w:r>
      <w:r w:rsidRPr="001416ED">
        <w:rPr>
          <w:lang w:val="uk-UA"/>
        </w:rPr>
        <w:t>центрична ГЛ</w:t>
      </w:r>
      <w:r w:rsidR="00710BEE" w:rsidRPr="001416ED">
        <w:rPr>
          <w:lang w:val="uk-UA"/>
        </w:rPr>
        <w:t>Ш</w:t>
      </w:r>
      <w:r w:rsidR="00FE3640">
        <w:rPr>
          <w:lang w:val="uk-UA"/>
        </w:rPr>
        <w:t xml:space="preserve"> (ПГЛШ, КГЛШ), ніж виражена та ексцентрична ГЛШ (ВГЛШ, ЕГЛШ)</w:t>
      </w:r>
      <w:r w:rsidR="00710BEE" w:rsidRPr="001416ED">
        <w:rPr>
          <w:lang w:val="uk-UA"/>
        </w:rPr>
        <w:t>. Н</w:t>
      </w:r>
      <w:r w:rsidRPr="001416ED">
        <w:rPr>
          <w:lang w:val="uk-UA"/>
        </w:rPr>
        <w:t xml:space="preserve">осійство </w:t>
      </w:r>
      <w:r w:rsidR="00710BEE" w:rsidRPr="001416ED">
        <w:rPr>
          <w:lang w:val="uk-UA"/>
        </w:rPr>
        <w:t xml:space="preserve">поліморфного </w:t>
      </w:r>
      <w:r w:rsidR="00E6164F">
        <w:rPr>
          <w:lang w:val="uk-UA"/>
        </w:rPr>
        <w:t>варіанту гена</w:t>
      </w:r>
      <w:r w:rsidR="00AE51FC" w:rsidRPr="001416ED">
        <w:rPr>
          <w:lang w:val="uk-UA"/>
        </w:rPr>
        <w:t xml:space="preserve"> ЕТ</w:t>
      </w:r>
      <w:r w:rsidR="00BC0119" w:rsidRPr="001416ED">
        <w:rPr>
          <w:lang w:val="uk-UA"/>
        </w:rPr>
        <w:t>–</w:t>
      </w:r>
      <w:r w:rsidR="00AE51FC" w:rsidRPr="001416ED">
        <w:rPr>
          <w:lang w:val="uk-UA"/>
        </w:rPr>
        <w:t>1</w:t>
      </w:r>
      <w:r w:rsidRPr="001416ED">
        <w:rPr>
          <w:lang w:val="uk-UA"/>
        </w:rPr>
        <w:t xml:space="preserve"> не </w:t>
      </w:r>
      <w:r w:rsidR="001E1A15" w:rsidRPr="001416ED">
        <w:rPr>
          <w:lang w:val="uk-UA"/>
        </w:rPr>
        <w:t>асоційован</w:t>
      </w:r>
      <w:r w:rsidR="00F37EA6">
        <w:rPr>
          <w:lang w:val="uk-UA"/>
        </w:rPr>
        <w:t>е</w:t>
      </w:r>
      <w:r w:rsidR="001E1A15" w:rsidRPr="001416ED">
        <w:rPr>
          <w:lang w:val="uk-UA"/>
        </w:rPr>
        <w:t xml:space="preserve"> з</w:t>
      </w:r>
      <w:r w:rsidRPr="001416ED">
        <w:rPr>
          <w:lang w:val="uk-UA"/>
        </w:rPr>
        <w:t xml:space="preserve"> варіант</w:t>
      </w:r>
      <w:r w:rsidR="001E1A15" w:rsidRPr="001416ED">
        <w:rPr>
          <w:lang w:val="uk-UA"/>
        </w:rPr>
        <w:t>ом</w:t>
      </w:r>
      <w:r w:rsidR="00EC547A" w:rsidRPr="001416ED">
        <w:rPr>
          <w:lang w:val="uk-UA"/>
        </w:rPr>
        <w:t xml:space="preserve"> </w:t>
      </w:r>
      <w:r w:rsidR="007002E8" w:rsidRPr="001416ED">
        <w:rPr>
          <w:lang w:val="uk-UA"/>
        </w:rPr>
        <w:t>Г</w:t>
      </w:r>
      <w:r w:rsidRPr="001416ED">
        <w:rPr>
          <w:lang w:val="uk-UA"/>
        </w:rPr>
        <w:t>ЛШ.</w:t>
      </w:r>
      <w:r w:rsidR="00EE3808" w:rsidRPr="001416ED">
        <w:rPr>
          <w:lang w:val="uk-UA"/>
        </w:rPr>
        <w:t xml:space="preserve"> </w:t>
      </w:r>
    </w:p>
    <w:p w:rsidR="00BE5BB7" w:rsidRPr="001416ED" w:rsidRDefault="00EE3808" w:rsidP="001B5734">
      <w:pPr>
        <w:spacing w:line="360" w:lineRule="auto"/>
        <w:ind w:firstLine="709"/>
        <w:jc w:val="both"/>
        <w:rPr>
          <w:lang w:val="uk-UA"/>
        </w:rPr>
      </w:pPr>
      <w:r w:rsidRPr="001416ED">
        <w:rPr>
          <w:lang w:val="uk-UA"/>
        </w:rPr>
        <w:t xml:space="preserve">Визначення </w:t>
      </w:r>
      <w:r w:rsidR="001C4D39" w:rsidRPr="001416ED">
        <w:rPr>
          <w:lang w:val="uk-UA"/>
        </w:rPr>
        <w:t>варіантів</w:t>
      </w:r>
      <w:r w:rsidR="008672B3" w:rsidRPr="001416ED">
        <w:rPr>
          <w:lang w:val="uk-UA"/>
        </w:rPr>
        <w:t xml:space="preserve"> трансмітрального кровотоку</w:t>
      </w:r>
      <w:r w:rsidR="001C4D39" w:rsidRPr="001416ED">
        <w:rPr>
          <w:lang w:val="uk-UA"/>
        </w:rPr>
        <w:t xml:space="preserve"> </w:t>
      </w:r>
      <w:r w:rsidR="008672B3" w:rsidRPr="001416ED">
        <w:rPr>
          <w:lang w:val="uk-UA"/>
        </w:rPr>
        <w:t>(</w:t>
      </w:r>
      <w:r w:rsidR="001C4D39" w:rsidRPr="001416ED">
        <w:rPr>
          <w:lang w:val="uk-UA"/>
        </w:rPr>
        <w:t>ТМК</w:t>
      </w:r>
      <w:r w:rsidR="008672B3" w:rsidRPr="001416ED">
        <w:rPr>
          <w:lang w:val="uk-UA"/>
        </w:rPr>
        <w:t>)</w:t>
      </w:r>
      <w:r w:rsidR="001C4D39" w:rsidRPr="001416ED">
        <w:rPr>
          <w:lang w:val="uk-UA"/>
        </w:rPr>
        <w:t xml:space="preserve"> у чоловіків з ГХ ІІ ст.</w:t>
      </w:r>
      <w:r w:rsidR="00AE51FC" w:rsidRPr="001416ED">
        <w:rPr>
          <w:lang w:val="uk-UA"/>
        </w:rPr>
        <w:t xml:space="preserve"> </w:t>
      </w:r>
      <w:r w:rsidR="001C4D39" w:rsidRPr="001416ED">
        <w:rPr>
          <w:lang w:val="uk-UA"/>
        </w:rPr>
        <w:t>при носійстві</w:t>
      </w:r>
      <w:r w:rsidR="00AE51FC" w:rsidRPr="001416ED">
        <w:rPr>
          <w:lang w:val="uk-UA"/>
        </w:rPr>
        <w:t xml:space="preserve"> </w:t>
      </w:r>
      <w:r w:rsidR="00F37EA6">
        <w:rPr>
          <w:lang w:val="uk-UA"/>
        </w:rPr>
        <w:t>різних</w:t>
      </w:r>
      <w:r w:rsidR="00E6164F">
        <w:rPr>
          <w:lang w:val="uk-UA"/>
        </w:rPr>
        <w:t xml:space="preserve"> варіантів гена ЕТ–1</w:t>
      </w:r>
      <w:r w:rsidR="001C4D39" w:rsidRPr="001416ED">
        <w:rPr>
          <w:lang w:val="uk-UA"/>
        </w:rPr>
        <w:t xml:space="preserve"> показало наступний розподіл (табл. 5.</w:t>
      </w:r>
      <w:r w:rsidR="001E1A15" w:rsidRPr="001416ED">
        <w:rPr>
          <w:lang w:val="uk-UA"/>
        </w:rPr>
        <w:t>3</w:t>
      </w:r>
      <w:r w:rsidR="001C4D39" w:rsidRPr="001416ED">
        <w:rPr>
          <w:lang w:val="uk-UA"/>
        </w:rPr>
        <w:t>).</w:t>
      </w:r>
      <w:r w:rsidR="00AE51FC" w:rsidRPr="001416ED">
        <w:rPr>
          <w:sz w:val="24"/>
          <w:szCs w:val="24"/>
          <w:lang w:val="uk-UA"/>
        </w:rPr>
        <w:t xml:space="preserve"> </w:t>
      </w:r>
      <w:r w:rsidR="00AE51FC" w:rsidRPr="001416ED">
        <w:rPr>
          <w:lang w:val="uk-UA"/>
        </w:rPr>
        <w:t xml:space="preserve">Як у носіїв генотипу </w:t>
      </w:r>
      <w:r w:rsidR="00AE51FC" w:rsidRPr="001416ED">
        <w:rPr>
          <w:lang w:val="en-US"/>
        </w:rPr>
        <w:t>Lys</w:t>
      </w:r>
      <w:r w:rsidR="00AE51FC" w:rsidRPr="001416ED">
        <w:rPr>
          <w:lang w:val="uk-UA"/>
        </w:rPr>
        <w:t>/</w:t>
      </w:r>
      <w:r w:rsidR="00AE51FC" w:rsidRPr="001416ED">
        <w:rPr>
          <w:lang w:val="en-US"/>
        </w:rPr>
        <w:t>Lys</w:t>
      </w:r>
      <w:r w:rsidR="00AE51FC" w:rsidRPr="001416ED">
        <w:rPr>
          <w:lang w:val="uk-UA"/>
        </w:rPr>
        <w:t xml:space="preserve"> так і алелі </w:t>
      </w:r>
      <w:r w:rsidR="00AE51FC" w:rsidRPr="001416ED">
        <w:rPr>
          <w:lang w:val="en-US"/>
        </w:rPr>
        <w:t>Asn</w:t>
      </w:r>
      <w:r w:rsidR="00AE51FC" w:rsidRPr="001416ED">
        <w:rPr>
          <w:lang w:val="uk-UA"/>
        </w:rPr>
        <w:t xml:space="preserve"> гена ЕТ</w:t>
      </w:r>
      <w:r w:rsidR="00BC0119" w:rsidRPr="001416ED">
        <w:rPr>
          <w:lang w:val="uk-UA"/>
        </w:rPr>
        <w:t>–</w:t>
      </w:r>
      <w:r w:rsidR="00AE51FC" w:rsidRPr="001416ED">
        <w:rPr>
          <w:lang w:val="uk-UA"/>
        </w:rPr>
        <w:t xml:space="preserve">1 вірогідно частіше зустрічається нормальний тип ТМК. </w:t>
      </w:r>
      <w:r w:rsidR="00AE51FC" w:rsidRPr="001416ED">
        <w:t>Проте</w:t>
      </w:r>
      <w:r w:rsidR="00B6209A" w:rsidRPr="001416ED">
        <w:rPr>
          <w:lang w:val="uk-UA"/>
        </w:rPr>
        <w:t>,</w:t>
      </w:r>
      <w:r w:rsidR="00AE51FC" w:rsidRPr="001416ED">
        <w:t xml:space="preserve"> </w:t>
      </w:r>
      <w:proofErr w:type="gramStart"/>
      <w:r w:rsidR="00AE51FC" w:rsidRPr="001416ED">
        <w:t>р</w:t>
      </w:r>
      <w:proofErr w:type="gramEnd"/>
      <w:r w:rsidR="00AE51FC" w:rsidRPr="001416ED">
        <w:t xml:space="preserve">ізниці між носіями </w:t>
      </w:r>
      <w:r w:rsidR="00E6164F">
        <w:t>поліморфних варіантів гена ЕТ–1</w:t>
      </w:r>
      <w:r w:rsidR="00AE51FC" w:rsidRPr="001416ED">
        <w:t xml:space="preserve"> не виявлено</w:t>
      </w:r>
      <w:r w:rsidR="00AE51FC" w:rsidRPr="001416ED">
        <w:rPr>
          <w:lang w:val="uk-UA"/>
        </w:rPr>
        <w:t>.</w:t>
      </w:r>
    </w:p>
    <w:p w:rsidR="008672B3" w:rsidRPr="001416ED" w:rsidRDefault="008672B3" w:rsidP="00AE51FC">
      <w:pPr>
        <w:spacing w:line="360" w:lineRule="auto"/>
        <w:ind w:right="-18" w:firstLine="708"/>
        <w:jc w:val="right"/>
        <w:rPr>
          <w:rFonts w:eastAsiaTheme="minorHAnsi"/>
          <w:b/>
          <w:kern w:val="11"/>
          <w:lang w:val="uk-UA" w:eastAsia="en-US"/>
        </w:rPr>
      </w:pPr>
    </w:p>
    <w:p w:rsidR="008672B3" w:rsidRDefault="008672B3" w:rsidP="00AE51FC">
      <w:pPr>
        <w:spacing w:line="360" w:lineRule="auto"/>
        <w:ind w:right="-18" w:firstLine="708"/>
        <w:jc w:val="right"/>
        <w:rPr>
          <w:rFonts w:eastAsiaTheme="minorHAnsi"/>
          <w:b/>
          <w:kern w:val="11"/>
          <w:lang w:val="uk-UA" w:eastAsia="en-US"/>
        </w:rPr>
      </w:pPr>
    </w:p>
    <w:p w:rsidR="00F37EA6" w:rsidRPr="001416ED" w:rsidRDefault="00F37EA6" w:rsidP="00AE51FC">
      <w:pPr>
        <w:spacing w:line="360" w:lineRule="auto"/>
        <w:ind w:right="-18" w:firstLine="708"/>
        <w:jc w:val="right"/>
        <w:rPr>
          <w:rFonts w:eastAsiaTheme="minorHAnsi"/>
          <w:b/>
          <w:kern w:val="11"/>
          <w:lang w:val="uk-UA" w:eastAsia="en-US"/>
        </w:rPr>
      </w:pPr>
    </w:p>
    <w:p w:rsidR="003E7B34" w:rsidRPr="001416ED" w:rsidRDefault="003E7B34" w:rsidP="00AE51FC">
      <w:pPr>
        <w:spacing w:line="360" w:lineRule="auto"/>
        <w:ind w:right="-18" w:firstLine="708"/>
        <w:jc w:val="right"/>
        <w:rPr>
          <w:rFonts w:eastAsiaTheme="minorHAnsi"/>
          <w:b/>
          <w:kern w:val="11"/>
          <w:lang w:val="uk-UA" w:eastAsia="en-US"/>
        </w:rPr>
      </w:pPr>
      <w:r w:rsidRPr="001416ED">
        <w:rPr>
          <w:rFonts w:eastAsiaTheme="minorHAnsi"/>
          <w:b/>
          <w:kern w:val="11"/>
          <w:lang w:val="uk-UA" w:eastAsia="en-US"/>
        </w:rPr>
        <w:lastRenderedPageBreak/>
        <w:t>Таблиця 5.</w:t>
      </w:r>
      <w:r w:rsidR="001E1A15" w:rsidRPr="001416ED">
        <w:rPr>
          <w:rFonts w:eastAsiaTheme="minorHAnsi"/>
          <w:b/>
          <w:kern w:val="11"/>
          <w:lang w:val="uk-UA" w:eastAsia="en-US"/>
        </w:rPr>
        <w:t>3</w:t>
      </w:r>
    </w:p>
    <w:p w:rsidR="003E7B34" w:rsidRPr="001416ED" w:rsidRDefault="003E7B34" w:rsidP="00AE51FC">
      <w:pPr>
        <w:spacing w:line="360" w:lineRule="auto"/>
        <w:ind w:right="-18"/>
        <w:jc w:val="center"/>
        <w:rPr>
          <w:rFonts w:eastAsiaTheme="minorHAnsi"/>
          <w:b/>
          <w:kern w:val="11"/>
          <w:lang w:val="uk-UA" w:eastAsia="en-US"/>
        </w:rPr>
      </w:pPr>
      <w:r w:rsidRPr="001416ED">
        <w:rPr>
          <w:b/>
          <w:lang w:val="uk-UA"/>
        </w:rPr>
        <w:t xml:space="preserve">Типи </w:t>
      </w:r>
      <w:r w:rsidR="008672B3" w:rsidRPr="001416ED">
        <w:rPr>
          <w:b/>
          <w:lang w:val="uk-UA"/>
        </w:rPr>
        <w:t>ТМК</w:t>
      </w:r>
      <w:r w:rsidRPr="001416ED">
        <w:rPr>
          <w:b/>
          <w:lang w:val="uk-UA"/>
        </w:rPr>
        <w:t xml:space="preserve"> у чоловіків з ГХ ІІ ст. </w:t>
      </w:r>
      <w:r w:rsidR="00992C5E">
        <w:rPr>
          <w:b/>
          <w:lang w:val="uk-UA"/>
        </w:rPr>
        <w:t>- носїв</w:t>
      </w:r>
      <w:r w:rsidRPr="001416ED">
        <w:rPr>
          <w:b/>
          <w:lang w:val="uk-UA"/>
        </w:rPr>
        <w:t xml:space="preserve"> різних варіантів </w:t>
      </w:r>
      <w:r w:rsidR="00F40216">
        <w:rPr>
          <w:b/>
          <w:lang w:val="uk-UA"/>
        </w:rPr>
        <w:t>гена</w:t>
      </w:r>
      <w:r w:rsidRPr="001416ED">
        <w:rPr>
          <w:b/>
          <w:lang w:val="uk-UA"/>
        </w:rPr>
        <w:t xml:space="preserve"> ЕТ</w:t>
      </w:r>
      <w:r w:rsidR="00BC0119" w:rsidRPr="001416ED">
        <w:rPr>
          <w:b/>
          <w:lang w:val="uk-UA"/>
        </w:rPr>
        <w:t>–</w:t>
      </w:r>
      <w:r w:rsidRPr="001416ED">
        <w:rPr>
          <w:b/>
          <w:lang w:val="uk-UA"/>
        </w:rPr>
        <w:t>1, (</w:t>
      </w:r>
      <w:r w:rsidR="00D4219F" w:rsidRPr="001416ED">
        <w:rPr>
          <w:b/>
          <w:lang w:val="uk-UA"/>
        </w:rPr>
        <w:t>%</w:t>
      </w:r>
      <w:r w:rsidRPr="001416ED">
        <w:rPr>
          <w:b/>
          <w:lang w:val="uk-UA"/>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1134"/>
        <w:gridCol w:w="1134"/>
        <w:gridCol w:w="1134"/>
        <w:gridCol w:w="1134"/>
        <w:gridCol w:w="1417"/>
      </w:tblGrid>
      <w:tr w:rsidR="003E7B34" w:rsidRPr="001416ED" w:rsidTr="00B25036">
        <w:tc>
          <w:tcPr>
            <w:tcW w:w="1702" w:type="dxa"/>
            <w:vMerge w:val="restart"/>
          </w:tcPr>
          <w:p w:rsidR="003E7B34" w:rsidRPr="001416ED" w:rsidRDefault="003E7B34" w:rsidP="00AE51FC">
            <w:pPr>
              <w:spacing w:line="360" w:lineRule="auto"/>
              <w:ind w:right="-18"/>
              <w:jc w:val="center"/>
              <w:rPr>
                <w:rFonts w:eastAsiaTheme="minorHAnsi"/>
                <w:b/>
                <w:kern w:val="11"/>
                <w:lang w:val="uk-UA" w:eastAsia="en-US"/>
              </w:rPr>
            </w:pPr>
            <w:r w:rsidRPr="001416ED">
              <w:rPr>
                <w:rFonts w:eastAsiaTheme="minorHAnsi"/>
                <w:b/>
                <w:kern w:val="11"/>
                <w:lang w:val="uk-UA" w:eastAsia="en-US"/>
              </w:rPr>
              <w:t>Групи</w:t>
            </w:r>
          </w:p>
        </w:tc>
        <w:tc>
          <w:tcPr>
            <w:tcW w:w="2268" w:type="dxa"/>
            <w:gridSpan w:val="2"/>
          </w:tcPr>
          <w:p w:rsidR="003E7B34" w:rsidRPr="001416ED" w:rsidRDefault="001B5734" w:rsidP="00AE51FC">
            <w:pPr>
              <w:spacing w:line="360" w:lineRule="auto"/>
              <w:ind w:right="-18"/>
              <w:jc w:val="center"/>
              <w:rPr>
                <w:rFonts w:eastAsiaTheme="minorHAnsi"/>
                <w:b/>
                <w:kern w:val="11"/>
                <w:lang w:val="uk-UA" w:eastAsia="en-US"/>
              </w:rPr>
            </w:pPr>
            <w:r w:rsidRPr="001416ED">
              <w:rPr>
                <w:rFonts w:eastAsiaTheme="minorHAnsi"/>
                <w:b/>
                <w:kern w:val="11"/>
                <w:lang w:val="uk-UA" w:eastAsia="en-US"/>
              </w:rPr>
              <w:t>Н</w:t>
            </w:r>
            <w:r w:rsidR="003E7B34" w:rsidRPr="001416ED">
              <w:rPr>
                <w:rFonts w:eastAsiaTheme="minorHAnsi"/>
                <w:b/>
                <w:kern w:val="11"/>
                <w:lang w:val="uk-UA" w:eastAsia="en-US"/>
              </w:rPr>
              <w:t>ормальни</w:t>
            </w:r>
            <w:r w:rsidRPr="001416ED">
              <w:rPr>
                <w:rFonts w:eastAsiaTheme="minorHAnsi"/>
                <w:b/>
                <w:kern w:val="11"/>
                <w:lang w:val="uk-UA" w:eastAsia="en-US"/>
              </w:rPr>
              <w:t xml:space="preserve">й </w:t>
            </w:r>
            <w:r w:rsidR="003E7B34" w:rsidRPr="001416ED">
              <w:rPr>
                <w:rFonts w:eastAsiaTheme="minorHAnsi"/>
                <w:b/>
                <w:kern w:val="11"/>
                <w:lang w:val="uk-UA" w:eastAsia="en-US"/>
              </w:rPr>
              <w:t>тип ТМК</w:t>
            </w:r>
          </w:p>
        </w:tc>
        <w:tc>
          <w:tcPr>
            <w:tcW w:w="2268" w:type="dxa"/>
            <w:gridSpan w:val="2"/>
          </w:tcPr>
          <w:p w:rsidR="003E7B34" w:rsidRPr="001416ED" w:rsidRDefault="001B5734" w:rsidP="00AE51FC">
            <w:pPr>
              <w:spacing w:line="360" w:lineRule="auto"/>
              <w:ind w:right="-18"/>
              <w:jc w:val="center"/>
              <w:rPr>
                <w:rFonts w:eastAsiaTheme="minorHAnsi"/>
                <w:b/>
                <w:kern w:val="11"/>
                <w:lang w:val="uk-UA" w:eastAsia="en-US"/>
              </w:rPr>
            </w:pPr>
            <w:r w:rsidRPr="001416ED">
              <w:rPr>
                <w:rFonts w:eastAsiaTheme="minorHAnsi"/>
                <w:b/>
                <w:kern w:val="11"/>
                <w:lang w:val="uk-UA" w:eastAsia="en-US"/>
              </w:rPr>
              <w:t>Г</w:t>
            </w:r>
            <w:r w:rsidR="003E7B34" w:rsidRPr="001416ED">
              <w:rPr>
                <w:rFonts w:eastAsiaTheme="minorHAnsi"/>
                <w:b/>
                <w:kern w:val="11"/>
                <w:lang w:val="uk-UA" w:eastAsia="en-US"/>
              </w:rPr>
              <w:t>іпертрофічни</w:t>
            </w:r>
            <w:r w:rsidRPr="001416ED">
              <w:rPr>
                <w:rFonts w:eastAsiaTheme="minorHAnsi"/>
                <w:b/>
                <w:kern w:val="11"/>
                <w:lang w:val="uk-UA" w:eastAsia="en-US"/>
              </w:rPr>
              <w:t>й  тип</w:t>
            </w:r>
            <w:r w:rsidR="003E7B34" w:rsidRPr="001416ED">
              <w:rPr>
                <w:rFonts w:eastAsiaTheme="minorHAnsi"/>
                <w:b/>
                <w:kern w:val="11"/>
                <w:lang w:val="uk-UA" w:eastAsia="en-US"/>
              </w:rPr>
              <w:t xml:space="preserve"> ТМК</w:t>
            </w:r>
          </w:p>
        </w:tc>
        <w:tc>
          <w:tcPr>
            <w:tcW w:w="2268" w:type="dxa"/>
            <w:gridSpan w:val="2"/>
          </w:tcPr>
          <w:p w:rsidR="003E7B34" w:rsidRPr="001416ED" w:rsidRDefault="001B5734" w:rsidP="00AE51FC">
            <w:pPr>
              <w:spacing w:line="360" w:lineRule="auto"/>
              <w:ind w:right="-18"/>
              <w:jc w:val="center"/>
              <w:rPr>
                <w:rFonts w:eastAsiaTheme="minorHAnsi"/>
                <w:b/>
                <w:kern w:val="11"/>
                <w:lang w:val="uk-UA" w:eastAsia="en-US"/>
              </w:rPr>
            </w:pPr>
            <w:r w:rsidRPr="001416ED">
              <w:rPr>
                <w:rFonts w:eastAsiaTheme="minorHAnsi"/>
                <w:b/>
                <w:kern w:val="11"/>
                <w:lang w:val="uk-UA" w:eastAsia="en-US"/>
              </w:rPr>
              <w:t>П</w:t>
            </w:r>
            <w:r w:rsidR="003E7B34" w:rsidRPr="001416ED">
              <w:rPr>
                <w:rFonts w:eastAsiaTheme="minorHAnsi"/>
                <w:b/>
                <w:kern w:val="11"/>
                <w:lang w:val="uk-UA" w:eastAsia="en-US"/>
              </w:rPr>
              <w:t>севдонор</w:t>
            </w:r>
            <w:r w:rsidR="00BC0119" w:rsidRPr="001416ED">
              <w:rPr>
                <w:rFonts w:eastAsiaTheme="minorHAnsi"/>
                <w:b/>
                <w:kern w:val="11"/>
                <w:lang w:val="uk-UA" w:eastAsia="en-US"/>
              </w:rPr>
              <w:t>–</w:t>
            </w:r>
            <w:r w:rsidR="003E7B34" w:rsidRPr="001416ED">
              <w:rPr>
                <w:rFonts w:eastAsiaTheme="minorHAnsi"/>
                <w:b/>
                <w:kern w:val="11"/>
                <w:lang w:val="uk-UA" w:eastAsia="en-US"/>
              </w:rPr>
              <w:t>маль</w:t>
            </w:r>
            <w:r w:rsidRPr="001416ED">
              <w:rPr>
                <w:rFonts w:eastAsiaTheme="minorHAnsi"/>
                <w:b/>
                <w:kern w:val="11"/>
                <w:lang w:val="uk-UA" w:eastAsia="en-US"/>
              </w:rPr>
              <w:t>ний тип</w:t>
            </w:r>
            <w:r w:rsidR="00AE51FC" w:rsidRPr="001416ED">
              <w:rPr>
                <w:rFonts w:eastAsiaTheme="minorHAnsi"/>
                <w:b/>
                <w:kern w:val="11"/>
                <w:lang w:val="uk-UA" w:eastAsia="en-US"/>
              </w:rPr>
              <w:t xml:space="preserve"> </w:t>
            </w:r>
            <w:r w:rsidRPr="001416ED">
              <w:rPr>
                <w:rFonts w:eastAsiaTheme="minorHAnsi"/>
                <w:b/>
                <w:kern w:val="11"/>
                <w:lang w:val="uk-UA" w:eastAsia="en-US"/>
              </w:rPr>
              <w:t>Т</w:t>
            </w:r>
            <w:r w:rsidR="003E7B34" w:rsidRPr="001416ED">
              <w:rPr>
                <w:rFonts w:eastAsiaTheme="minorHAnsi"/>
                <w:b/>
                <w:kern w:val="11"/>
                <w:lang w:val="uk-UA" w:eastAsia="en-US"/>
              </w:rPr>
              <w:t>МК</w:t>
            </w:r>
          </w:p>
        </w:tc>
        <w:tc>
          <w:tcPr>
            <w:tcW w:w="1417" w:type="dxa"/>
            <w:vMerge w:val="restart"/>
          </w:tcPr>
          <w:p w:rsidR="003E7B34" w:rsidRPr="001416ED" w:rsidRDefault="003E7B34" w:rsidP="00AE51FC">
            <w:pPr>
              <w:spacing w:line="360" w:lineRule="auto"/>
              <w:ind w:right="-18"/>
              <w:jc w:val="center"/>
              <w:rPr>
                <w:rFonts w:eastAsiaTheme="minorHAnsi"/>
                <w:b/>
                <w:kern w:val="11"/>
                <w:lang w:eastAsia="en-US"/>
              </w:rPr>
            </w:pPr>
            <w:r w:rsidRPr="001416ED">
              <w:rPr>
                <w:rFonts w:eastAsiaTheme="minorHAnsi"/>
                <w:b/>
                <w:kern w:val="11"/>
                <w:lang w:val="uk-UA" w:eastAsia="en-US"/>
              </w:rPr>
              <w:t>р</w:t>
            </w:r>
          </w:p>
          <w:p w:rsidR="003E7B34" w:rsidRPr="001416ED" w:rsidRDefault="003E7B34" w:rsidP="00AE51FC">
            <w:pPr>
              <w:spacing w:after="200" w:line="360" w:lineRule="auto"/>
              <w:rPr>
                <w:rFonts w:eastAsiaTheme="minorHAnsi"/>
                <w:b/>
                <w:lang w:eastAsia="en-US"/>
              </w:rPr>
            </w:pPr>
          </w:p>
          <w:p w:rsidR="003E7B34" w:rsidRPr="001416ED" w:rsidRDefault="003E7B34" w:rsidP="00AE51FC">
            <w:pPr>
              <w:spacing w:after="200" w:line="360" w:lineRule="auto"/>
              <w:rPr>
                <w:rFonts w:eastAsiaTheme="minorHAnsi"/>
                <w:b/>
                <w:kern w:val="11"/>
                <w:lang w:eastAsia="en-US"/>
              </w:rPr>
            </w:pPr>
          </w:p>
        </w:tc>
      </w:tr>
      <w:tr w:rsidR="001B5734" w:rsidRPr="001416ED" w:rsidTr="00B25036">
        <w:tc>
          <w:tcPr>
            <w:tcW w:w="1702" w:type="dxa"/>
            <w:vMerge/>
          </w:tcPr>
          <w:p w:rsidR="001B5734" w:rsidRPr="001416ED" w:rsidRDefault="001B5734" w:rsidP="00AE51FC">
            <w:pPr>
              <w:spacing w:line="360" w:lineRule="auto"/>
              <w:rPr>
                <w:rFonts w:eastAsiaTheme="minorHAnsi"/>
                <w:b/>
                <w:lang w:val="uk-UA" w:eastAsia="en-US"/>
              </w:rPr>
            </w:pP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1. Ге</w:t>
            </w:r>
            <w:r w:rsidR="00BC0119" w:rsidRPr="001416ED">
              <w:rPr>
                <w:rFonts w:eastAsiaTheme="minorHAnsi"/>
                <w:lang w:val="uk-UA" w:eastAsia="en-US"/>
              </w:rPr>
              <w:t>–</w:t>
            </w:r>
            <w:r w:rsidRPr="001416ED">
              <w:rPr>
                <w:rFonts w:eastAsiaTheme="minorHAnsi"/>
                <w:lang w:val="uk-UA" w:eastAsia="en-US"/>
              </w:rPr>
              <w:t xml:space="preserve">нотип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2.</w:t>
            </w:r>
          </w:p>
          <w:p w:rsidR="001B5734" w:rsidRPr="001416ED" w:rsidRDefault="001B5734" w:rsidP="00AE51FC">
            <w:pPr>
              <w:spacing w:line="360" w:lineRule="auto"/>
              <w:rPr>
                <w:rFonts w:eastAsiaTheme="minorHAnsi"/>
                <w:lang w:val="en-US" w:eastAsia="en-US"/>
              </w:rPr>
            </w:pPr>
            <w:r w:rsidRPr="001416ED">
              <w:rPr>
                <w:rFonts w:eastAsiaTheme="minorHAnsi"/>
                <w:lang w:val="uk-UA" w:eastAsia="en-US"/>
              </w:rPr>
              <w:t>Алель</w:t>
            </w:r>
            <w:r w:rsidRPr="001416ED">
              <w:rPr>
                <w:rFonts w:eastAsiaTheme="minorHAnsi"/>
                <w:lang w:val="en-US" w:eastAsia="en-US"/>
              </w:rPr>
              <w:t xml:space="preserve"> Asn</w:t>
            </w: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3. Ге</w:t>
            </w:r>
            <w:r w:rsidR="00BC0119" w:rsidRPr="001416ED">
              <w:rPr>
                <w:rFonts w:eastAsiaTheme="minorHAnsi"/>
                <w:lang w:val="uk-UA" w:eastAsia="en-US"/>
              </w:rPr>
              <w:t>–</w:t>
            </w:r>
            <w:r w:rsidRPr="001416ED">
              <w:rPr>
                <w:rFonts w:eastAsiaTheme="minorHAnsi"/>
                <w:lang w:val="uk-UA" w:eastAsia="en-US"/>
              </w:rPr>
              <w:t xml:space="preserve"> нотип</w:t>
            </w:r>
            <w:r w:rsidRPr="001416ED">
              <w:rPr>
                <w:rFonts w:eastAsiaTheme="minorHAnsi"/>
                <w:lang w:val="en-US" w:eastAsia="en-US"/>
              </w:rPr>
              <w:t xml:space="preserve"> Lys/Lys</w:t>
            </w: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4. Алель</w:t>
            </w:r>
            <w:r w:rsidRPr="001416ED">
              <w:rPr>
                <w:rFonts w:eastAsiaTheme="minorHAnsi"/>
                <w:lang w:val="en-US" w:eastAsia="en-US"/>
              </w:rPr>
              <w:t>Asn</w:t>
            </w: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5. Ге</w:t>
            </w:r>
            <w:r w:rsidR="00BC0119" w:rsidRPr="001416ED">
              <w:rPr>
                <w:rFonts w:eastAsiaTheme="minorHAnsi"/>
                <w:lang w:val="uk-UA" w:eastAsia="en-US"/>
              </w:rPr>
              <w:t>–</w:t>
            </w:r>
            <w:r w:rsidRPr="001416ED">
              <w:rPr>
                <w:rFonts w:eastAsiaTheme="minorHAnsi"/>
                <w:lang w:val="uk-UA" w:eastAsia="en-US"/>
              </w:rPr>
              <w:t xml:space="preserve">нотип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p>
        </w:tc>
        <w:tc>
          <w:tcPr>
            <w:tcW w:w="1134" w:type="dxa"/>
          </w:tcPr>
          <w:p w:rsidR="001B5734" w:rsidRPr="001416ED" w:rsidRDefault="001B5734" w:rsidP="00AE51FC">
            <w:pPr>
              <w:spacing w:line="360" w:lineRule="auto"/>
              <w:rPr>
                <w:rFonts w:eastAsiaTheme="minorHAnsi"/>
                <w:lang w:val="uk-UA" w:eastAsia="en-US"/>
              </w:rPr>
            </w:pPr>
            <w:r w:rsidRPr="001416ED">
              <w:rPr>
                <w:rFonts w:eastAsiaTheme="minorHAnsi"/>
                <w:lang w:val="uk-UA" w:eastAsia="en-US"/>
              </w:rPr>
              <w:t>6.</w:t>
            </w:r>
          </w:p>
          <w:p w:rsidR="001B5734" w:rsidRPr="001416ED" w:rsidRDefault="001B5734" w:rsidP="00AE51FC">
            <w:pPr>
              <w:spacing w:line="360" w:lineRule="auto"/>
              <w:rPr>
                <w:rFonts w:eastAsiaTheme="minorHAnsi"/>
                <w:lang w:val="en-US" w:eastAsia="en-US"/>
              </w:rPr>
            </w:pPr>
            <w:r w:rsidRPr="001416ED">
              <w:rPr>
                <w:rFonts w:eastAsiaTheme="minorHAnsi"/>
                <w:lang w:val="uk-UA" w:eastAsia="en-US"/>
              </w:rPr>
              <w:t>Алель</w:t>
            </w:r>
            <w:r w:rsidRPr="001416ED">
              <w:rPr>
                <w:rFonts w:eastAsiaTheme="minorHAnsi"/>
                <w:lang w:val="en-US" w:eastAsia="en-US"/>
              </w:rPr>
              <w:t xml:space="preserve"> Asn</w:t>
            </w:r>
          </w:p>
        </w:tc>
        <w:tc>
          <w:tcPr>
            <w:tcW w:w="1417" w:type="dxa"/>
            <w:vMerge/>
          </w:tcPr>
          <w:p w:rsidR="001B5734" w:rsidRPr="001416ED" w:rsidRDefault="001B5734" w:rsidP="00AE51FC">
            <w:pPr>
              <w:spacing w:line="360" w:lineRule="auto"/>
              <w:rPr>
                <w:rFonts w:eastAsiaTheme="minorHAnsi"/>
                <w:b/>
                <w:lang w:eastAsia="en-US"/>
              </w:rPr>
            </w:pPr>
          </w:p>
        </w:tc>
      </w:tr>
      <w:tr w:rsidR="003E7B34" w:rsidRPr="001416ED" w:rsidTr="00B25036">
        <w:tc>
          <w:tcPr>
            <w:tcW w:w="1702" w:type="dxa"/>
          </w:tcPr>
          <w:p w:rsidR="003E7B34" w:rsidRPr="001416ED" w:rsidRDefault="003E7B34" w:rsidP="00AE51FC">
            <w:pPr>
              <w:spacing w:line="360" w:lineRule="auto"/>
              <w:ind w:right="-18"/>
              <w:rPr>
                <w:rFonts w:eastAsiaTheme="minorHAnsi"/>
                <w:kern w:val="11"/>
                <w:lang w:val="uk-UA" w:eastAsia="en-US"/>
              </w:rPr>
            </w:pPr>
            <w:r w:rsidRPr="001416ED">
              <w:rPr>
                <w:rFonts w:eastAsiaTheme="minorHAnsi"/>
                <w:kern w:val="11"/>
                <w:lang w:val="uk-UA" w:eastAsia="en-US"/>
              </w:rPr>
              <w:t>Хворі на ГХ ІІ</w:t>
            </w:r>
            <w:r w:rsidRPr="001416ED">
              <w:rPr>
                <w:rFonts w:eastAsiaTheme="minorHAnsi"/>
                <w:kern w:val="11"/>
                <w:lang w:eastAsia="en-US"/>
              </w:rPr>
              <w:t xml:space="preserve"> ст.</w:t>
            </w:r>
            <w:r w:rsidRPr="001416ED">
              <w:rPr>
                <w:rFonts w:eastAsiaTheme="minorHAnsi"/>
                <w:kern w:val="11"/>
                <w:lang w:val="uk-UA" w:eastAsia="en-US"/>
              </w:rPr>
              <w:t xml:space="preserve"> (</w:t>
            </w:r>
            <w:r w:rsidRPr="001416ED">
              <w:rPr>
                <w:rFonts w:eastAsiaTheme="minorHAnsi"/>
                <w:kern w:val="11"/>
                <w:lang w:val="en-US" w:eastAsia="en-US"/>
              </w:rPr>
              <w:t>n</w:t>
            </w:r>
            <w:r w:rsidRPr="001416ED">
              <w:rPr>
                <w:rFonts w:eastAsiaTheme="minorHAnsi"/>
                <w:kern w:val="11"/>
                <w:lang w:val="uk-UA" w:eastAsia="en-US"/>
              </w:rPr>
              <w:t>=</w:t>
            </w:r>
            <w:r w:rsidRPr="001416ED">
              <w:rPr>
                <w:rFonts w:eastAsiaTheme="minorHAnsi"/>
                <w:kern w:val="11"/>
                <w:lang w:eastAsia="en-US"/>
              </w:rPr>
              <w:t>62</w:t>
            </w:r>
            <w:r w:rsidRPr="001416ED">
              <w:rPr>
                <w:rFonts w:eastAsiaTheme="minorHAnsi"/>
                <w:kern w:val="11"/>
                <w:lang w:val="uk-UA" w:eastAsia="en-US"/>
              </w:rPr>
              <w:t>)</w:t>
            </w:r>
          </w:p>
        </w:tc>
        <w:tc>
          <w:tcPr>
            <w:tcW w:w="1134" w:type="dxa"/>
          </w:tcPr>
          <w:p w:rsidR="003E7B34" w:rsidRPr="001416ED" w:rsidRDefault="003E7B34" w:rsidP="00AE51FC">
            <w:pPr>
              <w:spacing w:line="360" w:lineRule="auto"/>
              <w:ind w:right="-18"/>
              <w:jc w:val="center"/>
              <w:rPr>
                <w:rFonts w:eastAsiaTheme="minorHAnsi"/>
                <w:kern w:val="11"/>
                <w:lang w:val="uk-UA" w:eastAsia="en-US"/>
              </w:rPr>
            </w:pPr>
            <w:r w:rsidRPr="001416ED">
              <w:rPr>
                <w:rFonts w:eastAsiaTheme="minorHAnsi"/>
                <w:kern w:val="11"/>
                <w:lang w:eastAsia="en-US"/>
              </w:rPr>
              <w:t>62,86</w:t>
            </w:r>
            <w:r w:rsidR="00D4219F" w:rsidRPr="001416ED">
              <w:rPr>
                <w:rFonts w:eastAsiaTheme="minorHAnsi"/>
                <w:kern w:val="11"/>
                <w:lang w:val="uk-UA" w:eastAsia="en-US"/>
              </w:rPr>
              <w:t xml:space="preserve"> %</w:t>
            </w:r>
            <w:r w:rsidRPr="001416ED">
              <w:rPr>
                <w:rFonts w:eastAsiaTheme="minorHAnsi"/>
                <w:kern w:val="11"/>
                <w:lang w:val="uk-UA" w:eastAsia="en-US"/>
              </w:rPr>
              <w:t xml:space="preserve"> (</w:t>
            </w:r>
            <w:r w:rsidRPr="001416ED">
              <w:rPr>
                <w:rFonts w:eastAsiaTheme="minorHAnsi"/>
                <w:kern w:val="11"/>
                <w:lang w:val="en-US" w:eastAsia="en-US"/>
              </w:rPr>
              <w:t>n=</w:t>
            </w:r>
            <w:r w:rsidRPr="001416ED">
              <w:rPr>
                <w:rFonts w:eastAsiaTheme="minorHAnsi"/>
                <w:kern w:val="11"/>
                <w:lang w:eastAsia="en-US"/>
              </w:rPr>
              <w:t>22</w:t>
            </w:r>
            <w:r w:rsidRPr="001416ED">
              <w:rPr>
                <w:rFonts w:eastAsiaTheme="minorHAnsi"/>
                <w:kern w:val="11"/>
                <w:lang w:val="uk-UA" w:eastAsia="en-US"/>
              </w:rPr>
              <w:t>)</w:t>
            </w:r>
          </w:p>
        </w:tc>
        <w:tc>
          <w:tcPr>
            <w:tcW w:w="1134" w:type="dxa"/>
          </w:tcPr>
          <w:p w:rsidR="003E7B34" w:rsidRPr="001416ED" w:rsidRDefault="003E7B34" w:rsidP="00AE51FC">
            <w:pPr>
              <w:spacing w:line="360" w:lineRule="auto"/>
              <w:ind w:right="-18"/>
              <w:jc w:val="center"/>
              <w:rPr>
                <w:rFonts w:eastAsiaTheme="minorHAnsi"/>
                <w:kern w:val="11"/>
                <w:lang w:eastAsia="en-US"/>
              </w:rPr>
            </w:pPr>
            <w:r w:rsidRPr="001416ED">
              <w:rPr>
                <w:rFonts w:eastAsiaTheme="minorHAnsi"/>
                <w:kern w:val="11"/>
                <w:lang w:eastAsia="en-US"/>
              </w:rPr>
              <w:t>74,07</w:t>
            </w:r>
            <w:r w:rsidR="00D4219F" w:rsidRPr="001416ED">
              <w:rPr>
                <w:rFonts w:eastAsiaTheme="minorHAnsi"/>
                <w:kern w:val="11"/>
                <w:lang w:eastAsia="en-US"/>
              </w:rPr>
              <w:t xml:space="preserve"> %</w:t>
            </w:r>
            <w:r w:rsidRPr="001416ED">
              <w:rPr>
                <w:rFonts w:eastAsiaTheme="minorHAnsi"/>
                <w:kern w:val="11"/>
                <w:lang w:val="en-US" w:eastAsia="en-US"/>
              </w:rPr>
              <w:t xml:space="preserve"> </w:t>
            </w: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eastAsia="en-US"/>
              </w:rPr>
              <w:t>2</w:t>
            </w:r>
            <w:r w:rsidRPr="001416ED">
              <w:rPr>
                <w:rFonts w:eastAsiaTheme="minorHAnsi"/>
                <w:kern w:val="11"/>
                <w:lang w:val="en-US" w:eastAsia="en-US"/>
              </w:rPr>
              <w:t>0</w:t>
            </w:r>
            <w:r w:rsidRPr="001416ED">
              <w:rPr>
                <w:rFonts w:eastAsiaTheme="minorHAnsi"/>
                <w:kern w:val="11"/>
                <w:lang w:val="uk-UA" w:eastAsia="en-US"/>
              </w:rPr>
              <w:t>)</w:t>
            </w:r>
          </w:p>
        </w:tc>
        <w:tc>
          <w:tcPr>
            <w:tcW w:w="1134" w:type="dxa"/>
          </w:tcPr>
          <w:p w:rsidR="003E7B34" w:rsidRPr="001416ED" w:rsidRDefault="003E7B34" w:rsidP="00AE51FC">
            <w:pPr>
              <w:spacing w:line="360" w:lineRule="auto"/>
              <w:ind w:right="-18"/>
              <w:jc w:val="center"/>
              <w:rPr>
                <w:rFonts w:eastAsiaTheme="minorHAnsi"/>
                <w:kern w:val="11"/>
                <w:lang w:val="uk-UA" w:eastAsia="en-US"/>
              </w:rPr>
            </w:pPr>
            <w:r w:rsidRPr="001416ED">
              <w:rPr>
                <w:rFonts w:eastAsiaTheme="minorHAnsi"/>
                <w:kern w:val="11"/>
                <w:lang w:eastAsia="en-US"/>
              </w:rPr>
              <w:t>34,29</w:t>
            </w:r>
            <w:r w:rsidR="00D4219F" w:rsidRPr="001416ED">
              <w:rPr>
                <w:rFonts w:eastAsiaTheme="minorHAnsi"/>
                <w:kern w:val="11"/>
                <w:lang w:val="uk-UA" w:eastAsia="en-US"/>
              </w:rPr>
              <w:t xml:space="preserve"> %</w:t>
            </w:r>
            <w:r w:rsidRPr="001416ED">
              <w:rPr>
                <w:rFonts w:eastAsiaTheme="minorHAnsi"/>
                <w:kern w:val="11"/>
                <w:lang w:val="uk-UA" w:eastAsia="en-US"/>
              </w:rPr>
              <w:t xml:space="preserve"> (</w:t>
            </w:r>
            <w:r w:rsidRPr="001416ED">
              <w:rPr>
                <w:rFonts w:eastAsiaTheme="minorHAnsi"/>
                <w:kern w:val="11"/>
                <w:lang w:val="en-US" w:eastAsia="en-US"/>
              </w:rPr>
              <w:t>n=1</w:t>
            </w:r>
            <w:r w:rsidRPr="001416ED">
              <w:rPr>
                <w:rFonts w:eastAsiaTheme="minorHAnsi"/>
                <w:kern w:val="11"/>
                <w:lang w:eastAsia="en-US"/>
              </w:rPr>
              <w:t>2</w:t>
            </w:r>
            <w:r w:rsidRPr="001416ED">
              <w:rPr>
                <w:rFonts w:eastAsiaTheme="minorHAnsi"/>
                <w:kern w:val="11"/>
                <w:lang w:val="uk-UA" w:eastAsia="en-US"/>
              </w:rPr>
              <w:t xml:space="preserve">) </w:t>
            </w:r>
          </w:p>
        </w:tc>
        <w:tc>
          <w:tcPr>
            <w:tcW w:w="1134" w:type="dxa"/>
          </w:tcPr>
          <w:p w:rsidR="003E7B34" w:rsidRPr="001416ED" w:rsidRDefault="003E7B34" w:rsidP="00AE51FC">
            <w:pPr>
              <w:spacing w:line="360" w:lineRule="auto"/>
              <w:ind w:right="-18"/>
              <w:jc w:val="center"/>
              <w:rPr>
                <w:rFonts w:eastAsiaTheme="minorHAnsi"/>
                <w:kern w:val="11"/>
                <w:lang w:eastAsia="en-US"/>
              </w:rPr>
            </w:pPr>
            <w:r w:rsidRPr="001416ED">
              <w:rPr>
                <w:rFonts w:eastAsiaTheme="minorHAnsi"/>
                <w:kern w:val="11"/>
                <w:lang w:eastAsia="en-US"/>
              </w:rPr>
              <w:t>22,22</w:t>
            </w:r>
            <w:r w:rsidR="00D4219F" w:rsidRPr="001416ED">
              <w:rPr>
                <w:rFonts w:eastAsiaTheme="minorHAnsi"/>
                <w:kern w:val="11"/>
                <w:lang w:eastAsia="en-US"/>
              </w:rPr>
              <w:t xml:space="preserve"> %</w:t>
            </w:r>
            <w:r w:rsidRPr="001416ED">
              <w:rPr>
                <w:rFonts w:eastAsiaTheme="minorHAnsi"/>
                <w:kern w:val="11"/>
                <w:lang w:val="en-US" w:eastAsia="en-US"/>
              </w:rPr>
              <w:t xml:space="preserve"> </w:t>
            </w:r>
            <w:r w:rsidRPr="001416ED">
              <w:rPr>
                <w:rFonts w:eastAsiaTheme="minorHAnsi"/>
                <w:kern w:val="11"/>
                <w:lang w:val="uk-UA" w:eastAsia="en-US"/>
              </w:rPr>
              <w:t>(</w:t>
            </w:r>
            <w:r w:rsidRPr="001416ED">
              <w:rPr>
                <w:rFonts w:eastAsiaTheme="minorHAnsi"/>
                <w:kern w:val="11"/>
                <w:lang w:val="en-US" w:eastAsia="en-US"/>
              </w:rPr>
              <w:t>n=6</w:t>
            </w:r>
            <w:r w:rsidRPr="001416ED">
              <w:rPr>
                <w:rFonts w:eastAsiaTheme="minorHAnsi"/>
                <w:kern w:val="11"/>
                <w:lang w:val="uk-UA" w:eastAsia="en-US"/>
              </w:rPr>
              <w:t>)</w:t>
            </w:r>
          </w:p>
        </w:tc>
        <w:tc>
          <w:tcPr>
            <w:tcW w:w="1134" w:type="dxa"/>
          </w:tcPr>
          <w:p w:rsidR="003E7B34" w:rsidRPr="001416ED" w:rsidRDefault="003E7B34" w:rsidP="00AE51FC">
            <w:pPr>
              <w:spacing w:line="360" w:lineRule="auto"/>
              <w:ind w:right="-18"/>
              <w:jc w:val="center"/>
              <w:rPr>
                <w:rFonts w:eastAsiaTheme="minorHAnsi"/>
                <w:kern w:val="11"/>
                <w:lang w:val="uk-UA" w:eastAsia="en-US"/>
              </w:rPr>
            </w:pPr>
            <w:r w:rsidRPr="001416ED">
              <w:rPr>
                <w:rFonts w:eastAsiaTheme="minorHAnsi"/>
                <w:kern w:val="11"/>
                <w:lang w:eastAsia="en-US"/>
              </w:rPr>
              <w:t>2,86</w:t>
            </w:r>
            <w:r w:rsidR="00D4219F" w:rsidRPr="001416ED">
              <w:rPr>
                <w:rFonts w:eastAsiaTheme="minorHAnsi"/>
                <w:kern w:val="11"/>
                <w:lang w:val="uk-UA" w:eastAsia="en-US"/>
              </w:rPr>
              <w:t xml:space="preserve"> %</w:t>
            </w:r>
            <w:r w:rsidRPr="001416ED">
              <w:rPr>
                <w:rFonts w:eastAsiaTheme="minorHAnsi"/>
                <w:kern w:val="11"/>
                <w:lang w:val="uk-UA" w:eastAsia="en-US"/>
              </w:rPr>
              <w:t xml:space="preserve"> (</w:t>
            </w:r>
            <w:r w:rsidRPr="001416ED">
              <w:rPr>
                <w:rFonts w:eastAsiaTheme="minorHAnsi"/>
                <w:kern w:val="11"/>
                <w:lang w:val="en-US" w:eastAsia="en-US"/>
              </w:rPr>
              <w:t>n=1</w:t>
            </w:r>
            <w:r w:rsidRPr="001416ED">
              <w:rPr>
                <w:rFonts w:eastAsiaTheme="minorHAnsi"/>
                <w:kern w:val="11"/>
                <w:lang w:val="uk-UA" w:eastAsia="en-US"/>
              </w:rPr>
              <w:t xml:space="preserve">) </w:t>
            </w:r>
          </w:p>
        </w:tc>
        <w:tc>
          <w:tcPr>
            <w:tcW w:w="1134" w:type="dxa"/>
          </w:tcPr>
          <w:p w:rsidR="003E7B34" w:rsidRPr="001416ED" w:rsidRDefault="003E7B34" w:rsidP="00AE51FC">
            <w:pPr>
              <w:spacing w:line="360" w:lineRule="auto"/>
              <w:ind w:right="-18"/>
              <w:jc w:val="center"/>
              <w:rPr>
                <w:rFonts w:eastAsiaTheme="minorHAnsi"/>
                <w:kern w:val="11"/>
                <w:lang w:eastAsia="en-US"/>
              </w:rPr>
            </w:pPr>
            <w:r w:rsidRPr="001416ED">
              <w:rPr>
                <w:rFonts w:eastAsiaTheme="minorHAnsi"/>
                <w:kern w:val="11"/>
                <w:lang w:eastAsia="en-US"/>
              </w:rPr>
              <w:t>3,7</w:t>
            </w:r>
            <w:r w:rsidR="00D4219F" w:rsidRPr="001416ED">
              <w:rPr>
                <w:rFonts w:eastAsiaTheme="minorHAnsi"/>
                <w:kern w:val="11"/>
                <w:lang w:eastAsia="en-US"/>
              </w:rPr>
              <w:t xml:space="preserve"> %</w:t>
            </w:r>
            <w:r w:rsidRPr="001416ED">
              <w:rPr>
                <w:rFonts w:eastAsiaTheme="minorHAnsi"/>
                <w:kern w:val="11"/>
                <w:lang w:val="en-US" w:eastAsia="en-US"/>
              </w:rPr>
              <w:t xml:space="preserve"> </w:t>
            </w:r>
            <w:r w:rsidRPr="001416ED">
              <w:rPr>
                <w:rFonts w:eastAsiaTheme="minorHAnsi"/>
                <w:kern w:val="11"/>
                <w:lang w:val="uk-UA" w:eastAsia="en-US"/>
              </w:rPr>
              <w:t>(</w:t>
            </w:r>
            <w:r w:rsidRPr="001416ED">
              <w:rPr>
                <w:rFonts w:eastAsiaTheme="minorHAnsi"/>
                <w:kern w:val="11"/>
                <w:lang w:val="en-US" w:eastAsia="en-US"/>
              </w:rPr>
              <w:t>n=1</w:t>
            </w:r>
            <w:r w:rsidRPr="001416ED">
              <w:rPr>
                <w:rFonts w:eastAsiaTheme="minorHAnsi"/>
                <w:kern w:val="11"/>
                <w:lang w:val="uk-UA" w:eastAsia="en-US"/>
              </w:rPr>
              <w:t>)</w:t>
            </w:r>
          </w:p>
        </w:tc>
        <w:tc>
          <w:tcPr>
            <w:tcW w:w="1417" w:type="dxa"/>
          </w:tcPr>
          <w:p w:rsidR="001A117D" w:rsidRDefault="003E7B34" w:rsidP="0063738A">
            <w:pPr>
              <w:spacing w:line="360" w:lineRule="auto"/>
              <w:ind w:right="-18"/>
              <w:rPr>
                <w:rFonts w:eastAsiaTheme="minorHAnsi"/>
                <w:kern w:val="11"/>
                <w:vertAlign w:val="subscript"/>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vertAlign w:val="subscript"/>
                <w:lang w:eastAsia="en-US"/>
              </w:rPr>
              <w:t>*</w:t>
            </w:r>
            <w:r w:rsidRPr="001416ED">
              <w:rPr>
                <w:rFonts w:eastAsiaTheme="minorHAnsi"/>
                <w:kern w:val="11"/>
                <w:vertAlign w:val="subscript"/>
                <w:lang w:val="uk-UA" w:eastAsia="en-US"/>
              </w:rPr>
              <w:t>;</w:t>
            </w:r>
            <w:r w:rsidR="008672B3" w:rsidRPr="001416ED">
              <w:rPr>
                <w:rFonts w:eastAsiaTheme="minorHAnsi"/>
                <w:kern w:val="11"/>
                <w:vertAlign w:val="subscript"/>
                <w:lang w:val="uk-UA" w:eastAsia="en-US"/>
              </w:rPr>
              <w:t xml:space="preserve"> </w:t>
            </w:r>
            <w:r w:rsidRPr="001416ED">
              <w:rPr>
                <w:rFonts w:eastAsiaTheme="minorHAnsi"/>
                <w:kern w:val="11"/>
                <w:lang w:val="uk-UA" w:eastAsia="en-US"/>
              </w:rPr>
              <w:t>р</w:t>
            </w:r>
            <w:r w:rsidRPr="001416ED">
              <w:rPr>
                <w:rFonts w:eastAsiaTheme="minorHAnsi"/>
                <w:kern w:val="11"/>
                <w:vertAlign w:val="subscript"/>
                <w:lang w:val="uk-UA" w:eastAsia="en-US"/>
              </w:rPr>
              <w:t>5</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Pr="001416ED">
              <w:rPr>
                <w:rFonts w:eastAsiaTheme="minorHAnsi"/>
                <w:kern w:val="11"/>
                <w:vertAlign w:val="subscript"/>
                <w:lang w:eastAsia="en-US"/>
              </w:rPr>
              <w:t>*</w:t>
            </w:r>
            <w:r w:rsidRPr="001416ED">
              <w:rPr>
                <w:rFonts w:eastAsiaTheme="minorHAnsi"/>
                <w:kern w:val="11"/>
                <w:vertAlign w:val="subscript"/>
                <w:lang w:val="uk-UA" w:eastAsia="en-US"/>
              </w:rPr>
              <w:t>;</w:t>
            </w:r>
          </w:p>
          <w:p w:rsidR="003E7B34" w:rsidRPr="001416ED" w:rsidRDefault="003E7B34" w:rsidP="0063738A">
            <w:pPr>
              <w:spacing w:line="360" w:lineRule="auto"/>
              <w:ind w:right="-18"/>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4</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2</w:t>
            </w:r>
            <w:r w:rsidRPr="001416ED">
              <w:rPr>
                <w:rFonts w:eastAsiaTheme="minorHAnsi"/>
                <w:kern w:val="11"/>
                <w:vertAlign w:val="subscript"/>
                <w:lang w:val="en-US" w:eastAsia="en-US"/>
              </w:rPr>
              <w:t>*</w:t>
            </w:r>
            <w:r w:rsidR="001B5734" w:rsidRPr="001416ED">
              <w:rPr>
                <w:rFonts w:eastAsiaTheme="minorHAnsi"/>
                <w:kern w:val="11"/>
                <w:vertAlign w:val="subscript"/>
                <w:lang w:val="uk-UA" w:eastAsia="en-US"/>
              </w:rPr>
              <w:t xml:space="preserve">; </w:t>
            </w:r>
            <w:r w:rsidRPr="001416ED">
              <w:rPr>
                <w:rFonts w:eastAsiaTheme="minorHAnsi"/>
                <w:kern w:val="11"/>
                <w:lang w:val="uk-UA" w:eastAsia="en-US"/>
              </w:rPr>
              <w:t>р</w:t>
            </w:r>
            <w:r w:rsidR="0063738A" w:rsidRPr="001416ED">
              <w:rPr>
                <w:rFonts w:eastAsiaTheme="minorHAnsi"/>
                <w:kern w:val="11"/>
                <w:vertAlign w:val="subscript"/>
                <w:lang w:val="uk-UA" w:eastAsia="en-US"/>
              </w:rPr>
              <w:t>6</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2</w:t>
            </w:r>
            <w:r w:rsidRPr="001416ED">
              <w:rPr>
                <w:rFonts w:eastAsiaTheme="minorHAnsi"/>
                <w:kern w:val="11"/>
                <w:vertAlign w:val="subscript"/>
                <w:lang w:val="en-US" w:eastAsia="en-US"/>
              </w:rPr>
              <w:t>*</w:t>
            </w:r>
          </w:p>
        </w:tc>
      </w:tr>
    </w:tbl>
    <w:p w:rsidR="003E7B34" w:rsidRPr="001416ED" w:rsidRDefault="003E7B34" w:rsidP="008672B3">
      <w:pPr>
        <w:spacing w:before="240" w:line="360" w:lineRule="auto"/>
        <w:ind w:firstLine="709"/>
        <w:jc w:val="both"/>
        <w:rPr>
          <w:lang w:val="uk-UA"/>
        </w:rPr>
      </w:pPr>
      <w:r w:rsidRPr="001416ED">
        <w:rPr>
          <w:lang w:val="uk-UA"/>
        </w:rPr>
        <w:t>Примітка:</w:t>
      </w:r>
      <w:r w:rsidR="008672B3" w:rsidRPr="001416ED">
        <w:rPr>
          <w:lang w:val="uk-UA"/>
        </w:rPr>
        <w:t xml:space="preserve"> *</w:t>
      </w:r>
      <w:r w:rsidRPr="001416ED">
        <w:rPr>
          <w:i/>
          <w:lang w:val="uk-UA"/>
        </w:rPr>
        <w:t xml:space="preserve"> </w:t>
      </w:r>
      <w:r w:rsidRPr="001416ED">
        <w:rPr>
          <w:lang w:val="uk-UA"/>
        </w:rPr>
        <w:t>різниця достовірна при р</w:t>
      </w:r>
      <w:r w:rsidR="008672B3" w:rsidRPr="001416ED">
        <w:rPr>
          <w:lang w:val="uk-UA"/>
        </w:rPr>
        <w:t>˂0,01</w:t>
      </w:r>
    </w:p>
    <w:p w:rsidR="00F40E8F" w:rsidRPr="001416ED" w:rsidRDefault="00C120AC" w:rsidP="00C120AC">
      <w:pPr>
        <w:spacing w:before="240" w:line="360" w:lineRule="auto"/>
        <w:ind w:firstLine="708"/>
        <w:jc w:val="both"/>
        <w:rPr>
          <w:b/>
          <w:lang w:val="uk-UA"/>
        </w:rPr>
      </w:pPr>
      <w:r w:rsidRPr="001416ED">
        <w:rPr>
          <w:b/>
          <w:lang w:val="uk-UA"/>
        </w:rPr>
        <w:t>5.</w:t>
      </w:r>
      <w:r w:rsidR="001E1A15" w:rsidRPr="001416ED">
        <w:rPr>
          <w:b/>
          <w:lang w:val="uk-UA"/>
        </w:rPr>
        <w:t>2</w:t>
      </w:r>
      <w:r w:rsidR="00992C5E">
        <w:rPr>
          <w:b/>
          <w:lang w:val="uk-UA"/>
        </w:rPr>
        <w:t>.</w:t>
      </w:r>
      <w:r w:rsidRPr="001416ED">
        <w:rPr>
          <w:b/>
          <w:lang w:val="uk-UA"/>
        </w:rPr>
        <w:t xml:space="preserve"> </w:t>
      </w:r>
      <w:r w:rsidR="00970339" w:rsidRPr="001416ED">
        <w:rPr>
          <w:b/>
          <w:lang w:val="uk-UA"/>
        </w:rPr>
        <w:t xml:space="preserve">Стан серцевої та системної гемодинаміки у осіб чоловічої статі з ГХ ІІІ стадії при носійстві </w:t>
      </w:r>
      <w:r w:rsidR="00FF5C21">
        <w:rPr>
          <w:b/>
          <w:lang w:val="uk-UA"/>
        </w:rPr>
        <w:t>поліморфних варіантів гена</w:t>
      </w:r>
      <w:r w:rsidR="00970339" w:rsidRPr="001416ED">
        <w:rPr>
          <w:b/>
          <w:lang w:val="uk-UA"/>
        </w:rPr>
        <w:t xml:space="preserve"> ЕТ–1</w:t>
      </w:r>
    </w:p>
    <w:p w:rsidR="00D26AE1" w:rsidRPr="001416ED" w:rsidRDefault="0066191E" w:rsidP="00C120AC">
      <w:pPr>
        <w:spacing w:before="240" w:line="360" w:lineRule="auto"/>
        <w:ind w:firstLine="709"/>
        <w:jc w:val="both"/>
        <w:rPr>
          <w:lang w:val="uk-UA"/>
        </w:rPr>
      </w:pPr>
      <w:r w:rsidRPr="001416ED">
        <w:rPr>
          <w:lang w:val="uk-UA"/>
        </w:rPr>
        <w:t>Бу</w:t>
      </w:r>
      <w:r w:rsidR="00D26AE1" w:rsidRPr="001416ED">
        <w:rPr>
          <w:lang w:val="uk-UA"/>
        </w:rPr>
        <w:t xml:space="preserve">ла проаналізована частота </w:t>
      </w:r>
      <w:r w:rsidR="00F40216">
        <w:rPr>
          <w:lang w:val="uk-UA"/>
        </w:rPr>
        <w:t>варіантів гена</w:t>
      </w:r>
      <w:r w:rsidR="00D26AE1" w:rsidRPr="001416ED">
        <w:rPr>
          <w:lang w:val="uk-UA"/>
        </w:rPr>
        <w:t xml:space="preserve"> ЕТ</w:t>
      </w:r>
      <w:r w:rsidR="00BC0119" w:rsidRPr="001416ED">
        <w:rPr>
          <w:lang w:val="uk-UA"/>
        </w:rPr>
        <w:t>–</w:t>
      </w:r>
      <w:r w:rsidR="00D26AE1" w:rsidRPr="001416ED">
        <w:rPr>
          <w:lang w:val="uk-UA"/>
        </w:rPr>
        <w:t xml:space="preserve">1 у чоловіків з ГХ та </w:t>
      </w:r>
      <w:r w:rsidR="00983811" w:rsidRPr="001416ED">
        <w:rPr>
          <w:lang w:val="uk-UA"/>
        </w:rPr>
        <w:t>ФВ &gt; 45 % та ФВ &lt; 45 %</w:t>
      </w:r>
      <w:r w:rsidR="00D26AE1" w:rsidRPr="001416ED">
        <w:rPr>
          <w:lang w:val="uk-UA"/>
        </w:rPr>
        <w:t>. Оскільки серед пацієнтів з ГХ ІІ ст</w:t>
      </w:r>
      <w:r w:rsidR="009D52E4" w:rsidRPr="001416ED">
        <w:rPr>
          <w:lang w:val="uk-UA"/>
        </w:rPr>
        <w:t xml:space="preserve">. </w:t>
      </w:r>
      <w:r w:rsidR="004C7DE6" w:rsidRPr="001416ED">
        <w:rPr>
          <w:lang w:val="uk-UA"/>
        </w:rPr>
        <w:t>ФВ &lt; 45 %</w:t>
      </w:r>
      <w:r w:rsidR="00D26AE1" w:rsidRPr="001416ED">
        <w:rPr>
          <w:lang w:val="uk-UA"/>
        </w:rPr>
        <w:t xml:space="preserve"> не було виявлено, таким чином були поділені лише </w:t>
      </w:r>
      <w:r w:rsidR="004C7DE6" w:rsidRPr="001416ED">
        <w:rPr>
          <w:lang w:val="uk-UA"/>
        </w:rPr>
        <w:t>п</w:t>
      </w:r>
      <w:r w:rsidR="00FB51E5" w:rsidRPr="001416ED">
        <w:rPr>
          <w:lang w:val="uk-UA"/>
        </w:rPr>
        <w:t>ацієнти з ГХ ІІІ ст.</w:t>
      </w:r>
      <w:r w:rsidR="004C7DE6" w:rsidRPr="001416ED">
        <w:rPr>
          <w:lang w:val="uk-UA"/>
        </w:rPr>
        <w:t xml:space="preserve"> </w:t>
      </w:r>
      <w:r w:rsidR="00D26AE1" w:rsidRPr="001416ED">
        <w:rPr>
          <w:lang w:val="uk-UA"/>
        </w:rPr>
        <w:t>(</w:t>
      </w:r>
      <w:r w:rsidR="00DA4ECC" w:rsidRPr="001416ED">
        <w:rPr>
          <w:lang w:val="uk-UA"/>
        </w:rPr>
        <w:t>рис</w:t>
      </w:r>
      <w:r w:rsidR="00D26AE1" w:rsidRPr="001416ED">
        <w:rPr>
          <w:lang w:val="uk-UA"/>
        </w:rPr>
        <w:t xml:space="preserve">. </w:t>
      </w:r>
      <w:r w:rsidR="00C120AC" w:rsidRPr="001416ED">
        <w:rPr>
          <w:lang w:val="uk-UA"/>
        </w:rPr>
        <w:t>5</w:t>
      </w:r>
      <w:r w:rsidR="00D26AE1" w:rsidRPr="001416ED">
        <w:rPr>
          <w:lang w:val="uk-UA"/>
        </w:rPr>
        <w:t>.</w:t>
      </w:r>
      <w:r w:rsidR="001E1A15" w:rsidRPr="001416ED">
        <w:rPr>
          <w:lang w:val="uk-UA"/>
        </w:rPr>
        <w:t>1</w:t>
      </w:r>
      <w:r w:rsidR="00D26AE1" w:rsidRPr="001416ED">
        <w:rPr>
          <w:lang w:val="uk-UA"/>
        </w:rPr>
        <w:t>).</w:t>
      </w:r>
    </w:p>
    <w:p w:rsidR="002B7DCA" w:rsidRPr="001416ED" w:rsidRDefault="002B7DCA" w:rsidP="00C120AC">
      <w:pPr>
        <w:spacing w:before="240" w:line="360" w:lineRule="auto"/>
        <w:ind w:firstLine="709"/>
        <w:jc w:val="both"/>
        <w:rPr>
          <w:lang w:val="uk-UA"/>
        </w:rPr>
      </w:pPr>
      <w:r w:rsidRPr="001416ED">
        <w:rPr>
          <w:noProof/>
          <w:lang w:val="uk-UA" w:eastAsia="uk-UA"/>
        </w:rPr>
        <w:drawing>
          <wp:inline distT="0" distB="0" distL="0" distR="0" wp14:anchorId="297DB402" wp14:editId="566F6D7E">
            <wp:extent cx="5104263" cy="1508078"/>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349A3" w:rsidRPr="001416ED" w:rsidRDefault="009349A3" w:rsidP="009D52E4">
      <w:pPr>
        <w:spacing w:line="360" w:lineRule="auto"/>
        <w:ind w:firstLine="709"/>
        <w:jc w:val="both"/>
        <w:rPr>
          <w:b/>
          <w:lang w:val="uk-UA"/>
        </w:rPr>
      </w:pPr>
      <w:r w:rsidRPr="001416ED">
        <w:rPr>
          <w:b/>
          <w:lang w:val="uk-UA"/>
        </w:rPr>
        <w:t>Рис. 5.</w:t>
      </w:r>
      <w:r w:rsidR="001E1A15" w:rsidRPr="001416ED">
        <w:rPr>
          <w:b/>
          <w:lang w:val="uk-UA"/>
        </w:rPr>
        <w:t>1</w:t>
      </w:r>
      <w:r w:rsidRPr="001416ED">
        <w:rPr>
          <w:b/>
          <w:lang w:val="uk-UA"/>
        </w:rPr>
        <w:t xml:space="preserve">. Частота </w:t>
      </w:r>
      <w:r w:rsidR="00F40216">
        <w:rPr>
          <w:b/>
          <w:lang w:val="uk-UA"/>
        </w:rPr>
        <w:t>варіантів гена</w:t>
      </w:r>
      <w:r w:rsidRPr="001416ED">
        <w:rPr>
          <w:b/>
          <w:lang w:val="uk-UA"/>
        </w:rPr>
        <w:t xml:space="preserve"> ЕТ</w:t>
      </w:r>
      <w:r w:rsidR="00BC0119" w:rsidRPr="001416ED">
        <w:rPr>
          <w:b/>
          <w:lang w:val="uk-UA"/>
        </w:rPr>
        <w:t>–</w:t>
      </w:r>
      <w:r w:rsidRPr="001416ED">
        <w:rPr>
          <w:b/>
          <w:lang w:val="uk-UA"/>
        </w:rPr>
        <w:t xml:space="preserve">1 у чоловіків з </w:t>
      </w:r>
      <w:r w:rsidR="00C34030" w:rsidRPr="001416ED">
        <w:rPr>
          <w:b/>
          <w:lang w:val="uk-UA"/>
        </w:rPr>
        <w:t xml:space="preserve">ГХ ІІІ ст. </w:t>
      </w:r>
      <w:r w:rsidRPr="001416ED">
        <w:rPr>
          <w:b/>
          <w:lang w:val="uk-UA"/>
        </w:rPr>
        <w:t>із різним станом систолічної функції ЛШ, (</w:t>
      </w:r>
      <w:r w:rsidR="00D4219F" w:rsidRPr="001416ED">
        <w:rPr>
          <w:b/>
          <w:lang w:val="uk-UA"/>
        </w:rPr>
        <w:t>%</w:t>
      </w:r>
      <w:r w:rsidRPr="001416ED">
        <w:rPr>
          <w:b/>
          <w:lang w:val="uk-UA"/>
        </w:rPr>
        <w:t>)</w:t>
      </w:r>
    </w:p>
    <w:p w:rsidR="002B7DCA" w:rsidRPr="001416ED" w:rsidRDefault="00DA4ECC" w:rsidP="002B7DCA">
      <w:pPr>
        <w:spacing w:line="360" w:lineRule="auto"/>
        <w:jc w:val="both"/>
      </w:pPr>
      <w:r w:rsidRPr="001416ED">
        <w:rPr>
          <w:lang w:val="uk-UA"/>
        </w:rPr>
        <w:t>Примітка:</w:t>
      </w:r>
      <w:r w:rsidRPr="001416ED">
        <w:rPr>
          <w:i/>
          <w:lang w:val="uk-UA"/>
        </w:rPr>
        <w:t xml:space="preserve">* </w:t>
      </w:r>
      <w:r w:rsidR="00BC0119" w:rsidRPr="001416ED">
        <w:rPr>
          <w:i/>
          <w:lang w:val="uk-UA"/>
        </w:rPr>
        <w:t>–</w:t>
      </w:r>
      <w:r w:rsidRPr="001416ED">
        <w:rPr>
          <w:i/>
          <w:lang w:val="uk-UA"/>
        </w:rPr>
        <w:t xml:space="preserve"> </w:t>
      </w:r>
      <w:r w:rsidR="002B7DCA" w:rsidRPr="001416ED">
        <w:t>різниця показників достовірна при порівнянні</w:t>
      </w:r>
      <w:r w:rsidR="002B7DCA" w:rsidRPr="001416ED">
        <w:rPr>
          <w:i/>
        </w:rPr>
        <w:t xml:space="preserve"> </w:t>
      </w:r>
      <w:r w:rsidR="002B7DCA" w:rsidRPr="001416ED">
        <w:t>з пацієнтами</w:t>
      </w:r>
      <w:r w:rsidR="002B7DCA" w:rsidRPr="001416ED">
        <w:rPr>
          <w:lang w:val="uk-UA"/>
        </w:rPr>
        <w:t>, що мають</w:t>
      </w:r>
      <w:r w:rsidR="002B7DCA" w:rsidRPr="001416ED">
        <w:t xml:space="preserve"> ГХ ІІІ ст. </w:t>
      </w:r>
      <w:r w:rsidR="002B7DCA" w:rsidRPr="001416ED">
        <w:rPr>
          <w:lang w:val="uk-UA"/>
        </w:rPr>
        <w:t>з</w:t>
      </w:r>
      <w:r w:rsidR="002B7DCA" w:rsidRPr="001416ED">
        <w:t xml:space="preserve"> ФВ &gt;</w:t>
      </w:r>
      <w:r w:rsidR="00807B64" w:rsidRPr="001416ED">
        <w:rPr>
          <w:lang w:val="uk-UA"/>
        </w:rPr>
        <w:t xml:space="preserve"> </w:t>
      </w:r>
      <w:r w:rsidR="002B7DCA" w:rsidRPr="001416ED">
        <w:t>45</w:t>
      </w:r>
      <w:r w:rsidR="00807B64" w:rsidRPr="001416ED">
        <w:rPr>
          <w:lang w:val="uk-UA"/>
        </w:rPr>
        <w:t xml:space="preserve"> </w:t>
      </w:r>
      <w:r w:rsidR="002B7DCA" w:rsidRPr="001416ED">
        <w:t>% (р</w:t>
      </w:r>
      <w:r w:rsidR="00807B64" w:rsidRPr="001416ED">
        <w:t>˂</w:t>
      </w:r>
      <w:r w:rsidR="002B7DCA" w:rsidRPr="001416ED">
        <w:t>0,0</w:t>
      </w:r>
      <w:r w:rsidR="00807B64" w:rsidRPr="001416ED">
        <w:rPr>
          <w:lang w:val="uk-UA"/>
        </w:rPr>
        <w:t>5</w:t>
      </w:r>
      <w:r w:rsidR="002B7DCA" w:rsidRPr="001416ED">
        <w:t>)</w:t>
      </w:r>
    </w:p>
    <w:p w:rsidR="00D26AE1" w:rsidRPr="001416ED" w:rsidRDefault="002B7DCA" w:rsidP="00D26AE1">
      <w:pPr>
        <w:spacing w:before="240" w:line="360" w:lineRule="auto"/>
        <w:ind w:firstLine="709"/>
        <w:jc w:val="both"/>
        <w:rPr>
          <w:lang w:val="uk-UA"/>
        </w:rPr>
      </w:pPr>
      <w:r w:rsidRPr="001416ED">
        <w:lastRenderedPageBreak/>
        <w:t xml:space="preserve">Встановлено, що у чоловіків – володарів генотипу </w:t>
      </w:r>
      <w:r w:rsidRPr="001416ED">
        <w:rPr>
          <w:lang w:val="en-US"/>
        </w:rPr>
        <w:t xml:space="preserve">Lys/Lys </w:t>
      </w:r>
      <w:r w:rsidRPr="001416ED">
        <w:t>достовірно частіше зустрічається  ГХ ІІІ ст. з ФВ</w:t>
      </w:r>
      <w:r w:rsidR="00807B64" w:rsidRPr="001416ED">
        <w:rPr>
          <w:lang w:val="uk-UA"/>
        </w:rPr>
        <w:t xml:space="preserve"> </w:t>
      </w:r>
      <w:r w:rsidR="00403FB9" w:rsidRPr="001416ED">
        <w:t>&lt;</w:t>
      </w:r>
      <w:r w:rsidR="00807B64" w:rsidRPr="001416ED">
        <w:rPr>
          <w:lang w:val="uk-UA"/>
        </w:rPr>
        <w:t xml:space="preserve"> </w:t>
      </w:r>
      <w:r w:rsidRPr="001416ED">
        <w:t>45</w:t>
      </w:r>
      <w:r w:rsidR="00807B64" w:rsidRPr="001416ED">
        <w:rPr>
          <w:lang w:val="uk-UA"/>
        </w:rPr>
        <w:t xml:space="preserve"> </w:t>
      </w:r>
      <w:r w:rsidRPr="001416ED">
        <w:t xml:space="preserve">%, проте, у пацієнтів - носіїв алелі </w:t>
      </w:r>
      <w:r w:rsidRPr="001416ED">
        <w:rPr>
          <w:lang w:val="en-US"/>
        </w:rPr>
        <w:t xml:space="preserve">Asn </w:t>
      </w:r>
      <w:r w:rsidRPr="001416ED">
        <w:t>такої різниці не виявлено</w:t>
      </w:r>
      <w:r w:rsidRPr="001416ED">
        <w:rPr>
          <w:lang w:val="uk-UA"/>
        </w:rPr>
        <w:t>.</w:t>
      </w:r>
    </w:p>
    <w:p w:rsidR="00BE5BB7" w:rsidRPr="001416ED" w:rsidRDefault="00C076D2" w:rsidP="00C076D2">
      <w:pPr>
        <w:spacing w:line="360" w:lineRule="auto"/>
        <w:ind w:firstLine="709"/>
        <w:jc w:val="both"/>
        <w:rPr>
          <w:lang w:val="uk-UA"/>
        </w:rPr>
      </w:pPr>
      <w:r w:rsidRPr="001416ED">
        <w:rPr>
          <w:lang w:val="uk-UA"/>
        </w:rPr>
        <w:t xml:space="preserve">Далі визначались показники структури та функції міокарду у чоловіків, що мають ХСН </w:t>
      </w:r>
      <w:r w:rsidR="004A4E68" w:rsidRPr="001416ED">
        <w:rPr>
          <w:lang w:val="uk-UA"/>
        </w:rPr>
        <w:t>ІІ А</w:t>
      </w:r>
      <w:r w:rsidRPr="001416ED">
        <w:rPr>
          <w:lang w:val="uk-UA"/>
        </w:rPr>
        <w:t xml:space="preserve"> ст. на тлі ГХ</w:t>
      </w:r>
      <w:r w:rsidR="00313175" w:rsidRPr="001416ED">
        <w:rPr>
          <w:lang w:val="uk-UA"/>
        </w:rPr>
        <w:t xml:space="preserve"> (табл. 5</w:t>
      </w:r>
      <w:r w:rsidRPr="001416ED">
        <w:rPr>
          <w:lang w:val="uk-UA"/>
        </w:rPr>
        <w:t>.</w:t>
      </w:r>
      <w:r w:rsidR="00C65DE3" w:rsidRPr="001416ED">
        <w:rPr>
          <w:lang w:val="uk-UA"/>
        </w:rPr>
        <w:t>4</w:t>
      </w:r>
      <w:r w:rsidR="00313175" w:rsidRPr="001416ED">
        <w:rPr>
          <w:lang w:val="uk-UA"/>
        </w:rPr>
        <w:t>).</w:t>
      </w:r>
    </w:p>
    <w:p w:rsidR="006B5BF0" w:rsidRPr="001416ED" w:rsidRDefault="006B5BF0" w:rsidP="006B5BF0">
      <w:pPr>
        <w:spacing w:line="360" w:lineRule="auto"/>
        <w:ind w:firstLine="709"/>
        <w:jc w:val="right"/>
        <w:rPr>
          <w:b/>
          <w:lang w:val="uk-UA"/>
        </w:rPr>
      </w:pPr>
      <w:r w:rsidRPr="001416ED">
        <w:rPr>
          <w:b/>
          <w:lang w:val="uk-UA"/>
        </w:rPr>
        <w:t>Таблиця 5.</w:t>
      </w:r>
      <w:r w:rsidR="00C65DE3" w:rsidRPr="001416ED">
        <w:rPr>
          <w:b/>
          <w:lang w:val="uk-UA"/>
        </w:rPr>
        <w:t>4</w:t>
      </w:r>
    </w:p>
    <w:p w:rsidR="006B5BF0" w:rsidRPr="001416ED" w:rsidRDefault="006B5BF0" w:rsidP="006B5BF0">
      <w:pPr>
        <w:spacing w:line="360" w:lineRule="auto"/>
        <w:jc w:val="center"/>
        <w:rPr>
          <w:b/>
          <w:lang w:val="uk-UA"/>
        </w:rPr>
      </w:pPr>
      <w:r w:rsidRPr="001416ED">
        <w:rPr>
          <w:b/>
          <w:lang w:val="uk-UA"/>
        </w:rPr>
        <w:t xml:space="preserve">Показники </w:t>
      </w:r>
      <w:r w:rsidR="00C65DE3" w:rsidRPr="001416ED">
        <w:rPr>
          <w:b/>
          <w:lang w:val="uk-UA"/>
        </w:rPr>
        <w:t>серцевої та системної гемодинаміки</w:t>
      </w:r>
      <w:r w:rsidRPr="001416ED">
        <w:rPr>
          <w:b/>
          <w:lang w:val="uk-UA"/>
        </w:rPr>
        <w:t xml:space="preserve"> у чоловіків з ГХ різної </w:t>
      </w:r>
      <w:r w:rsidR="00046A18" w:rsidRPr="001416ED">
        <w:rPr>
          <w:b/>
          <w:lang w:val="uk-UA"/>
        </w:rPr>
        <w:t>стадії</w:t>
      </w:r>
      <w:r w:rsidRPr="001416ED">
        <w:rPr>
          <w:b/>
          <w:lang w:val="uk-UA"/>
        </w:rPr>
        <w:t xml:space="preserve">, при носійстві поліморфних варіантів </w:t>
      </w:r>
      <w:r w:rsidR="00F40216">
        <w:rPr>
          <w:b/>
          <w:lang w:val="uk-UA"/>
        </w:rPr>
        <w:t>гена</w:t>
      </w:r>
      <w:r w:rsidRPr="001416ED">
        <w:rPr>
          <w:b/>
          <w:lang w:val="uk-UA"/>
        </w:rPr>
        <w:t xml:space="preserve"> ЕТ</w:t>
      </w:r>
      <w:r w:rsidR="00BC0119" w:rsidRPr="001416ED">
        <w:rPr>
          <w:b/>
          <w:lang w:val="uk-UA"/>
        </w:rPr>
        <w:t>–</w:t>
      </w:r>
      <w:r w:rsidRPr="001416ED">
        <w:rPr>
          <w:b/>
          <w:lang w:val="uk-UA"/>
        </w:rPr>
        <w:t>1, (</w:t>
      </w:r>
      <w:r w:rsidRPr="001416ED">
        <w:rPr>
          <w:b/>
          <w:lang w:val="en-US"/>
        </w:rPr>
        <w:t>M</w:t>
      </w:r>
      <w:r w:rsidR="007A07A9" w:rsidRPr="001416ED">
        <w:rPr>
          <w:b/>
          <w:lang w:val="uk-UA"/>
        </w:rPr>
        <w:t xml:space="preserve"> ± </w:t>
      </w:r>
      <w:r w:rsidRPr="001416ED">
        <w:rPr>
          <w:b/>
          <w:lang w:val="en-US"/>
        </w:rPr>
        <w:t>m</w:t>
      </w:r>
      <w:r w:rsidRPr="001416ED">
        <w:rPr>
          <w:b/>
          <w:lang w:val="uk-UA"/>
        </w:rPr>
        <w:t>)</w:t>
      </w:r>
    </w:p>
    <w:tbl>
      <w:tblPr>
        <w:tblStyle w:val="af5"/>
        <w:tblW w:w="10173" w:type="dxa"/>
        <w:tblLayout w:type="fixed"/>
        <w:tblLook w:val="04A0" w:firstRow="1" w:lastRow="0" w:firstColumn="1" w:lastColumn="0" w:noHBand="0" w:noVBand="1"/>
      </w:tblPr>
      <w:tblGrid>
        <w:gridCol w:w="1668"/>
        <w:gridCol w:w="7"/>
        <w:gridCol w:w="1686"/>
        <w:gridCol w:w="8"/>
        <w:gridCol w:w="1559"/>
        <w:gridCol w:w="1701"/>
        <w:gridCol w:w="1559"/>
        <w:gridCol w:w="1985"/>
      </w:tblGrid>
      <w:tr w:rsidR="006B5BF0" w:rsidRPr="001416ED" w:rsidTr="00807B64">
        <w:tc>
          <w:tcPr>
            <w:tcW w:w="1668" w:type="dxa"/>
            <w:vMerge w:val="restart"/>
          </w:tcPr>
          <w:p w:rsidR="006B5BF0" w:rsidRPr="001416ED" w:rsidRDefault="006B5BF0" w:rsidP="005477AB">
            <w:pPr>
              <w:spacing w:line="360" w:lineRule="auto"/>
              <w:jc w:val="center"/>
              <w:rPr>
                <w:b/>
                <w:szCs w:val="22"/>
              </w:rPr>
            </w:pPr>
            <w:r w:rsidRPr="001416ED">
              <w:rPr>
                <w:b/>
                <w:szCs w:val="22"/>
              </w:rPr>
              <w:t>Показники</w:t>
            </w:r>
          </w:p>
        </w:tc>
        <w:tc>
          <w:tcPr>
            <w:tcW w:w="3260" w:type="dxa"/>
            <w:gridSpan w:val="4"/>
          </w:tcPr>
          <w:p w:rsidR="006B5BF0" w:rsidRPr="001416ED" w:rsidRDefault="006B5BF0" w:rsidP="005477AB">
            <w:pPr>
              <w:spacing w:line="360" w:lineRule="auto"/>
              <w:jc w:val="center"/>
              <w:rPr>
                <w:b/>
                <w:szCs w:val="22"/>
              </w:rPr>
            </w:pPr>
            <w:r w:rsidRPr="001416ED">
              <w:rPr>
                <w:b/>
                <w:szCs w:val="22"/>
              </w:rPr>
              <w:t>Чоловіки з ГХ ІІ ст. (</w:t>
            </w:r>
            <w:r w:rsidRPr="001416ED">
              <w:rPr>
                <w:b/>
                <w:szCs w:val="22"/>
                <w:lang w:val="en-US"/>
              </w:rPr>
              <w:t>n</w:t>
            </w:r>
            <w:r w:rsidRPr="001416ED">
              <w:rPr>
                <w:b/>
                <w:szCs w:val="22"/>
              </w:rPr>
              <w:t>=62)</w:t>
            </w:r>
          </w:p>
        </w:tc>
        <w:tc>
          <w:tcPr>
            <w:tcW w:w="3260" w:type="dxa"/>
            <w:gridSpan w:val="2"/>
          </w:tcPr>
          <w:p w:rsidR="006B5BF0" w:rsidRPr="001416ED" w:rsidRDefault="00807B64" w:rsidP="00807B64">
            <w:pPr>
              <w:spacing w:line="360" w:lineRule="auto"/>
              <w:jc w:val="center"/>
              <w:rPr>
                <w:b/>
                <w:szCs w:val="22"/>
                <w:lang w:val="uk-UA"/>
              </w:rPr>
            </w:pPr>
            <w:r w:rsidRPr="001416ED">
              <w:rPr>
                <w:b/>
                <w:szCs w:val="22"/>
                <w:lang w:val="uk-UA"/>
              </w:rPr>
              <w:t xml:space="preserve">Чоловіки з ГХ ІІІ </w:t>
            </w:r>
            <w:r w:rsidR="006B5BF0" w:rsidRPr="001416ED">
              <w:rPr>
                <w:b/>
                <w:szCs w:val="22"/>
                <w:lang w:val="uk-UA"/>
              </w:rPr>
              <w:t>ст.</w:t>
            </w:r>
            <w:r w:rsidR="00CD0030" w:rsidRPr="001416ED">
              <w:rPr>
                <w:b/>
                <w:szCs w:val="22"/>
              </w:rPr>
              <w:t xml:space="preserve"> (</w:t>
            </w:r>
            <w:r w:rsidR="00CD0030" w:rsidRPr="001416ED">
              <w:rPr>
                <w:b/>
                <w:szCs w:val="22"/>
                <w:lang w:val="en-US"/>
              </w:rPr>
              <w:t>n</w:t>
            </w:r>
            <w:r w:rsidR="00CD0030" w:rsidRPr="001416ED">
              <w:rPr>
                <w:b/>
                <w:szCs w:val="22"/>
              </w:rPr>
              <w:t>=</w:t>
            </w:r>
            <w:r w:rsidR="00CD0030" w:rsidRPr="001416ED">
              <w:rPr>
                <w:b/>
                <w:szCs w:val="22"/>
                <w:lang w:val="uk-UA"/>
              </w:rPr>
              <w:t>50</w:t>
            </w:r>
            <w:r w:rsidR="00CD0030" w:rsidRPr="001416ED">
              <w:rPr>
                <w:b/>
                <w:szCs w:val="22"/>
              </w:rPr>
              <w:t>)</w:t>
            </w:r>
          </w:p>
        </w:tc>
        <w:tc>
          <w:tcPr>
            <w:tcW w:w="1985" w:type="dxa"/>
            <w:vMerge w:val="restart"/>
          </w:tcPr>
          <w:p w:rsidR="006B5BF0" w:rsidRPr="001416ED" w:rsidRDefault="006B5BF0" w:rsidP="005477AB">
            <w:pPr>
              <w:spacing w:line="360" w:lineRule="auto"/>
              <w:jc w:val="center"/>
              <w:rPr>
                <w:b/>
                <w:szCs w:val="22"/>
              </w:rPr>
            </w:pPr>
            <w:r w:rsidRPr="001416ED">
              <w:rPr>
                <w:b/>
                <w:szCs w:val="22"/>
              </w:rPr>
              <w:t>р</w:t>
            </w:r>
          </w:p>
        </w:tc>
      </w:tr>
      <w:tr w:rsidR="006B5BF0" w:rsidRPr="001416ED" w:rsidTr="00807B64">
        <w:tc>
          <w:tcPr>
            <w:tcW w:w="1668" w:type="dxa"/>
            <w:vMerge/>
          </w:tcPr>
          <w:p w:rsidR="006B5BF0" w:rsidRPr="001416ED" w:rsidRDefault="006B5BF0" w:rsidP="005477AB">
            <w:pPr>
              <w:spacing w:line="360" w:lineRule="auto"/>
              <w:rPr>
                <w:szCs w:val="22"/>
              </w:rPr>
            </w:pPr>
          </w:p>
        </w:tc>
        <w:tc>
          <w:tcPr>
            <w:tcW w:w="1701" w:type="dxa"/>
            <w:gridSpan w:val="3"/>
          </w:tcPr>
          <w:p w:rsidR="006B5BF0" w:rsidRPr="001416ED" w:rsidRDefault="006B5BF0" w:rsidP="005477AB">
            <w:pPr>
              <w:spacing w:line="360" w:lineRule="auto"/>
              <w:jc w:val="center"/>
              <w:rPr>
                <w:b/>
                <w:szCs w:val="22"/>
              </w:rPr>
            </w:pPr>
            <w:r w:rsidRPr="001416ED">
              <w:rPr>
                <w:b/>
                <w:szCs w:val="22"/>
              </w:rPr>
              <w:t>1</w:t>
            </w:r>
          </w:p>
        </w:tc>
        <w:tc>
          <w:tcPr>
            <w:tcW w:w="1559" w:type="dxa"/>
          </w:tcPr>
          <w:p w:rsidR="006B5BF0" w:rsidRPr="001416ED" w:rsidRDefault="006B5BF0" w:rsidP="005477AB">
            <w:pPr>
              <w:spacing w:line="360" w:lineRule="auto"/>
              <w:jc w:val="center"/>
              <w:rPr>
                <w:b/>
                <w:szCs w:val="22"/>
              </w:rPr>
            </w:pPr>
            <w:r w:rsidRPr="001416ED">
              <w:rPr>
                <w:b/>
                <w:szCs w:val="22"/>
              </w:rPr>
              <w:t>2</w:t>
            </w:r>
          </w:p>
        </w:tc>
        <w:tc>
          <w:tcPr>
            <w:tcW w:w="1701" w:type="dxa"/>
          </w:tcPr>
          <w:p w:rsidR="006B5BF0" w:rsidRPr="001416ED" w:rsidRDefault="006B5BF0" w:rsidP="005477AB">
            <w:pPr>
              <w:spacing w:line="360" w:lineRule="auto"/>
              <w:jc w:val="center"/>
              <w:rPr>
                <w:b/>
                <w:szCs w:val="22"/>
              </w:rPr>
            </w:pPr>
            <w:r w:rsidRPr="001416ED">
              <w:rPr>
                <w:b/>
                <w:szCs w:val="22"/>
              </w:rPr>
              <w:t>3</w:t>
            </w:r>
          </w:p>
        </w:tc>
        <w:tc>
          <w:tcPr>
            <w:tcW w:w="1559" w:type="dxa"/>
          </w:tcPr>
          <w:p w:rsidR="006B5BF0" w:rsidRPr="001416ED" w:rsidRDefault="006B5BF0" w:rsidP="005477AB">
            <w:pPr>
              <w:spacing w:line="360" w:lineRule="auto"/>
              <w:jc w:val="center"/>
              <w:rPr>
                <w:b/>
                <w:szCs w:val="22"/>
              </w:rPr>
            </w:pPr>
            <w:r w:rsidRPr="001416ED">
              <w:rPr>
                <w:b/>
                <w:szCs w:val="22"/>
              </w:rPr>
              <w:t>4</w:t>
            </w:r>
          </w:p>
        </w:tc>
        <w:tc>
          <w:tcPr>
            <w:tcW w:w="1985" w:type="dxa"/>
            <w:vMerge/>
          </w:tcPr>
          <w:p w:rsidR="006B5BF0" w:rsidRPr="001416ED" w:rsidRDefault="006B5BF0" w:rsidP="005477AB">
            <w:pPr>
              <w:spacing w:line="360" w:lineRule="auto"/>
              <w:jc w:val="center"/>
              <w:rPr>
                <w:szCs w:val="22"/>
              </w:rPr>
            </w:pPr>
          </w:p>
        </w:tc>
      </w:tr>
      <w:tr w:rsidR="00F9338D" w:rsidRPr="001416ED" w:rsidTr="00807B64">
        <w:tc>
          <w:tcPr>
            <w:tcW w:w="1668" w:type="dxa"/>
            <w:vMerge/>
          </w:tcPr>
          <w:p w:rsidR="00F9338D" w:rsidRPr="001416ED" w:rsidRDefault="00F9338D" w:rsidP="005477AB">
            <w:pPr>
              <w:spacing w:line="360" w:lineRule="auto"/>
              <w:rPr>
                <w:szCs w:val="22"/>
              </w:rPr>
            </w:pPr>
          </w:p>
        </w:tc>
        <w:tc>
          <w:tcPr>
            <w:tcW w:w="1701" w:type="dxa"/>
            <w:gridSpan w:val="3"/>
          </w:tcPr>
          <w:p w:rsidR="00F9338D" w:rsidRPr="001416ED" w:rsidRDefault="00F9338D" w:rsidP="00F225E8">
            <w:pPr>
              <w:spacing w:line="360" w:lineRule="auto"/>
              <w:jc w:val="center"/>
              <w:rPr>
                <w:b/>
                <w:szCs w:val="22"/>
                <w:lang w:val="uk-UA"/>
              </w:rPr>
            </w:pPr>
            <w:r w:rsidRPr="001416ED">
              <w:rPr>
                <w:b/>
                <w:szCs w:val="22"/>
                <w:lang w:val="uk-UA"/>
              </w:rPr>
              <w:t>Г</w:t>
            </w:r>
            <w:r w:rsidRPr="001416ED">
              <w:rPr>
                <w:b/>
                <w:szCs w:val="22"/>
              </w:rPr>
              <w:t xml:space="preserve">енотип </w:t>
            </w:r>
            <w:r w:rsidRPr="001416ED">
              <w:rPr>
                <w:b/>
                <w:szCs w:val="22"/>
                <w:lang w:val="en-US"/>
              </w:rPr>
              <w:t>Lys/Lys</w:t>
            </w:r>
            <w:r w:rsidRPr="001416ED">
              <w:rPr>
                <w:b/>
                <w:szCs w:val="22"/>
                <w:lang w:val="uk-UA"/>
              </w:rPr>
              <w:t xml:space="preserve"> </w:t>
            </w:r>
            <w:r w:rsidRPr="001416ED">
              <w:rPr>
                <w:b/>
                <w:szCs w:val="22"/>
                <w:lang w:val="en-US"/>
              </w:rPr>
              <w:t>(n=</w:t>
            </w:r>
            <w:r w:rsidRPr="001416ED">
              <w:rPr>
                <w:b/>
                <w:szCs w:val="22"/>
                <w:lang w:val="uk-UA"/>
              </w:rPr>
              <w:t>52</w:t>
            </w:r>
            <w:r w:rsidRPr="001416ED">
              <w:rPr>
                <w:b/>
                <w:szCs w:val="22"/>
                <w:lang w:val="en-US"/>
              </w:rPr>
              <w:t>)</w:t>
            </w:r>
          </w:p>
        </w:tc>
        <w:tc>
          <w:tcPr>
            <w:tcW w:w="1559" w:type="dxa"/>
          </w:tcPr>
          <w:p w:rsidR="00F9338D" w:rsidRPr="001416ED" w:rsidRDefault="00F9338D" w:rsidP="00F225E8">
            <w:pPr>
              <w:spacing w:line="360" w:lineRule="auto"/>
              <w:jc w:val="center"/>
              <w:rPr>
                <w:b/>
                <w:szCs w:val="22"/>
                <w:lang w:val="en-US"/>
              </w:rPr>
            </w:pPr>
            <w:r w:rsidRPr="001416ED">
              <w:rPr>
                <w:b/>
                <w:szCs w:val="22"/>
              </w:rPr>
              <w:t>Носії алелі</w:t>
            </w:r>
            <w:r w:rsidRPr="001416ED">
              <w:rPr>
                <w:b/>
                <w:szCs w:val="22"/>
                <w:lang w:val="en-US"/>
              </w:rPr>
              <w:t xml:space="preserve"> Asn</w:t>
            </w:r>
            <w:r w:rsidRPr="001416ED">
              <w:rPr>
                <w:b/>
                <w:szCs w:val="22"/>
                <w:lang w:val="uk-UA"/>
              </w:rPr>
              <w:t xml:space="preserve"> </w:t>
            </w:r>
            <w:r w:rsidRPr="001416ED">
              <w:rPr>
                <w:b/>
                <w:szCs w:val="22"/>
                <w:lang w:val="en-US"/>
              </w:rPr>
              <w:t>(n=</w:t>
            </w:r>
            <w:r w:rsidRPr="001416ED">
              <w:rPr>
                <w:b/>
                <w:szCs w:val="22"/>
                <w:lang w:val="uk-UA"/>
              </w:rPr>
              <w:t>27</w:t>
            </w:r>
            <w:r w:rsidRPr="001416ED">
              <w:rPr>
                <w:b/>
                <w:szCs w:val="22"/>
                <w:lang w:val="en-US"/>
              </w:rPr>
              <w:t>)</w:t>
            </w:r>
          </w:p>
        </w:tc>
        <w:tc>
          <w:tcPr>
            <w:tcW w:w="1701" w:type="dxa"/>
          </w:tcPr>
          <w:p w:rsidR="00F9338D" w:rsidRPr="001416ED" w:rsidRDefault="00F9338D" w:rsidP="00F225E8">
            <w:pPr>
              <w:spacing w:line="360" w:lineRule="auto"/>
              <w:jc w:val="center"/>
              <w:rPr>
                <w:b/>
                <w:szCs w:val="22"/>
              </w:rPr>
            </w:pPr>
            <w:r w:rsidRPr="001416ED">
              <w:rPr>
                <w:b/>
                <w:szCs w:val="22"/>
                <w:lang w:val="uk-UA"/>
              </w:rPr>
              <w:t>Г</w:t>
            </w:r>
            <w:r w:rsidRPr="001416ED">
              <w:rPr>
                <w:b/>
                <w:szCs w:val="22"/>
              </w:rPr>
              <w:t>енотип</w:t>
            </w:r>
            <w:r w:rsidRPr="001416ED">
              <w:rPr>
                <w:b/>
                <w:szCs w:val="22"/>
                <w:lang w:val="en-US"/>
              </w:rPr>
              <w:t xml:space="preserve"> Lys/Lys</w:t>
            </w:r>
            <w:r w:rsidRPr="001416ED">
              <w:rPr>
                <w:b/>
                <w:szCs w:val="22"/>
                <w:lang w:val="uk-UA"/>
              </w:rPr>
              <w:t xml:space="preserve"> </w:t>
            </w:r>
            <w:r w:rsidRPr="001416ED">
              <w:rPr>
                <w:b/>
                <w:szCs w:val="22"/>
                <w:lang w:val="en-US"/>
              </w:rPr>
              <w:t>(n=</w:t>
            </w:r>
            <w:r w:rsidRPr="001416ED">
              <w:rPr>
                <w:b/>
                <w:szCs w:val="22"/>
                <w:lang w:val="uk-UA"/>
              </w:rPr>
              <w:t>35</w:t>
            </w:r>
            <w:r w:rsidRPr="001416ED">
              <w:rPr>
                <w:b/>
                <w:szCs w:val="22"/>
                <w:lang w:val="en-US"/>
              </w:rPr>
              <w:t>)</w:t>
            </w:r>
          </w:p>
        </w:tc>
        <w:tc>
          <w:tcPr>
            <w:tcW w:w="1559" w:type="dxa"/>
          </w:tcPr>
          <w:p w:rsidR="00F9338D" w:rsidRPr="001416ED" w:rsidRDefault="00F9338D" w:rsidP="00F225E8">
            <w:pPr>
              <w:spacing w:line="360" w:lineRule="auto"/>
              <w:jc w:val="center"/>
              <w:rPr>
                <w:b/>
                <w:szCs w:val="22"/>
              </w:rPr>
            </w:pPr>
            <w:r w:rsidRPr="001416ED">
              <w:rPr>
                <w:b/>
                <w:szCs w:val="22"/>
              </w:rPr>
              <w:t>Носії алелі</w:t>
            </w:r>
            <w:r w:rsidRPr="001416ED">
              <w:rPr>
                <w:b/>
                <w:szCs w:val="22"/>
                <w:lang w:val="en-US"/>
              </w:rPr>
              <w:t xml:space="preserve"> Asn</w:t>
            </w:r>
            <w:r w:rsidRPr="001416ED">
              <w:rPr>
                <w:b/>
                <w:szCs w:val="22"/>
                <w:lang w:val="uk-UA"/>
              </w:rPr>
              <w:t xml:space="preserve"> </w:t>
            </w:r>
            <w:r w:rsidRPr="001416ED">
              <w:rPr>
                <w:b/>
                <w:szCs w:val="22"/>
                <w:lang w:val="en-US"/>
              </w:rPr>
              <w:t>(n=</w:t>
            </w:r>
            <w:r w:rsidRPr="001416ED">
              <w:rPr>
                <w:b/>
                <w:szCs w:val="22"/>
                <w:lang w:val="uk-UA"/>
              </w:rPr>
              <w:t>27</w:t>
            </w:r>
            <w:r w:rsidRPr="001416ED">
              <w:rPr>
                <w:b/>
                <w:szCs w:val="22"/>
                <w:lang w:val="en-US"/>
              </w:rPr>
              <w:t>)</w:t>
            </w:r>
          </w:p>
        </w:tc>
        <w:tc>
          <w:tcPr>
            <w:tcW w:w="1985" w:type="dxa"/>
            <w:vMerge/>
          </w:tcPr>
          <w:p w:rsidR="00F9338D" w:rsidRPr="001416ED" w:rsidRDefault="00F9338D" w:rsidP="005477AB">
            <w:pPr>
              <w:spacing w:line="360" w:lineRule="auto"/>
              <w:jc w:val="center"/>
              <w:rPr>
                <w:szCs w:val="22"/>
              </w:rPr>
            </w:pP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КДР, см</w:t>
            </w:r>
          </w:p>
        </w:tc>
        <w:tc>
          <w:tcPr>
            <w:tcW w:w="1701" w:type="dxa"/>
            <w:gridSpan w:val="3"/>
          </w:tcPr>
          <w:p w:rsidR="004F6BD5" w:rsidRPr="001416ED" w:rsidRDefault="004F6BD5" w:rsidP="008A22C3">
            <w:pPr>
              <w:spacing w:line="360" w:lineRule="auto"/>
              <w:rPr>
                <w:szCs w:val="22"/>
              </w:rPr>
            </w:pPr>
            <w:r w:rsidRPr="001416ED">
              <w:rPr>
                <w:szCs w:val="22"/>
              </w:rPr>
              <w:t>4,</w:t>
            </w:r>
            <w:r w:rsidRPr="001416ED">
              <w:rPr>
                <w:szCs w:val="22"/>
                <w:lang w:val="en-US"/>
              </w:rPr>
              <w:t>8</w:t>
            </w:r>
            <w:r w:rsidRPr="001416ED">
              <w:rPr>
                <w:szCs w:val="22"/>
              </w:rPr>
              <w:t>9</w:t>
            </w:r>
            <w:r w:rsidR="007A07A9" w:rsidRPr="001416ED">
              <w:rPr>
                <w:szCs w:val="22"/>
              </w:rPr>
              <w:t xml:space="preserve"> ± </w:t>
            </w:r>
            <w:r w:rsidRPr="001416ED">
              <w:rPr>
                <w:szCs w:val="22"/>
              </w:rPr>
              <w:t>0,07</w:t>
            </w:r>
          </w:p>
        </w:tc>
        <w:tc>
          <w:tcPr>
            <w:tcW w:w="1559" w:type="dxa"/>
          </w:tcPr>
          <w:p w:rsidR="004F6BD5" w:rsidRPr="001416ED" w:rsidRDefault="004F6BD5" w:rsidP="008A22C3">
            <w:pPr>
              <w:spacing w:line="360" w:lineRule="auto"/>
              <w:rPr>
                <w:szCs w:val="22"/>
              </w:rPr>
            </w:pPr>
            <w:r w:rsidRPr="001416ED">
              <w:rPr>
                <w:szCs w:val="22"/>
                <w:lang w:val="en-US"/>
              </w:rPr>
              <w:t>5</w:t>
            </w:r>
            <w:r w:rsidRPr="001416ED">
              <w:rPr>
                <w:szCs w:val="22"/>
              </w:rPr>
              <w:t>,</w:t>
            </w:r>
            <w:r w:rsidRPr="001416ED">
              <w:rPr>
                <w:szCs w:val="22"/>
                <w:lang w:val="en-US"/>
              </w:rPr>
              <w:t>23</w:t>
            </w:r>
            <w:r w:rsidR="007A07A9" w:rsidRPr="001416ED">
              <w:rPr>
                <w:szCs w:val="22"/>
              </w:rPr>
              <w:t xml:space="preserve"> ± </w:t>
            </w:r>
            <w:r w:rsidRPr="001416ED">
              <w:rPr>
                <w:szCs w:val="22"/>
              </w:rPr>
              <w:t>0,06</w:t>
            </w:r>
          </w:p>
        </w:tc>
        <w:tc>
          <w:tcPr>
            <w:tcW w:w="1701" w:type="dxa"/>
          </w:tcPr>
          <w:p w:rsidR="004F6BD5" w:rsidRPr="001416ED" w:rsidRDefault="004F6BD5" w:rsidP="004F6BD5">
            <w:pPr>
              <w:spacing w:line="360" w:lineRule="auto"/>
              <w:jc w:val="center"/>
              <w:rPr>
                <w:szCs w:val="22"/>
                <w:lang w:val="uk-UA"/>
              </w:rPr>
            </w:pPr>
            <w:r w:rsidRPr="001416ED">
              <w:rPr>
                <w:szCs w:val="22"/>
                <w:lang w:val="uk-UA"/>
              </w:rPr>
              <w:t>5,38</w:t>
            </w:r>
            <w:r w:rsidR="007A07A9" w:rsidRPr="001416ED">
              <w:rPr>
                <w:szCs w:val="22"/>
              </w:rPr>
              <w:t xml:space="preserve"> ± </w:t>
            </w:r>
            <w:r w:rsidRPr="001416ED">
              <w:rPr>
                <w:szCs w:val="22"/>
                <w:lang w:val="uk-UA"/>
              </w:rPr>
              <w:t>0,09</w:t>
            </w:r>
          </w:p>
        </w:tc>
        <w:tc>
          <w:tcPr>
            <w:tcW w:w="1559" w:type="dxa"/>
          </w:tcPr>
          <w:p w:rsidR="004F6BD5" w:rsidRPr="001416ED" w:rsidRDefault="004F6BD5" w:rsidP="004F6BD5">
            <w:pPr>
              <w:spacing w:line="360" w:lineRule="auto"/>
              <w:rPr>
                <w:szCs w:val="22"/>
                <w:lang w:val="uk-UA"/>
              </w:rPr>
            </w:pPr>
            <w:r w:rsidRPr="001416ED">
              <w:rPr>
                <w:szCs w:val="22"/>
                <w:lang w:val="uk-UA"/>
              </w:rPr>
              <w:t>5,77</w:t>
            </w:r>
            <w:r w:rsidR="007A07A9" w:rsidRPr="001416ED">
              <w:rPr>
                <w:szCs w:val="22"/>
              </w:rPr>
              <w:t xml:space="preserve"> ± </w:t>
            </w:r>
            <w:r w:rsidRPr="001416ED">
              <w:rPr>
                <w:szCs w:val="22"/>
                <w:lang w:val="uk-UA"/>
              </w:rPr>
              <w:t>0,08</w:t>
            </w:r>
          </w:p>
        </w:tc>
        <w:tc>
          <w:tcPr>
            <w:tcW w:w="1985" w:type="dxa"/>
          </w:tcPr>
          <w:p w:rsidR="004F6BD5" w:rsidRPr="001416ED" w:rsidRDefault="004F6BD5" w:rsidP="00605B0D">
            <w:pPr>
              <w:spacing w:line="360" w:lineRule="auto"/>
              <w:rPr>
                <w:szCs w:val="22"/>
                <w:vertAlign w:val="subscript"/>
              </w:rPr>
            </w:pPr>
            <w:r w:rsidRPr="001416ED">
              <w:rPr>
                <w:szCs w:val="22"/>
              </w:rPr>
              <w:t>р</w:t>
            </w:r>
            <w:r w:rsidRPr="001416ED">
              <w:rPr>
                <w:szCs w:val="22"/>
                <w:vertAlign w:val="subscript"/>
                <w:lang w:val="en-US"/>
              </w:rPr>
              <w:t>2</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w:t>
            </w:r>
            <w:r w:rsidRPr="001416ED">
              <w:rPr>
                <w:szCs w:val="22"/>
                <w:vertAlign w:val="subscript"/>
                <w:lang w:val="en-US"/>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КСР, см</w:t>
            </w:r>
          </w:p>
        </w:tc>
        <w:tc>
          <w:tcPr>
            <w:tcW w:w="1701" w:type="dxa"/>
            <w:gridSpan w:val="3"/>
          </w:tcPr>
          <w:p w:rsidR="004F6BD5" w:rsidRPr="001416ED" w:rsidRDefault="004F6BD5" w:rsidP="008A22C3">
            <w:pPr>
              <w:spacing w:line="360" w:lineRule="auto"/>
              <w:rPr>
                <w:szCs w:val="22"/>
              </w:rPr>
            </w:pPr>
            <w:r w:rsidRPr="001416ED">
              <w:rPr>
                <w:szCs w:val="22"/>
              </w:rPr>
              <w:t>3,16</w:t>
            </w:r>
            <w:r w:rsidR="007A07A9" w:rsidRPr="001416ED">
              <w:rPr>
                <w:szCs w:val="22"/>
              </w:rPr>
              <w:t xml:space="preserve"> ± </w:t>
            </w:r>
            <w:r w:rsidRPr="001416ED">
              <w:rPr>
                <w:szCs w:val="22"/>
              </w:rPr>
              <w:t>0,06</w:t>
            </w:r>
          </w:p>
        </w:tc>
        <w:tc>
          <w:tcPr>
            <w:tcW w:w="1559" w:type="dxa"/>
          </w:tcPr>
          <w:p w:rsidR="004F6BD5" w:rsidRPr="001416ED" w:rsidRDefault="004F6BD5" w:rsidP="008A22C3">
            <w:pPr>
              <w:spacing w:line="360" w:lineRule="auto"/>
              <w:rPr>
                <w:szCs w:val="22"/>
              </w:rPr>
            </w:pPr>
            <w:r w:rsidRPr="001416ED">
              <w:rPr>
                <w:szCs w:val="22"/>
              </w:rPr>
              <w:t>3,44</w:t>
            </w:r>
            <w:r w:rsidR="007A07A9" w:rsidRPr="001416ED">
              <w:rPr>
                <w:szCs w:val="22"/>
              </w:rPr>
              <w:t xml:space="preserve"> ± </w:t>
            </w:r>
            <w:r w:rsidRPr="001416ED">
              <w:rPr>
                <w:szCs w:val="22"/>
              </w:rPr>
              <w:t>0,07</w:t>
            </w:r>
          </w:p>
        </w:tc>
        <w:tc>
          <w:tcPr>
            <w:tcW w:w="1701" w:type="dxa"/>
          </w:tcPr>
          <w:p w:rsidR="004F6BD5" w:rsidRPr="001416ED" w:rsidRDefault="004F6BD5" w:rsidP="004435FF">
            <w:pPr>
              <w:spacing w:line="360" w:lineRule="auto"/>
              <w:rPr>
                <w:szCs w:val="22"/>
                <w:lang w:val="uk-UA"/>
              </w:rPr>
            </w:pPr>
            <w:r w:rsidRPr="001416ED">
              <w:rPr>
                <w:szCs w:val="22"/>
                <w:lang w:val="uk-UA"/>
              </w:rPr>
              <w:t>4</w:t>
            </w:r>
            <w:r w:rsidRPr="001416ED">
              <w:rPr>
                <w:szCs w:val="22"/>
              </w:rPr>
              <w:t>,</w:t>
            </w:r>
            <w:r w:rsidR="004435FF" w:rsidRPr="001416ED">
              <w:rPr>
                <w:szCs w:val="22"/>
                <w:lang w:val="uk-UA"/>
              </w:rPr>
              <w:t>23</w:t>
            </w:r>
            <w:r w:rsidR="007A07A9" w:rsidRPr="001416ED">
              <w:rPr>
                <w:szCs w:val="22"/>
              </w:rPr>
              <w:t xml:space="preserve"> ± </w:t>
            </w:r>
            <w:r w:rsidRPr="001416ED">
              <w:rPr>
                <w:szCs w:val="22"/>
              </w:rPr>
              <w:t>0,0</w:t>
            </w:r>
            <w:r w:rsidRPr="001416ED">
              <w:rPr>
                <w:szCs w:val="22"/>
                <w:lang w:val="uk-UA"/>
              </w:rPr>
              <w:t>8</w:t>
            </w:r>
          </w:p>
        </w:tc>
        <w:tc>
          <w:tcPr>
            <w:tcW w:w="1559" w:type="dxa"/>
          </w:tcPr>
          <w:p w:rsidR="004F6BD5" w:rsidRPr="001416ED" w:rsidRDefault="004F6BD5" w:rsidP="004435FF">
            <w:pPr>
              <w:spacing w:line="360" w:lineRule="auto"/>
              <w:rPr>
                <w:szCs w:val="22"/>
                <w:lang w:val="uk-UA"/>
              </w:rPr>
            </w:pPr>
            <w:r w:rsidRPr="001416ED">
              <w:rPr>
                <w:szCs w:val="22"/>
                <w:lang w:val="uk-UA"/>
              </w:rPr>
              <w:t>4</w:t>
            </w:r>
            <w:r w:rsidRPr="001416ED">
              <w:rPr>
                <w:szCs w:val="22"/>
              </w:rPr>
              <w:t>,</w:t>
            </w:r>
            <w:r w:rsidR="004435FF" w:rsidRPr="001416ED">
              <w:rPr>
                <w:szCs w:val="22"/>
                <w:lang w:val="uk-UA"/>
              </w:rPr>
              <w:t>6</w:t>
            </w:r>
            <w:r w:rsidRPr="001416ED">
              <w:rPr>
                <w:szCs w:val="22"/>
                <w:lang w:val="uk-UA"/>
              </w:rPr>
              <w:t>2</w:t>
            </w:r>
            <w:r w:rsidR="007A07A9" w:rsidRPr="001416ED">
              <w:rPr>
                <w:szCs w:val="22"/>
              </w:rPr>
              <w:t xml:space="preserve"> ± </w:t>
            </w:r>
            <w:r w:rsidRPr="001416ED">
              <w:rPr>
                <w:szCs w:val="22"/>
              </w:rPr>
              <w:t>0,0</w:t>
            </w:r>
            <w:r w:rsidRPr="001416ED">
              <w:rPr>
                <w:szCs w:val="22"/>
                <w:lang w:val="uk-UA"/>
              </w:rPr>
              <w:t>9</w:t>
            </w:r>
          </w:p>
        </w:tc>
        <w:tc>
          <w:tcPr>
            <w:tcW w:w="1985" w:type="dxa"/>
          </w:tcPr>
          <w:p w:rsidR="004F6BD5" w:rsidRPr="001416ED" w:rsidRDefault="004F6BD5" w:rsidP="000B14EE">
            <w:pPr>
              <w:spacing w:line="360" w:lineRule="auto"/>
              <w:rPr>
                <w:szCs w:val="22"/>
                <w:vertAlign w:val="subscript"/>
              </w:rPr>
            </w:pPr>
            <w:r w:rsidRPr="001416ED">
              <w:rPr>
                <w:szCs w:val="22"/>
              </w:rPr>
              <w:t>р</w:t>
            </w:r>
            <w:r w:rsidRPr="001416ED">
              <w:rPr>
                <w:szCs w:val="22"/>
                <w:vertAlign w:val="subscript"/>
                <w:lang w:val="en-US"/>
              </w:rPr>
              <w:t>2</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vertAlign w:val="subscript"/>
                <w:lang w:val="en-US"/>
              </w:rPr>
              <w:t>*</w:t>
            </w:r>
            <w:r w:rsidRPr="001416ED">
              <w:rPr>
                <w:szCs w:val="22"/>
                <w:lang w:val="en-US"/>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ТЗСЛШ, см</w:t>
            </w:r>
          </w:p>
        </w:tc>
        <w:tc>
          <w:tcPr>
            <w:tcW w:w="1701" w:type="dxa"/>
            <w:gridSpan w:val="3"/>
          </w:tcPr>
          <w:p w:rsidR="004F6BD5" w:rsidRPr="001416ED" w:rsidRDefault="004F6BD5" w:rsidP="008A22C3">
            <w:pPr>
              <w:spacing w:line="360" w:lineRule="auto"/>
              <w:rPr>
                <w:szCs w:val="22"/>
              </w:rPr>
            </w:pPr>
            <w:r w:rsidRPr="001416ED">
              <w:rPr>
                <w:szCs w:val="22"/>
              </w:rPr>
              <w:t>1,</w:t>
            </w:r>
            <w:r w:rsidRPr="001416ED">
              <w:rPr>
                <w:szCs w:val="22"/>
                <w:lang w:val="uk-UA"/>
              </w:rPr>
              <w:t>1</w:t>
            </w:r>
            <w:r w:rsidRPr="001416ED">
              <w:rPr>
                <w:szCs w:val="22"/>
                <w:lang w:val="en-US"/>
              </w:rPr>
              <w:t>8</w:t>
            </w:r>
            <w:r w:rsidR="007A07A9" w:rsidRPr="001416ED">
              <w:rPr>
                <w:szCs w:val="22"/>
              </w:rPr>
              <w:t xml:space="preserve"> ± </w:t>
            </w:r>
            <w:r w:rsidRPr="001416ED">
              <w:rPr>
                <w:szCs w:val="22"/>
              </w:rPr>
              <w:t>0,02</w:t>
            </w:r>
          </w:p>
        </w:tc>
        <w:tc>
          <w:tcPr>
            <w:tcW w:w="1559" w:type="dxa"/>
          </w:tcPr>
          <w:p w:rsidR="004F6BD5" w:rsidRPr="001416ED" w:rsidRDefault="004F6BD5" w:rsidP="008A22C3">
            <w:pPr>
              <w:spacing w:line="360" w:lineRule="auto"/>
              <w:rPr>
                <w:szCs w:val="22"/>
              </w:rPr>
            </w:pPr>
            <w:r w:rsidRPr="001416ED">
              <w:rPr>
                <w:szCs w:val="22"/>
              </w:rPr>
              <w:t>1,</w:t>
            </w:r>
            <w:r w:rsidRPr="001416ED">
              <w:rPr>
                <w:szCs w:val="22"/>
                <w:lang w:val="en-US"/>
              </w:rPr>
              <w:t>22</w:t>
            </w:r>
            <w:r w:rsidR="007A07A9" w:rsidRPr="001416ED">
              <w:rPr>
                <w:szCs w:val="22"/>
              </w:rPr>
              <w:t xml:space="preserve"> ± </w:t>
            </w:r>
            <w:r w:rsidRPr="001416ED">
              <w:rPr>
                <w:szCs w:val="22"/>
              </w:rPr>
              <w:t>0,03</w:t>
            </w:r>
          </w:p>
        </w:tc>
        <w:tc>
          <w:tcPr>
            <w:tcW w:w="1701" w:type="dxa"/>
          </w:tcPr>
          <w:p w:rsidR="004F6BD5" w:rsidRPr="001416ED" w:rsidRDefault="004F6BD5" w:rsidP="00344BFB">
            <w:pPr>
              <w:spacing w:line="360" w:lineRule="auto"/>
              <w:rPr>
                <w:szCs w:val="22"/>
              </w:rPr>
            </w:pPr>
            <w:r w:rsidRPr="001416ED">
              <w:rPr>
                <w:szCs w:val="22"/>
              </w:rPr>
              <w:t>1,</w:t>
            </w:r>
            <w:r w:rsidRPr="001416ED">
              <w:rPr>
                <w:szCs w:val="22"/>
                <w:lang w:val="uk-UA"/>
              </w:rPr>
              <w:t>2</w:t>
            </w:r>
            <w:r w:rsidR="00344BFB" w:rsidRPr="001416ED">
              <w:rPr>
                <w:szCs w:val="22"/>
                <w:lang w:val="uk-UA"/>
              </w:rPr>
              <w:t>7</w:t>
            </w:r>
            <w:r w:rsidR="007A07A9" w:rsidRPr="001416ED">
              <w:rPr>
                <w:szCs w:val="22"/>
              </w:rPr>
              <w:t xml:space="preserve"> ± </w:t>
            </w:r>
            <w:r w:rsidRPr="001416ED">
              <w:rPr>
                <w:szCs w:val="22"/>
              </w:rPr>
              <w:t>0,02</w:t>
            </w:r>
          </w:p>
        </w:tc>
        <w:tc>
          <w:tcPr>
            <w:tcW w:w="1559" w:type="dxa"/>
          </w:tcPr>
          <w:p w:rsidR="004F6BD5" w:rsidRPr="001416ED" w:rsidRDefault="004F6BD5" w:rsidP="006416E5">
            <w:pPr>
              <w:spacing w:line="360" w:lineRule="auto"/>
              <w:rPr>
                <w:szCs w:val="22"/>
              </w:rPr>
            </w:pPr>
            <w:r w:rsidRPr="001416ED">
              <w:rPr>
                <w:szCs w:val="22"/>
              </w:rPr>
              <w:t>1,</w:t>
            </w:r>
            <w:r w:rsidRPr="001416ED">
              <w:rPr>
                <w:szCs w:val="22"/>
                <w:lang w:val="uk-UA"/>
              </w:rPr>
              <w:t>34</w:t>
            </w:r>
            <w:r w:rsidR="007A07A9" w:rsidRPr="001416ED">
              <w:rPr>
                <w:szCs w:val="22"/>
              </w:rPr>
              <w:t xml:space="preserve"> ± </w:t>
            </w:r>
            <w:r w:rsidRPr="001416ED">
              <w:rPr>
                <w:szCs w:val="22"/>
              </w:rPr>
              <w:t>0,03</w:t>
            </w:r>
          </w:p>
        </w:tc>
        <w:tc>
          <w:tcPr>
            <w:tcW w:w="1985" w:type="dxa"/>
          </w:tcPr>
          <w:p w:rsidR="004F6BD5" w:rsidRPr="001416ED" w:rsidRDefault="004F6BD5" w:rsidP="00344BFB">
            <w:pPr>
              <w:spacing w:line="360" w:lineRule="auto"/>
              <w:rPr>
                <w:szCs w:val="22"/>
              </w:rPr>
            </w:pPr>
            <w:r w:rsidRPr="001416ED">
              <w:rPr>
                <w:szCs w:val="22"/>
              </w:rPr>
              <w:t>р</w:t>
            </w:r>
            <w:r w:rsidRPr="001416ED">
              <w:rPr>
                <w:szCs w:val="22"/>
                <w:vertAlign w:val="subscript"/>
                <w:lang w:val="en-US"/>
              </w:rPr>
              <w:t>2</w:t>
            </w:r>
            <w:r w:rsidR="00BC0119" w:rsidRPr="001416ED">
              <w:rPr>
                <w:szCs w:val="22"/>
                <w:vertAlign w:val="subscript"/>
              </w:rPr>
              <w:t>–</w:t>
            </w:r>
            <w:r w:rsidRPr="001416ED">
              <w:rPr>
                <w:szCs w:val="22"/>
                <w:vertAlign w:val="subscript"/>
              </w:rPr>
              <w:t>1</w:t>
            </w:r>
            <w:r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00344BFB" w:rsidRPr="001416ED">
              <w:rPr>
                <w:szCs w:val="22"/>
                <w:vertAlign w:val="subscript"/>
                <w:lang w:val="uk-UA"/>
              </w:rPr>
              <w:t>*</w:t>
            </w:r>
            <w:r w:rsidRPr="001416ED">
              <w:rPr>
                <w:szCs w:val="22"/>
                <w:lang w:val="en-US"/>
              </w:rPr>
              <w:t>,</w:t>
            </w:r>
            <w:r w:rsidR="00057D00" w:rsidRPr="001416ED">
              <w:rPr>
                <w:szCs w:val="22"/>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ТМШП, см</w:t>
            </w:r>
          </w:p>
        </w:tc>
        <w:tc>
          <w:tcPr>
            <w:tcW w:w="1701" w:type="dxa"/>
            <w:gridSpan w:val="3"/>
          </w:tcPr>
          <w:p w:rsidR="004F6BD5" w:rsidRPr="001416ED" w:rsidRDefault="004F6BD5" w:rsidP="008A22C3">
            <w:pPr>
              <w:spacing w:line="360" w:lineRule="auto"/>
              <w:rPr>
                <w:szCs w:val="22"/>
              </w:rPr>
            </w:pPr>
            <w:r w:rsidRPr="001416ED">
              <w:rPr>
                <w:szCs w:val="22"/>
              </w:rPr>
              <w:t>1,</w:t>
            </w:r>
            <w:r w:rsidRPr="001416ED">
              <w:rPr>
                <w:szCs w:val="22"/>
                <w:lang w:val="en-US"/>
              </w:rPr>
              <w:t>19</w:t>
            </w:r>
            <w:r w:rsidR="007A07A9" w:rsidRPr="001416ED">
              <w:rPr>
                <w:szCs w:val="22"/>
              </w:rPr>
              <w:t xml:space="preserve"> ± </w:t>
            </w:r>
            <w:r w:rsidRPr="001416ED">
              <w:rPr>
                <w:szCs w:val="22"/>
              </w:rPr>
              <w:t>0,03</w:t>
            </w:r>
          </w:p>
        </w:tc>
        <w:tc>
          <w:tcPr>
            <w:tcW w:w="1559" w:type="dxa"/>
          </w:tcPr>
          <w:p w:rsidR="004F6BD5" w:rsidRPr="001416ED" w:rsidRDefault="004F6BD5" w:rsidP="008A22C3">
            <w:pPr>
              <w:spacing w:line="360" w:lineRule="auto"/>
              <w:rPr>
                <w:szCs w:val="22"/>
              </w:rPr>
            </w:pPr>
            <w:r w:rsidRPr="001416ED">
              <w:rPr>
                <w:szCs w:val="22"/>
              </w:rPr>
              <w:t>1,</w:t>
            </w:r>
            <w:r w:rsidRPr="001416ED">
              <w:rPr>
                <w:szCs w:val="22"/>
                <w:lang w:val="en-US"/>
              </w:rPr>
              <w:t>23</w:t>
            </w:r>
            <w:r w:rsidR="007A07A9" w:rsidRPr="001416ED">
              <w:rPr>
                <w:szCs w:val="22"/>
              </w:rPr>
              <w:t xml:space="preserve"> ± </w:t>
            </w:r>
            <w:r w:rsidRPr="001416ED">
              <w:rPr>
                <w:szCs w:val="22"/>
              </w:rPr>
              <w:t>0,03</w:t>
            </w:r>
          </w:p>
        </w:tc>
        <w:tc>
          <w:tcPr>
            <w:tcW w:w="1701" w:type="dxa"/>
          </w:tcPr>
          <w:p w:rsidR="004F6BD5" w:rsidRPr="001416ED" w:rsidRDefault="004F6BD5" w:rsidP="00833236">
            <w:pPr>
              <w:spacing w:line="360" w:lineRule="auto"/>
              <w:rPr>
                <w:szCs w:val="22"/>
              </w:rPr>
            </w:pPr>
            <w:r w:rsidRPr="001416ED">
              <w:rPr>
                <w:szCs w:val="22"/>
              </w:rPr>
              <w:t>1,</w:t>
            </w:r>
            <w:r w:rsidRPr="001416ED">
              <w:rPr>
                <w:szCs w:val="22"/>
                <w:lang w:val="uk-UA"/>
              </w:rPr>
              <w:t>2</w:t>
            </w:r>
            <w:r w:rsidR="00833236" w:rsidRPr="001416ED">
              <w:rPr>
                <w:szCs w:val="22"/>
                <w:lang w:val="uk-UA"/>
              </w:rPr>
              <w:t>8</w:t>
            </w:r>
            <w:r w:rsidR="007A07A9" w:rsidRPr="001416ED">
              <w:rPr>
                <w:szCs w:val="22"/>
              </w:rPr>
              <w:t xml:space="preserve"> ± </w:t>
            </w:r>
            <w:r w:rsidRPr="001416ED">
              <w:rPr>
                <w:szCs w:val="22"/>
              </w:rPr>
              <w:t>0,03</w:t>
            </w:r>
          </w:p>
        </w:tc>
        <w:tc>
          <w:tcPr>
            <w:tcW w:w="1559" w:type="dxa"/>
          </w:tcPr>
          <w:p w:rsidR="004F6BD5" w:rsidRPr="001416ED" w:rsidRDefault="004F6BD5" w:rsidP="00833236">
            <w:pPr>
              <w:spacing w:line="360" w:lineRule="auto"/>
              <w:rPr>
                <w:szCs w:val="22"/>
              </w:rPr>
            </w:pPr>
            <w:r w:rsidRPr="001416ED">
              <w:rPr>
                <w:szCs w:val="22"/>
              </w:rPr>
              <w:t>1,</w:t>
            </w:r>
            <w:r w:rsidRPr="001416ED">
              <w:rPr>
                <w:szCs w:val="22"/>
                <w:lang w:val="uk-UA"/>
              </w:rPr>
              <w:t>3</w:t>
            </w:r>
            <w:r w:rsidR="00833236" w:rsidRPr="001416ED">
              <w:rPr>
                <w:szCs w:val="22"/>
                <w:lang w:val="uk-UA"/>
              </w:rPr>
              <w:t>6</w:t>
            </w:r>
            <w:r w:rsidR="007A07A9" w:rsidRPr="001416ED">
              <w:rPr>
                <w:szCs w:val="22"/>
              </w:rPr>
              <w:t xml:space="preserve"> ± </w:t>
            </w:r>
            <w:r w:rsidRPr="001416ED">
              <w:rPr>
                <w:szCs w:val="22"/>
              </w:rPr>
              <w:t>0,03</w:t>
            </w:r>
          </w:p>
        </w:tc>
        <w:tc>
          <w:tcPr>
            <w:tcW w:w="1985" w:type="dxa"/>
          </w:tcPr>
          <w:p w:rsidR="004F6BD5" w:rsidRPr="001416ED" w:rsidRDefault="004F6BD5" w:rsidP="00057D00">
            <w:pPr>
              <w:spacing w:line="360" w:lineRule="auto"/>
              <w:rPr>
                <w:szCs w:val="22"/>
                <w:lang w:val="en-US"/>
              </w:rPr>
            </w:pPr>
            <w:r w:rsidRPr="001416ED">
              <w:rPr>
                <w:szCs w:val="22"/>
              </w:rPr>
              <w:t>р</w:t>
            </w:r>
            <w:r w:rsidRPr="001416ED">
              <w:rPr>
                <w:szCs w:val="22"/>
                <w:vertAlign w:val="subscript"/>
                <w:lang w:val="en-US"/>
              </w:rPr>
              <w:t>2</w:t>
            </w:r>
            <w:r w:rsidR="00BC0119" w:rsidRPr="001416ED">
              <w:rPr>
                <w:szCs w:val="22"/>
                <w:vertAlign w:val="subscript"/>
              </w:rPr>
              <w:t>–</w:t>
            </w:r>
            <w:r w:rsidRPr="001416ED">
              <w:rPr>
                <w:szCs w:val="22"/>
                <w:vertAlign w:val="subscript"/>
              </w:rPr>
              <w:t>1</w:t>
            </w:r>
            <w:r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00833236" w:rsidRPr="001416ED">
              <w:rPr>
                <w:szCs w:val="22"/>
                <w:vertAlign w:val="subscript"/>
                <w:lang w:val="uk-UA"/>
              </w:rPr>
              <w:t>*</w:t>
            </w:r>
            <w:r w:rsidRPr="001416ED">
              <w:rPr>
                <w:szCs w:val="22"/>
                <w:lang w:val="en-US"/>
              </w:rPr>
              <w:t>,</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00057D00" w:rsidRPr="001416ED">
              <w:rPr>
                <w:szCs w:val="22"/>
                <w:vertAlign w:val="subscript"/>
                <w:lang w:val="uk-UA"/>
              </w:rPr>
              <w:t>*</w:t>
            </w:r>
            <w:r w:rsidRPr="001416ED">
              <w:rPr>
                <w:szCs w:val="22"/>
                <w:lang w:val="en-US"/>
              </w:rPr>
              <w:t>,</w:t>
            </w:r>
            <w:r w:rsidR="00057D00" w:rsidRPr="001416ED">
              <w:rPr>
                <w:szCs w:val="22"/>
              </w:rPr>
              <w:t xml:space="preserve"> </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ВТС, ум.од.</w:t>
            </w:r>
          </w:p>
        </w:tc>
        <w:tc>
          <w:tcPr>
            <w:tcW w:w="1701" w:type="dxa"/>
            <w:gridSpan w:val="3"/>
          </w:tcPr>
          <w:p w:rsidR="004F6BD5" w:rsidRPr="001416ED" w:rsidRDefault="004F6BD5" w:rsidP="008A22C3">
            <w:pPr>
              <w:spacing w:line="360" w:lineRule="auto"/>
              <w:rPr>
                <w:szCs w:val="22"/>
              </w:rPr>
            </w:pPr>
            <w:r w:rsidRPr="001416ED">
              <w:rPr>
                <w:szCs w:val="22"/>
              </w:rPr>
              <w:t>0,4</w:t>
            </w:r>
            <w:r w:rsidRPr="001416ED">
              <w:rPr>
                <w:szCs w:val="22"/>
                <w:lang w:val="en-US"/>
              </w:rPr>
              <w:t>7</w:t>
            </w:r>
            <w:r w:rsidR="007A07A9" w:rsidRPr="001416ED">
              <w:rPr>
                <w:szCs w:val="22"/>
              </w:rPr>
              <w:t xml:space="preserve"> ± </w:t>
            </w:r>
            <w:r w:rsidRPr="001416ED">
              <w:rPr>
                <w:szCs w:val="22"/>
              </w:rPr>
              <w:t>0,01</w:t>
            </w:r>
          </w:p>
        </w:tc>
        <w:tc>
          <w:tcPr>
            <w:tcW w:w="1559" w:type="dxa"/>
          </w:tcPr>
          <w:p w:rsidR="004F6BD5" w:rsidRPr="001416ED" w:rsidRDefault="004F6BD5" w:rsidP="008A22C3">
            <w:pPr>
              <w:spacing w:line="360" w:lineRule="auto"/>
              <w:rPr>
                <w:szCs w:val="22"/>
              </w:rPr>
            </w:pPr>
            <w:r w:rsidRPr="001416ED">
              <w:rPr>
                <w:szCs w:val="22"/>
              </w:rPr>
              <w:t>0,4</w:t>
            </w:r>
            <w:r w:rsidRPr="001416ED">
              <w:rPr>
                <w:szCs w:val="22"/>
                <w:lang w:val="en-US"/>
              </w:rPr>
              <w:t>9</w:t>
            </w:r>
            <w:r w:rsidR="007A07A9" w:rsidRPr="001416ED">
              <w:rPr>
                <w:szCs w:val="22"/>
              </w:rPr>
              <w:t xml:space="preserve"> ± </w:t>
            </w:r>
            <w:r w:rsidRPr="001416ED">
              <w:rPr>
                <w:szCs w:val="22"/>
              </w:rPr>
              <w:t>0,01</w:t>
            </w:r>
          </w:p>
        </w:tc>
        <w:tc>
          <w:tcPr>
            <w:tcW w:w="1701" w:type="dxa"/>
          </w:tcPr>
          <w:p w:rsidR="004F6BD5" w:rsidRPr="001416ED" w:rsidRDefault="004F6BD5" w:rsidP="00833236">
            <w:pPr>
              <w:spacing w:line="360" w:lineRule="auto"/>
              <w:rPr>
                <w:szCs w:val="22"/>
              </w:rPr>
            </w:pPr>
            <w:r w:rsidRPr="001416ED">
              <w:rPr>
                <w:szCs w:val="22"/>
              </w:rPr>
              <w:t>0,4</w:t>
            </w:r>
            <w:r w:rsidR="00833236" w:rsidRPr="001416ED">
              <w:rPr>
                <w:szCs w:val="22"/>
                <w:lang w:val="uk-UA"/>
              </w:rPr>
              <w:t>7</w:t>
            </w:r>
            <w:r w:rsidR="007A07A9" w:rsidRPr="001416ED">
              <w:rPr>
                <w:szCs w:val="22"/>
              </w:rPr>
              <w:t xml:space="preserve"> ± </w:t>
            </w:r>
            <w:r w:rsidRPr="001416ED">
              <w:rPr>
                <w:szCs w:val="22"/>
              </w:rPr>
              <w:t>0,01</w:t>
            </w:r>
          </w:p>
        </w:tc>
        <w:tc>
          <w:tcPr>
            <w:tcW w:w="1559" w:type="dxa"/>
          </w:tcPr>
          <w:p w:rsidR="004F6BD5" w:rsidRPr="001416ED" w:rsidRDefault="004F6BD5" w:rsidP="00833236">
            <w:pPr>
              <w:spacing w:line="360" w:lineRule="auto"/>
              <w:rPr>
                <w:szCs w:val="22"/>
              </w:rPr>
            </w:pPr>
            <w:r w:rsidRPr="001416ED">
              <w:rPr>
                <w:szCs w:val="22"/>
              </w:rPr>
              <w:t>0,</w:t>
            </w:r>
            <w:r w:rsidRPr="001416ED">
              <w:rPr>
                <w:szCs w:val="22"/>
                <w:lang w:val="en-US"/>
              </w:rPr>
              <w:t>4</w:t>
            </w:r>
            <w:r w:rsidR="00833236" w:rsidRPr="001416ED">
              <w:rPr>
                <w:szCs w:val="22"/>
                <w:lang w:val="uk-UA"/>
              </w:rPr>
              <w:t>8</w:t>
            </w:r>
            <w:r w:rsidR="007A07A9" w:rsidRPr="001416ED">
              <w:rPr>
                <w:szCs w:val="22"/>
              </w:rPr>
              <w:t xml:space="preserve"> ± </w:t>
            </w:r>
            <w:r w:rsidRPr="001416ED">
              <w:rPr>
                <w:szCs w:val="22"/>
              </w:rPr>
              <w:t>0,01</w:t>
            </w:r>
          </w:p>
        </w:tc>
        <w:tc>
          <w:tcPr>
            <w:tcW w:w="1985" w:type="dxa"/>
          </w:tcPr>
          <w:p w:rsidR="004F6BD5" w:rsidRPr="001416ED" w:rsidRDefault="004F6BD5" w:rsidP="00833236">
            <w:pPr>
              <w:spacing w:line="360" w:lineRule="auto"/>
              <w:rPr>
                <w:szCs w:val="22"/>
                <w:lang w:val="uk-UA"/>
              </w:rPr>
            </w:pPr>
            <w:r w:rsidRPr="001416ED">
              <w:rPr>
                <w:szCs w:val="22"/>
              </w:rPr>
              <w:t>р</w:t>
            </w:r>
            <w:r w:rsidRPr="001416ED">
              <w:rPr>
                <w:szCs w:val="22"/>
                <w:vertAlign w:val="subscript"/>
                <w:lang w:val="en-US"/>
              </w:rPr>
              <w:t>2</w:t>
            </w:r>
            <w:r w:rsidR="00BC0119" w:rsidRPr="001416ED">
              <w:rPr>
                <w:szCs w:val="22"/>
                <w:vertAlign w:val="subscript"/>
              </w:rPr>
              <w:t>–</w:t>
            </w:r>
            <w:r w:rsidRPr="001416ED">
              <w:rPr>
                <w:szCs w:val="22"/>
                <w:vertAlign w:val="subscript"/>
              </w:rPr>
              <w:t>1</w:t>
            </w:r>
            <w:r w:rsidRPr="001416ED">
              <w:rPr>
                <w:szCs w:val="22"/>
                <w:vertAlign w:val="subscript"/>
                <w:lang w:val="en-US"/>
              </w:rPr>
              <w:t>&amp;</w:t>
            </w:r>
          </w:p>
        </w:tc>
      </w:tr>
      <w:tr w:rsidR="004F6BD5" w:rsidRPr="001416ED" w:rsidTr="00807B64">
        <w:tc>
          <w:tcPr>
            <w:tcW w:w="1668" w:type="dxa"/>
          </w:tcPr>
          <w:p w:rsidR="004F6BD5" w:rsidRPr="001416ED" w:rsidRDefault="004F6BD5" w:rsidP="005477AB">
            <w:pPr>
              <w:spacing w:line="360" w:lineRule="auto"/>
              <w:rPr>
                <w:szCs w:val="22"/>
              </w:rPr>
            </w:pPr>
            <w:r w:rsidRPr="001416ED">
              <w:rPr>
                <w:szCs w:val="22"/>
              </w:rPr>
              <w:t>іММЛШ, г/м</w:t>
            </w:r>
            <w:r w:rsidRPr="001416ED">
              <w:rPr>
                <w:szCs w:val="22"/>
                <w:vertAlign w:val="superscript"/>
              </w:rPr>
              <w:t>2</w:t>
            </w:r>
          </w:p>
        </w:tc>
        <w:tc>
          <w:tcPr>
            <w:tcW w:w="1701" w:type="dxa"/>
            <w:gridSpan w:val="3"/>
          </w:tcPr>
          <w:p w:rsidR="004F6BD5" w:rsidRPr="001416ED" w:rsidRDefault="004F6BD5" w:rsidP="008A22C3">
            <w:pPr>
              <w:spacing w:line="360" w:lineRule="auto"/>
              <w:rPr>
                <w:szCs w:val="22"/>
              </w:rPr>
            </w:pPr>
            <w:r w:rsidRPr="001416ED">
              <w:rPr>
                <w:szCs w:val="22"/>
              </w:rPr>
              <w:t>1</w:t>
            </w:r>
            <w:r w:rsidRPr="001416ED">
              <w:rPr>
                <w:szCs w:val="22"/>
                <w:lang w:val="en-US"/>
              </w:rPr>
              <w:t>3</w:t>
            </w:r>
            <w:r w:rsidRPr="001416ED">
              <w:rPr>
                <w:szCs w:val="22"/>
              </w:rPr>
              <w:t>3,63</w:t>
            </w:r>
            <w:r w:rsidR="007A07A9" w:rsidRPr="001416ED">
              <w:rPr>
                <w:szCs w:val="22"/>
              </w:rPr>
              <w:t xml:space="preserve"> ± </w:t>
            </w:r>
          </w:p>
          <w:p w:rsidR="004F6BD5" w:rsidRPr="001416ED" w:rsidRDefault="004F6BD5" w:rsidP="008A22C3">
            <w:pPr>
              <w:spacing w:line="360" w:lineRule="auto"/>
              <w:rPr>
                <w:szCs w:val="22"/>
              </w:rPr>
            </w:pPr>
            <w:r w:rsidRPr="001416ED">
              <w:rPr>
                <w:szCs w:val="22"/>
              </w:rPr>
              <w:t>6,65</w:t>
            </w:r>
          </w:p>
        </w:tc>
        <w:tc>
          <w:tcPr>
            <w:tcW w:w="1559" w:type="dxa"/>
          </w:tcPr>
          <w:p w:rsidR="004F6BD5" w:rsidRPr="001416ED" w:rsidRDefault="004F6BD5" w:rsidP="008A22C3">
            <w:pPr>
              <w:spacing w:line="360" w:lineRule="auto"/>
              <w:rPr>
                <w:szCs w:val="22"/>
              </w:rPr>
            </w:pPr>
            <w:r w:rsidRPr="001416ED">
              <w:rPr>
                <w:szCs w:val="22"/>
              </w:rPr>
              <w:t>1</w:t>
            </w:r>
            <w:r w:rsidRPr="001416ED">
              <w:rPr>
                <w:szCs w:val="22"/>
                <w:lang w:val="en-US"/>
              </w:rPr>
              <w:t>42</w:t>
            </w:r>
            <w:r w:rsidRPr="001416ED">
              <w:rPr>
                <w:szCs w:val="22"/>
              </w:rPr>
              <w:t>,15</w:t>
            </w:r>
            <w:r w:rsidR="007A07A9" w:rsidRPr="001416ED">
              <w:rPr>
                <w:szCs w:val="22"/>
              </w:rPr>
              <w:t xml:space="preserve"> ± </w:t>
            </w:r>
          </w:p>
          <w:p w:rsidR="004F6BD5" w:rsidRPr="001416ED" w:rsidRDefault="004F6BD5" w:rsidP="008A22C3">
            <w:pPr>
              <w:spacing w:line="360" w:lineRule="auto"/>
              <w:rPr>
                <w:szCs w:val="22"/>
              </w:rPr>
            </w:pPr>
            <w:r w:rsidRPr="001416ED">
              <w:rPr>
                <w:szCs w:val="22"/>
              </w:rPr>
              <w:t>6,25</w:t>
            </w:r>
          </w:p>
        </w:tc>
        <w:tc>
          <w:tcPr>
            <w:tcW w:w="1701" w:type="dxa"/>
          </w:tcPr>
          <w:p w:rsidR="004F6BD5" w:rsidRPr="001416ED" w:rsidRDefault="004F6BD5" w:rsidP="005477AB">
            <w:pPr>
              <w:spacing w:line="360" w:lineRule="auto"/>
              <w:rPr>
                <w:szCs w:val="22"/>
              </w:rPr>
            </w:pPr>
            <w:r w:rsidRPr="001416ED">
              <w:rPr>
                <w:szCs w:val="22"/>
              </w:rPr>
              <w:t>168,97</w:t>
            </w:r>
            <w:r w:rsidR="007A07A9" w:rsidRPr="001416ED">
              <w:rPr>
                <w:szCs w:val="22"/>
              </w:rPr>
              <w:t xml:space="preserve"> ± </w:t>
            </w:r>
          </w:p>
          <w:p w:rsidR="004F6BD5" w:rsidRPr="001416ED" w:rsidRDefault="004F6BD5" w:rsidP="001F5742">
            <w:pPr>
              <w:spacing w:line="360" w:lineRule="auto"/>
              <w:rPr>
                <w:szCs w:val="22"/>
                <w:lang w:val="en-US"/>
              </w:rPr>
            </w:pPr>
            <w:r w:rsidRPr="001416ED">
              <w:rPr>
                <w:szCs w:val="22"/>
                <w:lang w:val="en-US"/>
              </w:rPr>
              <w:t>7,12</w:t>
            </w:r>
          </w:p>
        </w:tc>
        <w:tc>
          <w:tcPr>
            <w:tcW w:w="1559" w:type="dxa"/>
          </w:tcPr>
          <w:p w:rsidR="004F6BD5" w:rsidRPr="001416ED" w:rsidRDefault="004F6BD5" w:rsidP="005477AB">
            <w:pPr>
              <w:spacing w:line="360" w:lineRule="auto"/>
              <w:rPr>
                <w:szCs w:val="22"/>
              </w:rPr>
            </w:pPr>
            <w:r w:rsidRPr="001416ED">
              <w:rPr>
                <w:szCs w:val="22"/>
              </w:rPr>
              <w:t>191,36</w:t>
            </w:r>
            <w:r w:rsidR="007A07A9" w:rsidRPr="001416ED">
              <w:rPr>
                <w:szCs w:val="22"/>
              </w:rPr>
              <w:t xml:space="preserve"> ± </w:t>
            </w:r>
          </w:p>
          <w:p w:rsidR="004F6BD5" w:rsidRPr="001416ED" w:rsidRDefault="004F6BD5" w:rsidP="005477AB">
            <w:pPr>
              <w:spacing w:line="360" w:lineRule="auto"/>
              <w:rPr>
                <w:szCs w:val="22"/>
                <w:lang w:val="en-US"/>
              </w:rPr>
            </w:pPr>
            <w:r w:rsidRPr="001416ED">
              <w:rPr>
                <w:szCs w:val="22"/>
                <w:lang w:val="en-US"/>
              </w:rPr>
              <w:t>7,27</w:t>
            </w:r>
          </w:p>
        </w:tc>
        <w:tc>
          <w:tcPr>
            <w:tcW w:w="1985" w:type="dxa"/>
          </w:tcPr>
          <w:p w:rsidR="00514D88" w:rsidRPr="001416ED" w:rsidRDefault="004F6BD5" w:rsidP="00807B64">
            <w:pPr>
              <w:spacing w:line="360" w:lineRule="auto"/>
              <w:rPr>
                <w:szCs w:val="22"/>
                <w:lang w:val="uk-UA"/>
              </w:rPr>
            </w:pPr>
            <w:r w:rsidRPr="001416ED">
              <w:rPr>
                <w:szCs w:val="22"/>
              </w:rPr>
              <w:t>р</w:t>
            </w:r>
            <w:r w:rsidRPr="001416ED">
              <w:rPr>
                <w:szCs w:val="22"/>
                <w:vertAlign w:val="subscript"/>
              </w:rPr>
              <w:t>2</w:t>
            </w:r>
            <w:r w:rsidR="00BC0119" w:rsidRPr="001416ED">
              <w:rPr>
                <w:szCs w:val="22"/>
                <w:vertAlign w:val="subscript"/>
              </w:rPr>
              <w:t>–</w:t>
            </w:r>
            <w:r w:rsidRPr="001416ED">
              <w:rPr>
                <w:szCs w:val="22"/>
                <w:vertAlign w:val="subscript"/>
              </w:rPr>
              <w:t>1</w:t>
            </w:r>
            <w:r w:rsidR="00423481" w:rsidRPr="001416ED">
              <w:rPr>
                <w:szCs w:val="22"/>
                <w:vertAlign w:val="subscript"/>
                <w:lang w:val="en-US"/>
              </w:rPr>
              <w:t>#</w:t>
            </w:r>
            <w:r w:rsidRPr="001416ED">
              <w:rPr>
                <w:szCs w:val="22"/>
              </w:rPr>
              <w:t>,р</w:t>
            </w:r>
            <w:r w:rsidRPr="001416ED">
              <w:rPr>
                <w:szCs w:val="22"/>
                <w:vertAlign w:val="subscript"/>
              </w:rPr>
              <w:t>3</w:t>
            </w:r>
            <w:r w:rsidR="00BC0119" w:rsidRPr="001416ED">
              <w:rPr>
                <w:szCs w:val="22"/>
                <w:vertAlign w:val="subscript"/>
              </w:rPr>
              <w:t>–</w:t>
            </w:r>
            <w:r w:rsidRPr="001416ED">
              <w:rPr>
                <w:szCs w:val="22"/>
                <w:vertAlign w:val="subscript"/>
              </w:rPr>
              <w:t>1*</w:t>
            </w:r>
            <w:r w:rsidRPr="001416ED">
              <w:rPr>
                <w:szCs w:val="22"/>
              </w:rPr>
              <w:t>,р</w:t>
            </w:r>
            <w:r w:rsidRPr="001416ED">
              <w:rPr>
                <w:szCs w:val="22"/>
                <w:vertAlign w:val="subscript"/>
              </w:rPr>
              <w:t>4</w:t>
            </w:r>
            <w:r w:rsidR="00BC0119" w:rsidRPr="001416ED">
              <w:rPr>
                <w:szCs w:val="22"/>
                <w:vertAlign w:val="subscript"/>
              </w:rPr>
              <w:t>–</w:t>
            </w:r>
            <w:r w:rsidRPr="001416ED">
              <w:rPr>
                <w:szCs w:val="22"/>
                <w:vertAlign w:val="subscript"/>
              </w:rPr>
              <w:t>3*</w:t>
            </w:r>
            <w:r w:rsidRPr="001416ED">
              <w:rPr>
                <w:szCs w:val="22"/>
              </w:rPr>
              <w:t>, р</w:t>
            </w:r>
            <w:r w:rsidRPr="001416ED">
              <w:rPr>
                <w:szCs w:val="22"/>
                <w:vertAlign w:val="subscript"/>
              </w:rPr>
              <w:t>4</w:t>
            </w:r>
            <w:r w:rsidR="00BC0119" w:rsidRPr="001416ED">
              <w:rPr>
                <w:szCs w:val="22"/>
                <w:vertAlign w:val="subscript"/>
              </w:rPr>
              <w:t>–</w:t>
            </w:r>
            <w:r w:rsidRPr="001416ED">
              <w:rPr>
                <w:szCs w:val="22"/>
                <w:vertAlign w:val="subscript"/>
              </w:rPr>
              <w:t>2</w:t>
            </w:r>
            <w:r w:rsidRPr="001416ED">
              <w:rPr>
                <w:szCs w:val="22"/>
                <w:vertAlign w:val="subscript"/>
                <w:lang w:val="en-US"/>
              </w:rPr>
              <w:t>*</w:t>
            </w:r>
          </w:p>
        </w:tc>
      </w:tr>
      <w:tr w:rsidR="00514D88" w:rsidRPr="001416ED" w:rsidTr="00807B64">
        <w:tc>
          <w:tcPr>
            <w:tcW w:w="1675" w:type="dxa"/>
            <w:gridSpan w:val="2"/>
          </w:tcPr>
          <w:p w:rsidR="00514D88" w:rsidRPr="001416ED" w:rsidRDefault="00514D88" w:rsidP="00D80EFD">
            <w:pPr>
              <w:spacing w:line="360" w:lineRule="auto"/>
              <w:rPr>
                <w:szCs w:val="22"/>
                <w:vertAlign w:val="superscript"/>
              </w:rPr>
            </w:pPr>
            <w:r w:rsidRPr="001416ED">
              <w:rPr>
                <w:szCs w:val="22"/>
              </w:rPr>
              <w:t>іКДО, мл/м</w:t>
            </w:r>
            <w:r w:rsidRPr="001416ED">
              <w:rPr>
                <w:szCs w:val="22"/>
                <w:vertAlign w:val="superscript"/>
              </w:rPr>
              <w:t>2</w:t>
            </w:r>
          </w:p>
        </w:tc>
        <w:tc>
          <w:tcPr>
            <w:tcW w:w="1686" w:type="dxa"/>
          </w:tcPr>
          <w:p w:rsidR="00514D88" w:rsidRPr="001416ED" w:rsidRDefault="00514D88" w:rsidP="00D80EFD">
            <w:pPr>
              <w:spacing w:line="360" w:lineRule="auto"/>
              <w:rPr>
                <w:szCs w:val="22"/>
              </w:rPr>
            </w:pPr>
            <w:r w:rsidRPr="001416ED">
              <w:rPr>
                <w:szCs w:val="22"/>
              </w:rPr>
              <w:t>5</w:t>
            </w:r>
            <w:r w:rsidRPr="001416ED">
              <w:rPr>
                <w:szCs w:val="22"/>
                <w:lang w:val="en-US"/>
              </w:rPr>
              <w:t>5</w:t>
            </w:r>
            <w:r w:rsidRPr="001416ED">
              <w:rPr>
                <w:szCs w:val="22"/>
              </w:rPr>
              <w:t>,99 ± 1,77</w:t>
            </w:r>
          </w:p>
        </w:tc>
        <w:tc>
          <w:tcPr>
            <w:tcW w:w="1567" w:type="dxa"/>
            <w:gridSpan w:val="2"/>
          </w:tcPr>
          <w:p w:rsidR="00514D88" w:rsidRPr="001416ED" w:rsidRDefault="00514D88" w:rsidP="00D80EFD">
            <w:pPr>
              <w:spacing w:line="360" w:lineRule="auto"/>
              <w:rPr>
                <w:szCs w:val="22"/>
              </w:rPr>
            </w:pPr>
            <w:r w:rsidRPr="001416ED">
              <w:rPr>
                <w:szCs w:val="22"/>
              </w:rPr>
              <w:t>5</w:t>
            </w:r>
            <w:r w:rsidRPr="001416ED">
              <w:rPr>
                <w:szCs w:val="22"/>
                <w:lang w:val="en-US"/>
              </w:rPr>
              <w:t>8</w:t>
            </w:r>
            <w:r w:rsidRPr="001416ED">
              <w:rPr>
                <w:szCs w:val="22"/>
              </w:rPr>
              <w:t>,37 ± 1,66</w:t>
            </w:r>
          </w:p>
        </w:tc>
        <w:tc>
          <w:tcPr>
            <w:tcW w:w="1701" w:type="dxa"/>
          </w:tcPr>
          <w:p w:rsidR="00514D88" w:rsidRPr="001416ED" w:rsidRDefault="00514D88" w:rsidP="00D80EFD">
            <w:pPr>
              <w:spacing w:line="360" w:lineRule="auto"/>
              <w:rPr>
                <w:szCs w:val="22"/>
                <w:lang w:val="en-US"/>
              </w:rPr>
            </w:pPr>
            <w:r w:rsidRPr="001416ED">
              <w:rPr>
                <w:szCs w:val="22"/>
                <w:lang w:val="en-US"/>
              </w:rPr>
              <w:t>7</w:t>
            </w:r>
            <w:r w:rsidRPr="001416ED">
              <w:rPr>
                <w:szCs w:val="22"/>
              </w:rPr>
              <w:t>1,</w:t>
            </w:r>
            <w:r w:rsidRPr="001416ED">
              <w:rPr>
                <w:szCs w:val="22"/>
                <w:lang w:val="en-US"/>
              </w:rPr>
              <w:t>55</w:t>
            </w:r>
            <w:r w:rsidRPr="001416ED">
              <w:rPr>
                <w:szCs w:val="22"/>
              </w:rPr>
              <w:t xml:space="preserve"> ± </w:t>
            </w:r>
            <w:r w:rsidRPr="001416ED">
              <w:rPr>
                <w:szCs w:val="22"/>
                <w:lang w:val="en-US"/>
              </w:rPr>
              <w:t>2,91</w:t>
            </w:r>
          </w:p>
        </w:tc>
        <w:tc>
          <w:tcPr>
            <w:tcW w:w="1559" w:type="dxa"/>
          </w:tcPr>
          <w:p w:rsidR="00514D88" w:rsidRPr="001416ED" w:rsidRDefault="00514D88" w:rsidP="00D80EFD">
            <w:pPr>
              <w:spacing w:line="360" w:lineRule="auto"/>
              <w:rPr>
                <w:szCs w:val="22"/>
                <w:lang w:val="en-US"/>
              </w:rPr>
            </w:pPr>
            <w:r w:rsidRPr="001416ED">
              <w:rPr>
                <w:szCs w:val="22"/>
                <w:lang w:val="en-US"/>
              </w:rPr>
              <w:t>82,20</w:t>
            </w:r>
            <w:r w:rsidRPr="001416ED">
              <w:rPr>
                <w:szCs w:val="22"/>
              </w:rPr>
              <w:t xml:space="preserve"> ± </w:t>
            </w:r>
            <w:r w:rsidRPr="001416ED">
              <w:rPr>
                <w:szCs w:val="22"/>
                <w:lang w:val="en-US"/>
              </w:rPr>
              <w:t>2,58</w:t>
            </w:r>
          </w:p>
        </w:tc>
        <w:tc>
          <w:tcPr>
            <w:tcW w:w="1985" w:type="dxa"/>
          </w:tcPr>
          <w:p w:rsidR="00514D88" w:rsidRPr="001416ED" w:rsidRDefault="00514D88" w:rsidP="00D80EFD">
            <w:pPr>
              <w:spacing w:line="360" w:lineRule="auto"/>
              <w:rPr>
                <w:szCs w:val="22"/>
                <w:lang w:val="uk-UA"/>
              </w:rPr>
            </w:pPr>
            <w:r w:rsidRPr="001416ED">
              <w:rPr>
                <w:szCs w:val="22"/>
              </w:rPr>
              <w:t>р</w:t>
            </w:r>
            <w:r w:rsidRPr="001416ED">
              <w:rPr>
                <w:szCs w:val="22"/>
                <w:vertAlign w:val="subscript"/>
                <w:lang w:val="en-US"/>
              </w:rPr>
              <w:t>2</w:t>
            </w:r>
            <w:r w:rsidRPr="001416ED">
              <w:rPr>
                <w:szCs w:val="22"/>
                <w:vertAlign w:val="subscript"/>
              </w:rPr>
              <w:t>–1</w:t>
            </w:r>
            <w:r w:rsidRPr="001416ED">
              <w:rPr>
                <w:szCs w:val="22"/>
                <w:vertAlign w:val="subscript"/>
                <w:lang w:val="en-US"/>
              </w:rPr>
              <w:t>&amp;</w:t>
            </w:r>
            <w:r w:rsidRPr="001416ED">
              <w:rPr>
                <w:szCs w:val="22"/>
                <w:lang w:val="en-US"/>
              </w:rPr>
              <w:t>,</w:t>
            </w:r>
            <w:r w:rsidRPr="001416ED">
              <w:rPr>
                <w:szCs w:val="22"/>
              </w:rPr>
              <w:t>р</w:t>
            </w:r>
            <w:r w:rsidRPr="001416ED">
              <w:rPr>
                <w:szCs w:val="22"/>
                <w:vertAlign w:val="subscript"/>
              </w:rPr>
              <w:t>3–1</w:t>
            </w:r>
            <w:r w:rsidRPr="001416ED">
              <w:rPr>
                <w:szCs w:val="22"/>
                <w:vertAlign w:val="subscript"/>
                <w:lang w:val="en-US"/>
              </w:rPr>
              <w:t>*</w:t>
            </w:r>
            <w:r w:rsidRPr="001416ED">
              <w:rPr>
                <w:szCs w:val="22"/>
                <w:lang w:val="en-US"/>
              </w:rPr>
              <w:t>,</w:t>
            </w:r>
          </w:p>
          <w:p w:rsidR="00514D88" w:rsidRPr="001416ED" w:rsidRDefault="00514D88" w:rsidP="00D80EFD">
            <w:pPr>
              <w:spacing w:line="360" w:lineRule="auto"/>
              <w:rPr>
                <w:szCs w:val="22"/>
                <w:lang w:val="en-US"/>
              </w:rPr>
            </w:pPr>
            <w:r w:rsidRPr="001416ED">
              <w:rPr>
                <w:szCs w:val="22"/>
              </w:rPr>
              <w:t>р</w:t>
            </w:r>
            <w:r w:rsidRPr="001416ED">
              <w:rPr>
                <w:szCs w:val="22"/>
                <w:vertAlign w:val="subscript"/>
              </w:rPr>
              <w:t>4–3</w:t>
            </w:r>
            <w:r w:rsidRPr="001416ED">
              <w:rPr>
                <w:szCs w:val="22"/>
                <w:vertAlign w:val="subscript"/>
                <w:lang w:val="en-US"/>
              </w:rPr>
              <w:t>*</w:t>
            </w:r>
            <w:r w:rsidRPr="001416ED">
              <w:rPr>
                <w:szCs w:val="22"/>
                <w:lang w:val="en-US"/>
              </w:rPr>
              <w:t xml:space="preserve">, </w:t>
            </w:r>
            <w:r w:rsidRPr="001416ED">
              <w:rPr>
                <w:szCs w:val="22"/>
              </w:rPr>
              <w:t>р</w:t>
            </w:r>
            <w:r w:rsidRPr="001416ED">
              <w:rPr>
                <w:szCs w:val="22"/>
                <w:vertAlign w:val="subscript"/>
              </w:rPr>
              <w:t>4–2</w:t>
            </w:r>
            <w:r w:rsidRPr="001416ED">
              <w:rPr>
                <w:szCs w:val="22"/>
                <w:vertAlign w:val="subscript"/>
                <w:lang w:val="en-US"/>
              </w:rPr>
              <w:t>*</w:t>
            </w:r>
          </w:p>
        </w:tc>
      </w:tr>
      <w:tr w:rsidR="00514D88" w:rsidRPr="001416ED" w:rsidTr="00807B64">
        <w:tc>
          <w:tcPr>
            <w:tcW w:w="1675" w:type="dxa"/>
            <w:gridSpan w:val="2"/>
          </w:tcPr>
          <w:p w:rsidR="00514D88" w:rsidRPr="001416ED" w:rsidRDefault="00514D88" w:rsidP="00D80EFD">
            <w:pPr>
              <w:spacing w:line="360" w:lineRule="auto"/>
              <w:rPr>
                <w:szCs w:val="22"/>
              </w:rPr>
            </w:pPr>
            <w:r w:rsidRPr="001416ED">
              <w:rPr>
                <w:szCs w:val="22"/>
              </w:rPr>
              <w:t>іКСО, мл/м</w:t>
            </w:r>
            <w:r w:rsidRPr="001416ED">
              <w:rPr>
                <w:szCs w:val="22"/>
                <w:vertAlign w:val="superscript"/>
              </w:rPr>
              <w:t>2</w:t>
            </w:r>
          </w:p>
        </w:tc>
        <w:tc>
          <w:tcPr>
            <w:tcW w:w="1686" w:type="dxa"/>
          </w:tcPr>
          <w:p w:rsidR="00514D88" w:rsidRPr="001416ED" w:rsidRDefault="00514D88" w:rsidP="00D80EFD">
            <w:pPr>
              <w:spacing w:line="360" w:lineRule="auto"/>
              <w:rPr>
                <w:szCs w:val="22"/>
              </w:rPr>
            </w:pPr>
            <w:r w:rsidRPr="001416ED">
              <w:rPr>
                <w:szCs w:val="22"/>
              </w:rPr>
              <w:t>19,25 ± 1,00</w:t>
            </w:r>
          </w:p>
        </w:tc>
        <w:tc>
          <w:tcPr>
            <w:tcW w:w="1567" w:type="dxa"/>
            <w:gridSpan w:val="2"/>
          </w:tcPr>
          <w:p w:rsidR="00514D88" w:rsidRPr="001416ED" w:rsidRDefault="00514D88" w:rsidP="00D80EFD">
            <w:pPr>
              <w:spacing w:line="360" w:lineRule="auto"/>
              <w:rPr>
                <w:szCs w:val="22"/>
              </w:rPr>
            </w:pPr>
            <w:r w:rsidRPr="001416ED">
              <w:rPr>
                <w:szCs w:val="22"/>
              </w:rPr>
              <w:t>23,60 ± 1,15</w:t>
            </w:r>
          </w:p>
        </w:tc>
        <w:tc>
          <w:tcPr>
            <w:tcW w:w="1701" w:type="dxa"/>
          </w:tcPr>
          <w:p w:rsidR="00514D88" w:rsidRPr="001416ED" w:rsidRDefault="00514D88" w:rsidP="00D80EFD">
            <w:pPr>
              <w:spacing w:line="360" w:lineRule="auto"/>
              <w:rPr>
                <w:szCs w:val="22"/>
              </w:rPr>
            </w:pPr>
            <w:r w:rsidRPr="001416ED">
              <w:rPr>
                <w:szCs w:val="22"/>
                <w:lang w:val="en-US"/>
              </w:rPr>
              <w:t>3</w:t>
            </w:r>
            <w:r w:rsidRPr="001416ED">
              <w:rPr>
                <w:szCs w:val="22"/>
              </w:rPr>
              <w:t>9,</w:t>
            </w:r>
            <w:r w:rsidRPr="001416ED">
              <w:rPr>
                <w:szCs w:val="22"/>
                <w:lang w:val="en-US"/>
              </w:rPr>
              <w:t>34</w:t>
            </w:r>
            <w:r w:rsidRPr="001416ED">
              <w:rPr>
                <w:szCs w:val="22"/>
              </w:rPr>
              <w:t xml:space="preserve"> ± 1,00</w:t>
            </w:r>
          </w:p>
        </w:tc>
        <w:tc>
          <w:tcPr>
            <w:tcW w:w="1559" w:type="dxa"/>
          </w:tcPr>
          <w:p w:rsidR="00514D88" w:rsidRPr="001416ED" w:rsidRDefault="00514D88" w:rsidP="00D80EFD">
            <w:pPr>
              <w:spacing w:line="360" w:lineRule="auto"/>
              <w:rPr>
                <w:szCs w:val="22"/>
              </w:rPr>
            </w:pPr>
            <w:r w:rsidRPr="001416ED">
              <w:rPr>
                <w:szCs w:val="22"/>
                <w:lang w:val="en-US"/>
              </w:rPr>
              <w:t>45</w:t>
            </w:r>
            <w:r w:rsidRPr="001416ED">
              <w:rPr>
                <w:szCs w:val="22"/>
              </w:rPr>
              <w:t>,6</w:t>
            </w:r>
            <w:r w:rsidRPr="001416ED">
              <w:rPr>
                <w:szCs w:val="22"/>
                <w:lang w:val="en-US"/>
              </w:rPr>
              <w:t>7</w:t>
            </w:r>
            <w:r w:rsidRPr="001416ED">
              <w:rPr>
                <w:szCs w:val="22"/>
              </w:rPr>
              <w:t xml:space="preserve"> ± 1,15</w:t>
            </w:r>
          </w:p>
        </w:tc>
        <w:tc>
          <w:tcPr>
            <w:tcW w:w="1985" w:type="dxa"/>
          </w:tcPr>
          <w:p w:rsidR="00514D88" w:rsidRPr="001416ED" w:rsidRDefault="00514D88" w:rsidP="00D80EFD">
            <w:pPr>
              <w:spacing w:line="360" w:lineRule="auto"/>
              <w:rPr>
                <w:szCs w:val="22"/>
              </w:rPr>
            </w:pPr>
            <w:r w:rsidRPr="001416ED">
              <w:rPr>
                <w:szCs w:val="22"/>
              </w:rPr>
              <w:t>р</w:t>
            </w:r>
            <w:r w:rsidRPr="001416ED">
              <w:rPr>
                <w:szCs w:val="22"/>
                <w:vertAlign w:val="subscript"/>
                <w:lang w:val="en-US"/>
              </w:rPr>
              <w:t>2</w:t>
            </w:r>
            <w:r w:rsidRPr="001416ED">
              <w:rPr>
                <w:szCs w:val="22"/>
                <w:vertAlign w:val="subscript"/>
              </w:rPr>
              <w:t>–1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3–1*</w:t>
            </w:r>
            <w:r w:rsidRPr="001416ED">
              <w:rPr>
                <w:szCs w:val="22"/>
                <w:lang w:val="en-US"/>
              </w:rPr>
              <w:t>,</w:t>
            </w:r>
            <w:r w:rsidRPr="001416ED">
              <w:rPr>
                <w:szCs w:val="22"/>
              </w:rPr>
              <w:t>р</w:t>
            </w:r>
            <w:r w:rsidRPr="001416ED">
              <w:rPr>
                <w:szCs w:val="22"/>
                <w:vertAlign w:val="subscript"/>
              </w:rPr>
              <w:t>4–3*</w:t>
            </w:r>
            <w:r w:rsidRPr="001416ED">
              <w:rPr>
                <w:szCs w:val="22"/>
                <w:lang w:val="en-US"/>
              </w:rPr>
              <w:t xml:space="preserve">, </w:t>
            </w:r>
            <w:r w:rsidRPr="001416ED">
              <w:rPr>
                <w:szCs w:val="22"/>
              </w:rPr>
              <w:t>р</w:t>
            </w:r>
            <w:r w:rsidRPr="001416ED">
              <w:rPr>
                <w:szCs w:val="22"/>
                <w:vertAlign w:val="subscript"/>
              </w:rPr>
              <w:t>4–2</w:t>
            </w:r>
            <w:r w:rsidRPr="001416ED">
              <w:rPr>
                <w:szCs w:val="22"/>
                <w:vertAlign w:val="subscript"/>
                <w:lang w:val="en-US"/>
              </w:rPr>
              <w:t>*</w:t>
            </w:r>
          </w:p>
        </w:tc>
      </w:tr>
    </w:tbl>
    <w:p w:rsidR="00807B64" w:rsidRPr="001416ED" w:rsidRDefault="00807B64" w:rsidP="00807B64">
      <w:pPr>
        <w:spacing w:before="240" w:line="360" w:lineRule="auto"/>
        <w:jc w:val="right"/>
        <w:rPr>
          <w:i/>
          <w:lang w:val="uk-UA"/>
        </w:rPr>
      </w:pPr>
      <w:r w:rsidRPr="001416ED">
        <w:rPr>
          <w:i/>
          <w:lang w:val="uk-UA"/>
        </w:rPr>
        <w:lastRenderedPageBreak/>
        <w:t>Продовження табл. 5.4</w:t>
      </w:r>
    </w:p>
    <w:tbl>
      <w:tblPr>
        <w:tblStyle w:val="af5"/>
        <w:tblW w:w="0" w:type="auto"/>
        <w:tblLook w:val="04A0" w:firstRow="1" w:lastRow="0" w:firstColumn="1" w:lastColumn="0" w:noHBand="0" w:noVBand="1"/>
      </w:tblPr>
      <w:tblGrid>
        <w:gridCol w:w="1689"/>
        <w:gridCol w:w="1689"/>
        <w:gridCol w:w="1550"/>
        <w:gridCol w:w="1701"/>
        <w:gridCol w:w="1559"/>
        <w:gridCol w:w="1950"/>
      </w:tblGrid>
      <w:tr w:rsidR="00807B64" w:rsidRPr="001416ED" w:rsidTr="00807B64">
        <w:tc>
          <w:tcPr>
            <w:tcW w:w="1689" w:type="dxa"/>
          </w:tcPr>
          <w:p w:rsidR="00807B64" w:rsidRPr="001416ED" w:rsidRDefault="00807B64" w:rsidP="00B86142">
            <w:pPr>
              <w:spacing w:line="360" w:lineRule="auto"/>
              <w:rPr>
                <w:szCs w:val="22"/>
              </w:rPr>
            </w:pPr>
            <w:r w:rsidRPr="001416ED">
              <w:rPr>
                <w:szCs w:val="22"/>
              </w:rPr>
              <w:t>ФВ,  %</w:t>
            </w:r>
          </w:p>
        </w:tc>
        <w:tc>
          <w:tcPr>
            <w:tcW w:w="1689" w:type="dxa"/>
          </w:tcPr>
          <w:p w:rsidR="00807B64" w:rsidRPr="001416ED" w:rsidRDefault="00807B64" w:rsidP="00B86142">
            <w:pPr>
              <w:spacing w:line="360" w:lineRule="auto"/>
              <w:rPr>
                <w:szCs w:val="22"/>
              </w:rPr>
            </w:pPr>
            <w:r w:rsidRPr="001416ED">
              <w:rPr>
                <w:szCs w:val="22"/>
                <w:lang w:val="en-US"/>
              </w:rPr>
              <w:t>63</w:t>
            </w:r>
            <w:r w:rsidRPr="001416ED">
              <w:rPr>
                <w:szCs w:val="22"/>
              </w:rPr>
              <w:t>,97 ± 1,24</w:t>
            </w:r>
          </w:p>
        </w:tc>
        <w:tc>
          <w:tcPr>
            <w:tcW w:w="1550" w:type="dxa"/>
          </w:tcPr>
          <w:p w:rsidR="00807B64" w:rsidRPr="001416ED" w:rsidRDefault="00807B64" w:rsidP="00B86142">
            <w:pPr>
              <w:spacing w:line="360" w:lineRule="auto"/>
              <w:rPr>
                <w:szCs w:val="22"/>
              </w:rPr>
            </w:pPr>
            <w:r w:rsidRPr="001416ED">
              <w:rPr>
                <w:szCs w:val="22"/>
                <w:lang w:val="en-US"/>
              </w:rPr>
              <w:t>59</w:t>
            </w:r>
            <w:r w:rsidRPr="001416ED">
              <w:rPr>
                <w:szCs w:val="22"/>
              </w:rPr>
              <w:t>,14 ± 1,71</w:t>
            </w:r>
          </w:p>
        </w:tc>
        <w:tc>
          <w:tcPr>
            <w:tcW w:w="1701" w:type="dxa"/>
          </w:tcPr>
          <w:p w:rsidR="00807B64" w:rsidRPr="001416ED" w:rsidRDefault="00807B64" w:rsidP="00B86142">
            <w:pPr>
              <w:spacing w:line="360" w:lineRule="auto"/>
              <w:rPr>
                <w:szCs w:val="22"/>
                <w:lang w:val="en-US"/>
              </w:rPr>
            </w:pPr>
            <w:r w:rsidRPr="001416ED">
              <w:rPr>
                <w:szCs w:val="22"/>
                <w:lang w:val="en-US"/>
              </w:rPr>
              <w:t>45</w:t>
            </w:r>
            <w:r w:rsidRPr="001416ED">
              <w:rPr>
                <w:szCs w:val="22"/>
              </w:rPr>
              <w:t xml:space="preserve">,97 ± </w:t>
            </w:r>
            <w:r w:rsidRPr="001416ED">
              <w:rPr>
                <w:szCs w:val="22"/>
                <w:lang w:val="en-US"/>
              </w:rPr>
              <w:t>0,89</w:t>
            </w:r>
          </w:p>
        </w:tc>
        <w:tc>
          <w:tcPr>
            <w:tcW w:w="1559" w:type="dxa"/>
          </w:tcPr>
          <w:p w:rsidR="00807B64" w:rsidRPr="001416ED" w:rsidRDefault="00807B64" w:rsidP="00B86142">
            <w:pPr>
              <w:spacing w:line="360" w:lineRule="auto"/>
              <w:rPr>
                <w:szCs w:val="22"/>
                <w:lang w:val="en-US"/>
              </w:rPr>
            </w:pPr>
            <w:r w:rsidRPr="001416ED">
              <w:rPr>
                <w:szCs w:val="22"/>
                <w:lang w:val="en-US"/>
              </w:rPr>
              <w:t>41</w:t>
            </w:r>
            <w:r w:rsidRPr="001416ED">
              <w:rPr>
                <w:szCs w:val="22"/>
              </w:rPr>
              <w:t>,14 ± 1,</w:t>
            </w:r>
            <w:r w:rsidRPr="001416ED">
              <w:rPr>
                <w:szCs w:val="22"/>
                <w:lang w:val="en-US"/>
              </w:rPr>
              <w:t>14</w:t>
            </w:r>
          </w:p>
        </w:tc>
        <w:tc>
          <w:tcPr>
            <w:tcW w:w="1950" w:type="dxa"/>
          </w:tcPr>
          <w:p w:rsidR="00807B64" w:rsidRPr="001416ED" w:rsidRDefault="00807B64" w:rsidP="00B86142">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,р</w:t>
            </w:r>
            <w:r w:rsidRPr="001416ED">
              <w:rPr>
                <w:szCs w:val="22"/>
                <w:vertAlign w:val="subscript"/>
              </w:rPr>
              <w:t>4–3*</w:t>
            </w:r>
            <w:r w:rsidRPr="001416ED">
              <w:rPr>
                <w:szCs w:val="22"/>
              </w:rPr>
              <w:t>, 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lang w:val="uk-UA"/>
              </w:rPr>
            </w:pPr>
            <w:r w:rsidRPr="001416ED">
              <w:rPr>
                <w:szCs w:val="22"/>
              </w:rPr>
              <w:t>СІ, л/(хв.·м</w:t>
            </w:r>
            <w:r w:rsidRPr="001416ED">
              <w:rPr>
                <w:szCs w:val="22"/>
                <w:vertAlign w:val="superscript"/>
              </w:rPr>
              <w:t>2</w:t>
            </w:r>
            <w:r w:rsidRPr="001416ED">
              <w:rPr>
                <w:szCs w:val="22"/>
              </w:rPr>
              <w:t>)</w:t>
            </w:r>
          </w:p>
          <w:p w:rsidR="00807B64" w:rsidRPr="001416ED" w:rsidRDefault="00807B64" w:rsidP="00B86142">
            <w:pPr>
              <w:spacing w:line="360" w:lineRule="auto"/>
              <w:rPr>
                <w:szCs w:val="22"/>
                <w:lang w:val="uk-UA"/>
              </w:rPr>
            </w:pPr>
          </w:p>
        </w:tc>
        <w:tc>
          <w:tcPr>
            <w:tcW w:w="1689" w:type="dxa"/>
          </w:tcPr>
          <w:p w:rsidR="00807B64" w:rsidRPr="001416ED" w:rsidRDefault="00807B64" w:rsidP="00B86142">
            <w:pPr>
              <w:spacing w:line="360" w:lineRule="auto"/>
              <w:rPr>
                <w:szCs w:val="22"/>
              </w:rPr>
            </w:pPr>
            <w:r w:rsidRPr="001416ED">
              <w:rPr>
                <w:szCs w:val="22"/>
              </w:rPr>
              <w:t>2,41 ± 0,10</w:t>
            </w:r>
          </w:p>
        </w:tc>
        <w:tc>
          <w:tcPr>
            <w:tcW w:w="1550" w:type="dxa"/>
          </w:tcPr>
          <w:p w:rsidR="00807B64" w:rsidRPr="001416ED" w:rsidRDefault="00807B64" w:rsidP="00B86142">
            <w:pPr>
              <w:spacing w:line="360" w:lineRule="auto"/>
              <w:rPr>
                <w:szCs w:val="22"/>
              </w:rPr>
            </w:pPr>
            <w:r w:rsidRPr="001416ED">
              <w:rPr>
                <w:szCs w:val="22"/>
              </w:rPr>
              <w:t>2,98 ± 0,16</w:t>
            </w:r>
          </w:p>
        </w:tc>
        <w:tc>
          <w:tcPr>
            <w:tcW w:w="1701" w:type="dxa"/>
          </w:tcPr>
          <w:p w:rsidR="00807B64" w:rsidRPr="001416ED" w:rsidRDefault="00807B64" w:rsidP="00B86142">
            <w:pPr>
              <w:spacing w:line="360" w:lineRule="auto"/>
              <w:rPr>
                <w:szCs w:val="22"/>
                <w:lang w:val="en-US"/>
              </w:rPr>
            </w:pPr>
            <w:r w:rsidRPr="001416ED">
              <w:rPr>
                <w:szCs w:val="22"/>
              </w:rPr>
              <w:t>2,</w:t>
            </w:r>
            <w:r w:rsidRPr="001416ED">
              <w:rPr>
                <w:szCs w:val="22"/>
                <w:lang w:val="en-US"/>
              </w:rPr>
              <w:t>38</w:t>
            </w:r>
            <w:r w:rsidRPr="001416ED">
              <w:rPr>
                <w:szCs w:val="22"/>
              </w:rPr>
              <w:t xml:space="preserve"> ± 0,1</w:t>
            </w:r>
            <w:r w:rsidRPr="001416ED">
              <w:rPr>
                <w:szCs w:val="22"/>
                <w:lang w:val="en-US"/>
              </w:rPr>
              <w:t>2</w:t>
            </w:r>
          </w:p>
        </w:tc>
        <w:tc>
          <w:tcPr>
            <w:tcW w:w="1559" w:type="dxa"/>
          </w:tcPr>
          <w:p w:rsidR="00807B64" w:rsidRPr="001416ED" w:rsidRDefault="00807B64" w:rsidP="00B86142">
            <w:pPr>
              <w:spacing w:line="360" w:lineRule="auto"/>
              <w:rPr>
                <w:szCs w:val="22"/>
                <w:lang w:val="en-US"/>
              </w:rPr>
            </w:pPr>
            <w:r w:rsidRPr="001416ED">
              <w:rPr>
                <w:szCs w:val="22"/>
              </w:rPr>
              <w:t>3</w:t>
            </w:r>
            <w:r w:rsidRPr="001416ED">
              <w:rPr>
                <w:szCs w:val="22"/>
                <w:lang w:val="en-US"/>
              </w:rPr>
              <w:t>,06</w:t>
            </w:r>
            <w:r w:rsidRPr="001416ED">
              <w:rPr>
                <w:szCs w:val="22"/>
              </w:rPr>
              <w:t xml:space="preserve"> ± 0,1</w:t>
            </w:r>
            <w:r w:rsidRPr="001416ED">
              <w:rPr>
                <w:szCs w:val="22"/>
                <w:lang w:val="en-US"/>
              </w:rPr>
              <w:t>3</w:t>
            </w:r>
          </w:p>
        </w:tc>
        <w:tc>
          <w:tcPr>
            <w:tcW w:w="1950" w:type="dxa"/>
          </w:tcPr>
          <w:p w:rsidR="00807B64" w:rsidRPr="001416ED" w:rsidRDefault="00807B64" w:rsidP="00B86142">
            <w:pPr>
              <w:spacing w:line="360" w:lineRule="auto"/>
              <w:rPr>
                <w:szCs w:val="22"/>
                <w:lang w:val="en-US"/>
              </w:rPr>
            </w:pPr>
            <w:r w:rsidRPr="001416ED">
              <w:rPr>
                <w:szCs w:val="22"/>
              </w:rPr>
              <w:t>р</w:t>
            </w:r>
            <w:r w:rsidRPr="001416ED">
              <w:rPr>
                <w:szCs w:val="22"/>
                <w:vertAlign w:val="subscript"/>
              </w:rPr>
              <w:t>2–1*</w:t>
            </w:r>
            <w:r w:rsidRPr="001416ED">
              <w:rPr>
                <w:szCs w:val="22"/>
                <w:lang w:val="en-US"/>
              </w:rPr>
              <w:t>,</w:t>
            </w:r>
            <w:r w:rsidRPr="001416ED">
              <w:rPr>
                <w:szCs w:val="22"/>
              </w:rPr>
              <w:t>р</w:t>
            </w:r>
            <w:r w:rsidRPr="001416ED">
              <w:rPr>
                <w:szCs w:val="22"/>
                <w:vertAlign w:val="subscript"/>
              </w:rPr>
              <w:t>4–3*</w:t>
            </w:r>
            <w:r w:rsidRPr="001416ED">
              <w:rPr>
                <w:szCs w:val="22"/>
              </w:rPr>
              <w:t>,р</w:t>
            </w:r>
            <w:r w:rsidRPr="001416ED">
              <w:rPr>
                <w:szCs w:val="22"/>
                <w:vertAlign w:val="subscript"/>
              </w:rPr>
              <w:t>4–2</w:t>
            </w:r>
            <w:r w:rsidRPr="001416ED">
              <w:rPr>
                <w:szCs w:val="22"/>
                <w:vertAlign w:val="subscript"/>
                <w:lang w:val="en-US"/>
              </w:rPr>
              <w:t>&amp;</w:t>
            </w:r>
          </w:p>
        </w:tc>
      </w:tr>
      <w:tr w:rsidR="00807B64" w:rsidRPr="001416ED" w:rsidTr="00807B64">
        <w:tc>
          <w:tcPr>
            <w:tcW w:w="1689" w:type="dxa"/>
          </w:tcPr>
          <w:p w:rsidR="00807B64" w:rsidRPr="001416ED" w:rsidRDefault="00807B64" w:rsidP="00B86142">
            <w:pPr>
              <w:spacing w:line="360" w:lineRule="auto"/>
              <w:rPr>
                <w:szCs w:val="22"/>
                <w:vertAlign w:val="superscript"/>
              </w:rPr>
            </w:pPr>
            <w:r w:rsidRPr="001416ED">
              <w:rPr>
                <w:szCs w:val="22"/>
              </w:rPr>
              <w:t>УІ, мл/м</w:t>
            </w:r>
            <w:r w:rsidRPr="001416ED">
              <w:rPr>
                <w:szCs w:val="22"/>
                <w:vertAlign w:val="superscript"/>
              </w:rPr>
              <w:t>2</w:t>
            </w:r>
          </w:p>
        </w:tc>
        <w:tc>
          <w:tcPr>
            <w:tcW w:w="1689" w:type="dxa"/>
          </w:tcPr>
          <w:p w:rsidR="00807B64" w:rsidRPr="001416ED" w:rsidRDefault="00807B64" w:rsidP="00B86142">
            <w:pPr>
              <w:spacing w:line="360" w:lineRule="auto"/>
              <w:rPr>
                <w:szCs w:val="22"/>
              </w:rPr>
            </w:pPr>
            <w:r w:rsidRPr="001416ED">
              <w:rPr>
                <w:szCs w:val="22"/>
              </w:rPr>
              <w:t>34,74 ± 1,25</w:t>
            </w:r>
          </w:p>
        </w:tc>
        <w:tc>
          <w:tcPr>
            <w:tcW w:w="1550" w:type="dxa"/>
          </w:tcPr>
          <w:p w:rsidR="00807B64" w:rsidRPr="001416ED" w:rsidRDefault="00807B64" w:rsidP="00B86142">
            <w:pPr>
              <w:spacing w:line="360" w:lineRule="auto"/>
              <w:rPr>
                <w:szCs w:val="22"/>
              </w:rPr>
            </w:pPr>
            <w:r w:rsidRPr="001416ED">
              <w:rPr>
                <w:szCs w:val="22"/>
              </w:rPr>
              <w:t>35,78 ± 1,53</w:t>
            </w:r>
          </w:p>
        </w:tc>
        <w:tc>
          <w:tcPr>
            <w:tcW w:w="1701" w:type="dxa"/>
          </w:tcPr>
          <w:p w:rsidR="00807B64" w:rsidRPr="001416ED" w:rsidRDefault="00807B64" w:rsidP="00B86142">
            <w:pPr>
              <w:spacing w:line="360" w:lineRule="auto"/>
              <w:rPr>
                <w:szCs w:val="22"/>
                <w:lang w:val="en-US"/>
              </w:rPr>
            </w:pPr>
            <w:r w:rsidRPr="001416ED">
              <w:rPr>
                <w:szCs w:val="22"/>
                <w:lang w:val="en-US"/>
              </w:rPr>
              <w:t>29</w:t>
            </w:r>
            <w:r w:rsidRPr="001416ED">
              <w:rPr>
                <w:szCs w:val="22"/>
              </w:rPr>
              <w:t>,</w:t>
            </w:r>
            <w:r w:rsidRPr="001416ED">
              <w:rPr>
                <w:szCs w:val="22"/>
                <w:lang w:val="en-US"/>
              </w:rPr>
              <w:t>56</w:t>
            </w:r>
            <w:r w:rsidRPr="001416ED">
              <w:rPr>
                <w:szCs w:val="22"/>
              </w:rPr>
              <w:t xml:space="preserve"> ± 1,2</w:t>
            </w:r>
            <w:r w:rsidRPr="001416ED">
              <w:rPr>
                <w:szCs w:val="22"/>
                <w:lang w:val="en-US"/>
              </w:rPr>
              <w:t>2</w:t>
            </w:r>
          </w:p>
        </w:tc>
        <w:tc>
          <w:tcPr>
            <w:tcW w:w="1559" w:type="dxa"/>
          </w:tcPr>
          <w:p w:rsidR="00807B64" w:rsidRPr="001416ED" w:rsidRDefault="00807B64" w:rsidP="00B86142">
            <w:pPr>
              <w:spacing w:line="360" w:lineRule="auto"/>
              <w:rPr>
                <w:szCs w:val="22"/>
                <w:lang w:val="en-US"/>
              </w:rPr>
            </w:pPr>
            <w:r w:rsidRPr="001416ED">
              <w:rPr>
                <w:szCs w:val="22"/>
              </w:rPr>
              <w:t>3</w:t>
            </w:r>
            <w:r w:rsidRPr="001416ED">
              <w:rPr>
                <w:szCs w:val="22"/>
                <w:lang w:val="en-US"/>
              </w:rPr>
              <w:t>3</w:t>
            </w:r>
            <w:r w:rsidRPr="001416ED">
              <w:rPr>
                <w:szCs w:val="22"/>
              </w:rPr>
              <w:t>,</w:t>
            </w:r>
            <w:r w:rsidRPr="001416ED">
              <w:rPr>
                <w:szCs w:val="22"/>
                <w:lang w:val="en-US"/>
              </w:rPr>
              <w:t>12</w:t>
            </w:r>
            <w:r w:rsidRPr="001416ED">
              <w:rPr>
                <w:szCs w:val="22"/>
              </w:rPr>
              <w:t xml:space="preserve"> ± </w:t>
            </w:r>
            <w:r w:rsidRPr="001416ED">
              <w:rPr>
                <w:szCs w:val="22"/>
                <w:lang w:val="en-US"/>
              </w:rPr>
              <w:t>0,96</w:t>
            </w:r>
          </w:p>
        </w:tc>
        <w:tc>
          <w:tcPr>
            <w:tcW w:w="1950" w:type="dxa"/>
          </w:tcPr>
          <w:p w:rsidR="00807B64" w:rsidRPr="001416ED" w:rsidRDefault="00807B64" w:rsidP="00B86142">
            <w:pPr>
              <w:spacing w:line="360" w:lineRule="auto"/>
              <w:rPr>
                <w:szCs w:val="22"/>
                <w:vertAlign w:val="subscript"/>
                <w:lang w:val="en-US"/>
              </w:rPr>
            </w:pPr>
            <w:r w:rsidRPr="001416ED">
              <w:rPr>
                <w:szCs w:val="22"/>
              </w:rPr>
              <w:t>р</w:t>
            </w:r>
            <w:r w:rsidRPr="001416ED">
              <w:rPr>
                <w:szCs w:val="22"/>
                <w:vertAlign w:val="subscript"/>
              </w:rPr>
              <w:t>3–1#</w:t>
            </w:r>
            <w:r w:rsidRPr="001416ED">
              <w:rPr>
                <w:szCs w:val="22"/>
              </w:rPr>
              <w:t>,р</w:t>
            </w:r>
            <w:r w:rsidRPr="001416ED">
              <w:rPr>
                <w:szCs w:val="22"/>
                <w:vertAlign w:val="subscript"/>
              </w:rPr>
              <w:t>4–3*</w:t>
            </w:r>
            <w:r w:rsidRPr="001416ED">
              <w:rPr>
                <w:szCs w:val="22"/>
              </w:rPr>
              <w:t>,р</w:t>
            </w:r>
            <w:r w:rsidRPr="001416ED">
              <w:rPr>
                <w:szCs w:val="22"/>
                <w:vertAlign w:val="subscript"/>
              </w:rPr>
              <w:t>4–2</w:t>
            </w:r>
            <w:r w:rsidRPr="001416ED">
              <w:rPr>
                <w:szCs w:val="22"/>
                <w:vertAlign w:val="subscript"/>
                <w:lang w:val="en-US"/>
              </w:rPr>
              <w:t>&amp;</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lang w:val="en-US"/>
              </w:rPr>
              <w:t>S</w:t>
            </w:r>
            <w:r w:rsidRPr="001416ED">
              <w:rPr>
                <w:szCs w:val="22"/>
              </w:rPr>
              <w:t>,  %</w:t>
            </w:r>
          </w:p>
        </w:tc>
        <w:tc>
          <w:tcPr>
            <w:tcW w:w="1689" w:type="dxa"/>
          </w:tcPr>
          <w:p w:rsidR="00807B64" w:rsidRPr="001416ED" w:rsidRDefault="00807B64" w:rsidP="00B86142">
            <w:pPr>
              <w:spacing w:line="360" w:lineRule="auto"/>
              <w:rPr>
                <w:szCs w:val="22"/>
              </w:rPr>
            </w:pPr>
            <w:r w:rsidRPr="001416ED">
              <w:rPr>
                <w:szCs w:val="22"/>
              </w:rPr>
              <w:t>32,30 ± 0,89</w:t>
            </w:r>
          </w:p>
        </w:tc>
        <w:tc>
          <w:tcPr>
            <w:tcW w:w="1550" w:type="dxa"/>
          </w:tcPr>
          <w:p w:rsidR="00807B64" w:rsidRPr="001416ED" w:rsidRDefault="00807B64" w:rsidP="00B86142">
            <w:pPr>
              <w:spacing w:line="360" w:lineRule="auto"/>
              <w:rPr>
                <w:szCs w:val="22"/>
              </w:rPr>
            </w:pPr>
            <w:r w:rsidRPr="001416ED">
              <w:rPr>
                <w:szCs w:val="22"/>
              </w:rPr>
              <w:t>34,04 ± 1,36</w:t>
            </w:r>
          </w:p>
        </w:tc>
        <w:tc>
          <w:tcPr>
            <w:tcW w:w="1701" w:type="dxa"/>
          </w:tcPr>
          <w:p w:rsidR="00807B64" w:rsidRPr="001416ED" w:rsidRDefault="00807B64" w:rsidP="00B86142">
            <w:pPr>
              <w:spacing w:line="360" w:lineRule="auto"/>
              <w:rPr>
                <w:szCs w:val="22"/>
              </w:rPr>
            </w:pPr>
            <w:r w:rsidRPr="001416ED">
              <w:rPr>
                <w:szCs w:val="22"/>
                <w:lang w:val="en-US"/>
              </w:rPr>
              <w:t>22</w:t>
            </w:r>
            <w:r w:rsidRPr="001416ED">
              <w:rPr>
                <w:szCs w:val="22"/>
              </w:rPr>
              <w:t>,30 ± 0,89</w:t>
            </w:r>
          </w:p>
        </w:tc>
        <w:tc>
          <w:tcPr>
            <w:tcW w:w="1559" w:type="dxa"/>
          </w:tcPr>
          <w:p w:rsidR="00807B64" w:rsidRPr="001416ED" w:rsidRDefault="00807B64" w:rsidP="00B86142">
            <w:pPr>
              <w:spacing w:line="360" w:lineRule="auto"/>
              <w:rPr>
                <w:szCs w:val="22"/>
              </w:rPr>
            </w:pPr>
            <w:r w:rsidRPr="001416ED">
              <w:rPr>
                <w:szCs w:val="22"/>
                <w:lang w:val="en-US"/>
              </w:rPr>
              <w:t>21</w:t>
            </w:r>
            <w:r w:rsidRPr="001416ED">
              <w:rPr>
                <w:szCs w:val="22"/>
              </w:rPr>
              <w:t>,04 ± 1,36</w:t>
            </w:r>
          </w:p>
        </w:tc>
        <w:tc>
          <w:tcPr>
            <w:tcW w:w="1950" w:type="dxa"/>
          </w:tcPr>
          <w:p w:rsidR="00807B64" w:rsidRPr="001416ED" w:rsidRDefault="00807B64" w:rsidP="00B86142">
            <w:pPr>
              <w:spacing w:line="360" w:lineRule="auto"/>
              <w:rPr>
                <w:szCs w:val="22"/>
              </w:rPr>
            </w:pPr>
            <w:r w:rsidRPr="001416ED">
              <w:rPr>
                <w:szCs w:val="22"/>
              </w:rPr>
              <w:t>р</w:t>
            </w:r>
            <w:r w:rsidRPr="001416ED">
              <w:rPr>
                <w:szCs w:val="22"/>
                <w:vertAlign w:val="subscript"/>
              </w:rPr>
              <w:t>3–1*</w:t>
            </w:r>
            <w:r w:rsidRPr="001416ED">
              <w:rPr>
                <w:szCs w:val="22"/>
              </w:rPr>
              <w:t>, 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ЗПСО, дин•с•см</w:t>
            </w:r>
            <w:r w:rsidRPr="001416ED">
              <w:rPr>
                <w:szCs w:val="22"/>
                <w:vertAlign w:val="superscript"/>
              </w:rPr>
              <w:t>–5</w:t>
            </w:r>
          </w:p>
        </w:tc>
        <w:tc>
          <w:tcPr>
            <w:tcW w:w="1689" w:type="dxa"/>
          </w:tcPr>
          <w:p w:rsidR="00807B64" w:rsidRPr="001416ED" w:rsidRDefault="00807B64" w:rsidP="00B86142">
            <w:pPr>
              <w:spacing w:line="360" w:lineRule="auto"/>
              <w:rPr>
                <w:szCs w:val="22"/>
              </w:rPr>
            </w:pPr>
            <w:r w:rsidRPr="001416ED">
              <w:rPr>
                <w:szCs w:val="22"/>
              </w:rPr>
              <w:t xml:space="preserve">1680,28 ± </w:t>
            </w:r>
          </w:p>
          <w:p w:rsidR="00807B64" w:rsidRPr="001416ED" w:rsidRDefault="00807B64" w:rsidP="00B86142">
            <w:pPr>
              <w:spacing w:line="360" w:lineRule="auto"/>
              <w:rPr>
                <w:szCs w:val="22"/>
              </w:rPr>
            </w:pPr>
            <w:r w:rsidRPr="001416ED">
              <w:rPr>
                <w:szCs w:val="22"/>
              </w:rPr>
              <w:t>80,27</w:t>
            </w:r>
          </w:p>
        </w:tc>
        <w:tc>
          <w:tcPr>
            <w:tcW w:w="1550" w:type="dxa"/>
          </w:tcPr>
          <w:p w:rsidR="00807B64" w:rsidRPr="001416ED" w:rsidRDefault="00807B64" w:rsidP="00B86142">
            <w:pPr>
              <w:spacing w:line="360" w:lineRule="auto"/>
              <w:rPr>
                <w:szCs w:val="22"/>
              </w:rPr>
            </w:pPr>
            <w:r w:rsidRPr="001416ED">
              <w:rPr>
                <w:szCs w:val="22"/>
              </w:rPr>
              <w:t xml:space="preserve">2086,80 ± </w:t>
            </w:r>
          </w:p>
          <w:p w:rsidR="00807B64" w:rsidRPr="001416ED" w:rsidRDefault="00807B64" w:rsidP="00B86142">
            <w:pPr>
              <w:spacing w:line="360" w:lineRule="auto"/>
              <w:rPr>
                <w:szCs w:val="22"/>
              </w:rPr>
            </w:pPr>
            <w:r w:rsidRPr="001416ED">
              <w:rPr>
                <w:szCs w:val="22"/>
              </w:rPr>
              <w:t>125,45</w:t>
            </w:r>
          </w:p>
        </w:tc>
        <w:tc>
          <w:tcPr>
            <w:tcW w:w="1701" w:type="dxa"/>
          </w:tcPr>
          <w:p w:rsidR="00807B64" w:rsidRPr="001416ED" w:rsidRDefault="00807B64" w:rsidP="00B86142">
            <w:pPr>
              <w:spacing w:line="360" w:lineRule="auto"/>
              <w:rPr>
                <w:szCs w:val="22"/>
              </w:rPr>
            </w:pPr>
            <w:r w:rsidRPr="001416ED">
              <w:rPr>
                <w:szCs w:val="22"/>
              </w:rPr>
              <w:t xml:space="preserve">1938,04 ± </w:t>
            </w:r>
          </w:p>
          <w:p w:rsidR="00807B64" w:rsidRPr="001416ED" w:rsidRDefault="00807B64" w:rsidP="00B86142">
            <w:pPr>
              <w:spacing w:line="360" w:lineRule="auto"/>
              <w:rPr>
                <w:szCs w:val="22"/>
                <w:lang w:val="en-US"/>
              </w:rPr>
            </w:pPr>
            <w:r w:rsidRPr="001416ED">
              <w:rPr>
                <w:szCs w:val="22"/>
              </w:rPr>
              <w:t>78</w:t>
            </w:r>
            <w:r w:rsidRPr="001416ED">
              <w:rPr>
                <w:szCs w:val="22"/>
                <w:lang w:val="en-US"/>
              </w:rPr>
              <w:t>,</w:t>
            </w:r>
            <w:r w:rsidRPr="001416ED">
              <w:rPr>
                <w:szCs w:val="22"/>
              </w:rPr>
              <w:t>0</w:t>
            </w:r>
            <w:r w:rsidRPr="001416ED">
              <w:rPr>
                <w:szCs w:val="22"/>
                <w:lang w:val="en-US"/>
              </w:rPr>
              <w:t>0</w:t>
            </w:r>
          </w:p>
        </w:tc>
        <w:tc>
          <w:tcPr>
            <w:tcW w:w="1559" w:type="dxa"/>
          </w:tcPr>
          <w:p w:rsidR="00807B64" w:rsidRPr="001416ED" w:rsidRDefault="00807B64" w:rsidP="00B86142">
            <w:pPr>
              <w:spacing w:line="360" w:lineRule="auto"/>
              <w:rPr>
                <w:szCs w:val="22"/>
              </w:rPr>
            </w:pPr>
            <w:r w:rsidRPr="001416ED">
              <w:rPr>
                <w:szCs w:val="22"/>
              </w:rPr>
              <w:t>2</w:t>
            </w:r>
            <w:r w:rsidRPr="001416ED">
              <w:rPr>
                <w:szCs w:val="22"/>
                <w:lang w:val="en-US"/>
              </w:rPr>
              <w:t>65</w:t>
            </w:r>
            <w:r w:rsidRPr="001416ED">
              <w:rPr>
                <w:szCs w:val="22"/>
              </w:rPr>
              <w:t>6,</w:t>
            </w:r>
            <w:r w:rsidRPr="001416ED">
              <w:rPr>
                <w:szCs w:val="22"/>
                <w:lang w:val="en-US"/>
              </w:rPr>
              <w:t>23</w:t>
            </w:r>
            <w:r w:rsidRPr="001416ED">
              <w:rPr>
                <w:szCs w:val="22"/>
              </w:rPr>
              <w:t xml:space="preserve"> ± </w:t>
            </w:r>
          </w:p>
          <w:p w:rsidR="00807B64" w:rsidRPr="001416ED" w:rsidRDefault="00807B64" w:rsidP="00B86142">
            <w:pPr>
              <w:spacing w:line="360" w:lineRule="auto"/>
              <w:rPr>
                <w:szCs w:val="22"/>
                <w:lang w:val="en-US"/>
              </w:rPr>
            </w:pPr>
            <w:r w:rsidRPr="001416ED">
              <w:rPr>
                <w:szCs w:val="22"/>
              </w:rPr>
              <w:t>1</w:t>
            </w:r>
            <w:r w:rsidRPr="001416ED">
              <w:rPr>
                <w:szCs w:val="22"/>
                <w:lang w:val="en-US"/>
              </w:rPr>
              <w:t>40</w:t>
            </w:r>
            <w:r w:rsidRPr="001416ED">
              <w:rPr>
                <w:szCs w:val="22"/>
              </w:rPr>
              <w:t>,</w:t>
            </w:r>
            <w:r w:rsidRPr="001416ED">
              <w:rPr>
                <w:szCs w:val="22"/>
                <w:lang w:val="en-US"/>
              </w:rPr>
              <w:t>81</w:t>
            </w:r>
          </w:p>
        </w:tc>
        <w:tc>
          <w:tcPr>
            <w:tcW w:w="1950" w:type="dxa"/>
          </w:tcPr>
          <w:p w:rsidR="00807B64" w:rsidRPr="001416ED" w:rsidRDefault="00807B64" w:rsidP="00B86142">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w:t>
            </w:r>
          </w:p>
          <w:p w:rsidR="00807B64" w:rsidRPr="001416ED" w:rsidRDefault="00807B64" w:rsidP="00B86142">
            <w:pPr>
              <w:spacing w:line="360" w:lineRule="auto"/>
              <w:rPr>
                <w:szCs w:val="22"/>
              </w:rPr>
            </w:pP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ППСО ум.од.</w:t>
            </w:r>
          </w:p>
        </w:tc>
        <w:tc>
          <w:tcPr>
            <w:tcW w:w="1689" w:type="dxa"/>
          </w:tcPr>
          <w:p w:rsidR="00807B64" w:rsidRPr="001416ED" w:rsidRDefault="00807B64" w:rsidP="00B86142">
            <w:pPr>
              <w:spacing w:line="360" w:lineRule="auto"/>
              <w:rPr>
                <w:szCs w:val="22"/>
              </w:rPr>
            </w:pPr>
            <w:r w:rsidRPr="001416ED">
              <w:rPr>
                <w:szCs w:val="22"/>
              </w:rPr>
              <w:t>52,99 ± 2,53</w:t>
            </w:r>
          </w:p>
        </w:tc>
        <w:tc>
          <w:tcPr>
            <w:tcW w:w="1550" w:type="dxa"/>
          </w:tcPr>
          <w:p w:rsidR="00807B64" w:rsidRPr="001416ED" w:rsidRDefault="00807B64" w:rsidP="00B86142">
            <w:pPr>
              <w:spacing w:line="360" w:lineRule="auto"/>
              <w:rPr>
                <w:szCs w:val="22"/>
              </w:rPr>
            </w:pPr>
            <w:r w:rsidRPr="001416ED">
              <w:rPr>
                <w:szCs w:val="22"/>
              </w:rPr>
              <w:t>49,90 ± 2,96</w:t>
            </w:r>
          </w:p>
        </w:tc>
        <w:tc>
          <w:tcPr>
            <w:tcW w:w="1701" w:type="dxa"/>
          </w:tcPr>
          <w:p w:rsidR="00807B64" w:rsidRPr="001416ED" w:rsidRDefault="00807B64" w:rsidP="00B86142">
            <w:pPr>
              <w:spacing w:line="360" w:lineRule="auto"/>
              <w:rPr>
                <w:szCs w:val="22"/>
              </w:rPr>
            </w:pPr>
            <w:r w:rsidRPr="001416ED">
              <w:rPr>
                <w:szCs w:val="22"/>
              </w:rPr>
              <w:t>5</w:t>
            </w:r>
            <w:r w:rsidRPr="001416ED">
              <w:rPr>
                <w:szCs w:val="22"/>
                <w:lang w:val="en-US"/>
              </w:rPr>
              <w:t>3</w:t>
            </w:r>
            <w:r w:rsidRPr="001416ED">
              <w:rPr>
                <w:szCs w:val="22"/>
              </w:rPr>
              <w:t>,99 ± 2,53</w:t>
            </w:r>
          </w:p>
        </w:tc>
        <w:tc>
          <w:tcPr>
            <w:tcW w:w="1559" w:type="dxa"/>
          </w:tcPr>
          <w:p w:rsidR="00807B64" w:rsidRPr="001416ED" w:rsidRDefault="00807B64" w:rsidP="00B86142">
            <w:pPr>
              <w:spacing w:line="360" w:lineRule="auto"/>
              <w:rPr>
                <w:szCs w:val="22"/>
              </w:rPr>
            </w:pPr>
            <w:r w:rsidRPr="001416ED">
              <w:rPr>
                <w:szCs w:val="22"/>
                <w:lang w:val="en-US"/>
              </w:rPr>
              <w:t>54</w:t>
            </w:r>
            <w:r w:rsidRPr="001416ED">
              <w:rPr>
                <w:szCs w:val="22"/>
              </w:rPr>
              <w:t>,90 ± 2,96</w:t>
            </w:r>
          </w:p>
        </w:tc>
        <w:tc>
          <w:tcPr>
            <w:tcW w:w="1950" w:type="dxa"/>
          </w:tcPr>
          <w:p w:rsidR="00807B64" w:rsidRPr="001416ED" w:rsidRDefault="00807B64" w:rsidP="00B86142">
            <w:pPr>
              <w:spacing w:line="360" w:lineRule="auto"/>
              <w:rPr>
                <w:szCs w:val="22"/>
              </w:rPr>
            </w:pPr>
            <w:r w:rsidRPr="001416ED">
              <w:rPr>
                <w:szCs w:val="22"/>
              </w:rPr>
              <w:t>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ЛП, см</w:t>
            </w:r>
          </w:p>
        </w:tc>
        <w:tc>
          <w:tcPr>
            <w:tcW w:w="1689" w:type="dxa"/>
          </w:tcPr>
          <w:p w:rsidR="00807B64" w:rsidRPr="001416ED" w:rsidRDefault="00807B64" w:rsidP="00B86142">
            <w:pPr>
              <w:spacing w:line="360" w:lineRule="auto"/>
              <w:rPr>
                <w:szCs w:val="22"/>
              </w:rPr>
            </w:pPr>
            <w:r w:rsidRPr="001416ED">
              <w:rPr>
                <w:szCs w:val="22"/>
              </w:rPr>
              <w:t>3,64 ± 0,09</w:t>
            </w:r>
          </w:p>
        </w:tc>
        <w:tc>
          <w:tcPr>
            <w:tcW w:w="1550" w:type="dxa"/>
          </w:tcPr>
          <w:p w:rsidR="00807B64" w:rsidRPr="001416ED" w:rsidRDefault="00807B64" w:rsidP="00B86142">
            <w:pPr>
              <w:spacing w:line="360" w:lineRule="auto"/>
              <w:rPr>
                <w:szCs w:val="22"/>
              </w:rPr>
            </w:pPr>
            <w:r w:rsidRPr="001416ED">
              <w:rPr>
                <w:szCs w:val="22"/>
              </w:rPr>
              <w:t>3,70 ± 0,09</w:t>
            </w:r>
          </w:p>
        </w:tc>
        <w:tc>
          <w:tcPr>
            <w:tcW w:w="1701" w:type="dxa"/>
          </w:tcPr>
          <w:p w:rsidR="00807B64" w:rsidRPr="001416ED" w:rsidRDefault="00807B64" w:rsidP="00B86142">
            <w:pPr>
              <w:spacing w:line="360" w:lineRule="auto"/>
              <w:rPr>
                <w:szCs w:val="22"/>
              </w:rPr>
            </w:pPr>
            <w:r w:rsidRPr="001416ED">
              <w:rPr>
                <w:szCs w:val="22"/>
                <w:lang w:val="en-US"/>
              </w:rPr>
              <w:t>4</w:t>
            </w:r>
            <w:r w:rsidRPr="001416ED">
              <w:rPr>
                <w:szCs w:val="22"/>
              </w:rPr>
              <w:t>,</w:t>
            </w:r>
            <w:r w:rsidRPr="001416ED">
              <w:rPr>
                <w:szCs w:val="22"/>
                <w:lang w:val="en-US"/>
              </w:rPr>
              <w:t>45</w:t>
            </w:r>
            <w:r w:rsidRPr="001416ED">
              <w:rPr>
                <w:szCs w:val="22"/>
              </w:rPr>
              <w:t xml:space="preserve"> ± 0,09</w:t>
            </w:r>
          </w:p>
        </w:tc>
        <w:tc>
          <w:tcPr>
            <w:tcW w:w="1559" w:type="dxa"/>
          </w:tcPr>
          <w:p w:rsidR="00807B64" w:rsidRPr="001416ED" w:rsidRDefault="00807B64" w:rsidP="00B86142">
            <w:pPr>
              <w:spacing w:line="360" w:lineRule="auto"/>
              <w:rPr>
                <w:szCs w:val="22"/>
              </w:rPr>
            </w:pPr>
            <w:r w:rsidRPr="001416ED">
              <w:rPr>
                <w:szCs w:val="22"/>
                <w:lang w:val="en-US"/>
              </w:rPr>
              <w:t>4</w:t>
            </w:r>
            <w:r w:rsidRPr="001416ED">
              <w:rPr>
                <w:szCs w:val="22"/>
              </w:rPr>
              <w:t>,</w:t>
            </w:r>
            <w:r w:rsidRPr="001416ED">
              <w:rPr>
                <w:szCs w:val="22"/>
                <w:lang w:val="en-US"/>
              </w:rPr>
              <w:t>6</w:t>
            </w:r>
            <w:r w:rsidRPr="001416ED">
              <w:rPr>
                <w:szCs w:val="22"/>
              </w:rPr>
              <w:t>0 ± 0,09</w:t>
            </w:r>
          </w:p>
        </w:tc>
        <w:tc>
          <w:tcPr>
            <w:tcW w:w="1950" w:type="dxa"/>
          </w:tcPr>
          <w:p w:rsidR="00807B64" w:rsidRPr="001416ED" w:rsidRDefault="00807B64" w:rsidP="00B86142">
            <w:pPr>
              <w:spacing w:line="360" w:lineRule="auto"/>
              <w:rPr>
                <w:szCs w:val="22"/>
                <w:lang w:val="en-US"/>
              </w:rPr>
            </w:pPr>
            <w:r w:rsidRPr="001416ED">
              <w:rPr>
                <w:szCs w:val="22"/>
              </w:rPr>
              <w:t>р</w:t>
            </w:r>
            <w:r w:rsidRPr="001416ED">
              <w:rPr>
                <w:szCs w:val="22"/>
                <w:vertAlign w:val="subscript"/>
              </w:rPr>
              <w:t>3–1*</w:t>
            </w:r>
            <w:r w:rsidRPr="001416ED">
              <w:rPr>
                <w:szCs w:val="22"/>
              </w:rPr>
              <w:t>,р</w:t>
            </w:r>
            <w:r w:rsidRPr="001416ED">
              <w:rPr>
                <w:szCs w:val="22"/>
                <w:vertAlign w:val="subscript"/>
              </w:rPr>
              <w:t>4–3</w:t>
            </w:r>
            <w:r w:rsidRPr="001416ED">
              <w:rPr>
                <w:szCs w:val="22"/>
                <w:vertAlign w:val="subscript"/>
                <w:lang w:val="en-US"/>
              </w:rPr>
              <w:t>&amp;</w:t>
            </w:r>
            <w:r w:rsidRPr="001416ED">
              <w:rPr>
                <w:szCs w:val="22"/>
              </w:rPr>
              <w:t>,р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Е/А, ум.од.</w:t>
            </w:r>
          </w:p>
        </w:tc>
        <w:tc>
          <w:tcPr>
            <w:tcW w:w="1689" w:type="dxa"/>
          </w:tcPr>
          <w:p w:rsidR="00807B64" w:rsidRPr="001416ED" w:rsidRDefault="00807B64" w:rsidP="00B86142">
            <w:pPr>
              <w:spacing w:line="360" w:lineRule="auto"/>
              <w:rPr>
                <w:szCs w:val="22"/>
              </w:rPr>
            </w:pPr>
            <w:r w:rsidRPr="001416ED">
              <w:rPr>
                <w:szCs w:val="22"/>
              </w:rPr>
              <w:t>0</w:t>
            </w:r>
            <w:r w:rsidRPr="001416ED">
              <w:rPr>
                <w:szCs w:val="22"/>
                <w:lang w:val="en-US"/>
              </w:rPr>
              <w:t>,85</w:t>
            </w:r>
            <w:r w:rsidRPr="001416ED">
              <w:rPr>
                <w:szCs w:val="22"/>
              </w:rPr>
              <w:t xml:space="preserve"> ± 0,06</w:t>
            </w:r>
          </w:p>
        </w:tc>
        <w:tc>
          <w:tcPr>
            <w:tcW w:w="1550" w:type="dxa"/>
          </w:tcPr>
          <w:p w:rsidR="00807B64" w:rsidRPr="001416ED" w:rsidRDefault="00807B64" w:rsidP="00B86142">
            <w:pPr>
              <w:spacing w:line="360" w:lineRule="auto"/>
              <w:rPr>
                <w:szCs w:val="22"/>
              </w:rPr>
            </w:pPr>
            <w:r w:rsidRPr="001416ED">
              <w:rPr>
                <w:szCs w:val="22"/>
              </w:rPr>
              <w:t>0,</w:t>
            </w:r>
            <w:r w:rsidRPr="001416ED">
              <w:rPr>
                <w:szCs w:val="22"/>
                <w:lang w:val="en-US"/>
              </w:rPr>
              <w:t>72</w:t>
            </w:r>
            <w:r w:rsidRPr="001416ED">
              <w:rPr>
                <w:szCs w:val="22"/>
              </w:rPr>
              <w:t xml:space="preserve"> ± 0,07</w:t>
            </w:r>
          </w:p>
        </w:tc>
        <w:tc>
          <w:tcPr>
            <w:tcW w:w="1701" w:type="dxa"/>
          </w:tcPr>
          <w:p w:rsidR="00807B64" w:rsidRPr="001416ED" w:rsidRDefault="00807B64" w:rsidP="00B86142">
            <w:pPr>
              <w:spacing w:line="360" w:lineRule="auto"/>
              <w:rPr>
                <w:szCs w:val="22"/>
              </w:rPr>
            </w:pPr>
            <w:r w:rsidRPr="001416ED">
              <w:rPr>
                <w:szCs w:val="22"/>
              </w:rPr>
              <w:t>1,</w:t>
            </w:r>
            <w:r w:rsidRPr="001416ED">
              <w:rPr>
                <w:szCs w:val="22"/>
                <w:lang w:val="en-US"/>
              </w:rPr>
              <w:t>2</w:t>
            </w:r>
            <w:r w:rsidRPr="001416ED">
              <w:rPr>
                <w:szCs w:val="22"/>
              </w:rPr>
              <w:t>5 ± 0,06</w:t>
            </w:r>
          </w:p>
        </w:tc>
        <w:tc>
          <w:tcPr>
            <w:tcW w:w="1559" w:type="dxa"/>
          </w:tcPr>
          <w:p w:rsidR="00807B64" w:rsidRPr="001416ED" w:rsidRDefault="00807B64" w:rsidP="00B86142">
            <w:pPr>
              <w:spacing w:line="360" w:lineRule="auto"/>
              <w:rPr>
                <w:szCs w:val="22"/>
              </w:rPr>
            </w:pPr>
            <w:r w:rsidRPr="001416ED">
              <w:rPr>
                <w:szCs w:val="22"/>
              </w:rPr>
              <w:t>0,87 ± 0,07</w:t>
            </w:r>
          </w:p>
        </w:tc>
        <w:tc>
          <w:tcPr>
            <w:tcW w:w="1950" w:type="dxa"/>
          </w:tcPr>
          <w:p w:rsidR="00807B64" w:rsidRPr="001416ED" w:rsidRDefault="00807B64" w:rsidP="00B86142">
            <w:pPr>
              <w:spacing w:line="360" w:lineRule="auto"/>
              <w:rPr>
                <w:szCs w:val="22"/>
                <w:lang w:val="uk-UA"/>
              </w:rPr>
            </w:pPr>
            <w:r w:rsidRPr="001416ED">
              <w:rPr>
                <w:szCs w:val="22"/>
              </w:rPr>
              <w:t>р</w:t>
            </w:r>
            <w:r w:rsidRPr="001416ED">
              <w:rPr>
                <w:szCs w:val="22"/>
                <w:vertAlign w:val="subscript"/>
              </w:rPr>
              <w:t>2–1</w:t>
            </w:r>
            <w:r w:rsidRPr="001416ED">
              <w:rPr>
                <w:szCs w:val="22"/>
                <w:vertAlign w:val="subscript"/>
                <w:lang w:val="en-US"/>
              </w:rPr>
              <w:t>#</w:t>
            </w:r>
            <w:r w:rsidRPr="001416ED">
              <w:rPr>
                <w:szCs w:val="22"/>
              </w:rPr>
              <w:t>,р</w:t>
            </w:r>
            <w:r w:rsidRPr="001416ED">
              <w:rPr>
                <w:szCs w:val="22"/>
                <w:vertAlign w:val="subscript"/>
              </w:rPr>
              <w:t>3–1</w:t>
            </w:r>
            <w:r w:rsidRPr="001416ED">
              <w:rPr>
                <w:szCs w:val="22"/>
                <w:vertAlign w:val="subscript"/>
                <w:lang w:val="en-US"/>
              </w:rPr>
              <w:t>*</w:t>
            </w:r>
            <w:r w:rsidRPr="001416ED">
              <w:rPr>
                <w:szCs w:val="22"/>
                <w:lang w:val="en-US"/>
              </w:rPr>
              <w:t>,</w:t>
            </w:r>
            <w:r w:rsidRPr="001416ED">
              <w:rPr>
                <w:szCs w:val="22"/>
                <w:lang w:val="uk-UA"/>
              </w:rPr>
              <w:t xml:space="preserve"> </w:t>
            </w:r>
          </w:p>
          <w:p w:rsidR="00807B64" w:rsidRPr="001416ED" w:rsidRDefault="00807B64" w:rsidP="00B86142">
            <w:pPr>
              <w:spacing w:line="360" w:lineRule="auto"/>
              <w:rPr>
                <w:szCs w:val="22"/>
                <w:lang w:val="en-US"/>
              </w:rPr>
            </w:pPr>
            <w:r w:rsidRPr="001416ED">
              <w:rPr>
                <w:szCs w:val="22"/>
              </w:rPr>
              <w:t>р</w:t>
            </w:r>
            <w:r w:rsidRPr="001416ED">
              <w:rPr>
                <w:szCs w:val="22"/>
                <w:vertAlign w:val="subscript"/>
              </w:rPr>
              <w:t>4–3</w:t>
            </w:r>
            <w:r w:rsidRPr="001416ED">
              <w:rPr>
                <w:szCs w:val="22"/>
                <w:vertAlign w:val="subscript"/>
                <w:lang w:val="en-US"/>
              </w:rPr>
              <w:t>#</w:t>
            </w:r>
            <w:r w:rsidRPr="001416ED">
              <w:rPr>
                <w:szCs w:val="22"/>
                <w:lang w:val="en-US"/>
              </w:rPr>
              <w:t xml:space="preserve">, </w:t>
            </w:r>
            <w:r w:rsidRPr="001416ED">
              <w:rPr>
                <w:szCs w:val="22"/>
              </w:rPr>
              <w:t>р</w:t>
            </w:r>
            <w:r w:rsidRPr="001416ED">
              <w:rPr>
                <w:szCs w:val="22"/>
                <w:vertAlign w:val="subscript"/>
              </w:rPr>
              <w:t>4–2</w:t>
            </w:r>
            <w:r w:rsidRPr="001416ED">
              <w:rPr>
                <w:szCs w:val="22"/>
                <w:vertAlign w:val="subscript"/>
                <w:lang w:val="en-US"/>
              </w:rPr>
              <w:t>#</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lang w:val="en-US"/>
              </w:rPr>
              <w:t>D</w:t>
            </w:r>
            <w:r w:rsidRPr="001416ED">
              <w:rPr>
                <w:szCs w:val="22"/>
              </w:rPr>
              <w:t>Т, мс</w:t>
            </w:r>
          </w:p>
        </w:tc>
        <w:tc>
          <w:tcPr>
            <w:tcW w:w="1689" w:type="dxa"/>
          </w:tcPr>
          <w:p w:rsidR="00807B64" w:rsidRPr="001416ED" w:rsidRDefault="00807B64" w:rsidP="00B86142">
            <w:pPr>
              <w:spacing w:line="360" w:lineRule="auto"/>
              <w:rPr>
                <w:szCs w:val="22"/>
              </w:rPr>
            </w:pPr>
            <w:r w:rsidRPr="001416ED">
              <w:rPr>
                <w:szCs w:val="22"/>
              </w:rPr>
              <w:t>2</w:t>
            </w:r>
            <w:r w:rsidRPr="001416ED">
              <w:rPr>
                <w:szCs w:val="22"/>
                <w:lang w:val="en-US"/>
              </w:rPr>
              <w:t>48</w:t>
            </w:r>
            <w:r w:rsidRPr="001416ED">
              <w:rPr>
                <w:szCs w:val="22"/>
              </w:rPr>
              <w:t>,11 ± 8,47</w:t>
            </w:r>
          </w:p>
        </w:tc>
        <w:tc>
          <w:tcPr>
            <w:tcW w:w="1550" w:type="dxa"/>
          </w:tcPr>
          <w:p w:rsidR="00807B64" w:rsidRPr="001416ED" w:rsidRDefault="00807B64" w:rsidP="00B86142">
            <w:pPr>
              <w:spacing w:line="360" w:lineRule="auto"/>
              <w:rPr>
                <w:szCs w:val="22"/>
                <w:lang w:val="uk-UA"/>
              </w:rPr>
            </w:pPr>
            <w:r w:rsidRPr="001416ED">
              <w:rPr>
                <w:szCs w:val="22"/>
              </w:rPr>
              <w:t>24</w:t>
            </w:r>
            <w:r w:rsidRPr="001416ED">
              <w:rPr>
                <w:szCs w:val="22"/>
                <w:lang w:val="en-US"/>
              </w:rPr>
              <w:t>4</w:t>
            </w:r>
            <w:r w:rsidRPr="001416ED">
              <w:rPr>
                <w:szCs w:val="22"/>
              </w:rPr>
              <w:t xml:space="preserve">,63 ± </w:t>
            </w:r>
          </w:p>
          <w:p w:rsidR="00807B64" w:rsidRPr="001416ED" w:rsidRDefault="00807B64" w:rsidP="00B86142">
            <w:pPr>
              <w:spacing w:line="360" w:lineRule="auto"/>
              <w:rPr>
                <w:szCs w:val="22"/>
              </w:rPr>
            </w:pPr>
            <w:r w:rsidRPr="001416ED">
              <w:rPr>
                <w:szCs w:val="22"/>
              </w:rPr>
              <w:t>8,03</w:t>
            </w:r>
          </w:p>
        </w:tc>
        <w:tc>
          <w:tcPr>
            <w:tcW w:w="1701" w:type="dxa"/>
          </w:tcPr>
          <w:p w:rsidR="00807B64" w:rsidRPr="001416ED" w:rsidRDefault="00807B64" w:rsidP="00B86142">
            <w:pPr>
              <w:spacing w:line="360" w:lineRule="auto"/>
              <w:rPr>
                <w:szCs w:val="22"/>
                <w:lang w:val="en-US"/>
              </w:rPr>
            </w:pPr>
            <w:r w:rsidRPr="001416ED">
              <w:rPr>
                <w:szCs w:val="22"/>
              </w:rPr>
              <w:t>166,55 ± 5</w:t>
            </w:r>
            <w:r w:rsidRPr="001416ED">
              <w:rPr>
                <w:szCs w:val="22"/>
                <w:lang w:val="en-US"/>
              </w:rPr>
              <w:t>,</w:t>
            </w:r>
            <w:r w:rsidRPr="001416ED">
              <w:rPr>
                <w:szCs w:val="22"/>
              </w:rPr>
              <w:t>0</w:t>
            </w:r>
            <w:r w:rsidRPr="001416ED">
              <w:rPr>
                <w:szCs w:val="22"/>
                <w:lang w:val="en-US"/>
              </w:rPr>
              <w:t>9</w:t>
            </w:r>
          </w:p>
        </w:tc>
        <w:tc>
          <w:tcPr>
            <w:tcW w:w="1559" w:type="dxa"/>
          </w:tcPr>
          <w:p w:rsidR="00807B64" w:rsidRPr="001416ED" w:rsidRDefault="00807B64" w:rsidP="00B86142">
            <w:pPr>
              <w:spacing w:line="360" w:lineRule="auto"/>
              <w:rPr>
                <w:szCs w:val="22"/>
                <w:lang w:val="uk-UA"/>
              </w:rPr>
            </w:pPr>
            <w:r w:rsidRPr="001416ED">
              <w:rPr>
                <w:szCs w:val="22"/>
              </w:rPr>
              <w:t xml:space="preserve">185,06 ± </w:t>
            </w:r>
          </w:p>
          <w:p w:rsidR="00807B64" w:rsidRPr="001416ED" w:rsidRDefault="00807B64" w:rsidP="00B86142">
            <w:pPr>
              <w:spacing w:line="360" w:lineRule="auto"/>
              <w:rPr>
                <w:szCs w:val="22"/>
                <w:lang w:val="en-US"/>
              </w:rPr>
            </w:pPr>
            <w:r w:rsidRPr="001416ED">
              <w:rPr>
                <w:szCs w:val="22"/>
                <w:lang w:val="en-US"/>
              </w:rPr>
              <w:t>5,09</w:t>
            </w:r>
          </w:p>
        </w:tc>
        <w:tc>
          <w:tcPr>
            <w:tcW w:w="1950" w:type="dxa"/>
          </w:tcPr>
          <w:p w:rsidR="00807B64" w:rsidRPr="001416ED" w:rsidRDefault="00807B64" w:rsidP="00B86142">
            <w:pPr>
              <w:spacing w:line="360" w:lineRule="auto"/>
              <w:rPr>
                <w:szCs w:val="22"/>
              </w:rPr>
            </w:pPr>
            <w:r w:rsidRPr="001416ED">
              <w:rPr>
                <w:szCs w:val="22"/>
              </w:rPr>
              <w:t>р</w:t>
            </w:r>
            <w:r w:rsidRPr="001416ED">
              <w:rPr>
                <w:szCs w:val="22"/>
                <w:vertAlign w:val="subscript"/>
              </w:rPr>
              <w:t>3–1*</w:t>
            </w:r>
            <w:r w:rsidRPr="001416ED">
              <w:rPr>
                <w:szCs w:val="22"/>
              </w:rPr>
              <w:t>,р</w:t>
            </w:r>
            <w:r w:rsidRPr="001416ED">
              <w:rPr>
                <w:szCs w:val="22"/>
                <w:vertAlign w:val="subscript"/>
              </w:rPr>
              <w:t>4–2*</w:t>
            </w:r>
            <w:r w:rsidRPr="001416ED">
              <w:rPr>
                <w:szCs w:val="22"/>
                <w:lang w:val="en-US"/>
              </w:rPr>
              <w:t>,</w:t>
            </w:r>
            <w:r w:rsidRPr="001416ED">
              <w:rPr>
                <w:szCs w:val="22"/>
              </w:rPr>
              <w:t>р</w:t>
            </w:r>
            <w:r w:rsidRPr="001416ED">
              <w:rPr>
                <w:szCs w:val="22"/>
                <w:vertAlign w:val="subscript"/>
              </w:rPr>
              <w:t>4–3*</w:t>
            </w:r>
            <w:r w:rsidRPr="001416ED">
              <w:rPr>
                <w:szCs w:val="22"/>
              </w:rPr>
              <w:t>,</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IVRT, мс</w:t>
            </w:r>
          </w:p>
        </w:tc>
        <w:tc>
          <w:tcPr>
            <w:tcW w:w="1689" w:type="dxa"/>
          </w:tcPr>
          <w:p w:rsidR="00807B64" w:rsidRPr="001416ED" w:rsidRDefault="00807B64" w:rsidP="00B86142">
            <w:pPr>
              <w:spacing w:line="360" w:lineRule="auto"/>
              <w:rPr>
                <w:szCs w:val="22"/>
              </w:rPr>
            </w:pPr>
            <w:r w:rsidRPr="001416ED">
              <w:rPr>
                <w:szCs w:val="22"/>
              </w:rPr>
              <w:t>82,40 ± 2,40</w:t>
            </w:r>
          </w:p>
        </w:tc>
        <w:tc>
          <w:tcPr>
            <w:tcW w:w="1550" w:type="dxa"/>
          </w:tcPr>
          <w:p w:rsidR="00807B64" w:rsidRPr="001416ED" w:rsidRDefault="00807B64" w:rsidP="00B86142">
            <w:pPr>
              <w:spacing w:line="360" w:lineRule="auto"/>
              <w:rPr>
                <w:szCs w:val="22"/>
              </w:rPr>
            </w:pPr>
            <w:r w:rsidRPr="001416ED">
              <w:rPr>
                <w:szCs w:val="22"/>
              </w:rPr>
              <w:t>98,52 ± 2,94</w:t>
            </w:r>
          </w:p>
        </w:tc>
        <w:tc>
          <w:tcPr>
            <w:tcW w:w="1701" w:type="dxa"/>
          </w:tcPr>
          <w:p w:rsidR="00807B64" w:rsidRPr="001416ED" w:rsidRDefault="00807B64" w:rsidP="00B86142">
            <w:pPr>
              <w:spacing w:line="360" w:lineRule="auto"/>
              <w:rPr>
                <w:szCs w:val="22"/>
                <w:lang w:val="en-US"/>
              </w:rPr>
            </w:pPr>
            <w:r w:rsidRPr="001416ED">
              <w:rPr>
                <w:szCs w:val="22"/>
                <w:lang w:val="en-US"/>
              </w:rPr>
              <w:t>80,18</w:t>
            </w:r>
            <w:r w:rsidRPr="001416ED">
              <w:rPr>
                <w:szCs w:val="22"/>
              </w:rPr>
              <w:t xml:space="preserve"> ± 2,4</w:t>
            </w:r>
            <w:r w:rsidRPr="001416ED">
              <w:rPr>
                <w:szCs w:val="22"/>
                <w:lang w:val="en-US"/>
              </w:rPr>
              <w:t>3</w:t>
            </w:r>
          </w:p>
        </w:tc>
        <w:tc>
          <w:tcPr>
            <w:tcW w:w="1559" w:type="dxa"/>
          </w:tcPr>
          <w:p w:rsidR="00807B64" w:rsidRPr="001416ED" w:rsidRDefault="00807B64" w:rsidP="00B86142">
            <w:pPr>
              <w:spacing w:line="360" w:lineRule="auto"/>
              <w:rPr>
                <w:szCs w:val="22"/>
                <w:lang w:val="en-US"/>
              </w:rPr>
            </w:pPr>
            <w:r w:rsidRPr="001416ED">
              <w:rPr>
                <w:szCs w:val="22"/>
                <w:lang w:val="en-US"/>
              </w:rPr>
              <w:t>8</w:t>
            </w:r>
            <w:r w:rsidRPr="001416ED">
              <w:rPr>
                <w:szCs w:val="22"/>
              </w:rPr>
              <w:t>8,</w:t>
            </w:r>
            <w:r w:rsidRPr="001416ED">
              <w:rPr>
                <w:szCs w:val="22"/>
                <w:lang w:val="en-US"/>
              </w:rPr>
              <w:t>71</w:t>
            </w:r>
            <w:r w:rsidRPr="001416ED">
              <w:rPr>
                <w:szCs w:val="22"/>
              </w:rPr>
              <w:t xml:space="preserve"> ± </w:t>
            </w:r>
            <w:r w:rsidRPr="001416ED">
              <w:rPr>
                <w:szCs w:val="22"/>
                <w:lang w:val="en-US"/>
              </w:rPr>
              <w:t>3,60</w:t>
            </w:r>
          </w:p>
        </w:tc>
        <w:tc>
          <w:tcPr>
            <w:tcW w:w="1950" w:type="dxa"/>
          </w:tcPr>
          <w:p w:rsidR="00807B64" w:rsidRPr="001416ED" w:rsidRDefault="00807B64" w:rsidP="00B86142">
            <w:pPr>
              <w:spacing w:line="360" w:lineRule="auto"/>
              <w:rPr>
                <w:szCs w:val="22"/>
              </w:rPr>
            </w:pPr>
            <w:r w:rsidRPr="001416ED">
              <w:rPr>
                <w:szCs w:val="22"/>
              </w:rPr>
              <w:t>р</w:t>
            </w:r>
            <w:r w:rsidRPr="001416ED">
              <w:rPr>
                <w:szCs w:val="22"/>
                <w:vertAlign w:val="subscript"/>
              </w:rPr>
              <w:t>2–1*</w:t>
            </w:r>
            <w:r w:rsidRPr="001416ED">
              <w:rPr>
                <w:szCs w:val="22"/>
                <w:lang w:val="en-US"/>
              </w:rPr>
              <w:t>,</w:t>
            </w: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807B64" w:rsidRPr="001416ED" w:rsidTr="00807B64">
        <w:tc>
          <w:tcPr>
            <w:tcW w:w="1689" w:type="dxa"/>
          </w:tcPr>
          <w:p w:rsidR="00807B64" w:rsidRPr="001416ED" w:rsidRDefault="00807B64" w:rsidP="00B86142">
            <w:pPr>
              <w:spacing w:line="360" w:lineRule="auto"/>
              <w:rPr>
                <w:szCs w:val="22"/>
              </w:rPr>
            </w:pPr>
            <w:r w:rsidRPr="001416ED">
              <w:rPr>
                <w:szCs w:val="22"/>
              </w:rPr>
              <w:t>САТ,</w:t>
            </w:r>
          </w:p>
          <w:p w:rsidR="00807B64" w:rsidRPr="001416ED" w:rsidRDefault="00807B64" w:rsidP="00B86142">
            <w:pPr>
              <w:spacing w:line="360" w:lineRule="auto"/>
              <w:rPr>
                <w:szCs w:val="22"/>
              </w:rPr>
            </w:pPr>
            <w:r w:rsidRPr="001416ED">
              <w:rPr>
                <w:szCs w:val="22"/>
              </w:rPr>
              <w:t>мм рт. ст.</w:t>
            </w:r>
          </w:p>
        </w:tc>
        <w:tc>
          <w:tcPr>
            <w:tcW w:w="1689" w:type="dxa"/>
          </w:tcPr>
          <w:p w:rsidR="00807B64" w:rsidRPr="001416ED" w:rsidRDefault="00807B64" w:rsidP="00B86142">
            <w:pPr>
              <w:spacing w:line="360" w:lineRule="auto"/>
              <w:rPr>
                <w:szCs w:val="22"/>
              </w:rPr>
            </w:pPr>
            <w:r w:rsidRPr="001416ED">
              <w:rPr>
                <w:szCs w:val="22"/>
              </w:rPr>
              <w:t xml:space="preserve">161,97 ± </w:t>
            </w:r>
          </w:p>
          <w:p w:rsidR="00807B64" w:rsidRPr="001416ED" w:rsidRDefault="00807B64" w:rsidP="00B86142">
            <w:pPr>
              <w:spacing w:line="360" w:lineRule="auto"/>
              <w:rPr>
                <w:szCs w:val="22"/>
              </w:rPr>
            </w:pPr>
            <w:r w:rsidRPr="001416ED">
              <w:rPr>
                <w:szCs w:val="22"/>
              </w:rPr>
              <w:t>2,48</w:t>
            </w:r>
          </w:p>
        </w:tc>
        <w:tc>
          <w:tcPr>
            <w:tcW w:w="1550" w:type="dxa"/>
          </w:tcPr>
          <w:p w:rsidR="00807B64" w:rsidRPr="001416ED" w:rsidRDefault="00807B64" w:rsidP="00B86142">
            <w:pPr>
              <w:spacing w:line="360" w:lineRule="auto"/>
              <w:rPr>
                <w:szCs w:val="22"/>
              </w:rPr>
            </w:pPr>
            <w:r w:rsidRPr="001416ED">
              <w:rPr>
                <w:szCs w:val="22"/>
              </w:rPr>
              <w:t>170,19 ± 3,72</w:t>
            </w:r>
          </w:p>
        </w:tc>
        <w:tc>
          <w:tcPr>
            <w:tcW w:w="1701" w:type="dxa"/>
          </w:tcPr>
          <w:p w:rsidR="00807B64" w:rsidRPr="001416ED" w:rsidRDefault="00807B64" w:rsidP="00B86142">
            <w:pPr>
              <w:spacing w:line="360" w:lineRule="auto"/>
              <w:rPr>
                <w:szCs w:val="22"/>
                <w:lang w:val="en-US"/>
              </w:rPr>
            </w:pPr>
            <w:r w:rsidRPr="001416ED">
              <w:rPr>
                <w:szCs w:val="22"/>
              </w:rPr>
              <w:t>16</w:t>
            </w:r>
            <w:r w:rsidRPr="001416ED">
              <w:rPr>
                <w:szCs w:val="22"/>
                <w:lang w:val="en-US"/>
              </w:rPr>
              <w:t>7</w:t>
            </w:r>
            <w:r w:rsidRPr="001416ED">
              <w:rPr>
                <w:szCs w:val="22"/>
              </w:rPr>
              <w:t>,9</w:t>
            </w:r>
            <w:r w:rsidRPr="001416ED">
              <w:rPr>
                <w:szCs w:val="22"/>
                <w:lang w:val="en-US"/>
              </w:rPr>
              <w:t>1</w:t>
            </w:r>
            <w:r w:rsidRPr="001416ED">
              <w:rPr>
                <w:szCs w:val="22"/>
              </w:rPr>
              <w:t xml:space="preserve"> ± </w:t>
            </w:r>
            <w:r w:rsidRPr="001416ED">
              <w:rPr>
                <w:szCs w:val="22"/>
                <w:lang w:val="en-US"/>
              </w:rPr>
              <w:t>1,51</w:t>
            </w:r>
          </w:p>
        </w:tc>
        <w:tc>
          <w:tcPr>
            <w:tcW w:w="1559" w:type="dxa"/>
          </w:tcPr>
          <w:p w:rsidR="00807B64" w:rsidRPr="001416ED" w:rsidRDefault="00807B64" w:rsidP="00B86142">
            <w:pPr>
              <w:spacing w:line="360" w:lineRule="auto"/>
              <w:rPr>
                <w:szCs w:val="22"/>
              </w:rPr>
            </w:pPr>
            <w:r w:rsidRPr="001416ED">
              <w:rPr>
                <w:szCs w:val="22"/>
              </w:rPr>
              <w:t>1</w:t>
            </w:r>
            <w:r w:rsidRPr="001416ED">
              <w:rPr>
                <w:szCs w:val="22"/>
                <w:lang w:val="en-US"/>
              </w:rPr>
              <w:t>85</w:t>
            </w:r>
            <w:r w:rsidRPr="001416ED">
              <w:rPr>
                <w:szCs w:val="22"/>
              </w:rPr>
              <w:t>,</w:t>
            </w:r>
            <w:r w:rsidRPr="001416ED">
              <w:rPr>
                <w:szCs w:val="22"/>
                <w:lang w:val="en-US"/>
              </w:rPr>
              <w:t>29</w:t>
            </w:r>
            <w:r w:rsidRPr="001416ED">
              <w:rPr>
                <w:szCs w:val="22"/>
              </w:rPr>
              <w:t xml:space="preserve"> ± </w:t>
            </w:r>
          </w:p>
          <w:p w:rsidR="00807B64" w:rsidRPr="001416ED" w:rsidRDefault="00807B64" w:rsidP="00B86142">
            <w:pPr>
              <w:spacing w:line="360" w:lineRule="auto"/>
              <w:rPr>
                <w:szCs w:val="22"/>
                <w:lang w:val="en-US"/>
              </w:rPr>
            </w:pPr>
            <w:r w:rsidRPr="001416ED">
              <w:rPr>
                <w:szCs w:val="22"/>
                <w:lang w:val="en-US"/>
              </w:rPr>
              <w:t>4,21</w:t>
            </w:r>
          </w:p>
        </w:tc>
        <w:tc>
          <w:tcPr>
            <w:tcW w:w="1950" w:type="dxa"/>
          </w:tcPr>
          <w:p w:rsidR="00807B64" w:rsidRPr="001416ED" w:rsidRDefault="00807B64" w:rsidP="00B86142">
            <w:pPr>
              <w:spacing w:line="360" w:lineRule="auto"/>
              <w:rPr>
                <w:szCs w:val="22"/>
                <w:lang w:val="uk-UA"/>
              </w:rPr>
            </w:pPr>
            <w:r w:rsidRPr="001416ED">
              <w:rPr>
                <w:szCs w:val="22"/>
              </w:rPr>
              <w:t>р</w:t>
            </w:r>
            <w:r w:rsidRPr="001416ED">
              <w:rPr>
                <w:szCs w:val="22"/>
                <w:vertAlign w:val="subscript"/>
              </w:rPr>
              <w:t>2–1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3–1</w:t>
            </w:r>
            <w:r w:rsidRPr="001416ED">
              <w:rPr>
                <w:szCs w:val="22"/>
                <w:vertAlign w:val="subscript"/>
                <w:lang w:val="en-US"/>
              </w:rPr>
              <w:t>&amp;</w:t>
            </w:r>
            <w:r w:rsidRPr="001416ED">
              <w:rPr>
                <w:szCs w:val="22"/>
                <w:lang w:val="uk-UA"/>
              </w:rPr>
              <w:t>,</w:t>
            </w:r>
          </w:p>
          <w:p w:rsidR="00807B64" w:rsidRPr="001416ED" w:rsidRDefault="00807B64" w:rsidP="00B86142">
            <w:pPr>
              <w:spacing w:line="360" w:lineRule="auto"/>
              <w:rPr>
                <w:szCs w:val="22"/>
                <w:lang w:val="en-US"/>
              </w:rPr>
            </w:pPr>
            <w:r w:rsidRPr="001416ED">
              <w:rPr>
                <w:szCs w:val="22"/>
              </w:rPr>
              <w:t>р</w:t>
            </w:r>
            <w:r w:rsidRPr="001416ED">
              <w:rPr>
                <w:szCs w:val="22"/>
                <w:vertAlign w:val="subscript"/>
              </w:rPr>
              <w:t>4–3</w:t>
            </w:r>
            <w:r w:rsidRPr="001416ED">
              <w:rPr>
                <w:szCs w:val="22"/>
                <w:vertAlign w:val="subscript"/>
                <w:lang w:val="en-US"/>
              </w:rPr>
              <w:t>*</w:t>
            </w:r>
            <w:r w:rsidRPr="001416ED">
              <w:rPr>
                <w:szCs w:val="22"/>
                <w:lang w:val="en-US"/>
              </w:rPr>
              <w:t>,</w:t>
            </w:r>
            <w:r w:rsidRPr="001416ED">
              <w:rPr>
                <w:szCs w:val="22"/>
                <w:lang w:val="uk-UA"/>
              </w:rPr>
              <w:t xml:space="preserve"> </w:t>
            </w:r>
            <w:r w:rsidRPr="001416ED">
              <w:rPr>
                <w:szCs w:val="22"/>
              </w:rPr>
              <w:t>р</w:t>
            </w:r>
            <w:r w:rsidRPr="001416ED">
              <w:rPr>
                <w:szCs w:val="22"/>
                <w:vertAlign w:val="subscript"/>
              </w:rPr>
              <w:t>4–2</w:t>
            </w:r>
            <w:r w:rsidRPr="001416ED">
              <w:rPr>
                <w:szCs w:val="22"/>
                <w:vertAlign w:val="subscript"/>
                <w:lang w:val="en-US"/>
              </w:rPr>
              <w:t>*</w:t>
            </w:r>
          </w:p>
        </w:tc>
      </w:tr>
      <w:tr w:rsidR="00807B64" w:rsidRPr="001416ED" w:rsidTr="00807B64">
        <w:tc>
          <w:tcPr>
            <w:tcW w:w="1689" w:type="dxa"/>
          </w:tcPr>
          <w:p w:rsidR="00807B64" w:rsidRPr="001416ED" w:rsidRDefault="00807B64" w:rsidP="00B86142">
            <w:pPr>
              <w:spacing w:line="360" w:lineRule="auto"/>
              <w:rPr>
                <w:szCs w:val="22"/>
                <w:lang w:val="en-US"/>
              </w:rPr>
            </w:pPr>
            <w:r w:rsidRPr="001416ED">
              <w:rPr>
                <w:szCs w:val="22"/>
              </w:rPr>
              <w:t>ДАТ,</w:t>
            </w:r>
          </w:p>
          <w:p w:rsidR="00807B64" w:rsidRPr="001416ED" w:rsidRDefault="00807B64" w:rsidP="00B86142">
            <w:pPr>
              <w:spacing w:line="360" w:lineRule="auto"/>
              <w:rPr>
                <w:szCs w:val="22"/>
              </w:rPr>
            </w:pPr>
            <w:r w:rsidRPr="001416ED">
              <w:rPr>
                <w:szCs w:val="22"/>
              </w:rPr>
              <w:t>мм рт. ст.</w:t>
            </w:r>
          </w:p>
        </w:tc>
        <w:tc>
          <w:tcPr>
            <w:tcW w:w="1689" w:type="dxa"/>
          </w:tcPr>
          <w:p w:rsidR="00807B64" w:rsidRPr="001416ED" w:rsidRDefault="00807B64" w:rsidP="00B86142">
            <w:pPr>
              <w:spacing w:line="360" w:lineRule="auto"/>
              <w:rPr>
                <w:szCs w:val="22"/>
              </w:rPr>
            </w:pPr>
            <w:r w:rsidRPr="001416ED">
              <w:rPr>
                <w:szCs w:val="22"/>
              </w:rPr>
              <w:t>97,06 ± 0,93</w:t>
            </w:r>
          </w:p>
        </w:tc>
        <w:tc>
          <w:tcPr>
            <w:tcW w:w="1550" w:type="dxa"/>
          </w:tcPr>
          <w:p w:rsidR="00807B64" w:rsidRPr="001416ED" w:rsidRDefault="00807B64" w:rsidP="00B86142">
            <w:pPr>
              <w:spacing w:line="360" w:lineRule="auto"/>
              <w:rPr>
                <w:szCs w:val="22"/>
                <w:lang w:val="uk-UA"/>
              </w:rPr>
            </w:pPr>
            <w:r w:rsidRPr="001416ED">
              <w:rPr>
                <w:szCs w:val="22"/>
              </w:rPr>
              <w:t xml:space="preserve">104,07 ± </w:t>
            </w:r>
          </w:p>
          <w:p w:rsidR="00807B64" w:rsidRPr="001416ED" w:rsidRDefault="00807B64" w:rsidP="00B86142">
            <w:pPr>
              <w:spacing w:line="360" w:lineRule="auto"/>
              <w:rPr>
                <w:szCs w:val="22"/>
              </w:rPr>
            </w:pPr>
            <w:r w:rsidRPr="001416ED">
              <w:rPr>
                <w:szCs w:val="22"/>
              </w:rPr>
              <w:t>1,77</w:t>
            </w:r>
          </w:p>
        </w:tc>
        <w:tc>
          <w:tcPr>
            <w:tcW w:w="1701" w:type="dxa"/>
          </w:tcPr>
          <w:p w:rsidR="00807B64" w:rsidRPr="001416ED" w:rsidRDefault="00807B64" w:rsidP="00B86142">
            <w:pPr>
              <w:spacing w:line="360" w:lineRule="auto"/>
              <w:rPr>
                <w:szCs w:val="22"/>
                <w:lang w:val="en-US"/>
              </w:rPr>
            </w:pPr>
            <w:r w:rsidRPr="001416ED">
              <w:rPr>
                <w:szCs w:val="22"/>
                <w:lang w:val="en-US"/>
              </w:rPr>
              <w:t>102,94</w:t>
            </w:r>
            <w:r w:rsidRPr="001416ED">
              <w:rPr>
                <w:szCs w:val="22"/>
              </w:rPr>
              <w:t xml:space="preserve"> ± </w:t>
            </w:r>
            <w:r w:rsidRPr="001416ED">
              <w:rPr>
                <w:szCs w:val="22"/>
                <w:lang w:val="en-US"/>
              </w:rPr>
              <w:t>1,41</w:t>
            </w:r>
          </w:p>
        </w:tc>
        <w:tc>
          <w:tcPr>
            <w:tcW w:w="1559" w:type="dxa"/>
          </w:tcPr>
          <w:p w:rsidR="00807B64" w:rsidRPr="001416ED" w:rsidRDefault="00807B64" w:rsidP="00B86142">
            <w:pPr>
              <w:spacing w:line="360" w:lineRule="auto"/>
              <w:rPr>
                <w:szCs w:val="22"/>
                <w:lang w:val="uk-UA"/>
              </w:rPr>
            </w:pPr>
            <w:r w:rsidRPr="001416ED">
              <w:rPr>
                <w:szCs w:val="22"/>
              </w:rPr>
              <w:t>1</w:t>
            </w:r>
            <w:r w:rsidRPr="001416ED">
              <w:rPr>
                <w:szCs w:val="22"/>
                <w:lang w:val="en-US"/>
              </w:rPr>
              <w:t>10</w:t>
            </w:r>
            <w:r w:rsidRPr="001416ED">
              <w:rPr>
                <w:szCs w:val="22"/>
              </w:rPr>
              <w:t>,</w:t>
            </w:r>
            <w:r w:rsidRPr="001416ED">
              <w:rPr>
                <w:szCs w:val="22"/>
                <w:lang w:val="en-US"/>
              </w:rPr>
              <w:t>7</w:t>
            </w:r>
            <w:r w:rsidRPr="001416ED">
              <w:rPr>
                <w:szCs w:val="22"/>
              </w:rPr>
              <w:t xml:space="preserve">7 ± </w:t>
            </w:r>
          </w:p>
          <w:p w:rsidR="00807B64" w:rsidRPr="001416ED" w:rsidRDefault="00807B64" w:rsidP="00B86142">
            <w:pPr>
              <w:spacing w:line="360" w:lineRule="auto"/>
              <w:rPr>
                <w:szCs w:val="22"/>
                <w:lang w:val="en-US"/>
              </w:rPr>
            </w:pPr>
            <w:r w:rsidRPr="001416ED">
              <w:rPr>
                <w:szCs w:val="22"/>
                <w:lang w:val="en-US"/>
              </w:rPr>
              <w:t>2,75</w:t>
            </w:r>
          </w:p>
        </w:tc>
        <w:tc>
          <w:tcPr>
            <w:tcW w:w="1950" w:type="dxa"/>
          </w:tcPr>
          <w:p w:rsidR="00807B64" w:rsidRPr="001416ED" w:rsidRDefault="00807B64" w:rsidP="00B86142">
            <w:pPr>
              <w:spacing w:line="360" w:lineRule="auto"/>
              <w:rPr>
                <w:szCs w:val="22"/>
                <w:lang w:val="en-US"/>
              </w:rPr>
            </w:pPr>
            <w:r w:rsidRPr="001416ED">
              <w:rPr>
                <w:szCs w:val="22"/>
              </w:rPr>
              <w:t>р</w:t>
            </w:r>
            <w:r w:rsidRPr="001416ED">
              <w:rPr>
                <w:szCs w:val="22"/>
                <w:vertAlign w:val="subscript"/>
              </w:rPr>
              <w:t>2–1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3–1</w:t>
            </w:r>
            <w:r w:rsidRPr="001416ED">
              <w:rPr>
                <w:szCs w:val="22"/>
                <w:vertAlign w:val="subscript"/>
                <w:lang w:val="en-US"/>
              </w:rPr>
              <w:t>*</w:t>
            </w:r>
            <w:r w:rsidRPr="001416ED">
              <w:rPr>
                <w:szCs w:val="22"/>
                <w:lang w:val="en-US"/>
              </w:rPr>
              <w:t>,</w:t>
            </w:r>
            <w:r w:rsidRPr="001416ED">
              <w:rPr>
                <w:szCs w:val="22"/>
              </w:rPr>
              <w:t>р</w:t>
            </w:r>
            <w:r w:rsidRPr="001416ED">
              <w:rPr>
                <w:szCs w:val="22"/>
                <w:vertAlign w:val="subscript"/>
              </w:rPr>
              <w:t>4–3</w:t>
            </w:r>
            <w:r w:rsidRPr="001416ED">
              <w:rPr>
                <w:szCs w:val="22"/>
                <w:vertAlign w:val="subscript"/>
                <w:lang w:val="en-US"/>
              </w:rPr>
              <w:t>#</w:t>
            </w:r>
            <w:r w:rsidRPr="001416ED">
              <w:rPr>
                <w:szCs w:val="22"/>
                <w:lang w:val="en-US"/>
              </w:rPr>
              <w:t>,</w:t>
            </w:r>
            <w:r w:rsidRPr="001416ED">
              <w:rPr>
                <w:szCs w:val="22"/>
              </w:rPr>
              <w:t xml:space="preserve"> р</w:t>
            </w:r>
            <w:r w:rsidRPr="001416ED">
              <w:rPr>
                <w:szCs w:val="22"/>
                <w:vertAlign w:val="subscript"/>
              </w:rPr>
              <w:t>4–2</w:t>
            </w:r>
            <w:r w:rsidRPr="001416ED">
              <w:rPr>
                <w:szCs w:val="22"/>
                <w:vertAlign w:val="subscript"/>
                <w:lang w:val="en-US"/>
              </w:rPr>
              <w:t>*</w:t>
            </w:r>
          </w:p>
        </w:tc>
      </w:tr>
      <w:tr w:rsidR="00807B64" w:rsidRPr="001416ED" w:rsidTr="00807B64">
        <w:tc>
          <w:tcPr>
            <w:tcW w:w="1689" w:type="dxa"/>
          </w:tcPr>
          <w:p w:rsidR="00807B64" w:rsidRPr="001416ED" w:rsidRDefault="00807B64" w:rsidP="00B86142">
            <w:pPr>
              <w:spacing w:line="360" w:lineRule="auto"/>
              <w:rPr>
                <w:szCs w:val="22"/>
                <w:lang w:val="uk-UA"/>
              </w:rPr>
            </w:pPr>
            <w:r w:rsidRPr="001416ED">
              <w:rPr>
                <w:szCs w:val="22"/>
              </w:rPr>
              <w:t xml:space="preserve">ЧСС, </w:t>
            </w:r>
          </w:p>
          <w:p w:rsidR="00807B64" w:rsidRPr="001416ED" w:rsidRDefault="00807B64" w:rsidP="00B86142">
            <w:pPr>
              <w:spacing w:line="360" w:lineRule="auto"/>
              <w:rPr>
                <w:szCs w:val="22"/>
              </w:rPr>
            </w:pPr>
            <w:r w:rsidRPr="001416ED">
              <w:rPr>
                <w:szCs w:val="22"/>
              </w:rPr>
              <w:t>за 1 хв.</w:t>
            </w:r>
          </w:p>
        </w:tc>
        <w:tc>
          <w:tcPr>
            <w:tcW w:w="1689" w:type="dxa"/>
          </w:tcPr>
          <w:p w:rsidR="00807B64" w:rsidRPr="001416ED" w:rsidRDefault="00807B64" w:rsidP="00B86142">
            <w:pPr>
              <w:spacing w:line="360" w:lineRule="auto"/>
              <w:rPr>
                <w:szCs w:val="22"/>
              </w:rPr>
            </w:pPr>
            <w:r w:rsidRPr="001416ED">
              <w:rPr>
                <w:szCs w:val="22"/>
              </w:rPr>
              <w:t>69,60 ±  1,78</w:t>
            </w:r>
          </w:p>
        </w:tc>
        <w:tc>
          <w:tcPr>
            <w:tcW w:w="1550" w:type="dxa"/>
          </w:tcPr>
          <w:p w:rsidR="00807B64" w:rsidRPr="001416ED" w:rsidRDefault="00807B64" w:rsidP="00B86142">
            <w:pPr>
              <w:spacing w:line="360" w:lineRule="auto"/>
              <w:rPr>
                <w:szCs w:val="22"/>
              </w:rPr>
            </w:pPr>
            <w:r w:rsidRPr="001416ED">
              <w:rPr>
                <w:szCs w:val="22"/>
              </w:rPr>
              <w:t>83,37 ±  2,77</w:t>
            </w:r>
          </w:p>
        </w:tc>
        <w:tc>
          <w:tcPr>
            <w:tcW w:w="1701" w:type="dxa"/>
          </w:tcPr>
          <w:p w:rsidR="00807B64" w:rsidRPr="001416ED" w:rsidRDefault="00807B64" w:rsidP="00B86142">
            <w:pPr>
              <w:spacing w:line="360" w:lineRule="auto"/>
              <w:rPr>
                <w:szCs w:val="22"/>
              </w:rPr>
            </w:pPr>
            <w:r w:rsidRPr="001416ED">
              <w:rPr>
                <w:szCs w:val="22"/>
                <w:lang w:val="en-US"/>
              </w:rPr>
              <w:t>74</w:t>
            </w:r>
            <w:r w:rsidRPr="001416ED">
              <w:rPr>
                <w:szCs w:val="22"/>
              </w:rPr>
              <w:t>,</w:t>
            </w:r>
            <w:r w:rsidRPr="001416ED">
              <w:rPr>
                <w:szCs w:val="22"/>
                <w:lang w:val="en-US"/>
              </w:rPr>
              <w:t>36</w:t>
            </w:r>
            <w:r w:rsidRPr="001416ED">
              <w:rPr>
                <w:szCs w:val="22"/>
              </w:rPr>
              <w:t xml:space="preserve"> ±  1,</w:t>
            </w:r>
            <w:r w:rsidRPr="001416ED">
              <w:rPr>
                <w:szCs w:val="22"/>
                <w:lang w:val="en-US"/>
              </w:rPr>
              <w:t>6</w:t>
            </w:r>
            <w:r w:rsidRPr="001416ED">
              <w:rPr>
                <w:szCs w:val="22"/>
              </w:rPr>
              <w:t>8</w:t>
            </w:r>
          </w:p>
        </w:tc>
        <w:tc>
          <w:tcPr>
            <w:tcW w:w="1559" w:type="dxa"/>
          </w:tcPr>
          <w:p w:rsidR="00807B64" w:rsidRPr="001416ED" w:rsidRDefault="00807B64" w:rsidP="00B86142">
            <w:pPr>
              <w:spacing w:line="360" w:lineRule="auto"/>
              <w:rPr>
                <w:szCs w:val="22"/>
                <w:lang w:val="en-US"/>
              </w:rPr>
            </w:pPr>
            <w:r w:rsidRPr="001416ED">
              <w:rPr>
                <w:szCs w:val="22"/>
                <w:lang w:val="en-US"/>
              </w:rPr>
              <w:t>95,00</w:t>
            </w:r>
            <w:r w:rsidRPr="001416ED">
              <w:rPr>
                <w:szCs w:val="22"/>
              </w:rPr>
              <w:t xml:space="preserve"> ±  2,7</w:t>
            </w:r>
            <w:r w:rsidRPr="001416ED">
              <w:rPr>
                <w:szCs w:val="22"/>
                <w:lang w:val="en-US"/>
              </w:rPr>
              <w:t>3</w:t>
            </w:r>
          </w:p>
        </w:tc>
        <w:tc>
          <w:tcPr>
            <w:tcW w:w="1950" w:type="dxa"/>
          </w:tcPr>
          <w:p w:rsidR="00807B64" w:rsidRPr="001416ED" w:rsidRDefault="00807B64" w:rsidP="00B86142">
            <w:pPr>
              <w:spacing w:line="360" w:lineRule="auto"/>
              <w:rPr>
                <w:szCs w:val="22"/>
                <w:lang w:val="en-US"/>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,р</w:t>
            </w:r>
            <w:r w:rsidRPr="001416ED">
              <w:rPr>
                <w:szCs w:val="22"/>
                <w:vertAlign w:val="subscript"/>
              </w:rPr>
              <w:t>4–3*</w:t>
            </w:r>
            <w:r w:rsidRPr="001416ED">
              <w:rPr>
                <w:szCs w:val="22"/>
              </w:rPr>
              <w:t>, р</w:t>
            </w:r>
            <w:r w:rsidRPr="001416ED">
              <w:rPr>
                <w:szCs w:val="22"/>
                <w:vertAlign w:val="subscript"/>
              </w:rPr>
              <w:t>4–2*</w:t>
            </w:r>
          </w:p>
        </w:tc>
      </w:tr>
    </w:tbl>
    <w:p w:rsidR="00207B4E" w:rsidRPr="001416ED" w:rsidRDefault="00207B4E" w:rsidP="00207B4E">
      <w:pPr>
        <w:spacing w:before="240" w:line="360" w:lineRule="auto"/>
        <w:jc w:val="both"/>
        <w:rPr>
          <w:lang w:val="uk-UA"/>
        </w:rPr>
      </w:pPr>
      <w:r w:rsidRPr="001416ED">
        <w:rPr>
          <w:lang w:val="uk-UA"/>
        </w:rPr>
        <w:t>Примітка:</w:t>
      </w:r>
      <w:r w:rsidRPr="001416ED">
        <w:rPr>
          <w:i/>
          <w:lang w:val="uk-UA"/>
        </w:rPr>
        <w:t xml:space="preserve"> </w:t>
      </w:r>
      <w:r w:rsidRPr="001416ED">
        <w:rPr>
          <w:lang w:val="uk-UA"/>
        </w:rPr>
        <w:t xml:space="preserve">різниця достовірна * </w:t>
      </w:r>
      <w:r w:rsidR="00BC0119" w:rsidRPr="001416ED">
        <w:rPr>
          <w:lang w:val="uk-UA"/>
        </w:rPr>
        <w:t>–</w:t>
      </w:r>
      <w:r w:rsidRPr="001416ED">
        <w:rPr>
          <w:lang w:val="uk-UA"/>
        </w:rPr>
        <w:t xml:space="preserve"> при р</w:t>
      </w:r>
      <w:r w:rsidR="00807B64" w:rsidRPr="001416ED">
        <w:rPr>
          <w:lang w:val="uk-UA"/>
        </w:rPr>
        <w:t>˂</w:t>
      </w:r>
      <w:r w:rsidRPr="001416ED">
        <w:rPr>
          <w:lang w:val="uk-UA"/>
        </w:rPr>
        <w:t xml:space="preserve">0,001, </w:t>
      </w:r>
      <w:r w:rsidRPr="001416ED">
        <w:t xml:space="preserve"># </w:t>
      </w:r>
      <w:r w:rsidR="00BC0119" w:rsidRPr="001416ED">
        <w:t>–</w:t>
      </w:r>
      <w:r w:rsidRPr="001416ED">
        <w:t xml:space="preserve"> при </w:t>
      </w:r>
      <w:r w:rsidRPr="001416ED">
        <w:rPr>
          <w:lang w:val="uk-UA"/>
        </w:rPr>
        <w:t>р</w:t>
      </w:r>
      <w:r w:rsidR="00807B64" w:rsidRPr="001416ED">
        <w:rPr>
          <w:lang w:val="uk-UA"/>
        </w:rPr>
        <w:t>˂</w:t>
      </w:r>
      <w:r w:rsidRPr="001416ED">
        <w:rPr>
          <w:lang w:val="uk-UA"/>
        </w:rPr>
        <w:t>0,01</w:t>
      </w:r>
      <w:r w:rsidRPr="001416ED">
        <w:t>, &amp;</w:t>
      </w:r>
      <w:r w:rsidRPr="001416ED">
        <w:rPr>
          <w:lang w:val="uk-UA"/>
        </w:rPr>
        <w:t xml:space="preserve"> </w:t>
      </w:r>
      <w:r w:rsidR="00BC0119" w:rsidRPr="001416ED">
        <w:rPr>
          <w:lang w:val="uk-UA"/>
        </w:rPr>
        <w:t>–</w:t>
      </w:r>
      <w:r w:rsidRPr="001416ED">
        <w:rPr>
          <w:lang w:val="uk-UA"/>
        </w:rPr>
        <w:t xml:space="preserve"> при р</w:t>
      </w:r>
      <w:r w:rsidR="00807B64" w:rsidRPr="001416ED">
        <w:rPr>
          <w:lang w:val="uk-UA"/>
        </w:rPr>
        <w:t>˂</w:t>
      </w:r>
      <w:r w:rsidRPr="001416ED">
        <w:rPr>
          <w:lang w:val="uk-UA"/>
        </w:rPr>
        <w:t>0,05</w:t>
      </w:r>
    </w:p>
    <w:p w:rsidR="00C65DE3" w:rsidRPr="001416ED" w:rsidRDefault="00057D00" w:rsidP="001A033A">
      <w:pPr>
        <w:spacing w:before="240" w:line="360" w:lineRule="auto"/>
        <w:ind w:firstLine="709"/>
        <w:jc w:val="both"/>
        <w:rPr>
          <w:lang w:val="uk-UA"/>
        </w:rPr>
      </w:pPr>
      <w:r w:rsidRPr="001416ED">
        <w:rPr>
          <w:lang w:val="uk-UA"/>
        </w:rPr>
        <w:lastRenderedPageBreak/>
        <w:t>Встановлено,</w:t>
      </w:r>
      <w:r w:rsidR="00FB297A" w:rsidRPr="001416ED">
        <w:rPr>
          <w:lang w:val="uk-UA"/>
        </w:rPr>
        <w:t xml:space="preserve"> що у чоловіків з </w:t>
      </w:r>
      <w:r w:rsidR="00081C6E" w:rsidRPr="001416ED">
        <w:rPr>
          <w:lang w:val="uk-UA"/>
        </w:rPr>
        <w:t>ГХ ІІІ ст.</w:t>
      </w:r>
      <w:r w:rsidR="00FB297A" w:rsidRPr="001416ED">
        <w:rPr>
          <w:lang w:val="uk-UA"/>
        </w:rPr>
        <w:t xml:space="preserve"> що є носіями алелі </w:t>
      </w:r>
      <w:r w:rsidR="00FB297A" w:rsidRPr="001416ED">
        <w:rPr>
          <w:lang w:val="en-US"/>
        </w:rPr>
        <w:t>Asn</w:t>
      </w:r>
      <w:r w:rsidR="00FB297A" w:rsidRPr="001416ED">
        <w:rPr>
          <w:lang w:val="uk-UA"/>
        </w:rPr>
        <w:t xml:space="preserve"> ехокардіографічні показники достовірно вищі, а ФВ, УІ, </w:t>
      </w:r>
      <w:r w:rsidR="00FB297A" w:rsidRPr="001416ED">
        <w:rPr>
          <w:lang w:val="en-US"/>
        </w:rPr>
        <w:t>DT</w:t>
      </w:r>
      <w:r w:rsidR="00FB297A" w:rsidRPr="001416ED">
        <w:rPr>
          <w:lang w:val="uk-UA"/>
        </w:rPr>
        <w:t xml:space="preserve"> та </w:t>
      </w:r>
      <w:r w:rsidR="008D7469" w:rsidRPr="001416ED">
        <w:rPr>
          <w:lang w:val="uk-UA"/>
        </w:rPr>
        <w:t>час ізоволюметричного розслаблення ЛШ (</w:t>
      </w:r>
      <w:r w:rsidR="00FB297A" w:rsidRPr="001416ED">
        <w:rPr>
          <w:lang w:val="en-US"/>
        </w:rPr>
        <w:t>IVRT</w:t>
      </w:r>
      <w:r w:rsidR="008D7469" w:rsidRPr="001416ED">
        <w:rPr>
          <w:lang w:val="uk-UA"/>
        </w:rPr>
        <w:t>)</w:t>
      </w:r>
      <w:r w:rsidR="00FB297A" w:rsidRPr="001416ED">
        <w:rPr>
          <w:lang w:val="uk-UA"/>
        </w:rPr>
        <w:t xml:space="preserve"> нижчі ніж у володарів генотипу </w:t>
      </w:r>
      <w:r w:rsidR="00FB297A" w:rsidRPr="001416ED">
        <w:rPr>
          <w:lang w:val="en-US"/>
        </w:rPr>
        <w:t>Lys</w:t>
      </w:r>
      <w:r w:rsidR="00FB297A" w:rsidRPr="001416ED">
        <w:rPr>
          <w:lang w:val="uk-UA"/>
        </w:rPr>
        <w:t>/</w:t>
      </w:r>
      <w:r w:rsidR="00FB297A" w:rsidRPr="001416ED">
        <w:rPr>
          <w:lang w:val="en-US"/>
        </w:rPr>
        <w:t>Lys</w:t>
      </w:r>
      <w:r w:rsidR="00FB297A" w:rsidRPr="001416ED">
        <w:rPr>
          <w:lang w:val="uk-UA"/>
        </w:rPr>
        <w:t xml:space="preserve">. Виключення становлять ВТС ЛШ, ППСО, </w:t>
      </w:r>
      <w:r w:rsidR="00FB297A" w:rsidRPr="001416ED">
        <w:rPr>
          <w:lang w:val="en-US"/>
        </w:rPr>
        <w:t>S</w:t>
      </w:r>
      <w:r w:rsidR="00FB297A" w:rsidRPr="001416ED">
        <w:rPr>
          <w:lang w:val="uk-UA"/>
        </w:rPr>
        <w:t xml:space="preserve">, де вірогідної різниці між носіями </w:t>
      </w:r>
      <w:r w:rsidR="00FF5C21">
        <w:rPr>
          <w:lang w:val="uk-UA"/>
        </w:rPr>
        <w:t>поліморфних варіантів гена</w:t>
      </w:r>
      <w:r w:rsidR="00FB297A" w:rsidRPr="001416ED">
        <w:rPr>
          <w:lang w:val="uk-UA"/>
        </w:rPr>
        <w:t xml:space="preserve"> ЕТ</w:t>
      </w:r>
      <w:r w:rsidR="00BC0119" w:rsidRPr="001416ED">
        <w:rPr>
          <w:lang w:val="uk-UA"/>
        </w:rPr>
        <w:t>–</w:t>
      </w:r>
      <w:r w:rsidR="00FB297A" w:rsidRPr="001416ED">
        <w:rPr>
          <w:lang w:val="uk-UA"/>
        </w:rPr>
        <w:t>1 не виявлено. Порівнявши показники структурно</w:t>
      </w:r>
      <w:r w:rsidR="00BC0119" w:rsidRPr="001416ED">
        <w:rPr>
          <w:lang w:val="uk-UA"/>
        </w:rPr>
        <w:t>–</w:t>
      </w:r>
      <w:r w:rsidR="00FB297A" w:rsidRPr="001416ED">
        <w:rPr>
          <w:lang w:val="uk-UA"/>
        </w:rPr>
        <w:t xml:space="preserve">функціонального стану серця та системної гемодинаміки, були отримані наступні результати. У чоловіків з </w:t>
      </w:r>
      <w:r w:rsidR="00F9338D" w:rsidRPr="001416ED">
        <w:rPr>
          <w:lang w:val="uk-UA"/>
        </w:rPr>
        <w:t>ГХ</w:t>
      </w:r>
      <w:r w:rsidR="00E71158" w:rsidRPr="001416ED">
        <w:rPr>
          <w:lang w:val="uk-UA"/>
        </w:rPr>
        <w:t xml:space="preserve"> ІІІ ст.</w:t>
      </w:r>
      <w:r w:rsidR="00F9338D" w:rsidRPr="001416ED">
        <w:rPr>
          <w:lang w:val="uk-UA"/>
        </w:rPr>
        <w:t xml:space="preserve"> – носіїв будь</w:t>
      </w:r>
      <w:r w:rsidR="00BC0119" w:rsidRPr="001416ED">
        <w:rPr>
          <w:lang w:val="uk-UA"/>
        </w:rPr>
        <w:t>–</w:t>
      </w:r>
      <w:r w:rsidR="00FB297A" w:rsidRPr="001416ED">
        <w:rPr>
          <w:lang w:val="uk-UA"/>
        </w:rPr>
        <w:t xml:space="preserve">якого </w:t>
      </w:r>
      <w:r w:rsidR="00E6164F">
        <w:rPr>
          <w:lang w:val="uk-UA"/>
        </w:rPr>
        <w:t>поліморфного варіанту гена</w:t>
      </w:r>
      <w:r w:rsidR="00FB297A" w:rsidRPr="001416ED">
        <w:rPr>
          <w:lang w:val="uk-UA"/>
        </w:rPr>
        <w:t xml:space="preserve"> ЕТ</w:t>
      </w:r>
      <w:r w:rsidR="00BC0119" w:rsidRPr="001416ED">
        <w:rPr>
          <w:lang w:val="uk-UA"/>
        </w:rPr>
        <w:t>–</w:t>
      </w:r>
      <w:r w:rsidR="00FB297A" w:rsidRPr="001416ED">
        <w:rPr>
          <w:lang w:val="uk-UA"/>
        </w:rPr>
        <w:t xml:space="preserve">1 майже усі показники вищі, а ФВ, УІ, </w:t>
      </w:r>
      <w:r w:rsidR="00FB297A" w:rsidRPr="001416ED">
        <w:rPr>
          <w:lang w:val="en-US"/>
        </w:rPr>
        <w:t>S</w:t>
      </w:r>
      <w:r w:rsidR="00FB297A" w:rsidRPr="001416ED">
        <w:rPr>
          <w:lang w:val="uk-UA"/>
        </w:rPr>
        <w:t xml:space="preserve">, </w:t>
      </w:r>
      <w:r w:rsidR="00FB297A" w:rsidRPr="001416ED">
        <w:rPr>
          <w:lang w:val="en-US"/>
        </w:rPr>
        <w:t>DT</w:t>
      </w:r>
      <w:r w:rsidR="00FB297A" w:rsidRPr="001416ED">
        <w:rPr>
          <w:lang w:val="uk-UA"/>
        </w:rPr>
        <w:t xml:space="preserve"> нижчі у володарів аналогічних генотипів з групи осіб з ГХ ІІ ст. </w:t>
      </w:r>
      <w:r w:rsidR="00EF44EC" w:rsidRPr="001416ED">
        <w:rPr>
          <w:lang w:val="uk-UA"/>
        </w:rPr>
        <w:t>С</w:t>
      </w:r>
      <w:r w:rsidR="00FB297A" w:rsidRPr="001416ED">
        <w:rPr>
          <w:lang w:val="uk-UA"/>
        </w:rPr>
        <w:t xml:space="preserve">лід відмітити, що </w:t>
      </w:r>
      <w:r w:rsidR="00EF44EC" w:rsidRPr="001416ED">
        <w:rPr>
          <w:lang w:val="uk-UA"/>
        </w:rPr>
        <w:t xml:space="preserve">у пацієнтів з </w:t>
      </w:r>
      <w:r w:rsidR="00F9338D" w:rsidRPr="001416ED">
        <w:rPr>
          <w:lang w:val="uk-UA"/>
        </w:rPr>
        <w:t>ГХ</w:t>
      </w:r>
      <w:r w:rsidR="00EF44EC" w:rsidRPr="001416ED">
        <w:rPr>
          <w:lang w:val="uk-UA"/>
        </w:rPr>
        <w:t xml:space="preserve"> </w:t>
      </w:r>
      <w:r w:rsidR="00F9338D" w:rsidRPr="001416ED">
        <w:rPr>
          <w:lang w:val="uk-UA"/>
        </w:rPr>
        <w:t>ІІІ</w:t>
      </w:r>
      <w:r w:rsidR="00EF44EC" w:rsidRPr="001416ED">
        <w:rPr>
          <w:lang w:val="uk-UA"/>
        </w:rPr>
        <w:t xml:space="preserve"> ст. </w:t>
      </w:r>
      <w:r w:rsidR="0076288E" w:rsidRPr="001416ED">
        <w:rPr>
          <w:lang w:val="uk-UA"/>
        </w:rPr>
        <w:t>серцевий індекс (</w:t>
      </w:r>
      <w:r w:rsidR="00FB297A" w:rsidRPr="001416ED">
        <w:rPr>
          <w:lang w:val="uk-UA"/>
        </w:rPr>
        <w:t>СІ</w:t>
      </w:r>
      <w:r w:rsidR="0076288E" w:rsidRPr="001416ED">
        <w:rPr>
          <w:lang w:val="uk-UA"/>
        </w:rPr>
        <w:t>)</w:t>
      </w:r>
      <w:r w:rsidR="00FB297A" w:rsidRPr="001416ED">
        <w:rPr>
          <w:lang w:val="uk-UA"/>
        </w:rPr>
        <w:t xml:space="preserve"> </w:t>
      </w:r>
      <w:r w:rsidR="00EF44EC" w:rsidRPr="001416ED">
        <w:rPr>
          <w:lang w:val="uk-UA"/>
        </w:rPr>
        <w:t xml:space="preserve">був вірогідно вищим, </w:t>
      </w:r>
      <w:r w:rsidR="00FB297A" w:rsidRPr="001416ED">
        <w:rPr>
          <w:lang w:val="uk-UA"/>
        </w:rPr>
        <w:t xml:space="preserve">а </w:t>
      </w:r>
      <w:r w:rsidR="00FB297A" w:rsidRPr="001416ED">
        <w:rPr>
          <w:lang w:val="en-US"/>
        </w:rPr>
        <w:t>IVRT</w:t>
      </w:r>
      <w:r w:rsidR="00FB297A" w:rsidRPr="001416ED">
        <w:rPr>
          <w:lang w:val="uk-UA"/>
        </w:rPr>
        <w:t xml:space="preserve"> </w:t>
      </w:r>
      <w:r w:rsidR="00EF44EC" w:rsidRPr="001416ED">
        <w:rPr>
          <w:lang w:val="uk-UA"/>
        </w:rPr>
        <w:t xml:space="preserve">довшим ніж у чоловіків з ГХ ІІ ст. лише при носійстві алелі </w:t>
      </w:r>
      <w:r w:rsidR="00EF44EC" w:rsidRPr="001416ED">
        <w:rPr>
          <w:lang w:val="en-US"/>
        </w:rPr>
        <w:t>Asn</w:t>
      </w:r>
      <w:r w:rsidR="00EF44EC" w:rsidRPr="001416ED">
        <w:rPr>
          <w:lang w:val="uk-UA"/>
        </w:rPr>
        <w:t>, проте</w:t>
      </w:r>
      <w:r w:rsidR="00E71158" w:rsidRPr="001416ED">
        <w:rPr>
          <w:lang w:val="uk-UA"/>
        </w:rPr>
        <w:t>,</w:t>
      </w:r>
      <w:r w:rsidR="00EF44EC" w:rsidRPr="001416ED">
        <w:rPr>
          <w:lang w:val="uk-UA"/>
        </w:rPr>
        <w:t xml:space="preserve"> такої різниці в цих показниках між носіями генотипу </w:t>
      </w:r>
      <w:r w:rsidR="00EF44EC" w:rsidRPr="001416ED">
        <w:rPr>
          <w:lang w:val="en-US"/>
        </w:rPr>
        <w:t>Lys</w:t>
      </w:r>
      <w:r w:rsidR="00EF44EC" w:rsidRPr="001416ED">
        <w:rPr>
          <w:lang w:val="uk-UA"/>
        </w:rPr>
        <w:t>/</w:t>
      </w:r>
      <w:r w:rsidR="00EF44EC" w:rsidRPr="001416ED">
        <w:rPr>
          <w:lang w:val="en-US"/>
        </w:rPr>
        <w:t>Lys</w:t>
      </w:r>
      <w:r w:rsidR="00EF44EC" w:rsidRPr="001416ED">
        <w:rPr>
          <w:lang w:val="uk-UA"/>
        </w:rPr>
        <w:t xml:space="preserve"> не досліджено. ВТС ЛШ між пацієнтами з різних груп обстеження не відрізнялась.</w:t>
      </w:r>
      <w:r w:rsidR="001A033A" w:rsidRPr="001416ED">
        <w:rPr>
          <w:lang w:val="uk-UA"/>
        </w:rPr>
        <w:t xml:space="preserve"> П</w:t>
      </w:r>
      <w:r w:rsidR="00C65DE3" w:rsidRPr="001416ED">
        <w:rPr>
          <w:lang w:val="uk-UA"/>
        </w:rPr>
        <w:t xml:space="preserve">оказники САТ, ДАТ та ЧСС у осіб чоловічої статі з ГХ ІІ ст. та з </w:t>
      </w:r>
      <w:r w:rsidR="00EA7C60" w:rsidRPr="001416ED">
        <w:rPr>
          <w:lang w:val="uk-UA"/>
        </w:rPr>
        <w:t xml:space="preserve">ГХ ІІІ ст.  </w:t>
      </w:r>
      <w:r w:rsidR="00C65DE3" w:rsidRPr="001416ED">
        <w:rPr>
          <w:lang w:val="uk-UA"/>
        </w:rPr>
        <w:t>вірогідно вищі в носії</w:t>
      </w:r>
      <w:r w:rsidR="00A00896" w:rsidRPr="001416ED">
        <w:rPr>
          <w:lang w:val="uk-UA"/>
        </w:rPr>
        <w:t>в</w:t>
      </w:r>
      <w:r w:rsidR="00C65DE3" w:rsidRPr="001416ED">
        <w:rPr>
          <w:lang w:val="uk-UA"/>
        </w:rPr>
        <w:t xml:space="preserve"> алелі</w:t>
      </w:r>
      <w:r w:rsidR="00A00896" w:rsidRPr="001416ED">
        <w:rPr>
          <w:lang w:val="uk-UA"/>
        </w:rPr>
        <w:t xml:space="preserve"> </w:t>
      </w:r>
      <w:r w:rsidR="00A00896" w:rsidRPr="001416ED">
        <w:rPr>
          <w:lang w:val="en-US"/>
        </w:rPr>
        <w:t>Asn</w:t>
      </w:r>
      <w:r w:rsidR="00A00896" w:rsidRPr="001416ED">
        <w:rPr>
          <w:lang w:val="uk-UA"/>
        </w:rPr>
        <w:t>.</w:t>
      </w:r>
    </w:p>
    <w:p w:rsidR="00C076D2" w:rsidRPr="001416ED" w:rsidRDefault="00EF44EC" w:rsidP="00EF44EC">
      <w:pPr>
        <w:spacing w:line="360" w:lineRule="auto"/>
        <w:ind w:firstLine="709"/>
        <w:jc w:val="both"/>
        <w:rPr>
          <w:lang w:val="uk-UA"/>
        </w:rPr>
      </w:pPr>
      <w:r w:rsidRPr="001416ED">
        <w:rPr>
          <w:lang w:val="uk-UA"/>
        </w:rPr>
        <w:t xml:space="preserve">Тобто, аналіз даних ультразвукового дослідження серця демонструє наявність </w:t>
      </w:r>
      <w:r w:rsidR="00E31991" w:rsidRPr="001416ED">
        <w:rPr>
          <w:lang w:val="uk-UA"/>
        </w:rPr>
        <w:t>виражених</w:t>
      </w:r>
      <w:r w:rsidRPr="001416ED">
        <w:rPr>
          <w:lang w:val="uk-UA"/>
        </w:rPr>
        <w:t xml:space="preserve"> змін структури та функції міокарда та показників системної гемодинаміки у пацієнтів з ХСН </w:t>
      </w:r>
      <w:r w:rsidR="004A4E68" w:rsidRPr="001416ED">
        <w:rPr>
          <w:lang w:val="uk-UA"/>
        </w:rPr>
        <w:t>ІІ А</w:t>
      </w:r>
      <w:r w:rsidRPr="001416ED">
        <w:rPr>
          <w:lang w:val="uk-UA"/>
        </w:rPr>
        <w:t xml:space="preserve"> ст., що розвинулась на тлі ГХ.</w:t>
      </w:r>
      <w:r w:rsidR="00C65DE3" w:rsidRPr="001416ED">
        <w:rPr>
          <w:lang w:val="uk-UA"/>
        </w:rPr>
        <w:t xml:space="preserve"> </w:t>
      </w:r>
      <w:r w:rsidR="00E71158" w:rsidRPr="001416ED">
        <w:rPr>
          <w:lang w:val="uk-UA"/>
        </w:rPr>
        <w:t xml:space="preserve">Найбільш виражені зміни </w:t>
      </w:r>
      <w:r w:rsidR="00A00896" w:rsidRPr="001416ED">
        <w:rPr>
          <w:lang w:val="uk-UA"/>
        </w:rPr>
        <w:t>показник</w:t>
      </w:r>
      <w:r w:rsidR="00E71158" w:rsidRPr="001416ED">
        <w:rPr>
          <w:lang w:val="uk-UA"/>
        </w:rPr>
        <w:t>ів</w:t>
      </w:r>
      <w:r w:rsidR="00A00896" w:rsidRPr="001416ED">
        <w:rPr>
          <w:lang w:val="uk-UA"/>
        </w:rPr>
        <w:t xml:space="preserve"> виявлені в паці</w:t>
      </w:r>
      <w:r w:rsidR="00C65DE3" w:rsidRPr="001416ED">
        <w:rPr>
          <w:lang w:val="uk-UA"/>
        </w:rPr>
        <w:t xml:space="preserve">єнтів, що є носіями алелі </w:t>
      </w:r>
      <w:r w:rsidR="00C65DE3" w:rsidRPr="001416ED">
        <w:rPr>
          <w:lang w:val="en-US"/>
        </w:rPr>
        <w:t>Asn</w:t>
      </w:r>
      <w:r w:rsidR="00C65DE3" w:rsidRPr="001416ED">
        <w:rPr>
          <w:lang w:val="uk-UA"/>
        </w:rPr>
        <w:t xml:space="preserve"> гена ЕТ</w:t>
      </w:r>
      <w:r w:rsidR="00BC0119" w:rsidRPr="001416ED">
        <w:rPr>
          <w:lang w:val="uk-UA"/>
        </w:rPr>
        <w:t>–</w:t>
      </w:r>
      <w:r w:rsidR="00C65DE3" w:rsidRPr="001416ED">
        <w:rPr>
          <w:lang w:val="uk-UA"/>
        </w:rPr>
        <w:t xml:space="preserve">1, що вказує на </w:t>
      </w:r>
      <w:r w:rsidR="00A00896" w:rsidRPr="001416ED">
        <w:rPr>
          <w:lang w:val="uk-UA"/>
        </w:rPr>
        <w:t>несприятливий</w:t>
      </w:r>
      <w:r w:rsidR="00C65DE3" w:rsidRPr="001416ED">
        <w:rPr>
          <w:lang w:val="uk-UA"/>
        </w:rPr>
        <w:t xml:space="preserve"> прогноз щодо прогресування ХСН.</w:t>
      </w:r>
      <w:r w:rsidR="00A00896" w:rsidRPr="001416ED">
        <w:rPr>
          <w:lang w:val="uk-UA"/>
        </w:rPr>
        <w:t xml:space="preserve"> </w:t>
      </w:r>
    </w:p>
    <w:p w:rsidR="0029032E" w:rsidRPr="001416ED" w:rsidRDefault="00A23D96" w:rsidP="00B83C2C">
      <w:pPr>
        <w:spacing w:line="360" w:lineRule="auto"/>
        <w:ind w:firstLine="709"/>
        <w:jc w:val="both"/>
        <w:rPr>
          <w:b/>
          <w:lang w:val="uk-UA"/>
        </w:rPr>
      </w:pPr>
      <w:r w:rsidRPr="001416ED">
        <w:rPr>
          <w:lang w:val="uk-UA"/>
        </w:rPr>
        <w:t>Аналіз структурно</w:t>
      </w:r>
      <w:r w:rsidR="00BC0119" w:rsidRPr="001416ED">
        <w:rPr>
          <w:lang w:val="uk-UA"/>
        </w:rPr>
        <w:t>–</w:t>
      </w:r>
      <w:r w:rsidRPr="001416ED">
        <w:rPr>
          <w:lang w:val="uk-UA"/>
        </w:rPr>
        <w:t xml:space="preserve">функціональних показників міокарда у чоловіків з різною ФВ ЛШ при носійстві певних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показав наступне (табл. 5.</w:t>
      </w:r>
      <w:r w:rsidR="00A00896" w:rsidRPr="001416ED">
        <w:rPr>
          <w:lang w:val="uk-UA"/>
        </w:rPr>
        <w:t>5</w:t>
      </w:r>
      <w:r w:rsidRPr="001416ED">
        <w:rPr>
          <w:lang w:val="uk-UA"/>
        </w:rPr>
        <w:t>).</w:t>
      </w: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71158" w:rsidRPr="001416ED" w:rsidRDefault="00E71158" w:rsidP="00EF44EC">
      <w:pPr>
        <w:spacing w:line="360" w:lineRule="auto"/>
        <w:ind w:firstLine="709"/>
        <w:jc w:val="right"/>
        <w:rPr>
          <w:b/>
          <w:lang w:val="uk-UA"/>
        </w:rPr>
      </w:pPr>
    </w:p>
    <w:p w:rsidR="00EF44EC" w:rsidRPr="001416ED" w:rsidRDefault="00EF44EC" w:rsidP="00EF44EC">
      <w:pPr>
        <w:spacing w:line="360" w:lineRule="auto"/>
        <w:ind w:firstLine="709"/>
        <w:jc w:val="right"/>
        <w:rPr>
          <w:b/>
          <w:lang w:val="uk-UA"/>
        </w:rPr>
      </w:pPr>
      <w:r w:rsidRPr="001416ED">
        <w:rPr>
          <w:b/>
          <w:lang w:val="uk-UA"/>
        </w:rPr>
        <w:lastRenderedPageBreak/>
        <w:t>Таблиця 5.</w:t>
      </w:r>
      <w:r w:rsidR="00A00896" w:rsidRPr="001416ED">
        <w:rPr>
          <w:b/>
          <w:lang w:val="uk-UA"/>
        </w:rPr>
        <w:t>5</w:t>
      </w:r>
    </w:p>
    <w:p w:rsidR="00EF44EC" w:rsidRPr="001416ED" w:rsidRDefault="00EF44EC" w:rsidP="00EF44EC">
      <w:pPr>
        <w:spacing w:line="360" w:lineRule="auto"/>
        <w:jc w:val="center"/>
        <w:rPr>
          <w:b/>
          <w:lang w:val="uk-UA"/>
        </w:rPr>
      </w:pPr>
      <w:r w:rsidRPr="001416ED">
        <w:rPr>
          <w:b/>
          <w:lang w:val="uk-UA"/>
        </w:rPr>
        <w:t xml:space="preserve">Показники </w:t>
      </w:r>
      <w:r w:rsidR="00A00896" w:rsidRPr="001416ED">
        <w:rPr>
          <w:b/>
          <w:lang w:val="uk-UA"/>
        </w:rPr>
        <w:t>серцевої та системної гемодинаміки</w:t>
      </w:r>
      <w:r w:rsidRPr="001416ED">
        <w:rPr>
          <w:b/>
          <w:lang w:val="uk-UA"/>
        </w:rPr>
        <w:t xml:space="preserve"> у чоловіків з </w:t>
      </w:r>
      <w:r w:rsidR="00EA7C60" w:rsidRPr="001416ED">
        <w:rPr>
          <w:b/>
          <w:lang w:val="uk-UA"/>
        </w:rPr>
        <w:t xml:space="preserve">ГХ ІІІ ст. </w:t>
      </w:r>
      <w:r w:rsidRPr="001416ED">
        <w:rPr>
          <w:b/>
          <w:lang w:val="uk-UA"/>
        </w:rPr>
        <w:t xml:space="preserve">з різною систолічною функцією ЛШ, при носійстві </w:t>
      </w:r>
      <w:r w:rsidR="00FF5C21">
        <w:rPr>
          <w:b/>
          <w:lang w:val="uk-UA"/>
        </w:rPr>
        <w:t>поліморфних варіантів гена</w:t>
      </w:r>
      <w:r w:rsidRPr="001416ED">
        <w:rPr>
          <w:b/>
          <w:lang w:val="uk-UA"/>
        </w:rPr>
        <w:t xml:space="preserve"> ЕТ</w:t>
      </w:r>
      <w:r w:rsidR="00BC0119" w:rsidRPr="001416ED">
        <w:rPr>
          <w:b/>
          <w:lang w:val="uk-UA"/>
        </w:rPr>
        <w:t>–</w:t>
      </w:r>
      <w:r w:rsidRPr="001416ED">
        <w:rPr>
          <w:b/>
          <w:lang w:val="uk-UA"/>
        </w:rPr>
        <w:t>1, (</w:t>
      </w:r>
      <w:r w:rsidRPr="001416ED">
        <w:rPr>
          <w:b/>
          <w:lang w:val="en-US"/>
        </w:rPr>
        <w:t>M</w:t>
      </w:r>
      <w:r w:rsidR="007A07A9" w:rsidRPr="001416ED">
        <w:rPr>
          <w:b/>
          <w:lang w:val="uk-UA"/>
        </w:rPr>
        <w:t xml:space="preserve"> ± </w:t>
      </w:r>
      <w:r w:rsidRPr="001416ED">
        <w:rPr>
          <w:b/>
          <w:lang w:val="en-US"/>
        </w:rPr>
        <w:t>m</w:t>
      </w:r>
      <w:r w:rsidRPr="001416ED">
        <w:rPr>
          <w:b/>
          <w:lang w:val="uk-UA"/>
        </w:rPr>
        <w:t>)</w:t>
      </w:r>
    </w:p>
    <w:tbl>
      <w:tblPr>
        <w:tblStyle w:val="af5"/>
        <w:tblW w:w="10173" w:type="dxa"/>
        <w:tblLayout w:type="fixed"/>
        <w:tblLook w:val="04A0" w:firstRow="1" w:lastRow="0" w:firstColumn="1" w:lastColumn="0" w:noHBand="0" w:noVBand="1"/>
      </w:tblPr>
      <w:tblGrid>
        <w:gridCol w:w="1665"/>
        <w:gridCol w:w="1702"/>
        <w:gridCol w:w="1700"/>
        <w:gridCol w:w="1702"/>
        <w:gridCol w:w="1843"/>
        <w:gridCol w:w="1561"/>
      </w:tblGrid>
      <w:tr w:rsidR="00EF44EC" w:rsidRPr="001416ED" w:rsidTr="00C04BC3">
        <w:tc>
          <w:tcPr>
            <w:tcW w:w="1666" w:type="dxa"/>
            <w:vMerge w:val="restart"/>
          </w:tcPr>
          <w:p w:rsidR="00EF44EC" w:rsidRPr="001416ED" w:rsidRDefault="00EF44EC" w:rsidP="0049114B">
            <w:pPr>
              <w:spacing w:line="360" w:lineRule="auto"/>
              <w:jc w:val="center"/>
              <w:rPr>
                <w:b/>
                <w:szCs w:val="22"/>
              </w:rPr>
            </w:pPr>
            <w:r w:rsidRPr="001416ED">
              <w:rPr>
                <w:b/>
                <w:szCs w:val="22"/>
              </w:rPr>
              <w:t>Показники</w:t>
            </w:r>
          </w:p>
        </w:tc>
        <w:tc>
          <w:tcPr>
            <w:tcW w:w="3403" w:type="dxa"/>
            <w:gridSpan w:val="2"/>
          </w:tcPr>
          <w:p w:rsidR="00E71158" w:rsidRPr="001416ED" w:rsidRDefault="00EF44EC" w:rsidP="00403FB9">
            <w:pPr>
              <w:spacing w:line="360" w:lineRule="auto"/>
              <w:jc w:val="center"/>
              <w:rPr>
                <w:b/>
                <w:szCs w:val="22"/>
                <w:lang w:val="uk-UA"/>
              </w:rPr>
            </w:pPr>
            <w:r w:rsidRPr="001416ED">
              <w:rPr>
                <w:b/>
                <w:szCs w:val="22"/>
              </w:rPr>
              <w:t xml:space="preserve">Чоловіки з </w:t>
            </w:r>
            <w:r w:rsidR="00376DD5" w:rsidRPr="001416ED">
              <w:rPr>
                <w:b/>
                <w:szCs w:val="22"/>
                <w:lang w:val="uk-UA"/>
              </w:rPr>
              <w:t xml:space="preserve">ГХ ІІІ ст. </w:t>
            </w:r>
          </w:p>
          <w:p w:rsidR="00EF44EC" w:rsidRPr="001416ED" w:rsidRDefault="00EF44EC" w:rsidP="00403FB9">
            <w:pPr>
              <w:spacing w:line="360" w:lineRule="auto"/>
              <w:jc w:val="center"/>
              <w:rPr>
                <w:b/>
                <w:szCs w:val="22"/>
              </w:rPr>
            </w:pPr>
            <w:r w:rsidRPr="001416ED">
              <w:rPr>
                <w:b/>
                <w:szCs w:val="22"/>
                <w:lang w:val="uk-UA"/>
              </w:rPr>
              <w:t>ФВ</w:t>
            </w:r>
            <w:r w:rsidR="000C04AA" w:rsidRPr="001416ED">
              <w:rPr>
                <w:b/>
                <w:szCs w:val="22"/>
                <w:lang w:val="uk-UA"/>
              </w:rPr>
              <w:t xml:space="preserve"> ˃ </w:t>
            </w:r>
            <w:r w:rsidRPr="001416ED">
              <w:rPr>
                <w:b/>
                <w:szCs w:val="22"/>
                <w:lang w:val="uk-UA"/>
              </w:rPr>
              <w:t>45</w:t>
            </w:r>
            <w:r w:rsidR="00D4219F" w:rsidRPr="001416ED">
              <w:rPr>
                <w:b/>
                <w:szCs w:val="22"/>
                <w:lang w:val="uk-UA"/>
              </w:rPr>
              <w:t xml:space="preserve"> %</w:t>
            </w:r>
            <w:r w:rsidR="00C62972" w:rsidRPr="001416ED">
              <w:rPr>
                <w:b/>
                <w:szCs w:val="22"/>
                <w:lang w:val="uk-UA"/>
              </w:rPr>
              <w:t xml:space="preserve"> </w:t>
            </w:r>
            <w:r w:rsidR="00C62972" w:rsidRPr="001416ED">
              <w:rPr>
                <w:b/>
                <w:szCs w:val="22"/>
                <w:lang w:val="en-US"/>
              </w:rPr>
              <w:t>(n=</w:t>
            </w:r>
            <w:r w:rsidR="00403FB9" w:rsidRPr="001416ED">
              <w:rPr>
                <w:b/>
                <w:szCs w:val="22"/>
                <w:lang w:val="uk-UA"/>
              </w:rPr>
              <w:t>2</w:t>
            </w:r>
            <w:r w:rsidR="00C62972" w:rsidRPr="001416ED">
              <w:rPr>
                <w:b/>
                <w:szCs w:val="22"/>
                <w:lang w:val="uk-UA"/>
              </w:rPr>
              <w:t>0</w:t>
            </w:r>
            <w:r w:rsidR="00C62972" w:rsidRPr="001416ED">
              <w:rPr>
                <w:b/>
                <w:szCs w:val="22"/>
                <w:lang w:val="en-US"/>
              </w:rPr>
              <w:t>)</w:t>
            </w:r>
          </w:p>
        </w:tc>
        <w:tc>
          <w:tcPr>
            <w:tcW w:w="3543" w:type="dxa"/>
            <w:gridSpan w:val="2"/>
          </w:tcPr>
          <w:p w:rsidR="00EF44EC" w:rsidRPr="001416ED" w:rsidRDefault="00EF44EC" w:rsidP="00403FB9">
            <w:pPr>
              <w:spacing w:line="360" w:lineRule="auto"/>
              <w:jc w:val="center"/>
              <w:rPr>
                <w:b/>
                <w:szCs w:val="22"/>
                <w:lang w:val="uk-UA"/>
              </w:rPr>
            </w:pPr>
            <w:r w:rsidRPr="001416ED">
              <w:rPr>
                <w:b/>
                <w:szCs w:val="22"/>
                <w:lang w:val="uk-UA"/>
              </w:rPr>
              <w:t xml:space="preserve">Чоловіки з </w:t>
            </w:r>
            <w:r w:rsidR="00A63A7A" w:rsidRPr="001416ED">
              <w:rPr>
                <w:b/>
                <w:szCs w:val="22"/>
                <w:lang w:val="uk-UA"/>
              </w:rPr>
              <w:t>ГХ ІІІ стадії</w:t>
            </w:r>
            <w:r w:rsidR="00C62972" w:rsidRPr="001416ED">
              <w:rPr>
                <w:b/>
                <w:szCs w:val="22"/>
                <w:lang w:val="uk-UA"/>
              </w:rPr>
              <w:t xml:space="preserve"> </w:t>
            </w:r>
            <w:r w:rsidRPr="001416ED">
              <w:rPr>
                <w:b/>
                <w:szCs w:val="22"/>
                <w:lang w:val="uk-UA"/>
              </w:rPr>
              <w:t>ФВ</w:t>
            </w:r>
            <w:r w:rsidR="000C04AA" w:rsidRPr="001416ED">
              <w:rPr>
                <w:b/>
                <w:szCs w:val="22"/>
                <w:lang w:val="uk-UA"/>
              </w:rPr>
              <w:t xml:space="preserve"> ˂ </w:t>
            </w:r>
            <w:r w:rsidRPr="001416ED">
              <w:rPr>
                <w:b/>
                <w:szCs w:val="22"/>
                <w:lang w:val="uk-UA"/>
              </w:rPr>
              <w:t>45</w:t>
            </w:r>
            <w:r w:rsidR="00D4219F" w:rsidRPr="001416ED">
              <w:rPr>
                <w:b/>
                <w:szCs w:val="22"/>
                <w:lang w:val="uk-UA"/>
              </w:rPr>
              <w:t>%</w:t>
            </w:r>
            <w:r w:rsidR="00C62972" w:rsidRPr="001416ED">
              <w:rPr>
                <w:b/>
                <w:szCs w:val="22"/>
                <w:lang w:val="uk-UA"/>
              </w:rPr>
              <w:t xml:space="preserve"> </w:t>
            </w:r>
            <w:r w:rsidR="00C62972" w:rsidRPr="001416ED">
              <w:rPr>
                <w:b/>
                <w:szCs w:val="22"/>
                <w:lang w:val="en-US"/>
              </w:rPr>
              <w:t>(n=</w:t>
            </w:r>
            <w:r w:rsidR="00403FB9" w:rsidRPr="001416ED">
              <w:rPr>
                <w:b/>
                <w:szCs w:val="22"/>
                <w:lang w:val="uk-UA"/>
              </w:rPr>
              <w:t>3</w:t>
            </w:r>
            <w:r w:rsidR="00C62972" w:rsidRPr="001416ED">
              <w:rPr>
                <w:b/>
                <w:szCs w:val="22"/>
                <w:lang w:val="uk-UA"/>
              </w:rPr>
              <w:t>0</w:t>
            </w:r>
            <w:r w:rsidR="00C62972" w:rsidRPr="001416ED">
              <w:rPr>
                <w:b/>
                <w:szCs w:val="22"/>
                <w:lang w:val="en-US"/>
              </w:rPr>
              <w:t>)</w:t>
            </w:r>
          </w:p>
        </w:tc>
        <w:tc>
          <w:tcPr>
            <w:tcW w:w="1561" w:type="dxa"/>
            <w:vMerge w:val="restart"/>
          </w:tcPr>
          <w:p w:rsidR="00EF44EC" w:rsidRPr="001416ED" w:rsidRDefault="00EF44EC" w:rsidP="00E71158">
            <w:pPr>
              <w:spacing w:line="360" w:lineRule="auto"/>
              <w:jc w:val="center"/>
              <w:rPr>
                <w:b/>
                <w:szCs w:val="22"/>
                <w:lang w:val="en-US"/>
              </w:rPr>
            </w:pPr>
            <w:r w:rsidRPr="001416ED">
              <w:rPr>
                <w:b/>
                <w:szCs w:val="22"/>
              </w:rPr>
              <w:t>р</w:t>
            </w:r>
            <w:r w:rsidR="000C04AA" w:rsidRPr="001416ED">
              <w:rPr>
                <w:b/>
                <w:szCs w:val="22"/>
              </w:rPr>
              <w:t>˂</w:t>
            </w:r>
            <w:r w:rsidR="00464042" w:rsidRPr="001416ED">
              <w:rPr>
                <w:b/>
                <w:szCs w:val="22"/>
                <w:lang w:val="en-US"/>
              </w:rPr>
              <w:t>0,05</w:t>
            </w:r>
          </w:p>
        </w:tc>
      </w:tr>
      <w:tr w:rsidR="00EF44EC" w:rsidRPr="001416ED" w:rsidTr="00C04BC3">
        <w:tc>
          <w:tcPr>
            <w:tcW w:w="1666" w:type="dxa"/>
            <w:vMerge/>
          </w:tcPr>
          <w:p w:rsidR="00EF44EC" w:rsidRPr="001416ED" w:rsidRDefault="00EF44EC" w:rsidP="0049114B">
            <w:pPr>
              <w:spacing w:line="360" w:lineRule="auto"/>
              <w:rPr>
                <w:szCs w:val="22"/>
              </w:rPr>
            </w:pPr>
          </w:p>
        </w:tc>
        <w:tc>
          <w:tcPr>
            <w:tcW w:w="1703" w:type="dxa"/>
          </w:tcPr>
          <w:p w:rsidR="00EF44EC" w:rsidRPr="001416ED" w:rsidRDefault="00EF44EC" w:rsidP="0049114B">
            <w:pPr>
              <w:spacing w:line="360" w:lineRule="auto"/>
              <w:jc w:val="center"/>
              <w:rPr>
                <w:b/>
                <w:szCs w:val="22"/>
              </w:rPr>
            </w:pPr>
            <w:r w:rsidRPr="001416ED">
              <w:rPr>
                <w:b/>
                <w:szCs w:val="22"/>
              </w:rPr>
              <w:t>1</w:t>
            </w:r>
          </w:p>
        </w:tc>
        <w:tc>
          <w:tcPr>
            <w:tcW w:w="1700" w:type="dxa"/>
          </w:tcPr>
          <w:p w:rsidR="00EF44EC" w:rsidRPr="001416ED" w:rsidRDefault="00EF44EC" w:rsidP="0049114B">
            <w:pPr>
              <w:spacing w:line="360" w:lineRule="auto"/>
              <w:jc w:val="center"/>
              <w:rPr>
                <w:b/>
                <w:szCs w:val="22"/>
              </w:rPr>
            </w:pPr>
            <w:r w:rsidRPr="001416ED">
              <w:rPr>
                <w:b/>
                <w:szCs w:val="22"/>
              </w:rPr>
              <w:t>2</w:t>
            </w:r>
          </w:p>
        </w:tc>
        <w:tc>
          <w:tcPr>
            <w:tcW w:w="1700" w:type="dxa"/>
          </w:tcPr>
          <w:p w:rsidR="00EF44EC" w:rsidRPr="001416ED" w:rsidRDefault="00EF44EC" w:rsidP="0049114B">
            <w:pPr>
              <w:spacing w:line="360" w:lineRule="auto"/>
              <w:jc w:val="center"/>
              <w:rPr>
                <w:b/>
                <w:szCs w:val="22"/>
              </w:rPr>
            </w:pPr>
            <w:r w:rsidRPr="001416ED">
              <w:rPr>
                <w:b/>
                <w:szCs w:val="22"/>
              </w:rPr>
              <w:t>3</w:t>
            </w:r>
          </w:p>
        </w:tc>
        <w:tc>
          <w:tcPr>
            <w:tcW w:w="1843" w:type="dxa"/>
          </w:tcPr>
          <w:p w:rsidR="00EF44EC" w:rsidRPr="001416ED" w:rsidRDefault="00EF44EC" w:rsidP="0049114B">
            <w:pPr>
              <w:spacing w:line="360" w:lineRule="auto"/>
              <w:jc w:val="center"/>
              <w:rPr>
                <w:b/>
                <w:szCs w:val="22"/>
              </w:rPr>
            </w:pPr>
            <w:r w:rsidRPr="001416ED">
              <w:rPr>
                <w:b/>
                <w:szCs w:val="22"/>
              </w:rPr>
              <w:t>4</w:t>
            </w:r>
          </w:p>
        </w:tc>
        <w:tc>
          <w:tcPr>
            <w:tcW w:w="1561" w:type="dxa"/>
            <w:vMerge/>
          </w:tcPr>
          <w:p w:rsidR="00EF44EC" w:rsidRPr="001416ED" w:rsidRDefault="00EF44EC" w:rsidP="0049114B">
            <w:pPr>
              <w:spacing w:line="360" w:lineRule="auto"/>
              <w:jc w:val="center"/>
              <w:rPr>
                <w:szCs w:val="22"/>
              </w:rPr>
            </w:pPr>
          </w:p>
        </w:tc>
      </w:tr>
      <w:tr w:rsidR="00C62972" w:rsidRPr="001416ED" w:rsidTr="00C04BC3">
        <w:tc>
          <w:tcPr>
            <w:tcW w:w="1666" w:type="dxa"/>
            <w:vMerge/>
          </w:tcPr>
          <w:p w:rsidR="00C62972" w:rsidRPr="001416ED" w:rsidRDefault="00C62972" w:rsidP="0049114B">
            <w:pPr>
              <w:spacing w:line="360" w:lineRule="auto"/>
              <w:rPr>
                <w:szCs w:val="22"/>
              </w:rPr>
            </w:pPr>
          </w:p>
        </w:tc>
        <w:tc>
          <w:tcPr>
            <w:tcW w:w="1703" w:type="dxa"/>
          </w:tcPr>
          <w:p w:rsidR="00C62972" w:rsidRPr="001416ED" w:rsidRDefault="00C62972" w:rsidP="00403FB9">
            <w:pPr>
              <w:spacing w:line="360" w:lineRule="auto"/>
              <w:jc w:val="center"/>
              <w:rPr>
                <w:b/>
                <w:szCs w:val="22"/>
                <w:lang w:val="uk-UA"/>
              </w:rPr>
            </w:pPr>
            <w:r w:rsidRPr="001416ED">
              <w:rPr>
                <w:b/>
                <w:szCs w:val="22"/>
                <w:lang w:val="uk-UA"/>
              </w:rPr>
              <w:t>Г</w:t>
            </w:r>
            <w:r w:rsidRPr="001416ED">
              <w:rPr>
                <w:b/>
                <w:szCs w:val="22"/>
              </w:rPr>
              <w:t xml:space="preserve">енотип </w:t>
            </w:r>
            <w:r w:rsidRPr="001416ED">
              <w:rPr>
                <w:b/>
                <w:szCs w:val="22"/>
                <w:lang w:val="en-US"/>
              </w:rPr>
              <w:t>Lys/Lys</w:t>
            </w:r>
            <w:r w:rsidRPr="001416ED">
              <w:rPr>
                <w:b/>
                <w:szCs w:val="22"/>
                <w:lang w:val="uk-UA"/>
              </w:rPr>
              <w:t xml:space="preserve"> </w:t>
            </w:r>
            <w:r w:rsidR="00403FB9" w:rsidRPr="001416ED">
              <w:rPr>
                <w:b/>
                <w:szCs w:val="22"/>
                <w:lang w:val="en-US"/>
              </w:rPr>
              <w:t>(n=</w:t>
            </w:r>
            <w:r w:rsidR="00403FB9" w:rsidRPr="001416ED">
              <w:rPr>
                <w:b/>
                <w:szCs w:val="22"/>
                <w:lang w:val="uk-UA"/>
              </w:rPr>
              <w:t>11</w:t>
            </w:r>
            <w:r w:rsidR="00403FB9" w:rsidRPr="001416ED">
              <w:rPr>
                <w:b/>
                <w:szCs w:val="22"/>
                <w:lang w:val="en-US"/>
              </w:rPr>
              <w:t>)</w:t>
            </w:r>
          </w:p>
        </w:tc>
        <w:tc>
          <w:tcPr>
            <w:tcW w:w="1700" w:type="dxa"/>
          </w:tcPr>
          <w:p w:rsidR="00C62972" w:rsidRPr="001416ED" w:rsidRDefault="00C62972" w:rsidP="00403FB9">
            <w:pPr>
              <w:spacing w:line="360" w:lineRule="auto"/>
              <w:jc w:val="center"/>
              <w:rPr>
                <w:b/>
                <w:szCs w:val="22"/>
                <w:lang w:val="en-US"/>
              </w:rPr>
            </w:pPr>
            <w:r w:rsidRPr="001416ED">
              <w:rPr>
                <w:b/>
                <w:szCs w:val="22"/>
              </w:rPr>
              <w:t>Носії алелі</w:t>
            </w:r>
            <w:r w:rsidRPr="001416ED">
              <w:rPr>
                <w:b/>
                <w:szCs w:val="22"/>
                <w:lang w:val="en-US"/>
              </w:rPr>
              <w:t xml:space="preserve"> Asn</w:t>
            </w:r>
            <w:r w:rsidRPr="001416ED">
              <w:rPr>
                <w:b/>
                <w:szCs w:val="22"/>
                <w:lang w:val="uk-UA"/>
              </w:rPr>
              <w:t xml:space="preserve"> </w:t>
            </w:r>
            <w:r w:rsidR="00403FB9" w:rsidRPr="001416ED">
              <w:rPr>
                <w:b/>
                <w:szCs w:val="22"/>
                <w:lang w:val="en-US"/>
              </w:rPr>
              <w:t>(n=</w:t>
            </w:r>
            <w:r w:rsidR="00403FB9" w:rsidRPr="001416ED">
              <w:rPr>
                <w:b/>
                <w:szCs w:val="22"/>
                <w:lang w:val="uk-UA"/>
              </w:rPr>
              <w:t>9</w:t>
            </w:r>
            <w:r w:rsidR="00403FB9" w:rsidRPr="001416ED">
              <w:rPr>
                <w:b/>
                <w:szCs w:val="22"/>
                <w:lang w:val="en-US"/>
              </w:rPr>
              <w:t>)</w:t>
            </w:r>
          </w:p>
        </w:tc>
        <w:tc>
          <w:tcPr>
            <w:tcW w:w="1700" w:type="dxa"/>
          </w:tcPr>
          <w:p w:rsidR="00C62972" w:rsidRPr="001416ED" w:rsidRDefault="00C62972" w:rsidP="00403FB9">
            <w:pPr>
              <w:spacing w:line="360" w:lineRule="auto"/>
              <w:jc w:val="center"/>
              <w:rPr>
                <w:b/>
                <w:szCs w:val="22"/>
              </w:rPr>
            </w:pPr>
            <w:r w:rsidRPr="001416ED">
              <w:rPr>
                <w:b/>
                <w:szCs w:val="22"/>
                <w:lang w:val="uk-UA"/>
              </w:rPr>
              <w:t>Г</w:t>
            </w:r>
            <w:r w:rsidRPr="001416ED">
              <w:rPr>
                <w:b/>
                <w:szCs w:val="22"/>
              </w:rPr>
              <w:t>енотип</w:t>
            </w:r>
            <w:r w:rsidRPr="001416ED">
              <w:rPr>
                <w:b/>
                <w:szCs w:val="22"/>
                <w:lang w:val="en-US"/>
              </w:rPr>
              <w:t xml:space="preserve"> Lys/Lys</w:t>
            </w:r>
            <w:r w:rsidRPr="001416ED">
              <w:rPr>
                <w:b/>
                <w:szCs w:val="22"/>
                <w:lang w:val="uk-UA"/>
              </w:rPr>
              <w:t xml:space="preserve"> </w:t>
            </w:r>
            <w:r w:rsidR="00403FB9" w:rsidRPr="001416ED">
              <w:rPr>
                <w:b/>
                <w:szCs w:val="22"/>
                <w:lang w:val="en-US"/>
              </w:rPr>
              <w:t>(n=</w:t>
            </w:r>
            <w:r w:rsidR="00403FB9" w:rsidRPr="001416ED">
              <w:rPr>
                <w:b/>
                <w:szCs w:val="22"/>
                <w:lang w:val="uk-UA"/>
              </w:rPr>
              <w:t>22</w:t>
            </w:r>
            <w:r w:rsidR="00403FB9" w:rsidRPr="001416ED">
              <w:rPr>
                <w:b/>
                <w:szCs w:val="22"/>
                <w:lang w:val="en-US"/>
              </w:rPr>
              <w:t xml:space="preserve">) </w:t>
            </w:r>
          </w:p>
        </w:tc>
        <w:tc>
          <w:tcPr>
            <w:tcW w:w="1843" w:type="dxa"/>
          </w:tcPr>
          <w:p w:rsidR="00C62972" w:rsidRPr="001416ED" w:rsidRDefault="00C62972" w:rsidP="00403FB9">
            <w:pPr>
              <w:spacing w:line="360" w:lineRule="auto"/>
              <w:jc w:val="center"/>
              <w:rPr>
                <w:b/>
                <w:szCs w:val="22"/>
              </w:rPr>
            </w:pPr>
            <w:r w:rsidRPr="001416ED">
              <w:rPr>
                <w:b/>
                <w:szCs w:val="22"/>
              </w:rPr>
              <w:t>Носії алелі</w:t>
            </w:r>
            <w:r w:rsidRPr="001416ED">
              <w:rPr>
                <w:b/>
                <w:szCs w:val="22"/>
                <w:lang w:val="en-US"/>
              </w:rPr>
              <w:t xml:space="preserve"> Asn</w:t>
            </w:r>
            <w:r w:rsidRPr="001416ED">
              <w:rPr>
                <w:b/>
                <w:szCs w:val="22"/>
                <w:lang w:val="uk-UA"/>
              </w:rPr>
              <w:t xml:space="preserve"> </w:t>
            </w:r>
            <w:r w:rsidR="00403FB9" w:rsidRPr="001416ED">
              <w:rPr>
                <w:b/>
                <w:szCs w:val="22"/>
                <w:lang w:val="en-US"/>
              </w:rPr>
              <w:t>(n=</w:t>
            </w:r>
            <w:r w:rsidR="00403FB9" w:rsidRPr="001416ED">
              <w:rPr>
                <w:b/>
                <w:szCs w:val="22"/>
                <w:lang w:val="uk-UA"/>
              </w:rPr>
              <w:t>8</w:t>
            </w:r>
            <w:r w:rsidR="00403FB9" w:rsidRPr="001416ED">
              <w:rPr>
                <w:b/>
                <w:szCs w:val="22"/>
                <w:lang w:val="en-US"/>
              </w:rPr>
              <w:t>)</w:t>
            </w:r>
          </w:p>
        </w:tc>
        <w:tc>
          <w:tcPr>
            <w:tcW w:w="1561" w:type="dxa"/>
            <w:vMerge/>
          </w:tcPr>
          <w:p w:rsidR="00C62972" w:rsidRPr="001416ED" w:rsidRDefault="00C62972" w:rsidP="0049114B">
            <w:pPr>
              <w:spacing w:line="360" w:lineRule="auto"/>
              <w:jc w:val="center"/>
              <w:rPr>
                <w:szCs w:val="22"/>
              </w:rPr>
            </w:pPr>
          </w:p>
        </w:tc>
      </w:tr>
      <w:tr w:rsidR="00EF44EC" w:rsidRPr="001416ED" w:rsidTr="00C04BC3">
        <w:tc>
          <w:tcPr>
            <w:tcW w:w="1666" w:type="dxa"/>
          </w:tcPr>
          <w:p w:rsidR="00EF44EC" w:rsidRPr="001416ED" w:rsidRDefault="00EF44EC" w:rsidP="0049114B">
            <w:pPr>
              <w:spacing w:line="360" w:lineRule="auto"/>
              <w:rPr>
                <w:szCs w:val="22"/>
              </w:rPr>
            </w:pPr>
            <w:r w:rsidRPr="001416ED">
              <w:rPr>
                <w:szCs w:val="22"/>
              </w:rPr>
              <w:t>КДР, см</w:t>
            </w:r>
          </w:p>
        </w:tc>
        <w:tc>
          <w:tcPr>
            <w:tcW w:w="1703" w:type="dxa"/>
          </w:tcPr>
          <w:p w:rsidR="00EF44EC" w:rsidRPr="001416ED" w:rsidRDefault="004F7E49" w:rsidP="004B7DD0">
            <w:pPr>
              <w:spacing w:line="360" w:lineRule="auto"/>
              <w:rPr>
                <w:szCs w:val="22"/>
                <w:lang w:val="uk-UA"/>
              </w:rPr>
            </w:pPr>
            <w:r w:rsidRPr="001416ED">
              <w:rPr>
                <w:szCs w:val="22"/>
                <w:lang w:val="uk-UA"/>
              </w:rPr>
              <w:t>5</w:t>
            </w:r>
            <w:r w:rsidR="00EF44EC" w:rsidRPr="001416ED">
              <w:rPr>
                <w:szCs w:val="22"/>
              </w:rPr>
              <w:t>,</w:t>
            </w:r>
            <w:r w:rsidR="004B7DD0" w:rsidRPr="001416ED">
              <w:rPr>
                <w:szCs w:val="22"/>
                <w:lang w:val="uk-UA"/>
              </w:rPr>
              <w:t>3</w:t>
            </w:r>
            <w:r w:rsidR="00FC6930" w:rsidRPr="001416ED">
              <w:rPr>
                <w:szCs w:val="22"/>
                <w:lang w:val="uk-UA"/>
              </w:rPr>
              <w:t>4</w:t>
            </w:r>
            <w:r w:rsidR="007A07A9" w:rsidRPr="001416ED">
              <w:rPr>
                <w:szCs w:val="22"/>
              </w:rPr>
              <w:t xml:space="preserve"> ± </w:t>
            </w:r>
            <w:r w:rsidR="00EF44EC" w:rsidRPr="001416ED">
              <w:rPr>
                <w:szCs w:val="22"/>
              </w:rPr>
              <w:t>0,0</w:t>
            </w:r>
            <w:r w:rsidR="00FC6930" w:rsidRPr="001416ED">
              <w:rPr>
                <w:szCs w:val="22"/>
                <w:lang w:val="uk-UA"/>
              </w:rPr>
              <w:t>2</w:t>
            </w:r>
          </w:p>
        </w:tc>
        <w:tc>
          <w:tcPr>
            <w:tcW w:w="1700" w:type="dxa"/>
          </w:tcPr>
          <w:p w:rsidR="00EF44EC" w:rsidRPr="001416ED" w:rsidRDefault="00EF44EC" w:rsidP="00FC6930">
            <w:pPr>
              <w:spacing w:line="360" w:lineRule="auto"/>
              <w:rPr>
                <w:szCs w:val="22"/>
                <w:lang w:val="uk-UA"/>
              </w:rPr>
            </w:pPr>
            <w:r w:rsidRPr="001416ED">
              <w:rPr>
                <w:szCs w:val="22"/>
                <w:lang w:val="en-US"/>
              </w:rPr>
              <w:t>5</w:t>
            </w:r>
            <w:r w:rsidRPr="001416ED">
              <w:rPr>
                <w:szCs w:val="22"/>
              </w:rPr>
              <w:t>,</w:t>
            </w:r>
            <w:r w:rsidR="00FC6930" w:rsidRPr="001416ED">
              <w:rPr>
                <w:szCs w:val="22"/>
                <w:lang w:val="uk-UA"/>
              </w:rPr>
              <w:t>53</w:t>
            </w:r>
            <w:r w:rsidR="007A07A9" w:rsidRPr="001416ED">
              <w:rPr>
                <w:szCs w:val="22"/>
              </w:rPr>
              <w:t xml:space="preserve"> ± </w:t>
            </w:r>
            <w:r w:rsidRPr="001416ED">
              <w:rPr>
                <w:szCs w:val="22"/>
              </w:rPr>
              <w:t>0,0</w:t>
            </w:r>
            <w:r w:rsidR="00FC6930" w:rsidRPr="001416ED">
              <w:rPr>
                <w:szCs w:val="22"/>
                <w:lang w:val="uk-UA"/>
              </w:rPr>
              <w:t>3</w:t>
            </w:r>
          </w:p>
        </w:tc>
        <w:tc>
          <w:tcPr>
            <w:tcW w:w="1700" w:type="dxa"/>
          </w:tcPr>
          <w:p w:rsidR="00EF44EC" w:rsidRPr="001416ED" w:rsidRDefault="00EF44EC" w:rsidP="004B7DD0">
            <w:pPr>
              <w:spacing w:line="360" w:lineRule="auto"/>
              <w:jc w:val="center"/>
              <w:rPr>
                <w:szCs w:val="22"/>
                <w:lang w:val="uk-UA"/>
              </w:rPr>
            </w:pPr>
            <w:r w:rsidRPr="001416ED">
              <w:rPr>
                <w:szCs w:val="22"/>
                <w:lang w:val="uk-UA"/>
              </w:rPr>
              <w:t>5,</w:t>
            </w:r>
            <w:r w:rsidR="004B7DD0" w:rsidRPr="001416ED">
              <w:rPr>
                <w:szCs w:val="22"/>
                <w:lang w:val="uk-UA"/>
              </w:rPr>
              <w:t>6</w:t>
            </w:r>
            <w:r w:rsidRPr="001416ED">
              <w:rPr>
                <w:szCs w:val="22"/>
                <w:lang w:val="uk-UA"/>
              </w:rPr>
              <w:t>8</w:t>
            </w:r>
            <w:r w:rsidR="007A07A9" w:rsidRPr="001416ED">
              <w:rPr>
                <w:szCs w:val="22"/>
              </w:rPr>
              <w:t xml:space="preserve"> ± </w:t>
            </w:r>
            <w:r w:rsidRPr="001416ED">
              <w:rPr>
                <w:szCs w:val="22"/>
                <w:lang w:val="uk-UA"/>
              </w:rPr>
              <w:t>0,09</w:t>
            </w:r>
          </w:p>
        </w:tc>
        <w:tc>
          <w:tcPr>
            <w:tcW w:w="1843" w:type="dxa"/>
          </w:tcPr>
          <w:p w:rsidR="00EF44EC" w:rsidRPr="001416ED" w:rsidRDefault="00EF44EC" w:rsidP="00FC6930">
            <w:pPr>
              <w:spacing w:line="360" w:lineRule="auto"/>
              <w:rPr>
                <w:szCs w:val="22"/>
                <w:lang w:val="uk-UA"/>
              </w:rPr>
            </w:pPr>
            <w:r w:rsidRPr="001416ED">
              <w:rPr>
                <w:szCs w:val="22"/>
                <w:lang w:val="uk-UA"/>
              </w:rPr>
              <w:t>5,7</w:t>
            </w:r>
            <w:r w:rsidR="00FC6930" w:rsidRPr="001416ED">
              <w:rPr>
                <w:szCs w:val="22"/>
                <w:lang w:val="uk-UA"/>
              </w:rPr>
              <w:t>9</w:t>
            </w:r>
            <w:r w:rsidR="007A07A9" w:rsidRPr="001416ED">
              <w:rPr>
                <w:szCs w:val="22"/>
              </w:rPr>
              <w:t xml:space="preserve"> ± </w:t>
            </w:r>
            <w:r w:rsidRPr="001416ED">
              <w:rPr>
                <w:szCs w:val="22"/>
                <w:lang w:val="uk-UA"/>
              </w:rPr>
              <w:t>0,08</w:t>
            </w:r>
          </w:p>
        </w:tc>
        <w:tc>
          <w:tcPr>
            <w:tcW w:w="1561" w:type="dxa"/>
          </w:tcPr>
          <w:p w:rsidR="00EF44EC" w:rsidRPr="001416ED" w:rsidRDefault="00BC0119" w:rsidP="00464042">
            <w:pPr>
              <w:spacing w:line="360" w:lineRule="auto"/>
              <w:rPr>
                <w:szCs w:val="22"/>
                <w:vertAlign w:val="subscript"/>
                <w:lang w:val="uk-UA"/>
              </w:rPr>
            </w:pPr>
            <w:r w:rsidRPr="001416ED">
              <w:rPr>
                <w:szCs w:val="22"/>
                <w:lang w:val="uk-UA"/>
              </w:rPr>
              <w:t>–</w:t>
            </w:r>
          </w:p>
        </w:tc>
      </w:tr>
      <w:tr w:rsidR="00EF44EC" w:rsidRPr="001416ED" w:rsidTr="00C04BC3">
        <w:tc>
          <w:tcPr>
            <w:tcW w:w="1666" w:type="dxa"/>
          </w:tcPr>
          <w:p w:rsidR="00EF44EC" w:rsidRPr="001416ED" w:rsidRDefault="00EF44EC" w:rsidP="0049114B">
            <w:pPr>
              <w:spacing w:line="360" w:lineRule="auto"/>
              <w:rPr>
                <w:szCs w:val="22"/>
              </w:rPr>
            </w:pPr>
            <w:r w:rsidRPr="001416ED">
              <w:rPr>
                <w:szCs w:val="22"/>
              </w:rPr>
              <w:t>КСР, см</w:t>
            </w:r>
          </w:p>
        </w:tc>
        <w:tc>
          <w:tcPr>
            <w:tcW w:w="1703" w:type="dxa"/>
          </w:tcPr>
          <w:p w:rsidR="00EF44EC" w:rsidRPr="001416ED" w:rsidRDefault="004B7DD0" w:rsidP="004B7DD0">
            <w:pPr>
              <w:spacing w:line="360" w:lineRule="auto"/>
              <w:rPr>
                <w:szCs w:val="22"/>
                <w:lang w:val="uk-UA"/>
              </w:rPr>
            </w:pPr>
            <w:r w:rsidRPr="001416ED">
              <w:rPr>
                <w:szCs w:val="22"/>
                <w:lang w:val="uk-UA"/>
              </w:rPr>
              <w:t>4,17</w:t>
            </w:r>
            <w:r w:rsidR="007A07A9" w:rsidRPr="001416ED">
              <w:rPr>
                <w:szCs w:val="22"/>
              </w:rPr>
              <w:t xml:space="preserve"> ± </w:t>
            </w:r>
            <w:r w:rsidR="00EF44EC" w:rsidRPr="001416ED">
              <w:rPr>
                <w:szCs w:val="22"/>
              </w:rPr>
              <w:t>0,</w:t>
            </w:r>
            <w:r w:rsidRPr="001416ED">
              <w:rPr>
                <w:szCs w:val="22"/>
                <w:lang w:val="uk-UA"/>
              </w:rPr>
              <w:t>12</w:t>
            </w:r>
          </w:p>
        </w:tc>
        <w:tc>
          <w:tcPr>
            <w:tcW w:w="1700" w:type="dxa"/>
          </w:tcPr>
          <w:p w:rsidR="00EF44EC" w:rsidRPr="001416ED" w:rsidRDefault="004B7DD0" w:rsidP="004B7DD0">
            <w:pPr>
              <w:spacing w:line="360" w:lineRule="auto"/>
              <w:rPr>
                <w:szCs w:val="22"/>
                <w:lang w:val="uk-UA"/>
              </w:rPr>
            </w:pPr>
            <w:r w:rsidRPr="001416ED">
              <w:rPr>
                <w:szCs w:val="22"/>
                <w:lang w:val="uk-UA"/>
              </w:rPr>
              <w:t>4,21</w:t>
            </w:r>
            <w:r w:rsidR="007A07A9" w:rsidRPr="001416ED">
              <w:rPr>
                <w:szCs w:val="22"/>
              </w:rPr>
              <w:t xml:space="preserve"> ± </w:t>
            </w:r>
            <w:r w:rsidR="00EF44EC" w:rsidRPr="001416ED">
              <w:rPr>
                <w:szCs w:val="22"/>
              </w:rPr>
              <w:t>0,0</w:t>
            </w:r>
            <w:r w:rsidRPr="001416ED">
              <w:rPr>
                <w:szCs w:val="22"/>
                <w:lang w:val="uk-UA"/>
              </w:rPr>
              <w:t>8</w:t>
            </w:r>
          </w:p>
        </w:tc>
        <w:tc>
          <w:tcPr>
            <w:tcW w:w="1700" w:type="dxa"/>
          </w:tcPr>
          <w:p w:rsidR="00EF44EC" w:rsidRPr="001416ED" w:rsidRDefault="004B7DD0" w:rsidP="0049114B">
            <w:pPr>
              <w:spacing w:line="360" w:lineRule="auto"/>
              <w:rPr>
                <w:szCs w:val="22"/>
                <w:lang w:val="uk-UA"/>
              </w:rPr>
            </w:pPr>
            <w:r w:rsidRPr="001416ED">
              <w:rPr>
                <w:szCs w:val="22"/>
                <w:lang w:val="uk-UA"/>
              </w:rPr>
              <w:t>4,56</w:t>
            </w:r>
            <w:r w:rsidR="007A07A9" w:rsidRPr="001416ED">
              <w:rPr>
                <w:szCs w:val="22"/>
              </w:rPr>
              <w:t xml:space="preserve"> ± </w:t>
            </w:r>
            <w:r w:rsidRPr="001416ED">
              <w:rPr>
                <w:szCs w:val="22"/>
              </w:rPr>
              <w:t>0,0</w:t>
            </w:r>
            <w:r w:rsidRPr="001416ED">
              <w:rPr>
                <w:szCs w:val="22"/>
                <w:lang w:val="uk-UA"/>
              </w:rPr>
              <w:t>9</w:t>
            </w:r>
          </w:p>
        </w:tc>
        <w:tc>
          <w:tcPr>
            <w:tcW w:w="1843" w:type="dxa"/>
          </w:tcPr>
          <w:p w:rsidR="00EF44EC" w:rsidRPr="001416ED" w:rsidRDefault="00EF44EC" w:rsidP="004B7DD0">
            <w:pPr>
              <w:spacing w:line="360" w:lineRule="auto"/>
              <w:rPr>
                <w:szCs w:val="22"/>
                <w:lang w:val="uk-UA"/>
              </w:rPr>
            </w:pPr>
            <w:r w:rsidRPr="001416ED">
              <w:rPr>
                <w:szCs w:val="22"/>
                <w:lang w:val="uk-UA"/>
              </w:rPr>
              <w:t>4</w:t>
            </w:r>
            <w:r w:rsidRPr="001416ED">
              <w:rPr>
                <w:szCs w:val="22"/>
              </w:rPr>
              <w:t>,</w:t>
            </w:r>
            <w:r w:rsidRPr="001416ED">
              <w:rPr>
                <w:szCs w:val="22"/>
                <w:lang w:val="uk-UA"/>
              </w:rPr>
              <w:t>6</w:t>
            </w:r>
            <w:r w:rsidR="004B7DD0" w:rsidRPr="001416ED">
              <w:rPr>
                <w:szCs w:val="22"/>
                <w:lang w:val="uk-UA"/>
              </w:rPr>
              <w:t>1</w:t>
            </w:r>
            <w:r w:rsidR="007A07A9" w:rsidRPr="001416ED">
              <w:rPr>
                <w:szCs w:val="22"/>
              </w:rPr>
              <w:t xml:space="preserve"> ± </w:t>
            </w:r>
            <w:r w:rsidRPr="001416ED">
              <w:rPr>
                <w:szCs w:val="22"/>
              </w:rPr>
              <w:t>0,</w:t>
            </w:r>
            <w:r w:rsidR="004B7DD0" w:rsidRPr="001416ED">
              <w:rPr>
                <w:szCs w:val="22"/>
                <w:lang w:val="uk-UA"/>
              </w:rPr>
              <w:t>12</w:t>
            </w:r>
          </w:p>
        </w:tc>
        <w:tc>
          <w:tcPr>
            <w:tcW w:w="1561" w:type="dxa"/>
          </w:tcPr>
          <w:p w:rsidR="00EF44EC" w:rsidRPr="001416ED" w:rsidRDefault="00BC0119" w:rsidP="004B7DD0">
            <w:pPr>
              <w:spacing w:line="360" w:lineRule="auto"/>
              <w:rPr>
                <w:szCs w:val="22"/>
                <w:vertAlign w:val="subscript"/>
                <w:lang w:val="en-US"/>
              </w:rPr>
            </w:pPr>
            <w:r w:rsidRPr="001416ED">
              <w:rPr>
                <w:szCs w:val="22"/>
                <w:lang w:val="en-US"/>
              </w:rPr>
              <w:t>–</w:t>
            </w:r>
          </w:p>
        </w:tc>
      </w:tr>
      <w:tr w:rsidR="00EF44EC" w:rsidRPr="001416ED" w:rsidTr="00C04BC3">
        <w:tc>
          <w:tcPr>
            <w:tcW w:w="1666" w:type="dxa"/>
          </w:tcPr>
          <w:p w:rsidR="00EF44EC" w:rsidRPr="001416ED" w:rsidRDefault="00EF44EC" w:rsidP="0049114B">
            <w:pPr>
              <w:spacing w:line="360" w:lineRule="auto"/>
              <w:rPr>
                <w:szCs w:val="22"/>
              </w:rPr>
            </w:pPr>
            <w:r w:rsidRPr="001416ED">
              <w:rPr>
                <w:szCs w:val="22"/>
              </w:rPr>
              <w:t>ТЗСЛШ, см</w:t>
            </w:r>
          </w:p>
        </w:tc>
        <w:tc>
          <w:tcPr>
            <w:tcW w:w="1703" w:type="dxa"/>
          </w:tcPr>
          <w:p w:rsidR="00EF44EC" w:rsidRPr="001416ED" w:rsidRDefault="00EF44EC" w:rsidP="00D74A7F">
            <w:pPr>
              <w:spacing w:line="360" w:lineRule="auto"/>
              <w:rPr>
                <w:szCs w:val="22"/>
                <w:lang w:val="en-US"/>
              </w:rPr>
            </w:pPr>
            <w:r w:rsidRPr="001416ED">
              <w:rPr>
                <w:szCs w:val="22"/>
              </w:rPr>
              <w:t>1,</w:t>
            </w:r>
            <w:r w:rsidR="00D74A7F" w:rsidRPr="001416ED">
              <w:rPr>
                <w:szCs w:val="22"/>
                <w:lang w:val="en-US"/>
              </w:rPr>
              <w:t>30</w:t>
            </w:r>
            <w:r w:rsidR="007A07A9" w:rsidRPr="001416ED">
              <w:rPr>
                <w:szCs w:val="22"/>
              </w:rPr>
              <w:t xml:space="preserve"> ± </w:t>
            </w:r>
            <w:r w:rsidRPr="001416ED">
              <w:rPr>
                <w:szCs w:val="22"/>
              </w:rPr>
              <w:t>0,0</w:t>
            </w:r>
            <w:r w:rsidR="00D74A7F" w:rsidRPr="001416ED">
              <w:rPr>
                <w:szCs w:val="22"/>
                <w:lang w:val="en-US"/>
              </w:rPr>
              <w:t>3</w:t>
            </w:r>
          </w:p>
        </w:tc>
        <w:tc>
          <w:tcPr>
            <w:tcW w:w="1700" w:type="dxa"/>
          </w:tcPr>
          <w:p w:rsidR="00EF44EC" w:rsidRPr="001416ED" w:rsidRDefault="00EF44EC" w:rsidP="004231A0">
            <w:pPr>
              <w:spacing w:line="360" w:lineRule="auto"/>
              <w:rPr>
                <w:szCs w:val="22"/>
              </w:rPr>
            </w:pPr>
            <w:r w:rsidRPr="001416ED">
              <w:rPr>
                <w:szCs w:val="22"/>
              </w:rPr>
              <w:t>1,</w:t>
            </w:r>
            <w:r w:rsidR="00D74A7F" w:rsidRPr="001416ED">
              <w:rPr>
                <w:szCs w:val="22"/>
                <w:lang w:val="en-US"/>
              </w:rPr>
              <w:t>3</w:t>
            </w:r>
            <w:r w:rsidR="004231A0" w:rsidRPr="001416ED">
              <w:rPr>
                <w:szCs w:val="22"/>
                <w:lang w:val="en-US"/>
              </w:rPr>
              <w:t>3</w:t>
            </w:r>
            <w:r w:rsidR="007A07A9" w:rsidRPr="001416ED">
              <w:rPr>
                <w:szCs w:val="22"/>
              </w:rPr>
              <w:t xml:space="preserve"> ± </w:t>
            </w:r>
            <w:r w:rsidRPr="001416ED">
              <w:rPr>
                <w:szCs w:val="22"/>
              </w:rPr>
              <w:t>0,03</w:t>
            </w:r>
          </w:p>
        </w:tc>
        <w:tc>
          <w:tcPr>
            <w:tcW w:w="1700" w:type="dxa"/>
          </w:tcPr>
          <w:p w:rsidR="00EF44EC" w:rsidRPr="001416ED" w:rsidRDefault="00EF44EC" w:rsidP="004231A0">
            <w:pPr>
              <w:spacing w:line="360" w:lineRule="auto"/>
              <w:rPr>
                <w:szCs w:val="22"/>
                <w:lang w:val="en-US"/>
              </w:rPr>
            </w:pPr>
            <w:r w:rsidRPr="001416ED">
              <w:rPr>
                <w:szCs w:val="22"/>
              </w:rPr>
              <w:t>1,</w:t>
            </w:r>
            <w:r w:rsidR="00D74A7F" w:rsidRPr="001416ED">
              <w:rPr>
                <w:szCs w:val="22"/>
                <w:lang w:val="en-US"/>
              </w:rPr>
              <w:t>3</w:t>
            </w:r>
            <w:r w:rsidR="004231A0" w:rsidRPr="001416ED">
              <w:rPr>
                <w:szCs w:val="22"/>
                <w:lang w:val="en-US"/>
              </w:rPr>
              <w:t>4</w:t>
            </w:r>
            <w:r w:rsidR="007A07A9" w:rsidRPr="001416ED">
              <w:rPr>
                <w:szCs w:val="22"/>
              </w:rPr>
              <w:t xml:space="preserve"> ± </w:t>
            </w:r>
            <w:r w:rsidRPr="001416ED">
              <w:rPr>
                <w:szCs w:val="22"/>
              </w:rPr>
              <w:t>0,0</w:t>
            </w:r>
            <w:r w:rsidR="00D74A7F" w:rsidRPr="001416ED">
              <w:rPr>
                <w:szCs w:val="22"/>
                <w:lang w:val="en-US"/>
              </w:rPr>
              <w:t>3</w:t>
            </w:r>
          </w:p>
        </w:tc>
        <w:tc>
          <w:tcPr>
            <w:tcW w:w="1843" w:type="dxa"/>
          </w:tcPr>
          <w:p w:rsidR="00EF44EC" w:rsidRPr="001416ED" w:rsidRDefault="00EF44EC" w:rsidP="004231A0">
            <w:pPr>
              <w:spacing w:line="360" w:lineRule="auto"/>
              <w:rPr>
                <w:szCs w:val="22"/>
                <w:lang w:val="en-US"/>
              </w:rPr>
            </w:pPr>
            <w:r w:rsidRPr="001416ED">
              <w:rPr>
                <w:szCs w:val="22"/>
              </w:rPr>
              <w:t>1,</w:t>
            </w:r>
            <w:r w:rsidRPr="001416ED">
              <w:rPr>
                <w:szCs w:val="22"/>
                <w:lang w:val="uk-UA"/>
              </w:rPr>
              <w:t>3</w:t>
            </w:r>
            <w:r w:rsidR="004231A0" w:rsidRPr="001416ED">
              <w:rPr>
                <w:szCs w:val="22"/>
                <w:lang w:val="en-US"/>
              </w:rPr>
              <w:t>0</w:t>
            </w:r>
            <w:r w:rsidR="007A07A9" w:rsidRPr="001416ED">
              <w:rPr>
                <w:szCs w:val="22"/>
              </w:rPr>
              <w:t xml:space="preserve"> ± </w:t>
            </w:r>
            <w:r w:rsidRPr="001416ED">
              <w:rPr>
                <w:szCs w:val="22"/>
              </w:rPr>
              <w:t>0,0</w:t>
            </w:r>
            <w:r w:rsidR="00D74A7F" w:rsidRPr="001416ED">
              <w:rPr>
                <w:szCs w:val="22"/>
                <w:lang w:val="en-US"/>
              </w:rPr>
              <w:t>6</w:t>
            </w:r>
          </w:p>
        </w:tc>
        <w:tc>
          <w:tcPr>
            <w:tcW w:w="1561" w:type="dxa"/>
          </w:tcPr>
          <w:p w:rsidR="00EF44EC" w:rsidRPr="001416ED" w:rsidRDefault="00BC0119" w:rsidP="0049114B">
            <w:pPr>
              <w:spacing w:line="360" w:lineRule="auto"/>
              <w:rPr>
                <w:szCs w:val="22"/>
                <w:lang w:val="en-US"/>
              </w:rPr>
            </w:pPr>
            <w:r w:rsidRPr="001416ED">
              <w:rPr>
                <w:szCs w:val="22"/>
                <w:lang w:val="en-US"/>
              </w:rPr>
              <w:t>–</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ТМШП, см</w:t>
            </w:r>
          </w:p>
        </w:tc>
        <w:tc>
          <w:tcPr>
            <w:tcW w:w="1703" w:type="dxa"/>
          </w:tcPr>
          <w:p w:rsidR="00D058DE" w:rsidRPr="001416ED" w:rsidRDefault="00D058DE" w:rsidP="00683BC8">
            <w:pPr>
              <w:spacing w:line="360" w:lineRule="auto"/>
              <w:rPr>
                <w:szCs w:val="22"/>
              </w:rPr>
            </w:pPr>
            <w:r w:rsidRPr="001416ED">
              <w:rPr>
                <w:szCs w:val="22"/>
              </w:rPr>
              <w:t>1,</w:t>
            </w:r>
            <w:r w:rsidRPr="001416ED">
              <w:rPr>
                <w:szCs w:val="22"/>
                <w:lang w:val="en-US"/>
              </w:rPr>
              <w:t>33</w:t>
            </w:r>
            <w:r w:rsidR="007A07A9" w:rsidRPr="001416ED">
              <w:rPr>
                <w:szCs w:val="22"/>
              </w:rPr>
              <w:t xml:space="preserve"> ± </w:t>
            </w:r>
            <w:r w:rsidRPr="001416ED">
              <w:rPr>
                <w:szCs w:val="22"/>
              </w:rPr>
              <w:t>0,03</w:t>
            </w:r>
          </w:p>
        </w:tc>
        <w:tc>
          <w:tcPr>
            <w:tcW w:w="1700" w:type="dxa"/>
          </w:tcPr>
          <w:p w:rsidR="00D058DE" w:rsidRPr="001416ED" w:rsidRDefault="00D058DE" w:rsidP="00683BC8">
            <w:pPr>
              <w:spacing w:line="360" w:lineRule="auto"/>
              <w:rPr>
                <w:szCs w:val="22"/>
              </w:rPr>
            </w:pPr>
            <w:r w:rsidRPr="001416ED">
              <w:rPr>
                <w:szCs w:val="22"/>
              </w:rPr>
              <w:t>1,</w:t>
            </w:r>
            <w:r w:rsidRPr="001416ED">
              <w:rPr>
                <w:szCs w:val="22"/>
                <w:lang w:val="en-US"/>
              </w:rPr>
              <w:t>31</w:t>
            </w:r>
            <w:r w:rsidR="007A07A9" w:rsidRPr="001416ED">
              <w:rPr>
                <w:szCs w:val="22"/>
              </w:rPr>
              <w:t xml:space="preserve"> ± </w:t>
            </w:r>
            <w:r w:rsidRPr="001416ED">
              <w:rPr>
                <w:szCs w:val="22"/>
              </w:rPr>
              <w:t>0,03</w:t>
            </w:r>
          </w:p>
        </w:tc>
        <w:tc>
          <w:tcPr>
            <w:tcW w:w="1702" w:type="dxa"/>
          </w:tcPr>
          <w:p w:rsidR="00D058DE" w:rsidRPr="001416ED" w:rsidRDefault="00D058DE" w:rsidP="00683BC8">
            <w:pPr>
              <w:spacing w:line="360" w:lineRule="auto"/>
              <w:rPr>
                <w:szCs w:val="22"/>
                <w:lang w:val="en-US"/>
              </w:rPr>
            </w:pPr>
            <w:r w:rsidRPr="001416ED">
              <w:rPr>
                <w:szCs w:val="22"/>
              </w:rPr>
              <w:t>1,</w:t>
            </w:r>
            <w:r w:rsidRPr="001416ED">
              <w:rPr>
                <w:szCs w:val="22"/>
                <w:lang w:val="en-US"/>
              </w:rPr>
              <w:t>34</w:t>
            </w:r>
            <w:r w:rsidR="007A07A9" w:rsidRPr="001416ED">
              <w:rPr>
                <w:szCs w:val="22"/>
              </w:rPr>
              <w:t xml:space="preserve"> ± </w:t>
            </w:r>
            <w:r w:rsidRPr="001416ED">
              <w:rPr>
                <w:szCs w:val="22"/>
              </w:rPr>
              <w:t>0,0</w:t>
            </w:r>
            <w:r w:rsidRPr="001416ED">
              <w:rPr>
                <w:szCs w:val="22"/>
                <w:lang w:val="en-US"/>
              </w:rPr>
              <w:t>6</w:t>
            </w:r>
          </w:p>
        </w:tc>
        <w:tc>
          <w:tcPr>
            <w:tcW w:w="1841" w:type="dxa"/>
          </w:tcPr>
          <w:p w:rsidR="00D058DE" w:rsidRPr="001416ED" w:rsidRDefault="00D058DE" w:rsidP="00683BC8">
            <w:pPr>
              <w:spacing w:line="360" w:lineRule="auto"/>
              <w:rPr>
                <w:szCs w:val="22"/>
              </w:rPr>
            </w:pPr>
            <w:r w:rsidRPr="001416ED">
              <w:rPr>
                <w:szCs w:val="22"/>
              </w:rPr>
              <w:t>1,</w:t>
            </w:r>
            <w:r w:rsidRPr="001416ED">
              <w:rPr>
                <w:szCs w:val="22"/>
                <w:lang w:val="uk-UA"/>
              </w:rPr>
              <w:t>36</w:t>
            </w:r>
            <w:r w:rsidR="007A07A9" w:rsidRPr="001416ED">
              <w:rPr>
                <w:szCs w:val="22"/>
              </w:rPr>
              <w:t xml:space="preserve"> ± </w:t>
            </w:r>
            <w:r w:rsidRPr="001416ED">
              <w:rPr>
                <w:szCs w:val="22"/>
              </w:rPr>
              <w:t>0,03</w:t>
            </w:r>
          </w:p>
        </w:tc>
        <w:tc>
          <w:tcPr>
            <w:tcW w:w="1561" w:type="dxa"/>
          </w:tcPr>
          <w:p w:rsidR="00D058DE" w:rsidRPr="001416ED" w:rsidRDefault="00D058DE" w:rsidP="00683BC8">
            <w:pPr>
              <w:spacing w:line="360" w:lineRule="auto"/>
              <w:rPr>
                <w:szCs w:val="22"/>
                <w:lang w:val="en-US"/>
              </w:rPr>
            </w:pPr>
            <w:r w:rsidRPr="001416ED">
              <w:rPr>
                <w:szCs w:val="22"/>
                <w:lang w:val="en-US"/>
              </w:rPr>
              <w:t>–</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ВТС, ум.од.</w:t>
            </w:r>
          </w:p>
        </w:tc>
        <w:tc>
          <w:tcPr>
            <w:tcW w:w="1703" w:type="dxa"/>
          </w:tcPr>
          <w:p w:rsidR="00D058DE" w:rsidRPr="001416ED" w:rsidRDefault="00D058DE" w:rsidP="00683BC8">
            <w:pPr>
              <w:spacing w:line="360" w:lineRule="auto"/>
              <w:rPr>
                <w:szCs w:val="22"/>
              </w:rPr>
            </w:pPr>
            <w:r w:rsidRPr="001416ED">
              <w:rPr>
                <w:szCs w:val="22"/>
              </w:rPr>
              <w:t>0,4</w:t>
            </w:r>
            <w:r w:rsidRPr="001416ED">
              <w:rPr>
                <w:szCs w:val="22"/>
                <w:lang w:val="en-US"/>
              </w:rPr>
              <w:t>7</w:t>
            </w:r>
            <w:r w:rsidR="007A07A9" w:rsidRPr="001416ED">
              <w:rPr>
                <w:szCs w:val="22"/>
              </w:rPr>
              <w:t xml:space="preserve"> ± </w:t>
            </w:r>
            <w:r w:rsidRPr="001416ED">
              <w:rPr>
                <w:szCs w:val="22"/>
              </w:rPr>
              <w:t>0,01</w:t>
            </w:r>
          </w:p>
        </w:tc>
        <w:tc>
          <w:tcPr>
            <w:tcW w:w="1700" w:type="dxa"/>
          </w:tcPr>
          <w:p w:rsidR="00D058DE" w:rsidRPr="001416ED" w:rsidRDefault="00D058DE" w:rsidP="00683BC8">
            <w:pPr>
              <w:spacing w:line="360" w:lineRule="auto"/>
              <w:rPr>
                <w:szCs w:val="22"/>
              </w:rPr>
            </w:pPr>
            <w:r w:rsidRPr="001416ED">
              <w:rPr>
                <w:szCs w:val="22"/>
              </w:rPr>
              <w:t>0,4</w:t>
            </w:r>
            <w:r w:rsidRPr="001416ED">
              <w:rPr>
                <w:szCs w:val="22"/>
                <w:lang w:val="en-US"/>
              </w:rPr>
              <w:t>7</w:t>
            </w:r>
            <w:r w:rsidR="007A07A9" w:rsidRPr="001416ED">
              <w:rPr>
                <w:szCs w:val="22"/>
              </w:rPr>
              <w:t xml:space="preserve"> ± </w:t>
            </w:r>
            <w:r w:rsidRPr="001416ED">
              <w:rPr>
                <w:szCs w:val="22"/>
              </w:rPr>
              <w:t>0,01</w:t>
            </w:r>
          </w:p>
        </w:tc>
        <w:tc>
          <w:tcPr>
            <w:tcW w:w="1702" w:type="dxa"/>
          </w:tcPr>
          <w:p w:rsidR="00D058DE" w:rsidRPr="001416ED" w:rsidRDefault="00D058DE" w:rsidP="00683BC8">
            <w:pPr>
              <w:spacing w:line="360" w:lineRule="auto"/>
              <w:rPr>
                <w:szCs w:val="22"/>
              </w:rPr>
            </w:pPr>
            <w:r w:rsidRPr="001416ED">
              <w:rPr>
                <w:szCs w:val="22"/>
              </w:rPr>
              <w:t>0,4</w:t>
            </w:r>
            <w:r w:rsidRPr="001416ED">
              <w:rPr>
                <w:szCs w:val="22"/>
                <w:lang w:val="en-US"/>
              </w:rPr>
              <w:t>8</w:t>
            </w:r>
            <w:r w:rsidR="007A07A9" w:rsidRPr="001416ED">
              <w:rPr>
                <w:szCs w:val="22"/>
              </w:rPr>
              <w:t xml:space="preserve"> ± </w:t>
            </w:r>
            <w:r w:rsidRPr="001416ED">
              <w:rPr>
                <w:szCs w:val="22"/>
              </w:rPr>
              <w:t>0,01</w:t>
            </w:r>
          </w:p>
        </w:tc>
        <w:tc>
          <w:tcPr>
            <w:tcW w:w="1841" w:type="dxa"/>
          </w:tcPr>
          <w:p w:rsidR="00D058DE" w:rsidRPr="001416ED" w:rsidRDefault="00D058DE" w:rsidP="00683BC8">
            <w:pPr>
              <w:spacing w:line="360" w:lineRule="auto"/>
              <w:rPr>
                <w:szCs w:val="22"/>
              </w:rPr>
            </w:pPr>
            <w:r w:rsidRPr="001416ED">
              <w:rPr>
                <w:szCs w:val="22"/>
              </w:rPr>
              <w:t>0,</w:t>
            </w:r>
            <w:r w:rsidRPr="001416ED">
              <w:rPr>
                <w:szCs w:val="22"/>
                <w:lang w:val="en-US"/>
              </w:rPr>
              <w:t>46</w:t>
            </w:r>
            <w:r w:rsidR="007A07A9" w:rsidRPr="001416ED">
              <w:rPr>
                <w:szCs w:val="22"/>
              </w:rPr>
              <w:t xml:space="preserve"> ± </w:t>
            </w:r>
            <w:r w:rsidRPr="001416ED">
              <w:rPr>
                <w:szCs w:val="22"/>
              </w:rPr>
              <w:t>0,01</w:t>
            </w:r>
          </w:p>
        </w:tc>
        <w:tc>
          <w:tcPr>
            <w:tcW w:w="1561" w:type="dxa"/>
          </w:tcPr>
          <w:p w:rsidR="00D058DE" w:rsidRPr="001416ED" w:rsidRDefault="00D058DE" w:rsidP="00683BC8">
            <w:pPr>
              <w:spacing w:line="360" w:lineRule="auto"/>
              <w:rPr>
                <w:szCs w:val="22"/>
                <w:lang w:val="en-US"/>
              </w:rPr>
            </w:pPr>
            <w:r w:rsidRPr="001416ED">
              <w:rPr>
                <w:szCs w:val="22"/>
                <w:lang w:val="en-US"/>
              </w:rPr>
              <w:t>–</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іММЛШ, г/м</w:t>
            </w:r>
            <w:r w:rsidRPr="001416ED">
              <w:rPr>
                <w:szCs w:val="22"/>
                <w:vertAlign w:val="superscript"/>
              </w:rPr>
              <w:t>2</w:t>
            </w:r>
          </w:p>
        </w:tc>
        <w:tc>
          <w:tcPr>
            <w:tcW w:w="1703" w:type="dxa"/>
          </w:tcPr>
          <w:p w:rsidR="00D058DE" w:rsidRPr="001416ED" w:rsidRDefault="00D058DE" w:rsidP="00D058DE">
            <w:pPr>
              <w:spacing w:line="360" w:lineRule="auto"/>
              <w:rPr>
                <w:szCs w:val="22"/>
                <w:lang w:val="en-US"/>
              </w:rPr>
            </w:pPr>
            <w:r w:rsidRPr="001416ED">
              <w:rPr>
                <w:szCs w:val="22"/>
              </w:rPr>
              <w:t>1</w:t>
            </w:r>
            <w:r w:rsidRPr="001416ED">
              <w:rPr>
                <w:szCs w:val="22"/>
                <w:lang w:val="en-US"/>
              </w:rPr>
              <w:t>45</w:t>
            </w:r>
            <w:r w:rsidRPr="001416ED">
              <w:rPr>
                <w:szCs w:val="22"/>
              </w:rPr>
              <w:t>,</w:t>
            </w:r>
            <w:r w:rsidRPr="001416ED">
              <w:rPr>
                <w:szCs w:val="22"/>
                <w:lang w:val="en-US"/>
              </w:rPr>
              <w:t>0</w:t>
            </w:r>
            <w:r w:rsidRPr="001416ED">
              <w:rPr>
                <w:szCs w:val="22"/>
              </w:rPr>
              <w:t>3</w:t>
            </w:r>
            <w:r w:rsidR="007A07A9" w:rsidRPr="001416ED">
              <w:rPr>
                <w:szCs w:val="22"/>
              </w:rPr>
              <w:t xml:space="preserve"> ± </w:t>
            </w:r>
            <w:r w:rsidRPr="001416ED">
              <w:rPr>
                <w:szCs w:val="22"/>
                <w:lang w:val="en-US"/>
              </w:rPr>
              <w:t>15,36</w:t>
            </w:r>
          </w:p>
        </w:tc>
        <w:tc>
          <w:tcPr>
            <w:tcW w:w="1700" w:type="dxa"/>
          </w:tcPr>
          <w:p w:rsidR="00D058DE" w:rsidRPr="001416ED" w:rsidRDefault="00D058DE" w:rsidP="00D058DE">
            <w:pPr>
              <w:spacing w:line="360" w:lineRule="auto"/>
              <w:rPr>
                <w:szCs w:val="22"/>
                <w:lang w:val="en-US"/>
              </w:rPr>
            </w:pPr>
            <w:r w:rsidRPr="001416ED">
              <w:rPr>
                <w:szCs w:val="22"/>
              </w:rPr>
              <w:t>1</w:t>
            </w:r>
            <w:r w:rsidRPr="001416ED">
              <w:rPr>
                <w:szCs w:val="22"/>
                <w:lang w:val="en-US"/>
              </w:rPr>
              <w:t>8</w:t>
            </w:r>
            <w:r w:rsidRPr="001416ED">
              <w:rPr>
                <w:szCs w:val="22"/>
              </w:rPr>
              <w:t>2,</w:t>
            </w:r>
            <w:r w:rsidRPr="001416ED">
              <w:rPr>
                <w:szCs w:val="22"/>
                <w:lang w:val="en-US"/>
              </w:rPr>
              <w:t>9</w:t>
            </w:r>
            <w:r w:rsidRPr="001416ED">
              <w:rPr>
                <w:szCs w:val="22"/>
              </w:rPr>
              <w:t>5</w:t>
            </w:r>
            <w:r w:rsidR="007A07A9" w:rsidRPr="001416ED">
              <w:rPr>
                <w:szCs w:val="22"/>
              </w:rPr>
              <w:t xml:space="preserve"> ± </w:t>
            </w:r>
            <w:r w:rsidRPr="001416ED">
              <w:rPr>
                <w:szCs w:val="22"/>
                <w:lang w:val="en-US"/>
              </w:rPr>
              <w:t>9,11</w:t>
            </w:r>
          </w:p>
        </w:tc>
        <w:tc>
          <w:tcPr>
            <w:tcW w:w="1702" w:type="dxa"/>
          </w:tcPr>
          <w:p w:rsidR="00D058DE" w:rsidRPr="001416ED" w:rsidRDefault="00D058DE" w:rsidP="00D058DE">
            <w:pPr>
              <w:spacing w:line="360" w:lineRule="auto"/>
              <w:rPr>
                <w:szCs w:val="22"/>
                <w:lang w:val="en-US"/>
              </w:rPr>
            </w:pPr>
            <w:r w:rsidRPr="001416ED">
              <w:rPr>
                <w:szCs w:val="22"/>
              </w:rPr>
              <w:t>1</w:t>
            </w:r>
            <w:r w:rsidRPr="001416ED">
              <w:rPr>
                <w:szCs w:val="22"/>
                <w:lang w:val="en-US"/>
              </w:rPr>
              <w:t>7</w:t>
            </w:r>
            <w:r w:rsidRPr="001416ED">
              <w:rPr>
                <w:szCs w:val="22"/>
              </w:rPr>
              <w:t>8,</w:t>
            </w:r>
            <w:r w:rsidRPr="001416ED">
              <w:rPr>
                <w:szCs w:val="22"/>
                <w:lang w:val="en-US"/>
              </w:rPr>
              <w:t>75</w:t>
            </w:r>
            <w:r w:rsidR="007A07A9" w:rsidRPr="001416ED">
              <w:rPr>
                <w:szCs w:val="22"/>
              </w:rPr>
              <w:t xml:space="preserve"> ± </w:t>
            </w:r>
            <w:r w:rsidRPr="001416ED">
              <w:rPr>
                <w:szCs w:val="22"/>
              </w:rPr>
              <w:t>7,</w:t>
            </w:r>
            <w:r w:rsidRPr="001416ED">
              <w:rPr>
                <w:szCs w:val="22"/>
                <w:lang w:val="en-US"/>
              </w:rPr>
              <w:t>26</w:t>
            </w:r>
          </w:p>
        </w:tc>
        <w:tc>
          <w:tcPr>
            <w:tcW w:w="1841" w:type="dxa"/>
          </w:tcPr>
          <w:p w:rsidR="00D058DE" w:rsidRPr="001416ED" w:rsidRDefault="00D058DE" w:rsidP="00D058DE">
            <w:pPr>
              <w:spacing w:line="360" w:lineRule="auto"/>
              <w:rPr>
                <w:szCs w:val="22"/>
                <w:lang w:val="en-US"/>
              </w:rPr>
            </w:pPr>
            <w:r w:rsidRPr="001416ED">
              <w:rPr>
                <w:szCs w:val="22"/>
              </w:rPr>
              <w:t>19</w:t>
            </w:r>
            <w:r w:rsidRPr="001416ED">
              <w:rPr>
                <w:szCs w:val="22"/>
                <w:lang w:val="en-US"/>
              </w:rPr>
              <w:t>5</w:t>
            </w:r>
            <w:r w:rsidRPr="001416ED">
              <w:rPr>
                <w:szCs w:val="22"/>
              </w:rPr>
              <w:t>,</w:t>
            </w:r>
            <w:r w:rsidRPr="001416ED">
              <w:rPr>
                <w:szCs w:val="22"/>
                <w:lang w:val="en-US"/>
              </w:rPr>
              <w:t>91</w:t>
            </w:r>
            <w:r w:rsidR="007A07A9" w:rsidRPr="001416ED">
              <w:rPr>
                <w:szCs w:val="22"/>
              </w:rPr>
              <w:t xml:space="preserve"> ± </w:t>
            </w:r>
            <w:r w:rsidRPr="001416ED">
              <w:rPr>
                <w:szCs w:val="22"/>
                <w:lang w:val="en-US"/>
              </w:rPr>
              <w:t>11,15</w:t>
            </w:r>
          </w:p>
        </w:tc>
        <w:tc>
          <w:tcPr>
            <w:tcW w:w="1561" w:type="dxa"/>
          </w:tcPr>
          <w:p w:rsidR="00D058DE" w:rsidRPr="001416ED" w:rsidRDefault="00D058DE" w:rsidP="00683BC8">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w:t>
            </w:r>
          </w:p>
          <w:p w:rsidR="00D058DE" w:rsidRPr="001416ED" w:rsidRDefault="00D058DE" w:rsidP="00D058DE">
            <w:pPr>
              <w:spacing w:line="360" w:lineRule="auto"/>
              <w:rPr>
                <w:szCs w:val="22"/>
                <w:lang w:val="en-US"/>
              </w:rPr>
            </w:pP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D058DE" w:rsidRPr="001416ED" w:rsidTr="00C04BC3">
        <w:tc>
          <w:tcPr>
            <w:tcW w:w="1666" w:type="dxa"/>
          </w:tcPr>
          <w:p w:rsidR="00D058DE" w:rsidRPr="001416ED" w:rsidRDefault="00D058DE" w:rsidP="00683BC8">
            <w:pPr>
              <w:spacing w:line="360" w:lineRule="auto"/>
              <w:rPr>
                <w:szCs w:val="22"/>
                <w:vertAlign w:val="superscript"/>
                <w:lang w:val="en-US"/>
              </w:rPr>
            </w:pPr>
            <w:r w:rsidRPr="001416ED">
              <w:rPr>
                <w:szCs w:val="22"/>
              </w:rPr>
              <w:t>іКДО</w:t>
            </w:r>
            <w:r w:rsidRPr="001416ED">
              <w:rPr>
                <w:szCs w:val="22"/>
                <w:lang w:val="en-US"/>
              </w:rPr>
              <w:t xml:space="preserve">, </w:t>
            </w:r>
            <w:r w:rsidRPr="001416ED">
              <w:rPr>
                <w:szCs w:val="22"/>
              </w:rPr>
              <w:t>мл</w:t>
            </w:r>
            <w:r w:rsidRPr="001416ED">
              <w:rPr>
                <w:szCs w:val="22"/>
                <w:lang w:val="en-US"/>
              </w:rPr>
              <w:t>/</w:t>
            </w:r>
            <w:r w:rsidRPr="001416ED">
              <w:rPr>
                <w:szCs w:val="22"/>
              </w:rPr>
              <w:t>м</w:t>
            </w:r>
            <w:r w:rsidRPr="001416ED">
              <w:rPr>
                <w:szCs w:val="22"/>
                <w:vertAlign w:val="superscript"/>
                <w:lang w:val="en-US"/>
              </w:rPr>
              <w:t>2</w:t>
            </w:r>
          </w:p>
        </w:tc>
        <w:tc>
          <w:tcPr>
            <w:tcW w:w="1703" w:type="dxa"/>
          </w:tcPr>
          <w:p w:rsidR="00D058DE" w:rsidRPr="001416ED" w:rsidRDefault="00D058DE" w:rsidP="00683BC8">
            <w:pPr>
              <w:spacing w:line="360" w:lineRule="auto"/>
              <w:rPr>
                <w:szCs w:val="22"/>
                <w:lang w:val="en-US"/>
              </w:rPr>
            </w:pPr>
            <w:r w:rsidRPr="001416ED">
              <w:rPr>
                <w:szCs w:val="22"/>
                <w:lang w:val="en-US"/>
              </w:rPr>
              <w:t>65,08</w:t>
            </w:r>
            <w:r w:rsidR="007A07A9" w:rsidRPr="001416ED">
              <w:rPr>
                <w:szCs w:val="22"/>
                <w:lang w:val="en-US"/>
              </w:rPr>
              <w:t xml:space="preserve"> ± </w:t>
            </w:r>
            <w:r w:rsidRPr="001416ED">
              <w:rPr>
                <w:szCs w:val="22"/>
                <w:lang w:val="en-US"/>
              </w:rPr>
              <w:t>5,97</w:t>
            </w:r>
          </w:p>
        </w:tc>
        <w:tc>
          <w:tcPr>
            <w:tcW w:w="1700" w:type="dxa"/>
          </w:tcPr>
          <w:p w:rsidR="00D058DE" w:rsidRPr="001416ED" w:rsidRDefault="00D058DE" w:rsidP="00683BC8">
            <w:pPr>
              <w:spacing w:line="360" w:lineRule="auto"/>
              <w:rPr>
                <w:szCs w:val="22"/>
                <w:lang w:val="en-US"/>
              </w:rPr>
            </w:pPr>
            <w:r w:rsidRPr="001416ED">
              <w:rPr>
                <w:szCs w:val="22"/>
                <w:lang w:val="en-US"/>
              </w:rPr>
              <w:t>78,1</w:t>
            </w:r>
            <w:r w:rsidRPr="001416ED">
              <w:rPr>
                <w:szCs w:val="22"/>
              </w:rPr>
              <w:t>7</w:t>
            </w:r>
            <w:r w:rsidR="007A07A9" w:rsidRPr="001416ED">
              <w:rPr>
                <w:szCs w:val="22"/>
              </w:rPr>
              <w:t xml:space="preserve"> ± </w:t>
            </w:r>
            <w:r w:rsidRPr="001416ED">
              <w:rPr>
                <w:szCs w:val="22"/>
                <w:lang w:val="en-US"/>
              </w:rPr>
              <w:t>3,17</w:t>
            </w:r>
          </w:p>
        </w:tc>
        <w:tc>
          <w:tcPr>
            <w:tcW w:w="1702" w:type="dxa"/>
          </w:tcPr>
          <w:p w:rsidR="00D058DE" w:rsidRPr="001416ED" w:rsidRDefault="00D058DE" w:rsidP="00683BC8">
            <w:pPr>
              <w:spacing w:line="360" w:lineRule="auto"/>
              <w:rPr>
                <w:szCs w:val="22"/>
                <w:lang w:val="en-US"/>
              </w:rPr>
            </w:pPr>
            <w:r w:rsidRPr="001416ED">
              <w:rPr>
                <w:szCs w:val="22"/>
                <w:lang w:val="en-US"/>
              </w:rPr>
              <w:t>8</w:t>
            </w:r>
            <w:r w:rsidRPr="001416ED">
              <w:rPr>
                <w:szCs w:val="22"/>
              </w:rPr>
              <w:t>1,</w:t>
            </w:r>
            <w:r w:rsidRPr="001416ED">
              <w:rPr>
                <w:szCs w:val="22"/>
                <w:lang w:val="en-US"/>
              </w:rPr>
              <w:t>95</w:t>
            </w:r>
            <w:r w:rsidR="007A07A9" w:rsidRPr="001416ED">
              <w:rPr>
                <w:szCs w:val="22"/>
              </w:rPr>
              <w:t xml:space="preserve"> ± </w:t>
            </w:r>
            <w:r w:rsidRPr="001416ED">
              <w:rPr>
                <w:szCs w:val="22"/>
                <w:lang w:val="en-US"/>
              </w:rPr>
              <w:t>3,17</w:t>
            </w:r>
          </w:p>
        </w:tc>
        <w:tc>
          <w:tcPr>
            <w:tcW w:w="1841" w:type="dxa"/>
          </w:tcPr>
          <w:p w:rsidR="00D058DE" w:rsidRPr="001416ED" w:rsidRDefault="00D058DE" w:rsidP="00683BC8">
            <w:pPr>
              <w:spacing w:line="360" w:lineRule="auto"/>
              <w:rPr>
                <w:szCs w:val="22"/>
                <w:lang w:val="en-US"/>
              </w:rPr>
            </w:pPr>
            <w:r w:rsidRPr="001416ED">
              <w:rPr>
                <w:szCs w:val="22"/>
                <w:lang w:val="en-US"/>
              </w:rPr>
              <w:t>99,78</w:t>
            </w:r>
            <w:r w:rsidR="007A07A9" w:rsidRPr="001416ED">
              <w:rPr>
                <w:szCs w:val="22"/>
              </w:rPr>
              <w:t xml:space="preserve"> ± </w:t>
            </w:r>
            <w:r w:rsidRPr="001416ED">
              <w:rPr>
                <w:szCs w:val="22"/>
                <w:lang w:val="en-US"/>
              </w:rPr>
              <w:t>3,92</w:t>
            </w:r>
          </w:p>
        </w:tc>
        <w:tc>
          <w:tcPr>
            <w:tcW w:w="1561" w:type="dxa"/>
          </w:tcPr>
          <w:p w:rsidR="00D058DE" w:rsidRPr="001416ED" w:rsidRDefault="00D058DE" w:rsidP="00683BC8">
            <w:pPr>
              <w:spacing w:line="360" w:lineRule="auto"/>
              <w:rPr>
                <w:szCs w:val="22"/>
                <w:lang w:val="uk-UA"/>
              </w:rPr>
            </w:pPr>
            <w:r w:rsidRPr="001416ED">
              <w:rPr>
                <w:szCs w:val="22"/>
              </w:rPr>
              <w:t>р</w:t>
            </w:r>
            <w:r w:rsidRPr="001416ED">
              <w:rPr>
                <w:szCs w:val="22"/>
                <w:vertAlign w:val="subscript"/>
                <w:lang w:val="en-US"/>
              </w:rPr>
              <w:t>2</w:t>
            </w:r>
            <w:r w:rsidRPr="001416ED">
              <w:rPr>
                <w:szCs w:val="22"/>
                <w:vertAlign w:val="subscript"/>
              </w:rPr>
              <w:t>–1</w:t>
            </w:r>
            <w:r w:rsidRPr="001416ED">
              <w:rPr>
                <w:szCs w:val="22"/>
                <w:lang w:val="en-US"/>
              </w:rPr>
              <w:t>,</w:t>
            </w:r>
            <w:r w:rsidRPr="001416ED">
              <w:rPr>
                <w:szCs w:val="22"/>
              </w:rPr>
              <w:t>р</w:t>
            </w:r>
            <w:r w:rsidRPr="001416ED">
              <w:rPr>
                <w:szCs w:val="22"/>
                <w:vertAlign w:val="subscript"/>
              </w:rPr>
              <w:t>3–1</w:t>
            </w:r>
            <w:r w:rsidRPr="001416ED">
              <w:rPr>
                <w:szCs w:val="22"/>
                <w:lang w:val="en-US"/>
              </w:rPr>
              <w:t>,</w:t>
            </w:r>
          </w:p>
          <w:p w:rsidR="00D058DE" w:rsidRPr="001416ED" w:rsidRDefault="00D058DE" w:rsidP="00D058DE">
            <w:pPr>
              <w:spacing w:line="360" w:lineRule="auto"/>
              <w:rPr>
                <w:szCs w:val="22"/>
                <w:lang w:val="en-US"/>
              </w:rPr>
            </w:pPr>
            <w:r w:rsidRPr="001416ED">
              <w:rPr>
                <w:szCs w:val="22"/>
              </w:rPr>
              <w:t>р</w:t>
            </w:r>
            <w:r w:rsidRPr="001416ED">
              <w:rPr>
                <w:szCs w:val="22"/>
                <w:vertAlign w:val="subscript"/>
              </w:rPr>
              <w:t>4–3</w:t>
            </w:r>
            <w:r w:rsidRPr="001416ED">
              <w:rPr>
                <w:szCs w:val="22"/>
                <w:lang w:val="en-US"/>
              </w:rPr>
              <w:t>,</w:t>
            </w:r>
            <w:r w:rsidRPr="001416ED">
              <w:rPr>
                <w:szCs w:val="22"/>
              </w:rPr>
              <w:t>р</w:t>
            </w:r>
            <w:r w:rsidRPr="001416ED">
              <w:rPr>
                <w:szCs w:val="22"/>
                <w:vertAlign w:val="subscript"/>
              </w:rPr>
              <w:t>4–2</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іКСО, мл/м</w:t>
            </w:r>
            <w:r w:rsidRPr="001416ED">
              <w:rPr>
                <w:szCs w:val="22"/>
                <w:vertAlign w:val="superscript"/>
              </w:rPr>
              <w:t>2</w:t>
            </w:r>
          </w:p>
        </w:tc>
        <w:tc>
          <w:tcPr>
            <w:tcW w:w="1703" w:type="dxa"/>
          </w:tcPr>
          <w:p w:rsidR="00D058DE" w:rsidRPr="001416ED" w:rsidRDefault="00D058DE" w:rsidP="00683BC8">
            <w:pPr>
              <w:spacing w:line="360" w:lineRule="auto"/>
              <w:rPr>
                <w:szCs w:val="22"/>
                <w:lang w:val="uk-UA"/>
              </w:rPr>
            </w:pPr>
            <w:r w:rsidRPr="001416ED">
              <w:rPr>
                <w:szCs w:val="22"/>
              </w:rPr>
              <w:t>33,87</w:t>
            </w:r>
            <w:r w:rsidR="007A07A9" w:rsidRPr="001416ED">
              <w:rPr>
                <w:szCs w:val="22"/>
              </w:rPr>
              <w:t xml:space="preserve"> ± </w:t>
            </w:r>
            <w:r w:rsidRPr="001416ED">
              <w:rPr>
                <w:szCs w:val="22"/>
              </w:rPr>
              <w:t>3</w:t>
            </w:r>
            <w:r w:rsidRPr="001416ED">
              <w:rPr>
                <w:szCs w:val="22"/>
                <w:lang w:val="uk-UA"/>
              </w:rPr>
              <w:t>,78</w:t>
            </w:r>
          </w:p>
        </w:tc>
        <w:tc>
          <w:tcPr>
            <w:tcW w:w="1700" w:type="dxa"/>
          </w:tcPr>
          <w:p w:rsidR="00D058DE" w:rsidRPr="001416ED" w:rsidRDefault="00D058DE" w:rsidP="00683BC8">
            <w:pPr>
              <w:spacing w:line="360" w:lineRule="auto"/>
              <w:rPr>
                <w:szCs w:val="22"/>
                <w:lang w:val="uk-UA"/>
              </w:rPr>
            </w:pPr>
            <w:r w:rsidRPr="001416ED">
              <w:rPr>
                <w:szCs w:val="22"/>
                <w:lang w:val="uk-UA"/>
              </w:rPr>
              <w:t>4</w:t>
            </w:r>
            <w:r w:rsidRPr="001416ED">
              <w:rPr>
                <w:szCs w:val="22"/>
              </w:rPr>
              <w:t>3,</w:t>
            </w:r>
            <w:r w:rsidRPr="001416ED">
              <w:rPr>
                <w:szCs w:val="22"/>
                <w:lang w:val="uk-UA"/>
              </w:rPr>
              <w:t>7</w:t>
            </w:r>
            <w:r w:rsidRPr="001416ED">
              <w:rPr>
                <w:szCs w:val="22"/>
              </w:rPr>
              <w:t>0</w:t>
            </w:r>
            <w:r w:rsidR="007A07A9" w:rsidRPr="001416ED">
              <w:rPr>
                <w:szCs w:val="22"/>
              </w:rPr>
              <w:t xml:space="preserve"> ± </w:t>
            </w:r>
            <w:r w:rsidRPr="001416ED">
              <w:rPr>
                <w:szCs w:val="22"/>
                <w:lang w:val="uk-UA"/>
              </w:rPr>
              <w:t>2,14</w:t>
            </w:r>
          </w:p>
        </w:tc>
        <w:tc>
          <w:tcPr>
            <w:tcW w:w="1702" w:type="dxa"/>
          </w:tcPr>
          <w:p w:rsidR="00D058DE" w:rsidRPr="001416ED" w:rsidRDefault="00D058DE" w:rsidP="00683BC8">
            <w:pPr>
              <w:spacing w:line="360" w:lineRule="auto"/>
              <w:rPr>
                <w:szCs w:val="22"/>
              </w:rPr>
            </w:pPr>
            <w:r w:rsidRPr="001416ED">
              <w:rPr>
                <w:szCs w:val="22"/>
                <w:lang w:val="en-US"/>
              </w:rPr>
              <w:t>3</w:t>
            </w:r>
            <w:r w:rsidRPr="001416ED">
              <w:rPr>
                <w:szCs w:val="22"/>
              </w:rPr>
              <w:t>9,</w:t>
            </w:r>
            <w:r w:rsidRPr="001416ED">
              <w:rPr>
                <w:szCs w:val="22"/>
                <w:lang w:val="uk-UA"/>
              </w:rPr>
              <w:t>12</w:t>
            </w:r>
            <w:r w:rsidR="007A07A9" w:rsidRPr="001416ED">
              <w:rPr>
                <w:szCs w:val="22"/>
              </w:rPr>
              <w:t xml:space="preserve"> ± </w:t>
            </w:r>
            <w:r w:rsidRPr="001416ED">
              <w:rPr>
                <w:szCs w:val="22"/>
                <w:lang w:val="uk-UA"/>
              </w:rPr>
              <w:t>2</w:t>
            </w:r>
            <w:r w:rsidRPr="001416ED">
              <w:rPr>
                <w:szCs w:val="22"/>
              </w:rPr>
              <w:t>,00</w:t>
            </w:r>
          </w:p>
        </w:tc>
        <w:tc>
          <w:tcPr>
            <w:tcW w:w="1841" w:type="dxa"/>
          </w:tcPr>
          <w:p w:rsidR="00D058DE" w:rsidRPr="001416ED" w:rsidRDefault="00D058DE" w:rsidP="00683BC8">
            <w:pPr>
              <w:spacing w:line="360" w:lineRule="auto"/>
              <w:rPr>
                <w:szCs w:val="22"/>
                <w:lang w:val="uk-UA"/>
              </w:rPr>
            </w:pPr>
            <w:r w:rsidRPr="001416ED">
              <w:rPr>
                <w:szCs w:val="22"/>
                <w:lang w:val="uk-UA"/>
              </w:rPr>
              <w:t>5</w:t>
            </w:r>
            <w:r w:rsidRPr="001416ED">
              <w:rPr>
                <w:szCs w:val="22"/>
                <w:lang w:val="en-US"/>
              </w:rPr>
              <w:t>5</w:t>
            </w:r>
            <w:r w:rsidRPr="001416ED">
              <w:rPr>
                <w:szCs w:val="22"/>
              </w:rPr>
              <w:t>,</w:t>
            </w:r>
            <w:r w:rsidRPr="001416ED">
              <w:rPr>
                <w:szCs w:val="22"/>
                <w:lang w:val="uk-UA"/>
              </w:rPr>
              <w:t>42</w:t>
            </w:r>
            <w:r w:rsidR="007A07A9" w:rsidRPr="001416ED">
              <w:rPr>
                <w:szCs w:val="22"/>
              </w:rPr>
              <w:t xml:space="preserve"> ± </w:t>
            </w:r>
            <w:r w:rsidRPr="001416ED">
              <w:rPr>
                <w:szCs w:val="22"/>
                <w:lang w:val="uk-UA"/>
              </w:rPr>
              <w:t>2,08</w:t>
            </w:r>
          </w:p>
        </w:tc>
        <w:tc>
          <w:tcPr>
            <w:tcW w:w="1561" w:type="dxa"/>
          </w:tcPr>
          <w:p w:rsidR="00D058DE" w:rsidRPr="001416ED" w:rsidRDefault="00D058DE" w:rsidP="00D058DE">
            <w:pPr>
              <w:spacing w:line="360" w:lineRule="auto"/>
              <w:rPr>
                <w:szCs w:val="22"/>
                <w:lang w:val="uk-UA"/>
              </w:rPr>
            </w:pPr>
            <w:r w:rsidRPr="001416ED">
              <w:rPr>
                <w:szCs w:val="22"/>
              </w:rPr>
              <w:t>р</w:t>
            </w:r>
            <w:r w:rsidRPr="001416ED">
              <w:rPr>
                <w:szCs w:val="22"/>
                <w:vertAlign w:val="subscript"/>
                <w:lang w:val="en-US"/>
              </w:rPr>
              <w:t>2</w:t>
            </w:r>
            <w:r w:rsidRPr="001416ED">
              <w:rPr>
                <w:szCs w:val="22"/>
                <w:vertAlign w:val="subscript"/>
              </w:rPr>
              <w:t>–1</w:t>
            </w:r>
            <w:r w:rsidRPr="001416ED">
              <w:rPr>
                <w:szCs w:val="22"/>
                <w:lang w:val="en-US"/>
              </w:rPr>
              <w:t>,</w:t>
            </w:r>
            <w:r w:rsidRPr="001416ED">
              <w:rPr>
                <w:szCs w:val="22"/>
              </w:rPr>
              <w:t>р</w:t>
            </w:r>
            <w:r w:rsidRPr="001416ED">
              <w:rPr>
                <w:szCs w:val="22"/>
                <w:vertAlign w:val="subscript"/>
              </w:rPr>
              <w:t>3–1</w:t>
            </w:r>
            <w:r w:rsidRPr="001416ED">
              <w:rPr>
                <w:szCs w:val="22"/>
                <w:lang w:val="en-US"/>
              </w:rPr>
              <w:t>,</w:t>
            </w:r>
          </w:p>
          <w:p w:rsidR="00D058DE" w:rsidRPr="001416ED" w:rsidRDefault="00D058DE" w:rsidP="00D058DE">
            <w:pPr>
              <w:spacing w:line="360" w:lineRule="auto"/>
              <w:rPr>
                <w:szCs w:val="22"/>
                <w:lang w:val="uk-UA"/>
              </w:rPr>
            </w:pPr>
            <w:r w:rsidRPr="001416ED">
              <w:rPr>
                <w:szCs w:val="22"/>
              </w:rPr>
              <w:t>р</w:t>
            </w:r>
            <w:r w:rsidRPr="001416ED">
              <w:rPr>
                <w:szCs w:val="22"/>
                <w:vertAlign w:val="subscript"/>
              </w:rPr>
              <w:t>4–3</w:t>
            </w:r>
            <w:r w:rsidRPr="001416ED">
              <w:rPr>
                <w:szCs w:val="22"/>
                <w:lang w:val="en-US"/>
              </w:rPr>
              <w:t>,</w:t>
            </w:r>
            <w:r w:rsidRPr="001416ED">
              <w:rPr>
                <w:szCs w:val="22"/>
              </w:rPr>
              <w:t>р</w:t>
            </w:r>
            <w:r w:rsidRPr="001416ED">
              <w:rPr>
                <w:szCs w:val="22"/>
                <w:vertAlign w:val="subscript"/>
              </w:rPr>
              <w:t>4–2</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 xml:space="preserve">ФВ, </w:t>
            </w:r>
            <w:r w:rsidR="00D4219F" w:rsidRPr="001416ED">
              <w:rPr>
                <w:szCs w:val="22"/>
              </w:rPr>
              <w:t xml:space="preserve"> %</w:t>
            </w:r>
          </w:p>
        </w:tc>
        <w:tc>
          <w:tcPr>
            <w:tcW w:w="1703" w:type="dxa"/>
          </w:tcPr>
          <w:p w:rsidR="00D058DE" w:rsidRPr="001416ED" w:rsidRDefault="00D058DE" w:rsidP="00683BC8">
            <w:pPr>
              <w:spacing w:line="360" w:lineRule="auto"/>
              <w:rPr>
                <w:szCs w:val="22"/>
              </w:rPr>
            </w:pPr>
            <w:r w:rsidRPr="001416ED">
              <w:rPr>
                <w:szCs w:val="22"/>
                <w:lang w:val="uk-UA"/>
              </w:rPr>
              <w:t>47</w:t>
            </w:r>
            <w:r w:rsidRPr="001416ED">
              <w:rPr>
                <w:szCs w:val="22"/>
              </w:rPr>
              <w:t>,</w:t>
            </w:r>
            <w:r w:rsidRPr="001416ED">
              <w:rPr>
                <w:szCs w:val="22"/>
                <w:lang w:val="uk-UA"/>
              </w:rPr>
              <w:t>18</w:t>
            </w:r>
            <w:r w:rsidR="007A07A9" w:rsidRPr="001416ED">
              <w:rPr>
                <w:szCs w:val="22"/>
              </w:rPr>
              <w:t xml:space="preserve"> ± </w:t>
            </w:r>
            <w:r w:rsidRPr="001416ED">
              <w:rPr>
                <w:szCs w:val="22"/>
              </w:rPr>
              <w:t>1,</w:t>
            </w:r>
            <w:r w:rsidRPr="001416ED">
              <w:rPr>
                <w:szCs w:val="22"/>
                <w:lang w:val="uk-UA"/>
              </w:rPr>
              <w:t>1</w:t>
            </w:r>
            <w:r w:rsidRPr="001416ED">
              <w:rPr>
                <w:szCs w:val="22"/>
              </w:rPr>
              <w:t>4</w:t>
            </w:r>
          </w:p>
        </w:tc>
        <w:tc>
          <w:tcPr>
            <w:tcW w:w="1700" w:type="dxa"/>
          </w:tcPr>
          <w:p w:rsidR="00D058DE" w:rsidRPr="001416ED" w:rsidRDefault="00D058DE" w:rsidP="00AD11DB">
            <w:pPr>
              <w:spacing w:line="360" w:lineRule="auto"/>
              <w:rPr>
                <w:szCs w:val="22"/>
                <w:lang w:val="uk-UA"/>
              </w:rPr>
            </w:pPr>
            <w:r w:rsidRPr="001416ED">
              <w:rPr>
                <w:szCs w:val="22"/>
                <w:lang w:val="uk-UA"/>
              </w:rPr>
              <w:t>4</w:t>
            </w:r>
            <w:r w:rsidR="00AD11DB" w:rsidRPr="001416ED">
              <w:rPr>
                <w:szCs w:val="22"/>
                <w:lang w:val="uk-UA"/>
              </w:rPr>
              <w:t>5</w:t>
            </w:r>
            <w:r w:rsidRPr="001416ED">
              <w:rPr>
                <w:szCs w:val="22"/>
              </w:rPr>
              <w:t>,1</w:t>
            </w:r>
            <w:r w:rsidRPr="001416ED">
              <w:rPr>
                <w:szCs w:val="22"/>
                <w:lang w:val="uk-UA"/>
              </w:rPr>
              <w:t>9</w:t>
            </w:r>
            <w:r w:rsidR="007A07A9" w:rsidRPr="001416ED">
              <w:rPr>
                <w:szCs w:val="22"/>
              </w:rPr>
              <w:t xml:space="preserve"> ± </w:t>
            </w:r>
            <w:r w:rsidRPr="001416ED">
              <w:rPr>
                <w:szCs w:val="22"/>
              </w:rPr>
              <w:t>1,</w:t>
            </w:r>
            <w:r w:rsidRPr="001416ED">
              <w:rPr>
                <w:szCs w:val="22"/>
                <w:lang w:val="uk-UA"/>
              </w:rPr>
              <w:t>94</w:t>
            </w:r>
          </w:p>
        </w:tc>
        <w:tc>
          <w:tcPr>
            <w:tcW w:w="1702" w:type="dxa"/>
          </w:tcPr>
          <w:p w:rsidR="00D058DE" w:rsidRPr="001416ED" w:rsidRDefault="00D058DE" w:rsidP="00AD11DB">
            <w:pPr>
              <w:spacing w:line="360" w:lineRule="auto"/>
              <w:rPr>
                <w:szCs w:val="22"/>
                <w:lang w:val="en-US"/>
              </w:rPr>
            </w:pPr>
            <w:r w:rsidRPr="001416ED">
              <w:rPr>
                <w:szCs w:val="22"/>
                <w:lang w:val="uk-UA"/>
              </w:rPr>
              <w:t>4</w:t>
            </w:r>
            <w:r w:rsidR="00AD11DB" w:rsidRPr="001416ED">
              <w:rPr>
                <w:szCs w:val="22"/>
                <w:lang w:val="uk-UA"/>
              </w:rPr>
              <w:t>3</w:t>
            </w:r>
            <w:r w:rsidRPr="001416ED">
              <w:rPr>
                <w:szCs w:val="22"/>
              </w:rPr>
              <w:t>,97</w:t>
            </w:r>
            <w:r w:rsidR="007A07A9" w:rsidRPr="001416ED">
              <w:rPr>
                <w:szCs w:val="22"/>
              </w:rPr>
              <w:t xml:space="preserve"> ± </w:t>
            </w:r>
            <w:r w:rsidRPr="001416ED">
              <w:rPr>
                <w:szCs w:val="22"/>
                <w:lang w:val="en-US"/>
              </w:rPr>
              <w:t>0,89</w:t>
            </w:r>
          </w:p>
        </w:tc>
        <w:tc>
          <w:tcPr>
            <w:tcW w:w="1841" w:type="dxa"/>
          </w:tcPr>
          <w:p w:rsidR="00D058DE" w:rsidRPr="001416ED" w:rsidRDefault="00AD11DB" w:rsidP="00683BC8">
            <w:pPr>
              <w:spacing w:line="360" w:lineRule="auto"/>
              <w:rPr>
                <w:szCs w:val="22"/>
                <w:lang w:val="en-US"/>
              </w:rPr>
            </w:pPr>
            <w:r w:rsidRPr="001416ED">
              <w:rPr>
                <w:szCs w:val="22"/>
                <w:lang w:val="uk-UA"/>
              </w:rPr>
              <w:t>40</w:t>
            </w:r>
            <w:r w:rsidR="00D058DE" w:rsidRPr="001416ED">
              <w:rPr>
                <w:szCs w:val="22"/>
              </w:rPr>
              <w:t>,14</w:t>
            </w:r>
            <w:r w:rsidR="007A07A9" w:rsidRPr="001416ED">
              <w:rPr>
                <w:szCs w:val="22"/>
              </w:rPr>
              <w:t xml:space="preserve"> ± </w:t>
            </w:r>
            <w:r w:rsidR="00D058DE" w:rsidRPr="001416ED">
              <w:rPr>
                <w:szCs w:val="22"/>
              </w:rPr>
              <w:t>1,</w:t>
            </w:r>
            <w:r w:rsidR="00D058DE" w:rsidRPr="001416ED">
              <w:rPr>
                <w:szCs w:val="22"/>
                <w:lang w:val="en-US"/>
              </w:rPr>
              <w:t>14</w:t>
            </w:r>
          </w:p>
        </w:tc>
        <w:tc>
          <w:tcPr>
            <w:tcW w:w="1561" w:type="dxa"/>
          </w:tcPr>
          <w:p w:rsidR="00D058DE" w:rsidRPr="001416ED" w:rsidRDefault="00D058DE" w:rsidP="00D058DE">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w:t>
            </w:r>
          </w:p>
          <w:p w:rsidR="00D058DE" w:rsidRPr="001416ED" w:rsidRDefault="00D058DE" w:rsidP="00D058DE">
            <w:pPr>
              <w:spacing w:line="360" w:lineRule="auto"/>
              <w:rPr>
                <w:szCs w:val="22"/>
                <w:lang w:val="uk-UA"/>
              </w:rPr>
            </w:pP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СІ, л/(хв.·м</w:t>
            </w:r>
            <w:r w:rsidRPr="001416ED">
              <w:rPr>
                <w:szCs w:val="22"/>
                <w:vertAlign w:val="superscript"/>
              </w:rPr>
              <w:t>2</w:t>
            </w:r>
            <w:r w:rsidRPr="001416ED">
              <w:rPr>
                <w:szCs w:val="22"/>
              </w:rPr>
              <w:t>)</w:t>
            </w:r>
          </w:p>
        </w:tc>
        <w:tc>
          <w:tcPr>
            <w:tcW w:w="1703" w:type="dxa"/>
          </w:tcPr>
          <w:p w:rsidR="00D058DE" w:rsidRPr="001416ED" w:rsidRDefault="00D058DE" w:rsidP="00683BC8">
            <w:pPr>
              <w:spacing w:line="360" w:lineRule="auto"/>
              <w:rPr>
                <w:szCs w:val="22"/>
                <w:lang w:val="uk-UA"/>
              </w:rPr>
            </w:pPr>
            <w:r w:rsidRPr="001416ED">
              <w:rPr>
                <w:szCs w:val="22"/>
              </w:rPr>
              <w:t>2,</w:t>
            </w:r>
            <w:r w:rsidRPr="001416ED">
              <w:rPr>
                <w:szCs w:val="22"/>
                <w:lang w:val="uk-UA"/>
              </w:rPr>
              <w:t>16</w:t>
            </w:r>
            <w:r w:rsidR="007A07A9" w:rsidRPr="001416ED">
              <w:rPr>
                <w:szCs w:val="22"/>
              </w:rPr>
              <w:t xml:space="preserve"> ± </w:t>
            </w:r>
            <w:r w:rsidRPr="001416ED">
              <w:rPr>
                <w:szCs w:val="22"/>
              </w:rPr>
              <w:t>0,1</w:t>
            </w:r>
            <w:r w:rsidRPr="001416ED">
              <w:rPr>
                <w:szCs w:val="22"/>
                <w:lang w:val="uk-UA"/>
              </w:rPr>
              <w:t>4</w:t>
            </w:r>
          </w:p>
        </w:tc>
        <w:tc>
          <w:tcPr>
            <w:tcW w:w="1700" w:type="dxa"/>
          </w:tcPr>
          <w:p w:rsidR="00D058DE" w:rsidRPr="001416ED" w:rsidRDefault="00D058DE" w:rsidP="00683BC8">
            <w:pPr>
              <w:spacing w:line="360" w:lineRule="auto"/>
              <w:rPr>
                <w:szCs w:val="22"/>
                <w:lang w:val="uk-UA"/>
              </w:rPr>
            </w:pPr>
            <w:r w:rsidRPr="001416ED">
              <w:rPr>
                <w:szCs w:val="22"/>
              </w:rPr>
              <w:t>2,</w:t>
            </w:r>
            <w:r w:rsidRPr="001416ED">
              <w:rPr>
                <w:szCs w:val="22"/>
                <w:lang w:val="uk-UA"/>
              </w:rPr>
              <w:t>4</w:t>
            </w:r>
            <w:r w:rsidRPr="001416ED">
              <w:rPr>
                <w:szCs w:val="22"/>
              </w:rPr>
              <w:t>8</w:t>
            </w:r>
            <w:r w:rsidR="007A07A9" w:rsidRPr="001416ED">
              <w:rPr>
                <w:szCs w:val="22"/>
              </w:rPr>
              <w:t xml:space="preserve"> ± </w:t>
            </w:r>
            <w:r w:rsidRPr="001416ED">
              <w:rPr>
                <w:szCs w:val="22"/>
              </w:rPr>
              <w:t>0,1</w:t>
            </w:r>
            <w:r w:rsidRPr="001416ED">
              <w:rPr>
                <w:szCs w:val="22"/>
                <w:lang w:val="uk-UA"/>
              </w:rPr>
              <w:t>2</w:t>
            </w:r>
          </w:p>
        </w:tc>
        <w:tc>
          <w:tcPr>
            <w:tcW w:w="1702" w:type="dxa"/>
          </w:tcPr>
          <w:p w:rsidR="00D058DE" w:rsidRPr="001416ED" w:rsidRDefault="00D058DE" w:rsidP="00683BC8">
            <w:pPr>
              <w:spacing w:line="360" w:lineRule="auto"/>
              <w:rPr>
                <w:szCs w:val="22"/>
                <w:lang w:val="uk-UA"/>
              </w:rPr>
            </w:pPr>
            <w:r w:rsidRPr="001416ED">
              <w:rPr>
                <w:szCs w:val="22"/>
              </w:rPr>
              <w:t>2,</w:t>
            </w:r>
            <w:r w:rsidRPr="001416ED">
              <w:rPr>
                <w:szCs w:val="22"/>
                <w:lang w:val="uk-UA"/>
              </w:rPr>
              <w:t>8</w:t>
            </w:r>
            <w:r w:rsidRPr="001416ED">
              <w:rPr>
                <w:szCs w:val="22"/>
                <w:lang w:val="en-US"/>
              </w:rPr>
              <w:t>8</w:t>
            </w:r>
            <w:r w:rsidR="007A07A9" w:rsidRPr="001416ED">
              <w:rPr>
                <w:szCs w:val="22"/>
              </w:rPr>
              <w:t xml:space="preserve"> ± </w:t>
            </w:r>
            <w:r w:rsidRPr="001416ED">
              <w:rPr>
                <w:szCs w:val="22"/>
              </w:rPr>
              <w:t>0,1</w:t>
            </w:r>
            <w:r w:rsidRPr="001416ED">
              <w:rPr>
                <w:szCs w:val="22"/>
                <w:lang w:val="uk-UA"/>
              </w:rPr>
              <w:t>3</w:t>
            </w:r>
          </w:p>
        </w:tc>
        <w:tc>
          <w:tcPr>
            <w:tcW w:w="1841" w:type="dxa"/>
          </w:tcPr>
          <w:p w:rsidR="00D058DE" w:rsidRPr="001416ED" w:rsidRDefault="00D058DE" w:rsidP="00683BC8">
            <w:pPr>
              <w:spacing w:line="360" w:lineRule="auto"/>
              <w:rPr>
                <w:szCs w:val="22"/>
                <w:lang w:val="uk-UA"/>
              </w:rPr>
            </w:pPr>
            <w:r w:rsidRPr="001416ED">
              <w:rPr>
                <w:szCs w:val="22"/>
              </w:rPr>
              <w:t>3</w:t>
            </w:r>
            <w:r w:rsidRPr="001416ED">
              <w:rPr>
                <w:szCs w:val="22"/>
                <w:lang w:val="en-US"/>
              </w:rPr>
              <w:t>,</w:t>
            </w:r>
            <w:r w:rsidRPr="001416ED">
              <w:rPr>
                <w:szCs w:val="22"/>
                <w:lang w:val="uk-UA"/>
              </w:rPr>
              <w:t>2</w:t>
            </w:r>
            <w:r w:rsidRPr="001416ED">
              <w:rPr>
                <w:szCs w:val="22"/>
                <w:lang w:val="en-US"/>
              </w:rPr>
              <w:t>6</w:t>
            </w:r>
            <w:r w:rsidR="007A07A9" w:rsidRPr="001416ED">
              <w:rPr>
                <w:szCs w:val="22"/>
              </w:rPr>
              <w:t xml:space="preserve"> ± </w:t>
            </w:r>
            <w:r w:rsidRPr="001416ED">
              <w:rPr>
                <w:szCs w:val="22"/>
              </w:rPr>
              <w:t>0,1</w:t>
            </w:r>
            <w:r w:rsidRPr="001416ED">
              <w:rPr>
                <w:szCs w:val="22"/>
                <w:lang w:val="uk-UA"/>
              </w:rPr>
              <w:t>5</w:t>
            </w:r>
          </w:p>
        </w:tc>
        <w:tc>
          <w:tcPr>
            <w:tcW w:w="1561" w:type="dxa"/>
          </w:tcPr>
          <w:p w:rsidR="00D058DE" w:rsidRPr="001416ED" w:rsidRDefault="00D058DE" w:rsidP="00D058DE">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w:t>
            </w:r>
          </w:p>
          <w:p w:rsidR="00D058DE" w:rsidRPr="001416ED" w:rsidRDefault="00D058DE" w:rsidP="00D058DE">
            <w:pPr>
              <w:spacing w:line="360" w:lineRule="auto"/>
              <w:rPr>
                <w:szCs w:val="22"/>
                <w:lang w:val="en-US"/>
              </w:rPr>
            </w:pP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D058DE" w:rsidRPr="001416ED" w:rsidTr="00C04BC3">
        <w:tc>
          <w:tcPr>
            <w:tcW w:w="1666" w:type="dxa"/>
          </w:tcPr>
          <w:p w:rsidR="00D058DE" w:rsidRPr="001416ED" w:rsidRDefault="00D058DE" w:rsidP="00683BC8">
            <w:pPr>
              <w:spacing w:line="360" w:lineRule="auto"/>
              <w:rPr>
                <w:szCs w:val="22"/>
                <w:vertAlign w:val="superscript"/>
              </w:rPr>
            </w:pPr>
            <w:r w:rsidRPr="001416ED">
              <w:rPr>
                <w:szCs w:val="22"/>
              </w:rPr>
              <w:t>УІ, мл/м</w:t>
            </w:r>
            <w:r w:rsidRPr="001416ED">
              <w:rPr>
                <w:szCs w:val="22"/>
                <w:vertAlign w:val="superscript"/>
              </w:rPr>
              <w:t>2</w:t>
            </w:r>
          </w:p>
        </w:tc>
        <w:tc>
          <w:tcPr>
            <w:tcW w:w="1703" w:type="dxa"/>
          </w:tcPr>
          <w:p w:rsidR="00D058DE" w:rsidRPr="001416ED" w:rsidRDefault="00D058DE" w:rsidP="00683BC8">
            <w:pPr>
              <w:spacing w:line="360" w:lineRule="auto"/>
              <w:rPr>
                <w:szCs w:val="22"/>
                <w:lang w:val="en-US"/>
              </w:rPr>
            </w:pPr>
            <w:r w:rsidRPr="001416ED">
              <w:rPr>
                <w:szCs w:val="22"/>
                <w:lang w:val="en-US"/>
              </w:rPr>
              <w:t>28</w:t>
            </w:r>
            <w:r w:rsidRPr="001416ED">
              <w:rPr>
                <w:szCs w:val="22"/>
              </w:rPr>
              <w:t>,</w:t>
            </w:r>
            <w:r w:rsidRPr="001416ED">
              <w:rPr>
                <w:szCs w:val="22"/>
                <w:lang w:val="en-US"/>
              </w:rPr>
              <w:t>45</w:t>
            </w:r>
            <w:r w:rsidR="007A07A9" w:rsidRPr="001416ED">
              <w:rPr>
                <w:szCs w:val="22"/>
              </w:rPr>
              <w:t xml:space="preserve"> ± </w:t>
            </w:r>
            <w:r w:rsidRPr="001416ED">
              <w:rPr>
                <w:szCs w:val="22"/>
              </w:rPr>
              <w:t>1,</w:t>
            </w:r>
            <w:r w:rsidRPr="001416ED">
              <w:rPr>
                <w:szCs w:val="22"/>
                <w:lang w:val="en-US"/>
              </w:rPr>
              <w:t>13</w:t>
            </w:r>
          </w:p>
        </w:tc>
        <w:tc>
          <w:tcPr>
            <w:tcW w:w="1700" w:type="dxa"/>
          </w:tcPr>
          <w:p w:rsidR="00D058DE" w:rsidRPr="001416ED" w:rsidRDefault="00D058DE" w:rsidP="00683BC8">
            <w:pPr>
              <w:spacing w:line="360" w:lineRule="auto"/>
              <w:rPr>
                <w:szCs w:val="22"/>
                <w:lang w:val="en-US"/>
              </w:rPr>
            </w:pPr>
            <w:r w:rsidRPr="001416ED">
              <w:rPr>
                <w:szCs w:val="22"/>
              </w:rPr>
              <w:t>3</w:t>
            </w:r>
            <w:r w:rsidRPr="001416ED">
              <w:rPr>
                <w:szCs w:val="22"/>
                <w:lang w:val="uk-UA"/>
              </w:rPr>
              <w:t>0</w:t>
            </w:r>
            <w:r w:rsidRPr="001416ED">
              <w:rPr>
                <w:szCs w:val="22"/>
              </w:rPr>
              <w:t>,7</w:t>
            </w:r>
            <w:r w:rsidRPr="001416ED">
              <w:rPr>
                <w:szCs w:val="22"/>
                <w:lang w:val="en-US"/>
              </w:rPr>
              <w:t>4</w:t>
            </w:r>
            <w:r w:rsidR="007A07A9" w:rsidRPr="001416ED">
              <w:rPr>
                <w:szCs w:val="22"/>
              </w:rPr>
              <w:t xml:space="preserve"> ± </w:t>
            </w:r>
            <w:r w:rsidRPr="001416ED">
              <w:rPr>
                <w:szCs w:val="22"/>
              </w:rPr>
              <w:t>1,</w:t>
            </w:r>
            <w:r w:rsidRPr="001416ED">
              <w:rPr>
                <w:szCs w:val="22"/>
                <w:lang w:val="en-US"/>
              </w:rPr>
              <w:t>89</w:t>
            </w:r>
          </w:p>
        </w:tc>
        <w:tc>
          <w:tcPr>
            <w:tcW w:w="1702" w:type="dxa"/>
          </w:tcPr>
          <w:p w:rsidR="00D058DE" w:rsidRPr="001416ED" w:rsidRDefault="00D058DE" w:rsidP="00683BC8">
            <w:pPr>
              <w:spacing w:line="360" w:lineRule="auto"/>
              <w:rPr>
                <w:szCs w:val="22"/>
                <w:lang w:val="en-US"/>
              </w:rPr>
            </w:pPr>
            <w:r w:rsidRPr="001416ED">
              <w:rPr>
                <w:szCs w:val="22"/>
                <w:lang w:val="en-US"/>
              </w:rPr>
              <w:t>32</w:t>
            </w:r>
            <w:r w:rsidRPr="001416ED">
              <w:rPr>
                <w:szCs w:val="22"/>
              </w:rPr>
              <w:t>,</w:t>
            </w:r>
            <w:r w:rsidRPr="001416ED">
              <w:rPr>
                <w:szCs w:val="22"/>
                <w:lang w:val="en-US"/>
              </w:rPr>
              <w:t>43</w:t>
            </w:r>
            <w:r w:rsidR="007A07A9" w:rsidRPr="001416ED">
              <w:rPr>
                <w:szCs w:val="22"/>
              </w:rPr>
              <w:t xml:space="preserve"> ± </w:t>
            </w:r>
            <w:r w:rsidRPr="001416ED">
              <w:rPr>
                <w:szCs w:val="22"/>
                <w:lang w:val="en-US"/>
              </w:rPr>
              <w:t>1,05</w:t>
            </w:r>
          </w:p>
        </w:tc>
        <w:tc>
          <w:tcPr>
            <w:tcW w:w="1841" w:type="dxa"/>
          </w:tcPr>
          <w:p w:rsidR="00D058DE" w:rsidRPr="001416ED" w:rsidRDefault="00D058DE" w:rsidP="00683BC8">
            <w:pPr>
              <w:spacing w:line="360" w:lineRule="auto"/>
              <w:rPr>
                <w:szCs w:val="22"/>
                <w:lang w:val="en-US"/>
              </w:rPr>
            </w:pPr>
            <w:r w:rsidRPr="001416ED">
              <w:rPr>
                <w:szCs w:val="22"/>
              </w:rPr>
              <w:t>3</w:t>
            </w:r>
            <w:r w:rsidRPr="001416ED">
              <w:rPr>
                <w:szCs w:val="22"/>
                <w:lang w:val="uk-UA"/>
              </w:rPr>
              <w:t>4</w:t>
            </w:r>
            <w:r w:rsidRPr="001416ED">
              <w:rPr>
                <w:szCs w:val="22"/>
              </w:rPr>
              <w:t>,</w:t>
            </w:r>
            <w:r w:rsidRPr="001416ED">
              <w:rPr>
                <w:szCs w:val="22"/>
                <w:lang w:val="en-US"/>
              </w:rPr>
              <w:t>52</w:t>
            </w:r>
            <w:r w:rsidR="007A07A9" w:rsidRPr="001416ED">
              <w:rPr>
                <w:szCs w:val="22"/>
              </w:rPr>
              <w:t xml:space="preserve"> ± </w:t>
            </w:r>
            <w:r w:rsidRPr="001416ED">
              <w:rPr>
                <w:szCs w:val="22"/>
                <w:lang w:val="en-US"/>
              </w:rPr>
              <w:t>0,80</w:t>
            </w:r>
          </w:p>
        </w:tc>
        <w:tc>
          <w:tcPr>
            <w:tcW w:w="1561" w:type="dxa"/>
          </w:tcPr>
          <w:p w:rsidR="00D058DE" w:rsidRPr="001416ED" w:rsidRDefault="00D058DE" w:rsidP="00683BC8">
            <w:pPr>
              <w:spacing w:line="360" w:lineRule="auto"/>
              <w:rPr>
                <w:szCs w:val="22"/>
                <w:vertAlign w:val="subscript"/>
                <w:lang w:val="uk-UA"/>
              </w:rPr>
            </w:pPr>
            <w:r w:rsidRPr="001416ED">
              <w:rPr>
                <w:szCs w:val="22"/>
                <w:lang w:val="uk-UA"/>
              </w:rPr>
              <w:t>–</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lang w:val="en-US"/>
              </w:rPr>
              <w:t>S</w:t>
            </w:r>
            <w:r w:rsidRPr="001416ED">
              <w:rPr>
                <w:szCs w:val="22"/>
              </w:rPr>
              <w:t xml:space="preserve">, </w:t>
            </w:r>
            <w:r w:rsidR="00D4219F" w:rsidRPr="001416ED">
              <w:rPr>
                <w:szCs w:val="22"/>
              </w:rPr>
              <w:t xml:space="preserve"> %</w:t>
            </w:r>
          </w:p>
        </w:tc>
        <w:tc>
          <w:tcPr>
            <w:tcW w:w="1703" w:type="dxa"/>
          </w:tcPr>
          <w:p w:rsidR="00D058DE" w:rsidRPr="001416ED" w:rsidRDefault="00D058DE" w:rsidP="00683BC8">
            <w:pPr>
              <w:spacing w:line="360" w:lineRule="auto"/>
              <w:rPr>
                <w:szCs w:val="22"/>
              </w:rPr>
            </w:pPr>
            <w:r w:rsidRPr="001416ED">
              <w:rPr>
                <w:szCs w:val="22"/>
                <w:lang w:val="en-US"/>
              </w:rPr>
              <w:t>2</w:t>
            </w:r>
            <w:r w:rsidRPr="001416ED">
              <w:rPr>
                <w:szCs w:val="22"/>
              </w:rPr>
              <w:t>2,</w:t>
            </w:r>
            <w:r w:rsidRPr="001416ED">
              <w:rPr>
                <w:szCs w:val="22"/>
                <w:lang w:val="en-US"/>
              </w:rPr>
              <w:t>97</w:t>
            </w:r>
            <w:r w:rsidR="007A07A9" w:rsidRPr="001416ED">
              <w:rPr>
                <w:szCs w:val="22"/>
              </w:rPr>
              <w:t xml:space="preserve"> ± </w:t>
            </w:r>
            <w:r w:rsidRPr="001416ED">
              <w:rPr>
                <w:szCs w:val="22"/>
              </w:rPr>
              <w:t>0,</w:t>
            </w:r>
            <w:r w:rsidRPr="001416ED">
              <w:rPr>
                <w:szCs w:val="22"/>
                <w:lang w:val="en-US"/>
              </w:rPr>
              <w:t>5</w:t>
            </w:r>
            <w:r w:rsidRPr="001416ED">
              <w:rPr>
                <w:szCs w:val="22"/>
              </w:rPr>
              <w:t>9</w:t>
            </w:r>
          </w:p>
        </w:tc>
        <w:tc>
          <w:tcPr>
            <w:tcW w:w="1700" w:type="dxa"/>
          </w:tcPr>
          <w:p w:rsidR="00D058DE" w:rsidRPr="001416ED" w:rsidRDefault="00D058DE" w:rsidP="00683BC8">
            <w:pPr>
              <w:spacing w:line="360" w:lineRule="auto"/>
              <w:rPr>
                <w:szCs w:val="22"/>
                <w:lang w:val="en-US"/>
              </w:rPr>
            </w:pPr>
            <w:r w:rsidRPr="001416ED">
              <w:rPr>
                <w:szCs w:val="22"/>
                <w:lang w:val="en-US"/>
              </w:rPr>
              <w:t>21</w:t>
            </w:r>
            <w:r w:rsidRPr="001416ED">
              <w:rPr>
                <w:szCs w:val="22"/>
              </w:rPr>
              <w:t>,</w:t>
            </w:r>
            <w:r w:rsidRPr="001416ED">
              <w:rPr>
                <w:szCs w:val="22"/>
                <w:lang w:val="en-US"/>
              </w:rPr>
              <w:t>5</w:t>
            </w:r>
            <w:r w:rsidRPr="001416ED">
              <w:rPr>
                <w:szCs w:val="22"/>
              </w:rPr>
              <w:t>4</w:t>
            </w:r>
            <w:r w:rsidR="007A07A9" w:rsidRPr="001416ED">
              <w:rPr>
                <w:szCs w:val="22"/>
              </w:rPr>
              <w:t xml:space="preserve"> ± </w:t>
            </w:r>
            <w:r w:rsidRPr="001416ED">
              <w:rPr>
                <w:szCs w:val="22"/>
                <w:lang w:val="en-US"/>
              </w:rPr>
              <w:t>0,87</w:t>
            </w:r>
          </w:p>
        </w:tc>
        <w:tc>
          <w:tcPr>
            <w:tcW w:w="1702" w:type="dxa"/>
          </w:tcPr>
          <w:p w:rsidR="00D058DE" w:rsidRPr="001416ED" w:rsidRDefault="00D058DE" w:rsidP="00683BC8">
            <w:pPr>
              <w:spacing w:line="360" w:lineRule="auto"/>
              <w:rPr>
                <w:szCs w:val="22"/>
                <w:lang w:val="en-US"/>
              </w:rPr>
            </w:pPr>
            <w:r w:rsidRPr="001416ED">
              <w:rPr>
                <w:szCs w:val="22"/>
                <w:lang w:val="en-US"/>
              </w:rPr>
              <w:t>22</w:t>
            </w:r>
            <w:r w:rsidRPr="001416ED">
              <w:rPr>
                <w:szCs w:val="22"/>
              </w:rPr>
              <w:t>,</w:t>
            </w:r>
            <w:r w:rsidRPr="001416ED">
              <w:rPr>
                <w:szCs w:val="22"/>
                <w:lang w:val="en-US"/>
              </w:rPr>
              <w:t>76</w:t>
            </w:r>
            <w:r w:rsidR="007A07A9" w:rsidRPr="001416ED">
              <w:rPr>
                <w:szCs w:val="22"/>
              </w:rPr>
              <w:t xml:space="preserve"> ± </w:t>
            </w:r>
            <w:r w:rsidRPr="001416ED">
              <w:rPr>
                <w:szCs w:val="22"/>
              </w:rPr>
              <w:t>0,</w:t>
            </w:r>
            <w:r w:rsidRPr="001416ED">
              <w:rPr>
                <w:szCs w:val="22"/>
                <w:lang w:val="en-US"/>
              </w:rPr>
              <w:t>46</w:t>
            </w:r>
          </w:p>
        </w:tc>
        <w:tc>
          <w:tcPr>
            <w:tcW w:w="1841" w:type="dxa"/>
          </w:tcPr>
          <w:p w:rsidR="00D058DE" w:rsidRPr="001416ED" w:rsidRDefault="00D058DE" w:rsidP="00683BC8">
            <w:pPr>
              <w:spacing w:line="360" w:lineRule="auto"/>
              <w:rPr>
                <w:szCs w:val="22"/>
                <w:lang w:val="en-US"/>
              </w:rPr>
            </w:pPr>
            <w:r w:rsidRPr="001416ED">
              <w:rPr>
                <w:szCs w:val="22"/>
                <w:lang w:val="en-US"/>
              </w:rPr>
              <w:t>21</w:t>
            </w:r>
            <w:r w:rsidRPr="001416ED">
              <w:rPr>
                <w:szCs w:val="22"/>
              </w:rPr>
              <w:t>,</w:t>
            </w:r>
            <w:r w:rsidRPr="001416ED">
              <w:rPr>
                <w:szCs w:val="22"/>
                <w:lang w:val="en-US"/>
              </w:rPr>
              <w:t>36</w:t>
            </w:r>
            <w:r w:rsidR="007A07A9" w:rsidRPr="001416ED">
              <w:rPr>
                <w:szCs w:val="22"/>
              </w:rPr>
              <w:t xml:space="preserve"> ± </w:t>
            </w:r>
            <w:r w:rsidRPr="001416ED">
              <w:rPr>
                <w:szCs w:val="22"/>
                <w:lang w:val="en-US"/>
              </w:rPr>
              <w:t>0,56</w:t>
            </w:r>
          </w:p>
        </w:tc>
        <w:tc>
          <w:tcPr>
            <w:tcW w:w="1561" w:type="dxa"/>
          </w:tcPr>
          <w:p w:rsidR="00D058DE" w:rsidRPr="001416ED" w:rsidRDefault="00D058DE" w:rsidP="00683BC8">
            <w:pPr>
              <w:spacing w:line="360" w:lineRule="auto"/>
              <w:rPr>
                <w:szCs w:val="22"/>
                <w:lang w:val="en-US"/>
              </w:rPr>
            </w:pPr>
            <w:r w:rsidRPr="001416ED">
              <w:rPr>
                <w:szCs w:val="22"/>
                <w:lang w:val="en-US"/>
              </w:rPr>
              <w:t>–</w:t>
            </w:r>
          </w:p>
        </w:tc>
      </w:tr>
      <w:tr w:rsidR="00D058DE" w:rsidRPr="001416ED" w:rsidTr="00C04BC3">
        <w:tc>
          <w:tcPr>
            <w:tcW w:w="1666" w:type="dxa"/>
          </w:tcPr>
          <w:p w:rsidR="00D058DE" w:rsidRPr="001416ED" w:rsidRDefault="00D058DE" w:rsidP="00683BC8">
            <w:pPr>
              <w:spacing w:line="360" w:lineRule="auto"/>
              <w:rPr>
                <w:szCs w:val="22"/>
              </w:rPr>
            </w:pPr>
            <w:r w:rsidRPr="001416ED">
              <w:rPr>
                <w:szCs w:val="22"/>
              </w:rPr>
              <w:t>ЗПСО, дин•с•см</w:t>
            </w:r>
            <w:r w:rsidRPr="001416ED">
              <w:rPr>
                <w:szCs w:val="22"/>
                <w:vertAlign w:val="superscript"/>
              </w:rPr>
              <w:t>–5</w:t>
            </w:r>
          </w:p>
        </w:tc>
        <w:tc>
          <w:tcPr>
            <w:tcW w:w="1703" w:type="dxa"/>
          </w:tcPr>
          <w:p w:rsidR="00D058DE" w:rsidRPr="001416ED" w:rsidRDefault="00D058DE" w:rsidP="00683BC8">
            <w:pPr>
              <w:spacing w:line="360" w:lineRule="auto"/>
              <w:rPr>
                <w:szCs w:val="22"/>
              </w:rPr>
            </w:pPr>
            <w:r w:rsidRPr="001416ED">
              <w:rPr>
                <w:szCs w:val="22"/>
              </w:rPr>
              <w:t>1</w:t>
            </w:r>
            <w:r w:rsidRPr="001416ED">
              <w:rPr>
                <w:szCs w:val="22"/>
                <w:lang w:val="uk-UA"/>
              </w:rPr>
              <w:t>730</w:t>
            </w:r>
            <w:r w:rsidRPr="001416ED">
              <w:rPr>
                <w:szCs w:val="22"/>
              </w:rPr>
              <w:t>,</w:t>
            </w:r>
            <w:r w:rsidRPr="001416ED">
              <w:rPr>
                <w:szCs w:val="22"/>
                <w:lang w:val="uk-UA"/>
              </w:rPr>
              <w:t>90</w:t>
            </w:r>
            <w:r w:rsidR="007A07A9" w:rsidRPr="001416ED">
              <w:rPr>
                <w:szCs w:val="22"/>
              </w:rPr>
              <w:t xml:space="preserve"> ± </w:t>
            </w:r>
          </w:p>
          <w:p w:rsidR="00D058DE" w:rsidRPr="001416ED" w:rsidRDefault="00D058DE" w:rsidP="00683BC8">
            <w:pPr>
              <w:spacing w:line="360" w:lineRule="auto"/>
              <w:rPr>
                <w:szCs w:val="22"/>
                <w:lang w:val="uk-UA"/>
              </w:rPr>
            </w:pPr>
            <w:r w:rsidRPr="001416ED">
              <w:rPr>
                <w:szCs w:val="22"/>
                <w:lang w:val="uk-UA"/>
              </w:rPr>
              <w:t>113</w:t>
            </w:r>
            <w:r w:rsidRPr="001416ED">
              <w:rPr>
                <w:szCs w:val="22"/>
              </w:rPr>
              <w:t>,</w:t>
            </w:r>
            <w:r w:rsidRPr="001416ED">
              <w:rPr>
                <w:szCs w:val="22"/>
                <w:lang w:val="uk-UA"/>
              </w:rPr>
              <w:t>32</w:t>
            </w:r>
          </w:p>
        </w:tc>
        <w:tc>
          <w:tcPr>
            <w:tcW w:w="1700" w:type="dxa"/>
          </w:tcPr>
          <w:p w:rsidR="00D058DE" w:rsidRPr="001416ED" w:rsidRDefault="00D058DE" w:rsidP="00683BC8">
            <w:pPr>
              <w:spacing w:line="360" w:lineRule="auto"/>
              <w:rPr>
                <w:szCs w:val="22"/>
              </w:rPr>
            </w:pPr>
            <w:r w:rsidRPr="001416ED">
              <w:rPr>
                <w:szCs w:val="22"/>
              </w:rPr>
              <w:t>20</w:t>
            </w:r>
            <w:r w:rsidRPr="001416ED">
              <w:rPr>
                <w:szCs w:val="22"/>
                <w:lang w:val="uk-UA"/>
              </w:rPr>
              <w:t>5</w:t>
            </w:r>
            <w:r w:rsidRPr="001416ED">
              <w:rPr>
                <w:szCs w:val="22"/>
              </w:rPr>
              <w:t>6,</w:t>
            </w:r>
            <w:r w:rsidRPr="001416ED">
              <w:rPr>
                <w:szCs w:val="22"/>
                <w:lang w:val="uk-UA"/>
              </w:rPr>
              <w:t>61</w:t>
            </w:r>
            <w:r w:rsidR="007A07A9" w:rsidRPr="001416ED">
              <w:rPr>
                <w:szCs w:val="22"/>
              </w:rPr>
              <w:t xml:space="preserve"> ± </w:t>
            </w:r>
          </w:p>
          <w:p w:rsidR="00D058DE" w:rsidRPr="001416ED" w:rsidRDefault="00D058DE" w:rsidP="00683BC8">
            <w:pPr>
              <w:spacing w:line="360" w:lineRule="auto"/>
              <w:rPr>
                <w:szCs w:val="22"/>
                <w:lang w:val="uk-UA"/>
              </w:rPr>
            </w:pPr>
            <w:r w:rsidRPr="001416ED">
              <w:rPr>
                <w:szCs w:val="22"/>
                <w:lang w:val="uk-UA"/>
              </w:rPr>
              <w:t>145</w:t>
            </w:r>
            <w:r w:rsidRPr="001416ED">
              <w:rPr>
                <w:szCs w:val="22"/>
              </w:rPr>
              <w:t>,</w:t>
            </w:r>
            <w:r w:rsidRPr="001416ED">
              <w:rPr>
                <w:szCs w:val="22"/>
                <w:lang w:val="uk-UA"/>
              </w:rPr>
              <w:t>18</w:t>
            </w:r>
          </w:p>
        </w:tc>
        <w:tc>
          <w:tcPr>
            <w:tcW w:w="1702" w:type="dxa"/>
          </w:tcPr>
          <w:p w:rsidR="00D058DE" w:rsidRPr="001416ED" w:rsidRDefault="00D058DE" w:rsidP="00683BC8">
            <w:pPr>
              <w:spacing w:line="360" w:lineRule="auto"/>
              <w:rPr>
                <w:szCs w:val="22"/>
              </w:rPr>
            </w:pPr>
            <w:r w:rsidRPr="001416ED">
              <w:rPr>
                <w:szCs w:val="22"/>
                <w:lang w:val="uk-UA"/>
              </w:rPr>
              <w:t>2298</w:t>
            </w:r>
            <w:r w:rsidRPr="001416ED">
              <w:rPr>
                <w:szCs w:val="22"/>
              </w:rPr>
              <w:t>,</w:t>
            </w:r>
            <w:r w:rsidRPr="001416ED">
              <w:rPr>
                <w:szCs w:val="22"/>
                <w:lang w:val="uk-UA"/>
              </w:rPr>
              <w:t>79</w:t>
            </w:r>
            <w:r w:rsidR="007A07A9" w:rsidRPr="001416ED">
              <w:rPr>
                <w:szCs w:val="22"/>
              </w:rPr>
              <w:t xml:space="preserve"> ± </w:t>
            </w:r>
          </w:p>
          <w:p w:rsidR="00D058DE" w:rsidRPr="001416ED" w:rsidRDefault="00D058DE" w:rsidP="00683BC8">
            <w:pPr>
              <w:spacing w:line="360" w:lineRule="auto"/>
              <w:rPr>
                <w:szCs w:val="22"/>
                <w:lang w:val="uk-UA"/>
              </w:rPr>
            </w:pPr>
            <w:r w:rsidRPr="001416ED">
              <w:rPr>
                <w:szCs w:val="22"/>
                <w:lang w:val="uk-UA"/>
              </w:rPr>
              <w:t>135</w:t>
            </w:r>
            <w:r w:rsidRPr="001416ED">
              <w:rPr>
                <w:szCs w:val="22"/>
                <w:lang w:val="en-US"/>
              </w:rPr>
              <w:t>,</w:t>
            </w:r>
            <w:r w:rsidRPr="001416ED">
              <w:rPr>
                <w:szCs w:val="22"/>
                <w:lang w:val="uk-UA"/>
              </w:rPr>
              <w:t>65</w:t>
            </w:r>
          </w:p>
        </w:tc>
        <w:tc>
          <w:tcPr>
            <w:tcW w:w="1841" w:type="dxa"/>
          </w:tcPr>
          <w:p w:rsidR="00D058DE" w:rsidRPr="001416ED" w:rsidRDefault="00D058DE" w:rsidP="00683BC8">
            <w:pPr>
              <w:spacing w:line="360" w:lineRule="auto"/>
              <w:rPr>
                <w:szCs w:val="22"/>
              </w:rPr>
            </w:pPr>
            <w:r w:rsidRPr="001416ED">
              <w:rPr>
                <w:szCs w:val="22"/>
              </w:rPr>
              <w:t>2</w:t>
            </w:r>
            <w:r w:rsidRPr="001416ED">
              <w:rPr>
                <w:szCs w:val="22"/>
                <w:lang w:val="uk-UA"/>
              </w:rPr>
              <w:t>854</w:t>
            </w:r>
            <w:r w:rsidRPr="001416ED">
              <w:rPr>
                <w:szCs w:val="22"/>
              </w:rPr>
              <w:t>,</w:t>
            </w:r>
            <w:r w:rsidRPr="001416ED">
              <w:rPr>
                <w:szCs w:val="22"/>
                <w:lang w:val="uk-UA"/>
              </w:rPr>
              <w:t>14</w:t>
            </w:r>
            <w:r w:rsidR="007A07A9" w:rsidRPr="001416ED">
              <w:rPr>
                <w:szCs w:val="22"/>
              </w:rPr>
              <w:t xml:space="preserve"> ± </w:t>
            </w:r>
          </w:p>
          <w:p w:rsidR="00D058DE" w:rsidRPr="001416ED" w:rsidRDefault="00D058DE" w:rsidP="00683BC8">
            <w:pPr>
              <w:spacing w:line="360" w:lineRule="auto"/>
              <w:rPr>
                <w:szCs w:val="22"/>
                <w:lang w:val="en-US"/>
              </w:rPr>
            </w:pPr>
            <w:r w:rsidRPr="001416ED">
              <w:rPr>
                <w:szCs w:val="22"/>
                <w:lang w:val="uk-UA"/>
              </w:rPr>
              <w:t>17</w:t>
            </w:r>
            <w:r w:rsidRPr="001416ED">
              <w:rPr>
                <w:szCs w:val="22"/>
                <w:lang w:val="en-US"/>
              </w:rPr>
              <w:t>0</w:t>
            </w:r>
            <w:r w:rsidRPr="001416ED">
              <w:rPr>
                <w:szCs w:val="22"/>
              </w:rPr>
              <w:t>,</w:t>
            </w:r>
            <w:r w:rsidRPr="001416ED">
              <w:rPr>
                <w:szCs w:val="22"/>
                <w:lang w:val="uk-UA"/>
              </w:rPr>
              <w:t>7</w:t>
            </w:r>
            <w:r w:rsidRPr="001416ED">
              <w:rPr>
                <w:szCs w:val="22"/>
                <w:lang w:val="en-US"/>
              </w:rPr>
              <w:t>1</w:t>
            </w:r>
          </w:p>
        </w:tc>
        <w:tc>
          <w:tcPr>
            <w:tcW w:w="1561" w:type="dxa"/>
          </w:tcPr>
          <w:p w:rsidR="00D058DE" w:rsidRPr="001416ED" w:rsidRDefault="00D058DE" w:rsidP="00683BC8">
            <w:pPr>
              <w:spacing w:line="360" w:lineRule="auto"/>
              <w:rPr>
                <w:szCs w:val="22"/>
                <w:lang w:val="uk-UA"/>
              </w:rPr>
            </w:pPr>
            <w:r w:rsidRPr="001416ED">
              <w:rPr>
                <w:szCs w:val="22"/>
              </w:rPr>
              <w:t>р</w:t>
            </w:r>
            <w:r w:rsidRPr="001416ED">
              <w:rPr>
                <w:szCs w:val="22"/>
                <w:vertAlign w:val="subscript"/>
              </w:rPr>
              <w:t>3–1</w:t>
            </w:r>
            <w:r w:rsidRPr="001416ED">
              <w:rPr>
                <w:szCs w:val="22"/>
              </w:rPr>
              <w:t>, р</w:t>
            </w:r>
            <w:r w:rsidRPr="001416ED">
              <w:rPr>
                <w:szCs w:val="22"/>
                <w:vertAlign w:val="subscript"/>
              </w:rPr>
              <w:t>4–2</w:t>
            </w:r>
          </w:p>
        </w:tc>
      </w:tr>
    </w:tbl>
    <w:p w:rsidR="00D058DE" w:rsidRPr="001416ED" w:rsidRDefault="00D058DE" w:rsidP="00D058DE">
      <w:pPr>
        <w:spacing w:before="240" w:line="360" w:lineRule="auto"/>
        <w:ind w:firstLine="709"/>
        <w:jc w:val="right"/>
        <w:rPr>
          <w:i/>
          <w:lang w:val="uk-UA"/>
        </w:rPr>
      </w:pPr>
      <w:r w:rsidRPr="001416ED">
        <w:rPr>
          <w:i/>
          <w:lang w:val="uk-UA"/>
        </w:rPr>
        <w:lastRenderedPageBreak/>
        <w:t>Продовження табл. 5.5</w:t>
      </w:r>
    </w:p>
    <w:tbl>
      <w:tblPr>
        <w:tblStyle w:val="af5"/>
        <w:tblW w:w="0" w:type="auto"/>
        <w:tblLook w:val="04A0" w:firstRow="1" w:lastRow="0" w:firstColumn="1" w:lastColumn="0" w:noHBand="0" w:noVBand="1"/>
      </w:tblPr>
      <w:tblGrid>
        <w:gridCol w:w="1689"/>
        <w:gridCol w:w="1689"/>
        <w:gridCol w:w="1690"/>
        <w:gridCol w:w="1690"/>
        <w:gridCol w:w="1855"/>
        <w:gridCol w:w="1525"/>
      </w:tblGrid>
      <w:tr w:rsidR="00514D88" w:rsidRPr="001416ED" w:rsidTr="00514D88">
        <w:tc>
          <w:tcPr>
            <w:tcW w:w="1689" w:type="dxa"/>
          </w:tcPr>
          <w:p w:rsidR="00514D88" w:rsidRPr="001416ED" w:rsidRDefault="00514D88" w:rsidP="00D80EFD">
            <w:pPr>
              <w:spacing w:line="360" w:lineRule="auto"/>
              <w:rPr>
                <w:szCs w:val="22"/>
              </w:rPr>
            </w:pPr>
            <w:r w:rsidRPr="001416ED">
              <w:rPr>
                <w:szCs w:val="22"/>
              </w:rPr>
              <w:t>ППСО ум.од.</w:t>
            </w:r>
          </w:p>
        </w:tc>
        <w:tc>
          <w:tcPr>
            <w:tcW w:w="1689" w:type="dxa"/>
          </w:tcPr>
          <w:p w:rsidR="00514D88" w:rsidRPr="001416ED" w:rsidRDefault="00514D88" w:rsidP="00D80EFD">
            <w:pPr>
              <w:spacing w:line="360" w:lineRule="auto"/>
              <w:rPr>
                <w:szCs w:val="22"/>
                <w:lang w:val="uk-UA"/>
              </w:rPr>
            </w:pPr>
            <w:r w:rsidRPr="001416ED">
              <w:rPr>
                <w:szCs w:val="22"/>
              </w:rPr>
              <w:t>5</w:t>
            </w:r>
            <w:r w:rsidRPr="001416ED">
              <w:rPr>
                <w:szCs w:val="22"/>
                <w:lang w:val="uk-UA"/>
              </w:rPr>
              <w:t>3</w:t>
            </w:r>
            <w:r w:rsidRPr="001416ED">
              <w:rPr>
                <w:szCs w:val="22"/>
              </w:rPr>
              <w:t>,</w:t>
            </w:r>
            <w:r w:rsidRPr="001416ED">
              <w:rPr>
                <w:szCs w:val="22"/>
                <w:lang w:val="uk-UA"/>
              </w:rPr>
              <w:t>72</w:t>
            </w:r>
            <w:r w:rsidRPr="001416ED">
              <w:rPr>
                <w:szCs w:val="22"/>
              </w:rPr>
              <w:t xml:space="preserve"> ± 2,</w:t>
            </w:r>
            <w:r w:rsidRPr="001416ED">
              <w:rPr>
                <w:szCs w:val="22"/>
                <w:lang w:val="uk-UA"/>
              </w:rPr>
              <w:t>19</w:t>
            </w:r>
          </w:p>
        </w:tc>
        <w:tc>
          <w:tcPr>
            <w:tcW w:w="1690" w:type="dxa"/>
          </w:tcPr>
          <w:p w:rsidR="00514D88" w:rsidRPr="001416ED" w:rsidRDefault="00514D88" w:rsidP="00D80EFD">
            <w:pPr>
              <w:spacing w:line="360" w:lineRule="auto"/>
              <w:rPr>
                <w:szCs w:val="22"/>
                <w:lang w:val="uk-UA"/>
              </w:rPr>
            </w:pPr>
            <w:r w:rsidRPr="001416ED">
              <w:rPr>
                <w:szCs w:val="22"/>
                <w:lang w:val="uk-UA"/>
              </w:rPr>
              <w:t>54,15</w:t>
            </w:r>
            <w:r w:rsidRPr="001416ED">
              <w:rPr>
                <w:szCs w:val="22"/>
              </w:rPr>
              <w:t xml:space="preserve"> ± 2,</w:t>
            </w:r>
            <w:r w:rsidRPr="001416ED">
              <w:rPr>
                <w:szCs w:val="22"/>
                <w:lang w:val="uk-UA"/>
              </w:rPr>
              <w:t>08</w:t>
            </w:r>
          </w:p>
        </w:tc>
        <w:tc>
          <w:tcPr>
            <w:tcW w:w="1690" w:type="dxa"/>
          </w:tcPr>
          <w:p w:rsidR="00514D88" w:rsidRPr="001416ED" w:rsidRDefault="00514D88" w:rsidP="00D80EFD">
            <w:pPr>
              <w:spacing w:line="360" w:lineRule="auto"/>
              <w:rPr>
                <w:szCs w:val="22"/>
                <w:lang w:val="uk-UA"/>
              </w:rPr>
            </w:pPr>
            <w:r w:rsidRPr="001416ED">
              <w:rPr>
                <w:szCs w:val="22"/>
              </w:rPr>
              <w:t>5</w:t>
            </w:r>
            <w:r w:rsidRPr="001416ED">
              <w:rPr>
                <w:szCs w:val="22"/>
                <w:lang w:val="en-US"/>
              </w:rPr>
              <w:t>3</w:t>
            </w:r>
            <w:r w:rsidRPr="001416ED">
              <w:rPr>
                <w:szCs w:val="22"/>
              </w:rPr>
              <w:t>,9</w:t>
            </w:r>
            <w:r w:rsidRPr="001416ED">
              <w:rPr>
                <w:szCs w:val="22"/>
                <w:lang w:val="uk-UA"/>
              </w:rPr>
              <w:t>0</w:t>
            </w:r>
            <w:r w:rsidRPr="001416ED">
              <w:rPr>
                <w:szCs w:val="22"/>
              </w:rPr>
              <w:t xml:space="preserve"> ± 2,</w:t>
            </w:r>
            <w:r w:rsidRPr="001416ED">
              <w:rPr>
                <w:szCs w:val="22"/>
                <w:lang w:val="uk-UA"/>
              </w:rPr>
              <w:t>23</w:t>
            </w:r>
          </w:p>
        </w:tc>
        <w:tc>
          <w:tcPr>
            <w:tcW w:w="1855" w:type="dxa"/>
          </w:tcPr>
          <w:p w:rsidR="00514D88" w:rsidRPr="001416ED" w:rsidRDefault="00514D88" w:rsidP="00D80EFD">
            <w:pPr>
              <w:spacing w:line="360" w:lineRule="auto"/>
              <w:rPr>
                <w:szCs w:val="22"/>
                <w:lang w:val="uk-UA"/>
              </w:rPr>
            </w:pPr>
            <w:r w:rsidRPr="001416ED">
              <w:rPr>
                <w:szCs w:val="22"/>
                <w:lang w:val="en-US"/>
              </w:rPr>
              <w:t>5</w:t>
            </w:r>
            <w:r w:rsidRPr="001416ED">
              <w:rPr>
                <w:szCs w:val="22"/>
                <w:lang w:val="uk-UA"/>
              </w:rPr>
              <w:t>5</w:t>
            </w:r>
            <w:r w:rsidRPr="001416ED">
              <w:rPr>
                <w:szCs w:val="22"/>
              </w:rPr>
              <w:t>,</w:t>
            </w:r>
            <w:r w:rsidRPr="001416ED">
              <w:rPr>
                <w:szCs w:val="22"/>
                <w:lang w:val="uk-UA"/>
              </w:rPr>
              <w:t>78</w:t>
            </w:r>
            <w:r w:rsidRPr="001416ED">
              <w:rPr>
                <w:szCs w:val="22"/>
              </w:rPr>
              <w:t xml:space="preserve"> ± 2,</w:t>
            </w:r>
            <w:r w:rsidRPr="001416ED">
              <w:rPr>
                <w:szCs w:val="22"/>
                <w:lang w:val="uk-UA"/>
              </w:rPr>
              <w:t>76</w:t>
            </w:r>
          </w:p>
        </w:tc>
        <w:tc>
          <w:tcPr>
            <w:tcW w:w="1525" w:type="dxa"/>
          </w:tcPr>
          <w:p w:rsidR="00514D88" w:rsidRPr="001416ED" w:rsidRDefault="00514D88" w:rsidP="00D80EFD">
            <w:pPr>
              <w:spacing w:line="360" w:lineRule="auto"/>
              <w:rPr>
                <w:szCs w:val="22"/>
                <w:lang w:val="uk-UA"/>
              </w:rPr>
            </w:pPr>
            <w:r w:rsidRPr="001416ED">
              <w:rPr>
                <w:szCs w:val="22"/>
                <w:lang w:val="uk-UA"/>
              </w:rPr>
              <w:t>–</w:t>
            </w:r>
          </w:p>
        </w:tc>
      </w:tr>
      <w:tr w:rsidR="00514D88" w:rsidRPr="001416ED" w:rsidTr="00514D88">
        <w:tc>
          <w:tcPr>
            <w:tcW w:w="1689" w:type="dxa"/>
          </w:tcPr>
          <w:p w:rsidR="00514D88" w:rsidRPr="001416ED" w:rsidRDefault="00514D88" w:rsidP="00D80EFD">
            <w:pPr>
              <w:spacing w:line="360" w:lineRule="auto"/>
              <w:rPr>
                <w:szCs w:val="22"/>
              </w:rPr>
            </w:pPr>
            <w:r w:rsidRPr="001416ED">
              <w:rPr>
                <w:szCs w:val="22"/>
              </w:rPr>
              <w:t>ЛП, см</w:t>
            </w:r>
          </w:p>
        </w:tc>
        <w:tc>
          <w:tcPr>
            <w:tcW w:w="1689" w:type="dxa"/>
          </w:tcPr>
          <w:p w:rsidR="00514D88" w:rsidRPr="001416ED" w:rsidRDefault="00514D88" w:rsidP="00D80EFD">
            <w:pPr>
              <w:spacing w:line="360" w:lineRule="auto"/>
              <w:rPr>
                <w:szCs w:val="22"/>
                <w:lang w:val="uk-UA"/>
              </w:rPr>
            </w:pPr>
            <w:r w:rsidRPr="001416ED">
              <w:rPr>
                <w:szCs w:val="22"/>
                <w:lang w:val="uk-UA"/>
              </w:rPr>
              <w:t>4</w:t>
            </w:r>
            <w:r w:rsidRPr="001416ED">
              <w:rPr>
                <w:szCs w:val="22"/>
              </w:rPr>
              <w:t>,</w:t>
            </w:r>
            <w:r w:rsidRPr="001416ED">
              <w:rPr>
                <w:szCs w:val="22"/>
                <w:lang w:val="uk-UA"/>
              </w:rPr>
              <w:t>1</w:t>
            </w:r>
            <w:r w:rsidRPr="001416ED">
              <w:rPr>
                <w:szCs w:val="22"/>
              </w:rPr>
              <w:t>4 ± 0,0</w:t>
            </w:r>
            <w:r w:rsidRPr="001416ED">
              <w:rPr>
                <w:szCs w:val="22"/>
                <w:lang w:val="uk-UA"/>
              </w:rPr>
              <w:t>6</w:t>
            </w:r>
          </w:p>
        </w:tc>
        <w:tc>
          <w:tcPr>
            <w:tcW w:w="1690" w:type="dxa"/>
          </w:tcPr>
          <w:p w:rsidR="00514D88" w:rsidRPr="001416ED" w:rsidRDefault="00514D88" w:rsidP="00D80EFD">
            <w:pPr>
              <w:spacing w:line="360" w:lineRule="auto"/>
              <w:rPr>
                <w:szCs w:val="22"/>
                <w:lang w:val="uk-UA"/>
              </w:rPr>
            </w:pPr>
            <w:r w:rsidRPr="001416ED">
              <w:rPr>
                <w:szCs w:val="22"/>
                <w:lang w:val="uk-UA"/>
              </w:rPr>
              <w:t>4</w:t>
            </w:r>
            <w:r w:rsidRPr="001416ED">
              <w:rPr>
                <w:szCs w:val="22"/>
              </w:rPr>
              <w:t>,</w:t>
            </w:r>
            <w:r w:rsidRPr="001416ED">
              <w:rPr>
                <w:szCs w:val="22"/>
                <w:lang w:val="uk-UA"/>
              </w:rPr>
              <w:t>52</w:t>
            </w:r>
            <w:r w:rsidRPr="001416ED">
              <w:rPr>
                <w:szCs w:val="22"/>
              </w:rPr>
              <w:t xml:space="preserve"> ± </w:t>
            </w:r>
            <w:r w:rsidRPr="001416ED">
              <w:rPr>
                <w:szCs w:val="22"/>
                <w:lang w:val="uk-UA"/>
              </w:rPr>
              <w:t>0</w:t>
            </w:r>
            <w:r w:rsidRPr="001416ED">
              <w:rPr>
                <w:szCs w:val="22"/>
              </w:rPr>
              <w:t>,0</w:t>
            </w:r>
            <w:r w:rsidRPr="001416ED">
              <w:rPr>
                <w:szCs w:val="22"/>
                <w:lang w:val="uk-UA"/>
              </w:rPr>
              <w:t>9</w:t>
            </w:r>
          </w:p>
        </w:tc>
        <w:tc>
          <w:tcPr>
            <w:tcW w:w="1690" w:type="dxa"/>
          </w:tcPr>
          <w:p w:rsidR="00514D88" w:rsidRPr="001416ED" w:rsidRDefault="00514D88" w:rsidP="00D80EFD">
            <w:pPr>
              <w:spacing w:line="360" w:lineRule="auto"/>
              <w:rPr>
                <w:szCs w:val="22"/>
                <w:lang w:val="uk-UA"/>
              </w:rPr>
            </w:pPr>
            <w:r w:rsidRPr="001416ED">
              <w:rPr>
                <w:szCs w:val="22"/>
                <w:lang w:val="en-US"/>
              </w:rPr>
              <w:t>4</w:t>
            </w:r>
            <w:r w:rsidRPr="001416ED">
              <w:rPr>
                <w:szCs w:val="22"/>
              </w:rPr>
              <w:t>,</w:t>
            </w:r>
            <w:r w:rsidRPr="001416ED">
              <w:rPr>
                <w:szCs w:val="22"/>
                <w:lang w:val="uk-UA"/>
              </w:rPr>
              <w:t>4</w:t>
            </w:r>
            <w:r w:rsidRPr="001416ED">
              <w:rPr>
                <w:szCs w:val="22"/>
                <w:lang w:val="en-US"/>
              </w:rPr>
              <w:t>5</w:t>
            </w:r>
            <w:r w:rsidRPr="001416ED">
              <w:rPr>
                <w:szCs w:val="22"/>
              </w:rPr>
              <w:t xml:space="preserve"> ± 0,0</w:t>
            </w:r>
            <w:r w:rsidRPr="001416ED">
              <w:rPr>
                <w:szCs w:val="22"/>
                <w:lang w:val="uk-UA"/>
              </w:rPr>
              <w:t>8</w:t>
            </w:r>
          </w:p>
        </w:tc>
        <w:tc>
          <w:tcPr>
            <w:tcW w:w="1855" w:type="dxa"/>
          </w:tcPr>
          <w:p w:rsidR="00514D88" w:rsidRPr="001416ED" w:rsidRDefault="00514D88" w:rsidP="00D80EFD">
            <w:pPr>
              <w:spacing w:line="360" w:lineRule="auto"/>
              <w:rPr>
                <w:szCs w:val="22"/>
              </w:rPr>
            </w:pPr>
            <w:r w:rsidRPr="001416ED">
              <w:rPr>
                <w:szCs w:val="22"/>
                <w:lang w:val="en-US"/>
              </w:rPr>
              <w:t>4</w:t>
            </w:r>
            <w:r w:rsidRPr="001416ED">
              <w:rPr>
                <w:szCs w:val="22"/>
              </w:rPr>
              <w:t>,</w:t>
            </w:r>
            <w:r w:rsidRPr="001416ED">
              <w:rPr>
                <w:szCs w:val="22"/>
                <w:lang w:val="uk-UA"/>
              </w:rPr>
              <w:t>80</w:t>
            </w:r>
            <w:r w:rsidRPr="001416ED">
              <w:rPr>
                <w:szCs w:val="22"/>
              </w:rPr>
              <w:t xml:space="preserve"> ± 0,09</w:t>
            </w:r>
          </w:p>
        </w:tc>
        <w:tc>
          <w:tcPr>
            <w:tcW w:w="1525" w:type="dxa"/>
          </w:tcPr>
          <w:p w:rsidR="00514D88" w:rsidRPr="001416ED" w:rsidRDefault="00514D88" w:rsidP="00D80EFD">
            <w:pPr>
              <w:spacing w:line="360" w:lineRule="auto"/>
              <w:rPr>
                <w:szCs w:val="22"/>
                <w:lang w:val="uk-UA"/>
              </w:rPr>
            </w:pPr>
            <w:r w:rsidRPr="001416ED">
              <w:rPr>
                <w:szCs w:val="22"/>
              </w:rPr>
              <w:t>р</w:t>
            </w:r>
            <w:r w:rsidRPr="001416ED">
              <w:rPr>
                <w:szCs w:val="22"/>
                <w:vertAlign w:val="subscript"/>
              </w:rPr>
              <w:t>2–1</w:t>
            </w:r>
            <w:r w:rsidRPr="001416ED">
              <w:rPr>
                <w:szCs w:val="22"/>
              </w:rPr>
              <w:t>,р</w:t>
            </w:r>
            <w:r w:rsidRPr="001416ED">
              <w:rPr>
                <w:szCs w:val="22"/>
                <w:vertAlign w:val="subscript"/>
              </w:rPr>
              <w:t>3–1</w:t>
            </w:r>
            <w:r w:rsidRPr="001416ED">
              <w:rPr>
                <w:szCs w:val="22"/>
              </w:rPr>
              <w:t>,</w:t>
            </w:r>
          </w:p>
          <w:p w:rsidR="00514D88" w:rsidRPr="001416ED" w:rsidRDefault="00514D88" w:rsidP="00D80EFD">
            <w:pPr>
              <w:spacing w:line="360" w:lineRule="auto"/>
              <w:rPr>
                <w:szCs w:val="22"/>
                <w:lang w:val="en-US"/>
              </w:rPr>
            </w:pPr>
            <w:r w:rsidRPr="001416ED">
              <w:rPr>
                <w:szCs w:val="22"/>
              </w:rPr>
              <w:t>р</w:t>
            </w:r>
            <w:r w:rsidRPr="001416ED">
              <w:rPr>
                <w:szCs w:val="22"/>
                <w:vertAlign w:val="subscript"/>
              </w:rPr>
              <w:t>4–3</w:t>
            </w:r>
            <w:r w:rsidRPr="001416ED">
              <w:rPr>
                <w:szCs w:val="22"/>
              </w:rPr>
              <w:t>,р</w:t>
            </w:r>
            <w:r w:rsidRPr="001416ED">
              <w:rPr>
                <w:szCs w:val="22"/>
                <w:vertAlign w:val="subscript"/>
              </w:rPr>
              <w:t>4–2</w:t>
            </w:r>
          </w:p>
        </w:tc>
      </w:tr>
      <w:tr w:rsidR="00514D88" w:rsidRPr="001416ED" w:rsidTr="00514D88">
        <w:tc>
          <w:tcPr>
            <w:tcW w:w="1689" w:type="dxa"/>
          </w:tcPr>
          <w:p w:rsidR="00514D88" w:rsidRPr="001416ED" w:rsidRDefault="00514D88" w:rsidP="00D80EFD">
            <w:pPr>
              <w:spacing w:line="360" w:lineRule="auto"/>
              <w:rPr>
                <w:szCs w:val="22"/>
              </w:rPr>
            </w:pPr>
            <w:r w:rsidRPr="001416ED">
              <w:rPr>
                <w:szCs w:val="22"/>
              </w:rPr>
              <w:t>Е/А, ум.од.</w:t>
            </w:r>
          </w:p>
        </w:tc>
        <w:tc>
          <w:tcPr>
            <w:tcW w:w="1689" w:type="dxa"/>
          </w:tcPr>
          <w:p w:rsidR="00514D88" w:rsidRPr="001416ED" w:rsidRDefault="00514D88" w:rsidP="00D80EFD">
            <w:pPr>
              <w:spacing w:line="360" w:lineRule="auto"/>
              <w:rPr>
                <w:szCs w:val="22"/>
                <w:lang w:val="uk-UA"/>
              </w:rPr>
            </w:pPr>
            <w:r w:rsidRPr="001416ED">
              <w:rPr>
                <w:szCs w:val="22"/>
                <w:lang w:val="uk-UA"/>
              </w:rPr>
              <w:t>1</w:t>
            </w:r>
            <w:r w:rsidRPr="001416ED">
              <w:rPr>
                <w:szCs w:val="22"/>
                <w:lang w:val="en-US"/>
              </w:rPr>
              <w:t>,</w:t>
            </w:r>
            <w:r w:rsidRPr="001416ED">
              <w:rPr>
                <w:szCs w:val="22"/>
                <w:lang w:val="uk-UA"/>
              </w:rPr>
              <w:t>29</w:t>
            </w:r>
            <w:r w:rsidRPr="001416ED">
              <w:rPr>
                <w:szCs w:val="22"/>
              </w:rPr>
              <w:t xml:space="preserve"> ± 0,0</w:t>
            </w:r>
            <w:r w:rsidRPr="001416ED">
              <w:rPr>
                <w:szCs w:val="22"/>
                <w:lang w:val="uk-UA"/>
              </w:rPr>
              <w:t>5</w:t>
            </w:r>
          </w:p>
        </w:tc>
        <w:tc>
          <w:tcPr>
            <w:tcW w:w="1690" w:type="dxa"/>
          </w:tcPr>
          <w:p w:rsidR="00514D88" w:rsidRPr="001416ED" w:rsidRDefault="00514D88" w:rsidP="00D80EFD">
            <w:pPr>
              <w:spacing w:line="360" w:lineRule="auto"/>
              <w:rPr>
                <w:szCs w:val="22"/>
                <w:lang w:val="uk-UA"/>
              </w:rPr>
            </w:pPr>
            <w:r w:rsidRPr="001416ED">
              <w:rPr>
                <w:szCs w:val="22"/>
                <w:lang w:val="uk-UA"/>
              </w:rPr>
              <w:t>1</w:t>
            </w:r>
            <w:r w:rsidRPr="001416ED">
              <w:rPr>
                <w:szCs w:val="22"/>
              </w:rPr>
              <w:t>,</w:t>
            </w:r>
            <w:r w:rsidRPr="001416ED">
              <w:rPr>
                <w:szCs w:val="22"/>
                <w:lang w:val="uk-UA"/>
              </w:rPr>
              <w:t>18</w:t>
            </w:r>
            <w:r w:rsidRPr="001416ED">
              <w:rPr>
                <w:szCs w:val="22"/>
              </w:rPr>
              <w:t xml:space="preserve"> ± 0,0</w:t>
            </w:r>
            <w:r w:rsidRPr="001416ED">
              <w:rPr>
                <w:szCs w:val="22"/>
                <w:lang w:val="uk-UA"/>
              </w:rPr>
              <w:t>6</w:t>
            </w:r>
          </w:p>
        </w:tc>
        <w:tc>
          <w:tcPr>
            <w:tcW w:w="1690" w:type="dxa"/>
          </w:tcPr>
          <w:p w:rsidR="00514D88" w:rsidRPr="001416ED" w:rsidRDefault="00514D88" w:rsidP="00D80EFD">
            <w:pPr>
              <w:spacing w:line="360" w:lineRule="auto"/>
              <w:rPr>
                <w:szCs w:val="22"/>
                <w:lang w:val="uk-UA"/>
              </w:rPr>
            </w:pPr>
            <w:r w:rsidRPr="001416ED">
              <w:rPr>
                <w:szCs w:val="22"/>
                <w:lang w:val="uk-UA"/>
              </w:rPr>
              <w:t>0,99 ± 0,06</w:t>
            </w:r>
          </w:p>
        </w:tc>
        <w:tc>
          <w:tcPr>
            <w:tcW w:w="1855" w:type="dxa"/>
          </w:tcPr>
          <w:p w:rsidR="00514D88" w:rsidRPr="001416ED" w:rsidRDefault="00514D88" w:rsidP="00D80EFD">
            <w:pPr>
              <w:spacing w:line="360" w:lineRule="auto"/>
              <w:rPr>
                <w:szCs w:val="22"/>
                <w:lang w:val="uk-UA"/>
              </w:rPr>
            </w:pPr>
            <w:r w:rsidRPr="001416ED">
              <w:rPr>
                <w:szCs w:val="22"/>
                <w:lang w:val="uk-UA"/>
              </w:rPr>
              <w:t>0,80 ± 0,07</w:t>
            </w:r>
          </w:p>
        </w:tc>
        <w:tc>
          <w:tcPr>
            <w:tcW w:w="1525" w:type="dxa"/>
          </w:tcPr>
          <w:p w:rsidR="00514D88" w:rsidRPr="001416ED" w:rsidRDefault="00514D88" w:rsidP="00D80EFD">
            <w:pPr>
              <w:spacing w:line="360" w:lineRule="auto"/>
              <w:rPr>
                <w:szCs w:val="22"/>
                <w:lang w:val="uk-UA"/>
              </w:rPr>
            </w:pPr>
            <w:r w:rsidRPr="001416ED">
              <w:rPr>
                <w:szCs w:val="22"/>
                <w:lang w:val="uk-UA"/>
              </w:rPr>
              <w:t>–</w:t>
            </w:r>
          </w:p>
        </w:tc>
      </w:tr>
      <w:tr w:rsidR="00514D88" w:rsidRPr="001416ED" w:rsidTr="00514D88">
        <w:tc>
          <w:tcPr>
            <w:tcW w:w="1689" w:type="dxa"/>
          </w:tcPr>
          <w:p w:rsidR="00514D88" w:rsidRPr="001416ED" w:rsidRDefault="00514D88" w:rsidP="00D80EFD">
            <w:pPr>
              <w:spacing w:line="360" w:lineRule="auto"/>
              <w:rPr>
                <w:szCs w:val="22"/>
                <w:lang w:val="uk-UA"/>
              </w:rPr>
            </w:pPr>
            <w:r w:rsidRPr="001416ED">
              <w:rPr>
                <w:szCs w:val="22"/>
                <w:lang w:val="en-US"/>
              </w:rPr>
              <w:t>D</w:t>
            </w:r>
            <w:r w:rsidRPr="001416ED">
              <w:rPr>
                <w:szCs w:val="22"/>
                <w:lang w:val="uk-UA"/>
              </w:rPr>
              <w:t>Т, мс</w:t>
            </w:r>
          </w:p>
        </w:tc>
        <w:tc>
          <w:tcPr>
            <w:tcW w:w="1689" w:type="dxa"/>
          </w:tcPr>
          <w:p w:rsidR="00514D88" w:rsidRPr="001416ED" w:rsidRDefault="00514D88" w:rsidP="00D80EFD">
            <w:pPr>
              <w:spacing w:line="360" w:lineRule="auto"/>
              <w:rPr>
                <w:szCs w:val="22"/>
                <w:lang w:val="uk-UA"/>
              </w:rPr>
            </w:pPr>
            <w:r w:rsidRPr="001416ED">
              <w:rPr>
                <w:szCs w:val="22"/>
                <w:lang w:val="uk-UA"/>
              </w:rPr>
              <w:t>152,56 ± 8,47</w:t>
            </w:r>
          </w:p>
        </w:tc>
        <w:tc>
          <w:tcPr>
            <w:tcW w:w="1690" w:type="dxa"/>
          </w:tcPr>
          <w:p w:rsidR="00514D88" w:rsidRPr="001416ED" w:rsidRDefault="00514D88" w:rsidP="00D80EFD">
            <w:pPr>
              <w:spacing w:line="360" w:lineRule="auto"/>
              <w:rPr>
                <w:szCs w:val="22"/>
                <w:lang w:val="uk-UA"/>
              </w:rPr>
            </w:pPr>
            <w:r w:rsidRPr="001416ED">
              <w:rPr>
                <w:szCs w:val="22"/>
                <w:lang w:val="uk-UA"/>
              </w:rPr>
              <w:t>178,33 ± 8,03</w:t>
            </w:r>
          </w:p>
        </w:tc>
        <w:tc>
          <w:tcPr>
            <w:tcW w:w="1690" w:type="dxa"/>
          </w:tcPr>
          <w:p w:rsidR="00514D88" w:rsidRPr="001416ED" w:rsidRDefault="00514D88" w:rsidP="00D80EFD">
            <w:pPr>
              <w:spacing w:line="360" w:lineRule="auto"/>
              <w:rPr>
                <w:szCs w:val="22"/>
                <w:lang w:val="uk-UA"/>
              </w:rPr>
            </w:pPr>
            <w:r w:rsidRPr="001416ED">
              <w:rPr>
                <w:szCs w:val="22"/>
                <w:lang w:val="uk-UA"/>
              </w:rPr>
              <w:t>176,55 ± 5,09</w:t>
            </w:r>
          </w:p>
        </w:tc>
        <w:tc>
          <w:tcPr>
            <w:tcW w:w="1855" w:type="dxa"/>
          </w:tcPr>
          <w:p w:rsidR="00514D88" w:rsidRPr="001416ED" w:rsidRDefault="00514D88" w:rsidP="00D80EFD">
            <w:pPr>
              <w:spacing w:line="360" w:lineRule="auto"/>
              <w:rPr>
                <w:szCs w:val="22"/>
                <w:lang w:val="uk-UA"/>
              </w:rPr>
            </w:pPr>
            <w:r w:rsidRPr="001416ED">
              <w:rPr>
                <w:szCs w:val="22"/>
                <w:lang w:val="uk-UA"/>
              </w:rPr>
              <w:t>201,43 ± 5,09</w:t>
            </w:r>
          </w:p>
        </w:tc>
        <w:tc>
          <w:tcPr>
            <w:tcW w:w="1525" w:type="dxa"/>
          </w:tcPr>
          <w:p w:rsidR="00514D88" w:rsidRPr="001416ED" w:rsidRDefault="00514D88" w:rsidP="00D80EFD">
            <w:pPr>
              <w:spacing w:line="360" w:lineRule="auto"/>
              <w:rPr>
                <w:szCs w:val="22"/>
                <w:lang w:val="uk-UA"/>
              </w:rPr>
            </w:pPr>
            <w:r w:rsidRPr="001416ED">
              <w:rPr>
                <w:szCs w:val="22"/>
                <w:lang w:val="uk-UA"/>
              </w:rPr>
              <w:t>р</w:t>
            </w:r>
            <w:r w:rsidRPr="001416ED">
              <w:rPr>
                <w:szCs w:val="22"/>
                <w:vertAlign w:val="subscript"/>
                <w:lang w:val="uk-UA"/>
              </w:rPr>
              <w:t>2–1</w:t>
            </w:r>
            <w:r w:rsidRPr="001416ED">
              <w:rPr>
                <w:szCs w:val="22"/>
                <w:lang w:val="uk-UA"/>
              </w:rPr>
              <w:t>,р</w:t>
            </w:r>
            <w:r w:rsidRPr="001416ED">
              <w:rPr>
                <w:szCs w:val="22"/>
                <w:vertAlign w:val="subscript"/>
                <w:lang w:val="uk-UA"/>
              </w:rPr>
              <w:t>3–1</w:t>
            </w:r>
            <w:r w:rsidRPr="001416ED">
              <w:rPr>
                <w:szCs w:val="22"/>
                <w:lang w:val="uk-UA"/>
              </w:rPr>
              <w:t>,</w:t>
            </w:r>
          </w:p>
          <w:p w:rsidR="00514D88" w:rsidRPr="001416ED" w:rsidRDefault="00514D88" w:rsidP="00D80EFD">
            <w:pPr>
              <w:spacing w:line="360" w:lineRule="auto"/>
              <w:rPr>
                <w:szCs w:val="22"/>
                <w:lang w:val="uk-UA"/>
              </w:rPr>
            </w:pPr>
            <w:r w:rsidRPr="001416ED">
              <w:rPr>
                <w:szCs w:val="22"/>
                <w:lang w:val="uk-UA"/>
              </w:rPr>
              <w:t>р</w:t>
            </w:r>
            <w:r w:rsidRPr="001416ED">
              <w:rPr>
                <w:szCs w:val="22"/>
                <w:vertAlign w:val="subscript"/>
                <w:lang w:val="uk-UA"/>
              </w:rPr>
              <w:t>4–3</w:t>
            </w:r>
            <w:r w:rsidRPr="001416ED">
              <w:rPr>
                <w:szCs w:val="22"/>
                <w:lang w:val="uk-UA"/>
              </w:rPr>
              <w:t>,р</w:t>
            </w:r>
            <w:r w:rsidRPr="001416ED">
              <w:rPr>
                <w:szCs w:val="22"/>
                <w:vertAlign w:val="subscript"/>
                <w:lang w:val="uk-UA"/>
              </w:rPr>
              <w:t>4–2</w:t>
            </w:r>
          </w:p>
        </w:tc>
      </w:tr>
      <w:tr w:rsidR="00514D88" w:rsidRPr="001416ED" w:rsidTr="00514D88">
        <w:tc>
          <w:tcPr>
            <w:tcW w:w="1689" w:type="dxa"/>
          </w:tcPr>
          <w:p w:rsidR="00514D88" w:rsidRPr="001416ED" w:rsidRDefault="00514D88" w:rsidP="00D80EFD">
            <w:pPr>
              <w:spacing w:line="360" w:lineRule="auto"/>
              <w:rPr>
                <w:szCs w:val="22"/>
                <w:lang w:val="uk-UA"/>
              </w:rPr>
            </w:pPr>
            <w:r w:rsidRPr="001416ED">
              <w:rPr>
                <w:szCs w:val="22"/>
              </w:rPr>
              <w:t>IVRT</w:t>
            </w:r>
            <w:r w:rsidRPr="001416ED">
              <w:rPr>
                <w:szCs w:val="22"/>
                <w:lang w:val="uk-UA"/>
              </w:rPr>
              <w:t>, мс</w:t>
            </w:r>
          </w:p>
        </w:tc>
        <w:tc>
          <w:tcPr>
            <w:tcW w:w="1689" w:type="dxa"/>
          </w:tcPr>
          <w:p w:rsidR="00514D88" w:rsidRPr="001416ED" w:rsidRDefault="00514D88" w:rsidP="00D80EFD">
            <w:pPr>
              <w:spacing w:line="360" w:lineRule="auto"/>
              <w:rPr>
                <w:szCs w:val="22"/>
                <w:lang w:val="uk-UA"/>
              </w:rPr>
            </w:pPr>
            <w:r w:rsidRPr="001416ED">
              <w:rPr>
                <w:szCs w:val="22"/>
                <w:lang w:val="uk-UA"/>
              </w:rPr>
              <w:t>79</w:t>
            </w:r>
            <w:r w:rsidRPr="001416ED">
              <w:rPr>
                <w:szCs w:val="22"/>
              </w:rPr>
              <w:t>,</w:t>
            </w:r>
            <w:r w:rsidRPr="001416ED">
              <w:rPr>
                <w:szCs w:val="22"/>
                <w:lang w:val="uk-UA"/>
              </w:rPr>
              <w:t>35</w:t>
            </w:r>
            <w:r w:rsidRPr="001416ED">
              <w:rPr>
                <w:szCs w:val="22"/>
              </w:rPr>
              <w:t xml:space="preserve"> ± 2,</w:t>
            </w:r>
            <w:r w:rsidRPr="001416ED">
              <w:rPr>
                <w:szCs w:val="22"/>
                <w:lang w:val="uk-UA"/>
              </w:rPr>
              <w:t>67</w:t>
            </w:r>
          </w:p>
        </w:tc>
        <w:tc>
          <w:tcPr>
            <w:tcW w:w="1690" w:type="dxa"/>
          </w:tcPr>
          <w:p w:rsidR="00514D88" w:rsidRPr="001416ED" w:rsidRDefault="00514D88" w:rsidP="00D80EFD">
            <w:pPr>
              <w:spacing w:line="360" w:lineRule="auto"/>
              <w:rPr>
                <w:szCs w:val="22"/>
                <w:lang w:val="uk-UA"/>
              </w:rPr>
            </w:pPr>
            <w:r w:rsidRPr="001416ED">
              <w:rPr>
                <w:szCs w:val="22"/>
                <w:lang w:val="uk-UA"/>
              </w:rPr>
              <w:t>81,78</w:t>
            </w:r>
            <w:r w:rsidRPr="001416ED">
              <w:rPr>
                <w:szCs w:val="22"/>
              </w:rPr>
              <w:t xml:space="preserve"> ± 2,</w:t>
            </w:r>
            <w:r w:rsidRPr="001416ED">
              <w:rPr>
                <w:szCs w:val="22"/>
                <w:lang w:val="uk-UA"/>
              </w:rPr>
              <w:t>13</w:t>
            </w:r>
          </w:p>
        </w:tc>
        <w:tc>
          <w:tcPr>
            <w:tcW w:w="1690" w:type="dxa"/>
          </w:tcPr>
          <w:p w:rsidR="00514D88" w:rsidRPr="001416ED" w:rsidRDefault="00514D88" w:rsidP="00D80EFD">
            <w:pPr>
              <w:spacing w:line="360" w:lineRule="auto"/>
              <w:rPr>
                <w:szCs w:val="22"/>
                <w:lang w:val="en-US"/>
              </w:rPr>
            </w:pPr>
            <w:r w:rsidRPr="001416ED">
              <w:rPr>
                <w:szCs w:val="22"/>
                <w:lang w:val="en-US"/>
              </w:rPr>
              <w:t>8</w:t>
            </w:r>
            <w:r w:rsidRPr="001416ED">
              <w:rPr>
                <w:szCs w:val="22"/>
                <w:lang w:val="uk-UA"/>
              </w:rPr>
              <w:t>4</w:t>
            </w:r>
            <w:r w:rsidRPr="001416ED">
              <w:rPr>
                <w:szCs w:val="22"/>
                <w:lang w:val="en-US"/>
              </w:rPr>
              <w:t>,18</w:t>
            </w:r>
            <w:r w:rsidRPr="001416ED">
              <w:rPr>
                <w:szCs w:val="22"/>
              </w:rPr>
              <w:t xml:space="preserve"> ± 2,4</w:t>
            </w:r>
            <w:r w:rsidRPr="001416ED">
              <w:rPr>
                <w:szCs w:val="22"/>
                <w:lang w:val="en-US"/>
              </w:rPr>
              <w:t>3</w:t>
            </w:r>
          </w:p>
        </w:tc>
        <w:tc>
          <w:tcPr>
            <w:tcW w:w="1855" w:type="dxa"/>
          </w:tcPr>
          <w:p w:rsidR="00514D88" w:rsidRPr="001416ED" w:rsidRDefault="00514D88" w:rsidP="00D80EFD">
            <w:pPr>
              <w:spacing w:line="360" w:lineRule="auto"/>
              <w:rPr>
                <w:szCs w:val="22"/>
                <w:lang w:val="en-US"/>
              </w:rPr>
            </w:pPr>
            <w:r w:rsidRPr="001416ED">
              <w:rPr>
                <w:szCs w:val="22"/>
                <w:lang w:val="en-US"/>
              </w:rPr>
              <w:t>8</w:t>
            </w:r>
            <w:r w:rsidRPr="001416ED">
              <w:rPr>
                <w:szCs w:val="22"/>
                <w:lang w:val="uk-UA"/>
              </w:rPr>
              <w:t>9</w:t>
            </w:r>
            <w:r w:rsidRPr="001416ED">
              <w:rPr>
                <w:szCs w:val="22"/>
              </w:rPr>
              <w:t>,</w:t>
            </w:r>
            <w:r w:rsidRPr="001416ED">
              <w:rPr>
                <w:szCs w:val="22"/>
                <w:lang w:val="en-US"/>
              </w:rPr>
              <w:t>71</w:t>
            </w:r>
            <w:r w:rsidRPr="001416ED">
              <w:rPr>
                <w:szCs w:val="22"/>
              </w:rPr>
              <w:t xml:space="preserve"> ± </w:t>
            </w:r>
            <w:r w:rsidRPr="001416ED">
              <w:rPr>
                <w:szCs w:val="22"/>
                <w:lang w:val="en-US"/>
              </w:rPr>
              <w:t>3,60</w:t>
            </w:r>
          </w:p>
        </w:tc>
        <w:tc>
          <w:tcPr>
            <w:tcW w:w="1525" w:type="dxa"/>
          </w:tcPr>
          <w:p w:rsidR="00514D88" w:rsidRPr="001416ED" w:rsidRDefault="00514D88" w:rsidP="00D80EFD">
            <w:pPr>
              <w:spacing w:line="360" w:lineRule="auto"/>
              <w:rPr>
                <w:szCs w:val="22"/>
                <w:lang w:val="uk-UA"/>
              </w:rPr>
            </w:pPr>
            <w:r w:rsidRPr="001416ED">
              <w:rPr>
                <w:szCs w:val="22"/>
                <w:lang w:val="uk-UA"/>
              </w:rPr>
              <w:t>–</w:t>
            </w:r>
          </w:p>
        </w:tc>
      </w:tr>
      <w:tr w:rsidR="00514D88" w:rsidRPr="001416ED" w:rsidTr="00514D88">
        <w:tc>
          <w:tcPr>
            <w:tcW w:w="1689" w:type="dxa"/>
          </w:tcPr>
          <w:p w:rsidR="00514D88" w:rsidRPr="001416ED" w:rsidRDefault="00514D88" w:rsidP="00D80EFD">
            <w:pPr>
              <w:spacing w:line="360" w:lineRule="auto"/>
              <w:rPr>
                <w:szCs w:val="22"/>
              </w:rPr>
            </w:pPr>
            <w:r w:rsidRPr="001416ED">
              <w:rPr>
                <w:szCs w:val="22"/>
              </w:rPr>
              <w:t>САТ,</w:t>
            </w:r>
          </w:p>
          <w:p w:rsidR="00514D88" w:rsidRPr="001416ED" w:rsidRDefault="00514D88" w:rsidP="00D80EFD">
            <w:pPr>
              <w:spacing w:line="360" w:lineRule="auto"/>
              <w:rPr>
                <w:szCs w:val="22"/>
                <w:lang w:val="uk-UA"/>
              </w:rPr>
            </w:pPr>
            <w:r w:rsidRPr="001416ED">
              <w:rPr>
                <w:szCs w:val="22"/>
              </w:rPr>
              <w:t>мм рт. ст.</w:t>
            </w:r>
          </w:p>
        </w:tc>
        <w:tc>
          <w:tcPr>
            <w:tcW w:w="1689" w:type="dxa"/>
          </w:tcPr>
          <w:p w:rsidR="00514D88" w:rsidRPr="001416ED" w:rsidRDefault="00514D88" w:rsidP="00D80EFD">
            <w:pPr>
              <w:spacing w:line="360" w:lineRule="auto"/>
              <w:rPr>
                <w:szCs w:val="22"/>
                <w:lang w:val="uk-UA"/>
              </w:rPr>
            </w:pPr>
            <w:r w:rsidRPr="001416ED">
              <w:rPr>
                <w:szCs w:val="22"/>
              </w:rPr>
              <w:t>16</w:t>
            </w:r>
            <w:r w:rsidRPr="001416ED">
              <w:rPr>
                <w:szCs w:val="22"/>
                <w:lang w:val="uk-UA"/>
              </w:rPr>
              <w:t>5</w:t>
            </w:r>
            <w:r w:rsidRPr="001416ED">
              <w:rPr>
                <w:szCs w:val="22"/>
              </w:rPr>
              <w:t>,</w:t>
            </w:r>
            <w:r w:rsidRPr="001416ED">
              <w:rPr>
                <w:szCs w:val="22"/>
                <w:lang w:val="uk-UA"/>
              </w:rPr>
              <w:t>08</w:t>
            </w:r>
            <w:r w:rsidRPr="001416ED">
              <w:rPr>
                <w:szCs w:val="22"/>
              </w:rPr>
              <w:t xml:space="preserve"> ± 2,</w:t>
            </w:r>
            <w:r w:rsidRPr="001416ED">
              <w:rPr>
                <w:szCs w:val="22"/>
                <w:lang w:val="uk-UA"/>
              </w:rPr>
              <w:t>53</w:t>
            </w:r>
          </w:p>
        </w:tc>
        <w:tc>
          <w:tcPr>
            <w:tcW w:w="1690" w:type="dxa"/>
          </w:tcPr>
          <w:p w:rsidR="00514D88" w:rsidRPr="001416ED" w:rsidRDefault="00514D88" w:rsidP="00D80EFD">
            <w:pPr>
              <w:spacing w:line="360" w:lineRule="auto"/>
              <w:rPr>
                <w:szCs w:val="22"/>
                <w:lang w:val="uk-UA"/>
              </w:rPr>
            </w:pPr>
            <w:r w:rsidRPr="001416ED">
              <w:rPr>
                <w:szCs w:val="22"/>
              </w:rPr>
              <w:t>1</w:t>
            </w:r>
            <w:r w:rsidRPr="001416ED">
              <w:rPr>
                <w:szCs w:val="22"/>
                <w:lang w:val="uk-UA"/>
              </w:rPr>
              <w:t>83</w:t>
            </w:r>
            <w:r w:rsidRPr="001416ED">
              <w:rPr>
                <w:szCs w:val="22"/>
              </w:rPr>
              <w:t>,1</w:t>
            </w:r>
            <w:r w:rsidRPr="001416ED">
              <w:rPr>
                <w:szCs w:val="22"/>
                <w:lang w:val="uk-UA"/>
              </w:rPr>
              <w:t>2</w:t>
            </w:r>
            <w:r w:rsidRPr="001416ED">
              <w:rPr>
                <w:szCs w:val="22"/>
              </w:rPr>
              <w:t xml:space="preserve"> ± </w:t>
            </w:r>
            <w:r w:rsidRPr="001416ED">
              <w:rPr>
                <w:szCs w:val="22"/>
                <w:lang w:val="uk-UA"/>
              </w:rPr>
              <w:t>7,32</w:t>
            </w:r>
          </w:p>
        </w:tc>
        <w:tc>
          <w:tcPr>
            <w:tcW w:w="1690" w:type="dxa"/>
          </w:tcPr>
          <w:p w:rsidR="00514D88" w:rsidRPr="001416ED" w:rsidRDefault="00514D88" w:rsidP="00D80EFD">
            <w:pPr>
              <w:spacing w:line="360" w:lineRule="auto"/>
              <w:rPr>
                <w:szCs w:val="22"/>
                <w:lang w:val="uk-UA"/>
              </w:rPr>
            </w:pPr>
            <w:r w:rsidRPr="001416ED">
              <w:rPr>
                <w:szCs w:val="22"/>
              </w:rPr>
              <w:t>16</w:t>
            </w:r>
            <w:r w:rsidRPr="001416ED">
              <w:rPr>
                <w:szCs w:val="22"/>
                <w:lang w:val="uk-UA"/>
              </w:rPr>
              <w:t>9</w:t>
            </w:r>
            <w:r w:rsidRPr="001416ED">
              <w:rPr>
                <w:szCs w:val="22"/>
              </w:rPr>
              <w:t>,</w:t>
            </w:r>
            <w:r w:rsidRPr="001416ED">
              <w:rPr>
                <w:szCs w:val="22"/>
                <w:lang w:val="uk-UA"/>
              </w:rPr>
              <w:t>52</w:t>
            </w:r>
            <w:r w:rsidRPr="001416ED">
              <w:rPr>
                <w:szCs w:val="22"/>
              </w:rPr>
              <w:t xml:space="preserve"> ± </w:t>
            </w:r>
            <w:r w:rsidRPr="001416ED">
              <w:rPr>
                <w:szCs w:val="22"/>
                <w:lang w:val="en-US"/>
              </w:rPr>
              <w:t>1,</w:t>
            </w:r>
            <w:r w:rsidRPr="001416ED">
              <w:rPr>
                <w:szCs w:val="22"/>
                <w:lang w:val="uk-UA"/>
              </w:rPr>
              <w:t>82</w:t>
            </w:r>
          </w:p>
        </w:tc>
        <w:tc>
          <w:tcPr>
            <w:tcW w:w="1855" w:type="dxa"/>
          </w:tcPr>
          <w:p w:rsidR="00514D88" w:rsidRPr="001416ED" w:rsidRDefault="00514D88" w:rsidP="00D80EFD">
            <w:pPr>
              <w:spacing w:line="360" w:lineRule="auto"/>
              <w:rPr>
                <w:szCs w:val="22"/>
                <w:lang w:val="uk-UA"/>
              </w:rPr>
            </w:pPr>
            <w:r w:rsidRPr="001416ED">
              <w:rPr>
                <w:szCs w:val="22"/>
              </w:rPr>
              <w:t>1</w:t>
            </w:r>
            <w:r w:rsidRPr="001416ED">
              <w:rPr>
                <w:szCs w:val="22"/>
                <w:lang w:val="en-US"/>
              </w:rPr>
              <w:t>8</w:t>
            </w:r>
            <w:r w:rsidRPr="001416ED">
              <w:rPr>
                <w:szCs w:val="22"/>
                <w:lang w:val="uk-UA"/>
              </w:rPr>
              <w:t>7</w:t>
            </w:r>
            <w:r w:rsidRPr="001416ED">
              <w:rPr>
                <w:szCs w:val="22"/>
              </w:rPr>
              <w:t>,</w:t>
            </w:r>
            <w:r w:rsidRPr="001416ED">
              <w:rPr>
                <w:szCs w:val="22"/>
                <w:lang w:val="en-US"/>
              </w:rPr>
              <w:t>2</w:t>
            </w:r>
            <w:r w:rsidRPr="001416ED">
              <w:rPr>
                <w:szCs w:val="22"/>
                <w:lang w:val="uk-UA"/>
              </w:rPr>
              <w:t>2</w:t>
            </w:r>
            <w:r w:rsidRPr="001416ED">
              <w:rPr>
                <w:szCs w:val="22"/>
              </w:rPr>
              <w:t xml:space="preserve"> ± </w:t>
            </w:r>
            <w:r w:rsidRPr="001416ED">
              <w:rPr>
                <w:szCs w:val="22"/>
                <w:lang w:val="en-US"/>
              </w:rPr>
              <w:t>4,</w:t>
            </w:r>
            <w:r w:rsidRPr="001416ED">
              <w:rPr>
                <w:szCs w:val="22"/>
                <w:lang w:val="uk-UA"/>
              </w:rPr>
              <w:t>94</w:t>
            </w:r>
          </w:p>
        </w:tc>
        <w:tc>
          <w:tcPr>
            <w:tcW w:w="1525" w:type="dxa"/>
          </w:tcPr>
          <w:p w:rsidR="00514D88" w:rsidRPr="001416ED" w:rsidRDefault="00514D88" w:rsidP="00D80EFD">
            <w:pPr>
              <w:spacing w:line="360" w:lineRule="auto"/>
              <w:rPr>
                <w:szCs w:val="22"/>
                <w:lang w:val="uk-UA"/>
              </w:rPr>
            </w:pPr>
            <w:r w:rsidRPr="001416ED">
              <w:rPr>
                <w:szCs w:val="22"/>
              </w:rPr>
              <w:t>р</w:t>
            </w:r>
            <w:r w:rsidRPr="001416ED">
              <w:rPr>
                <w:szCs w:val="22"/>
                <w:vertAlign w:val="subscript"/>
              </w:rPr>
              <w:t>2–1</w:t>
            </w:r>
            <w:r w:rsidRPr="001416ED">
              <w:rPr>
                <w:szCs w:val="22"/>
                <w:lang w:val="en-US"/>
              </w:rPr>
              <w:t>,</w:t>
            </w:r>
            <w:r w:rsidRPr="001416ED">
              <w:rPr>
                <w:szCs w:val="22"/>
              </w:rPr>
              <w:t>р</w:t>
            </w:r>
            <w:r w:rsidRPr="001416ED">
              <w:rPr>
                <w:szCs w:val="22"/>
                <w:vertAlign w:val="subscript"/>
              </w:rPr>
              <w:t>4–3</w:t>
            </w:r>
          </w:p>
        </w:tc>
      </w:tr>
      <w:tr w:rsidR="00514D88" w:rsidRPr="001416ED" w:rsidTr="00514D88">
        <w:tc>
          <w:tcPr>
            <w:tcW w:w="1689" w:type="dxa"/>
          </w:tcPr>
          <w:p w:rsidR="00514D88" w:rsidRPr="001416ED" w:rsidRDefault="00514D88" w:rsidP="00D80EFD">
            <w:pPr>
              <w:spacing w:line="360" w:lineRule="auto"/>
              <w:rPr>
                <w:szCs w:val="22"/>
                <w:lang w:val="en-US"/>
              </w:rPr>
            </w:pPr>
            <w:r w:rsidRPr="001416ED">
              <w:rPr>
                <w:szCs w:val="22"/>
              </w:rPr>
              <w:t>ДАТ,</w:t>
            </w:r>
          </w:p>
          <w:p w:rsidR="00514D88" w:rsidRPr="001416ED" w:rsidRDefault="00514D88" w:rsidP="00D80EFD">
            <w:pPr>
              <w:spacing w:line="360" w:lineRule="auto"/>
              <w:rPr>
                <w:szCs w:val="22"/>
              </w:rPr>
            </w:pPr>
            <w:r w:rsidRPr="001416ED">
              <w:rPr>
                <w:szCs w:val="22"/>
              </w:rPr>
              <w:t>мм рт. ст.</w:t>
            </w:r>
          </w:p>
        </w:tc>
        <w:tc>
          <w:tcPr>
            <w:tcW w:w="1689" w:type="dxa"/>
          </w:tcPr>
          <w:p w:rsidR="00514D88" w:rsidRPr="001416ED" w:rsidRDefault="00514D88" w:rsidP="00D80EFD">
            <w:pPr>
              <w:spacing w:line="360" w:lineRule="auto"/>
              <w:rPr>
                <w:szCs w:val="22"/>
                <w:lang w:val="uk-UA"/>
              </w:rPr>
            </w:pPr>
            <w:r w:rsidRPr="001416ED">
              <w:rPr>
                <w:szCs w:val="22"/>
                <w:lang w:val="uk-UA"/>
              </w:rPr>
              <w:t>100,42</w:t>
            </w:r>
            <w:r w:rsidRPr="001416ED">
              <w:rPr>
                <w:szCs w:val="22"/>
              </w:rPr>
              <w:t xml:space="preserve"> ± </w:t>
            </w:r>
          </w:p>
          <w:p w:rsidR="00514D88" w:rsidRPr="001416ED" w:rsidRDefault="00514D88" w:rsidP="00D80EFD">
            <w:pPr>
              <w:spacing w:line="360" w:lineRule="auto"/>
              <w:rPr>
                <w:szCs w:val="22"/>
                <w:lang w:val="uk-UA"/>
              </w:rPr>
            </w:pPr>
            <w:r w:rsidRPr="001416ED">
              <w:rPr>
                <w:szCs w:val="22"/>
                <w:lang w:val="uk-UA"/>
              </w:rPr>
              <w:t>1,56</w:t>
            </w:r>
          </w:p>
        </w:tc>
        <w:tc>
          <w:tcPr>
            <w:tcW w:w="1690" w:type="dxa"/>
          </w:tcPr>
          <w:p w:rsidR="00514D88" w:rsidRPr="001416ED" w:rsidRDefault="00514D88" w:rsidP="00D80EFD">
            <w:pPr>
              <w:spacing w:line="360" w:lineRule="auto"/>
              <w:rPr>
                <w:szCs w:val="22"/>
              </w:rPr>
            </w:pPr>
            <w:r w:rsidRPr="001416ED">
              <w:rPr>
                <w:szCs w:val="22"/>
                <w:lang w:val="uk-UA"/>
              </w:rPr>
              <w:t>110</w:t>
            </w:r>
            <w:r w:rsidRPr="001416ED">
              <w:rPr>
                <w:szCs w:val="22"/>
              </w:rPr>
              <w:t>,0</w:t>
            </w:r>
            <w:r w:rsidRPr="001416ED">
              <w:rPr>
                <w:szCs w:val="22"/>
                <w:lang w:val="uk-UA"/>
              </w:rPr>
              <w:t>0</w:t>
            </w:r>
            <w:r w:rsidRPr="001416ED">
              <w:rPr>
                <w:szCs w:val="22"/>
              </w:rPr>
              <w:t xml:space="preserve"> ± </w:t>
            </w:r>
          </w:p>
          <w:p w:rsidR="00514D88" w:rsidRPr="001416ED" w:rsidRDefault="00514D88" w:rsidP="00D80EFD">
            <w:pPr>
              <w:spacing w:line="360" w:lineRule="auto"/>
              <w:rPr>
                <w:szCs w:val="22"/>
                <w:lang w:val="uk-UA"/>
              </w:rPr>
            </w:pPr>
            <w:r w:rsidRPr="001416ED">
              <w:rPr>
                <w:szCs w:val="22"/>
                <w:lang w:val="uk-UA"/>
              </w:rPr>
              <w:t>5,00</w:t>
            </w:r>
          </w:p>
        </w:tc>
        <w:tc>
          <w:tcPr>
            <w:tcW w:w="1690" w:type="dxa"/>
          </w:tcPr>
          <w:p w:rsidR="00514D88" w:rsidRPr="001416ED" w:rsidRDefault="00514D88" w:rsidP="00D80EFD">
            <w:pPr>
              <w:spacing w:line="360" w:lineRule="auto"/>
              <w:rPr>
                <w:szCs w:val="22"/>
                <w:lang w:val="en-US"/>
              </w:rPr>
            </w:pPr>
            <w:r w:rsidRPr="001416ED">
              <w:rPr>
                <w:szCs w:val="22"/>
                <w:lang w:val="en-US"/>
              </w:rPr>
              <w:t>10</w:t>
            </w:r>
            <w:r w:rsidRPr="001416ED">
              <w:rPr>
                <w:szCs w:val="22"/>
                <w:lang w:val="uk-UA"/>
              </w:rPr>
              <w:t>4</w:t>
            </w:r>
            <w:r w:rsidRPr="001416ED">
              <w:rPr>
                <w:szCs w:val="22"/>
                <w:lang w:val="en-US"/>
              </w:rPr>
              <w:t>,</w:t>
            </w:r>
            <w:r w:rsidRPr="001416ED">
              <w:rPr>
                <w:szCs w:val="22"/>
                <w:lang w:val="uk-UA"/>
              </w:rPr>
              <w:t>38</w:t>
            </w:r>
            <w:r w:rsidRPr="001416ED">
              <w:rPr>
                <w:szCs w:val="22"/>
              </w:rPr>
              <w:t xml:space="preserve"> ± </w:t>
            </w:r>
          </w:p>
          <w:p w:rsidR="00514D88" w:rsidRPr="001416ED" w:rsidRDefault="00514D88" w:rsidP="00D80EFD">
            <w:pPr>
              <w:spacing w:line="360" w:lineRule="auto"/>
              <w:rPr>
                <w:szCs w:val="22"/>
                <w:lang w:val="uk-UA"/>
              </w:rPr>
            </w:pPr>
            <w:r w:rsidRPr="001416ED">
              <w:rPr>
                <w:szCs w:val="22"/>
                <w:lang w:val="en-US"/>
              </w:rPr>
              <w:t>1,</w:t>
            </w:r>
            <w:r w:rsidRPr="001416ED">
              <w:rPr>
                <w:szCs w:val="22"/>
                <w:lang w:val="uk-UA"/>
              </w:rPr>
              <w:t>99</w:t>
            </w:r>
          </w:p>
        </w:tc>
        <w:tc>
          <w:tcPr>
            <w:tcW w:w="1855" w:type="dxa"/>
          </w:tcPr>
          <w:p w:rsidR="00514D88" w:rsidRPr="001416ED" w:rsidRDefault="00514D88" w:rsidP="00D80EFD">
            <w:pPr>
              <w:spacing w:line="360" w:lineRule="auto"/>
              <w:rPr>
                <w:szCs w:val="22"/>
              </w:rPr>
            </w:pPr>
            <w:r w:rsidRPr="001416ED">
              <w:rPr>
                <w:szCs w:val="22"/>
              </w:rPr>
              <w:t>1</w:t>
            </w:r>
            <w:r w:rsidRPr="001416ED">
              <w:rPr>
                <w:szCs w:val="22"/>
                <w:lang w:val="en-US"/>
              </w:rPr>
              <w:t>1</w:t>
            </w:r>
            <w:r w:rsidRPr="001416ED">
              <w:rPr>
                <w:szCs w:val="22"/>
                <w:lang w:val="uk-UA"/>
              </w:rPr>
              <w:t>1</w:t>
            </w:r>
            <w:r w:rsidRPr="001416ED">
              <w:rPr>
                <w:szCs w:val="22"/>
              </w:rPr>
              <w:t>,</w:t>
            </w:r>
            <w:r w:rsidRPr="001416ED">
              <w:rPr>
                <w:szCs w:val="22"/>
                <w:lang w:val="uk-UA"/>
              </w:rPr>
              <w:t>44</w:t>
            </w:r>
            <w:r w:rsidRPr="001416ED">
              <w:rPr>
                <w:szCs w:val="22"/>
              </w:rPr>
              <w:t xml:space="preserve"> ± </w:t>
            </w:r>
          </w:p>
          <w:p w:rsidR="00514D88" w:rsidRPr="001416ED" w:rsidRDefault="00514D88" w:rsidP="00D80EFD">
            <w:pPr>
              <w:spacing w:line="360" w:lineRule="auto"/>
              <w:rPr>
                <w:szCs w:val="22"/>
                <w:lang w:val="uk-UA"/>
              </w:rPr>
            </w:pPr>
            <w:r w:rsidRPr="001416ED">
              <w:rPr>
                <w:szCs w:val="22"/>
                <w:lang w:val="uk-UA"/>
              </w:rPr>
              <w:t>3</w:t>
            </w:r>
            <w:r w:rsidRPr="001416ED">
              <w:rPr>
                <w:szCs w:val="22"/>
                <w:lang w:val="en-US"/>
              </w:rPr>
              <w:t>,</w:t>
            </w:r>
            <w:r w:rsidRPr="001416ED">
              <w:rPr>
                <w:szCs w:val="22"/>
                <w:lang w:val="uk-UA"/>
              </w:rPr>
              <w:t>01</w:t>
            </w:r>
          </w:p>
        </w:tc>
        <w:tc>
          <w:tcPr>
            <w:tcW w:w="1525" w:type="dxa"/>
          </w:tcPr>
          <w:p w:rsidR="00514D88" w:rsidRPr="001416ED" w:rsidRDefault="00514D88" w:rsidP="00D80EFD">
            <w:pPr>
              <w:spacing w:line="360" w:lineRule="auto"/>
              <w:rPr>
                <w:szCs w:val="22"/>
                <w:lang w:val="uk-UA"/>
              </w:rPr>
            </w:pPr>
            <w:r w:rsidRPr="001416ED">
              <w:rPr>
                <w:szCs w:val="22"/>
              </w:rPr>
              <w:t>р</w:t>
            </w:r>
            <w:r w:rsidRPr="001416ED">
              <w:rPr>
                <w:szCs w:val="22"/>
                <w:vertAlign w:val="subscript"/>
              </w:rPr>
              <w:t>3–1</w:t>
            </w:r>
          </w:p>
          <w:p w:rsidR="00514D88" w:rsidRPr="001416ED" w:rsidRDefault="00514D88" w:rsidP="00D80EFD">
            <w:pPr>
              <w:spacing w:line="360" w:lineRule="auto"/>
              <w:rPr>
                <w:szCs w:val="22"/>
                <w:lang w:val="en-US"/>
              </w:rPr>
            </w:pPr>
          </w:p>
        </w:tc>
      </w:tr>
      <w:tr w:rsidR="00514D88" w:rsidRPr="001416ED" w:rsidTr="00514D88">
        <w:tc>
          <w:tcPr>
            <w:tcW w:w="1689" w:type="dxa"/>
          </w:tcPr>
          <w:p w:rsidR="00514D88" w:rsidRPr="001416ED" w:rsidRDefault="00514D88" w:rsidP="00D80EFD">
            <w:pPr>
              <w:spacing w:line="360" w:lineRule="auto"/>
              <w:rPr>
                <w:szCs w:val="22"/>
                <w:lang w:val="uk-UA"/>
              </w:rPr>
            </w:pPr>
            <w:r w:rsidRPr="001416ED">
              <w:rPr>
                <w:szCs w:val="22"/>
              </w:rPr>
              <w:t xml:space="preserve">ЧСС, </w:t>
            </w:r>
          </w:p>
          <w:p w:rsidR="00514D88" w:rsidRPr="001416ED" w:rsidRDefault="00514D88" w:rsidP="00D80EFD">
            <w:pPr>
              <w:spacing w:line="360" w:lineRule="auto"/>
              <w:rPr>
                <w:szCs w:val="22"/>
              </w:rPr>
            </w:pPr>
            <w:r w:rsidRPr="001416ED">
              <w:rPr>
                <w:szCs w:val="22"/>
              </w:rPr>
              <w:t>за 1 хв.</w:t>
            </w:r>
          </w:p>
        </w:tc>
        <w:tc>
          <w:tcPr>
            <w:tcW w:w="1689" w:type="dxa"/>
          </w:tcPr>
          <w:p w:rsidR="00514D88" w:rsidRPr="001416ED" w:rsidRDefault="00514D88" w:rsidP="00D80EFD">
            <w:pPr>
              <w:spacing w:line="360" w:lineRule="auto"/>
              <w:rPr>
                <w:szCs w:val="22"/>
                <w:lang w:val="uk-UA"/>
              </w:rPr>
            </w:pPr>
            <w:r w:rsidRPr="001416ED">
              <w:rPr>
                <w:szCs w:val="22"/>
                <w:lang w:val="uk-UA"/>
              </w:rPr>
              <w:t>73</w:t>
            </w:r>
            <w:r w:rsidRPr="001416ED">
              <w:rPr>
                <w:szCs w:val="22"/>
              </w:rPr>
              <w:t>,</w:t>
            </w:r>
            <w:r w:rsidRPr="001416ED">
              <w:rPr>
                <w:szCs w:val="22"/>
                <w:lang w:val="uk-UA"/>
              </w:rPr>
              <w:t>17</w:t>
            </w:r>
            <w:r w:rsidRPr="001416ED">
              <w:rPr>
                <w:szCs w:val="22"/>
              </w:rPr>
              <w:t xml:space="preserve"> ± </w:t>
            </w:r>
            <w:r w:rsidRPr="001416ED">
              <w:rPr>
                <w:szCs w:val="22"/>
                <w:lang w:val="uk-UA"/>
              </w:rPr>
              <w:t>2,92</w:t>
            </w:r>
          </w:p>
        </w:tc>
        <w:tc>
          <w:tcPr>
            <w:tcW w:w="1690" w:type="dxa"/>
          </w:tcPr>
          <w:p w:rsidR="00514D88" w:rsidRPr="001416ED" w:rsidRDefault="00514D88" w:rsidP="00D80EFD">
            <w:pPr>
              <w:spacing w:line="360" w:lineRule="auto"/>
              <w:rPr>
                <w:szCs w:val="22"/>
                <w:lang w:val="uk-UA"/>
              </w:rPr>
            </w:pPr>
            <w:r w:rsidRPr="001416ED">
              <w:rPr>
                <w:szCs w:val="22"/>
                <w:lang w:val="uk-UA"/>
              </w:rPr>
              <w:t>93,25</w:t>
            </w:r>
            <w:r w:rsidRPr="001416ED">
              <w:rPr>
                <w:szCs w:val="22"/>
              </w:rPr>
              <w:t xml:space="preserve"> ± </w:t>
            </w:r>
            <w:r w:rsidRPr="001416ED">
              <w:rPr>
                <w:szCs w:val="22"/>
                <w:lang w:val="uk-UA"/>
              </w:rPr>
              <w:t>4,84</w:t>
            </w:r>
          </w:p>
        </w:tc>
        <w:tc>
          <w:tcPr>
            <w:tcW w:w="1690" w:type="dxa"/>
          </w:tcPr>
          <w:p w:rsidR="00514D88" w:rsidRPr="001416ED" w:rsidRDefault="00514D88" w:rsidP="00D80EFD">
            <w:pPr>
              <w:spacing w:line="360" w:lineRule="auto"/>
              <w:rPr>
                <w:szCs w:val="22"/>
                <w:lang w:val="uk-UA"/>
              </w:rPr>
            </w:pPr>
            <w:r w:rsidRPr="001416ED">
              <w:rPr>
                <w:szCs w:val="22"/>
                <w:lang w:val="en-US"/>
              </w:rPr>
              <w:t>7</w:t>
            </w:r>
            <w:r w:rsidRPr="001416ED">
              <w:rPr>
                <w:szCs w:val="22"/>
                <w:lang w:val="uk-UA"/>
              </w:rPr>
              <w:t>5</w:t>
            </w:r>
            <w:r w:rsidRPr="001416ED">
              <w:rPr>
                <w:szCs w:val="22"/>
              </w:rPr>
              <w:t>,</w:t>
            </w:r>
            <w:r w:rsidRPr="001416ED">
              <w:rPr>
                <w:szCs w:val="22"/>
                <w:lang w:val="uk-UA"/>
              </w:rPr>
              <w:t>05</w:t>
            </w:r>
            <w:r w:rsidRPr="001416ED">
              <w:rPr>
                <w:szCs w:val="22"/>
              </w:rPr>
              <w:t xml:space="preserve"> ± </w:t>
            </w:r>
            <w:r w:rsidRPr="001416ED">
              <w:rPr>
                <w:szCs w:val="22"/>
                <w:lang w:val="uk-UA"/>
              </w:rPr>
              <w:t>2,92</w:t>
            </w:r>
          </w:p>
        </w:tc>
        <w:tc>
          <w:tcPr>
            <w:tcW w:w="1855" w:type="dxa"/>
          </w:tcPr>
          <w:p w:rsidR="00514D88" w:rsidRPr="001416ED" w:rsidRDefault="00514D88" w:rsidP="00D80EFD">
            <w:pPr>
              <w:spacing w:line="360" w:lineRule="auto"/>
              <w:rPr>
                <w:szCs w:val="22"/>
                <w:lang w:val="uk-UA"/>
              </w:rPr>
            </w:pPr>
            <w:r w:rsidRPr="001416ED">
              <w:rPr>
                <w:szCs w:val="22"/>
                <w:lang w:val="en-US"/>
              </w:rPr>
              <w:t>9</w:t>
            </w:r>
            <w:r w:rsidRPr="001416ED">
              <w:rPr>
                <w:szCs w:val="22"/>
                <w:lang w:val="uk-UA"/>
              </w:rPr>
              <w:t>6</w:t>
            </w:r>
            <w:r w:rsidRPr="001416ED">
              <w:rPr>
                <w:szCs w:val="22"/>
                <w:lang w:val="en-US"/>
              </w:rPr>
              <w:t>,</w:t>
            </w:r>
            <w:r w:rsidRPr="001416ED">
              <w:rPr>
                <w:szCs w:val="22"/>
                <w:lang w:val="uk-UA"/>
              </w:rPr>
              <w:t>56</w:t>
            </w:r>
            <w:r w:rsidRPr="001416ED">
              <w:rPr>
                <w:szCs w:val="22"/>
              </w:rPr>
              <w:t xml:space="preserve"> ± </w:t>
            </w:r>
            <w:r w:rsidRPr="001416ED">
              <w:rPr>
                <w:szCs w:val="22"/>
                <w:lang w:val="uk-UA"/>
              </w:rPr>
              <w:t>3,04</w:t>
            </w:r>
          </w:p>
        </w:tc>
        <w:tc>
          <w:tcPr>
            <w:tcW w:w="1525" w:type="dxa"/>
          </w:tcPr>
          <w:p w:rsidR="00514D88" w:rsidRPr="001416ED" w:rsidRDefault="00514D88" w:rsidP="00D80EFD">
            <w:pPr>
              <w:spacing w:line="360" w:lineRule="auto"/>
              <w:rPr>
                <w:szCs w:val="22"/>
                <w:lang w:val="uk-UA"/>
              </w:rPr>
            </w:pPr>
            <w:r w:rsidRPr="001416ED">
              <w:rPr>
                <w:szCs w:val="22"/>
              </w:rPr>
              <w:t>р</w:t>
            </w:r>
            <w:r w:rsidRPr="001416ED">
              <w:rPr>
                <w:szCs w:val="22"/>
                <w:vertAlign w:val="subscript"/>
              </w:rPr>
              <w:t>2–1</w:t>
            </w:r>
            <w:r w:rsidRPr="001416ED">
              <w:rPr>
                <w:szCs w:val="22"/>
                <w:vertAlign w:val="subscript"/>
                <w:lang w:val="uk-UA"/>
              </w:rPr>
              <w:t>,</w:t>
            </w:r>
            <w:r w:rsidRPr="001416ED">
              <w:rPr>
                <w:szCs w:val="22"/>
              </w:rPr>
              <w:t>р</w:t>
            </w:r>
            <w:r w:rsidRPr="001416ED">
              <w:rPr>
                <w:szCs w:val="22"/>
                <w:vertAlign w:val="subscript"/>
              </w:rPr>
              <w:t>4–3</w:t>
            </w:r>
          </w:p>
        </w:tc>
      </w:tr>
    </w:tbl>
    <w:p w:rsidR="00E34C7E" w:rsidRPr="001416ED" w:rsidRDefault="00691EBC" w:rsidP="00691EBC">
      <w:pPr>
        <w:spacing w:before="240" w:line="360" w:lineRule="auto"/>
        <w:ind w:firstLine="709"/>
        <w:jc w:val="both"/>
        <w:rPr>
          <w:lang w:val="uk-UA"/>
        </w:rPr>
      </w:pPr>
      <w:r w:rsidRPr="001416ED">
        <w:rPr>
          <w:lang w:val="uk-UA"/>
        </w:rPr>
        <w:t>У чоловіків з ФВ</w:t>
      </w:r>
      <w:r w:rsidR="000C04AA" w:rsidRPr="001416ED">
        <w:rPr>
          <w:lang w:val="uk-UA"/>
        </w:rPr>
        <w:t xml:space="preserve"> ˂ </w:t>
      </w:r>
      <w:r w:rsidRPr="001416ED">
        <w:rPr>
          <w:lang w:val="uk-UA"/>
        </w:rPr>
        <w:t>45</w:t>
      </w:r>
      <w:r w:rsidR="00D4219F" w:rsidRPr="001416ED">
        <w:rPr>
          <w:lang w:val="uk-UA"/>
        </w:rPr>
        <w:t xml:space="preserve"> %</w:t>
      </w:r>
      <w:r w:rsidRPr="001416ED">
        <w:rPr>
          <w:lang w:val="uk-UA"/>
        </w:rPr>
        <w:t xml:space="preserve"> при носійстві будь</w:t>
      </w:r>
      <w:r w:rsidR="00BC0119" w:rsidRPr="001416ED">
        <w:rPr>
          <w:lang w:val="uk-UA"/>
        </w:rPr>
        <w:t>–</w:t>
      </w:r>
      <w:r w:rsidRPr="001416ED">
        <w:rPr>
          <w:lang w:val="uk-UA"/>
        </w:rPr>
        <w:t xml:space="preserve">якого </w:t>
      </w:r>
      <w:r w:rsidR="00E6164F">
        <w:rPr>
          <w:lang w:val="uk-UA"/>
        </w:rPr>
        <w:t>поліморфного варіанту гена</w:t>
      </w:r>
      <w:r w:rsidRPr="001416ED">
        <w:rPr>
          <w:lang w:val="uk-UA"/>
        </w:rPr>
        <w:t xml:space="preserve"> ЕТ</w:t>
      </w:r>
      <w:r w:rsidR="00BC0119" w:rsidRPr="001416ED">
        <w:rPr>
          <w:lang w:val="uk-UA"/>
        </w:rPr>
        <w:t>–</w:t>
      </w:r>
      <w:r w:rsidR="00AD3360" w:rsidRPr="001416ED">
        <w:rPr>
          <w:lang w:val="uk-UA"/>
        </w:rPr>
        <w:t>1 показники, іММЛШ,</w:t>
      </w:r>
      <w:r w:rsidR="0068182F" w:rsidRPr="001416ED">
        <w:rPr>
          <w:lang w:val="uk-UA"/>
        </w:rPr>
        <w:t xml:space="preserve"> іКДО, іКСО</w:t>
      </w:r>
      <w:r w:rsidRPr="001416ED">
        <w:rPr>
          <w:lang w:val="uk-UA"/>
        </w:rPr>
        <w:t xml:space="preserve">, СІ, розміру ЛП, </w:t>
      </w:r>
      <w:r w:rsidRPr="001416ED">
        <w:rPr>
          <w:lang w:val="en-US"/>
        </w:rPr>
        <w:t>DT</w:t>
      </w:r>
      <w:r w:rsidRPr="001416ED">
        <w:rPr>
          <w:lang w:val="uk-UA"/>
        </w:rPr>
        <w:t>, вірогідно вищі, а ФВ нижча,</w:t>
      </w:r>
      <w:r w:rsidR="00A23D96" w:rsidRPr="001416ED">
        <w:rPr>
          <w:lang w:val="uk-UA"/>
        </w:rPr>
        <w:t xml:space="preserve"> </w:t>
      </w:r>
      <w:r w:rsidRPr="001416ED">
        <w:rPr>
          <w:lang w:val="uk-UA"/>
        </w:rPr>
        <w:t xml:space="preserve">ніж у осіб зі </w:t>
      </w:r>
      <w:r w:rsidR="00E71158" w:rsidRPr="001416ED">
        <w:rPr>
          <w:lang w:val="uk-UA"/>
        </w:rPr>
        <w:t xml:space="preserve">ФВ &gt; 45 % </w:t>
      </w:r>
      <w:r w:rsidRPr="001416ED">
        <w:rPr>
          <w:lang w:val="uk-UA"/>
        </w:rPr>
        <w:t xml:space="preserve">при носійстві аналогічного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При цьому у носіїв алелі </w:t>
      </w:r>
      <w:r w:rsidRPr="001416ED">
        <w:rPr>
          <w:lang w:val="en-US"/>
        </w:rPr>
        <w:t>Asn</w:t>
      </w:r>
      <w:r w:rsidRPr="001416ED">
        <w:rPr>
          <w:lang w:val="uk-UA"/>
        </w:rPr>
        <w:t xml:space="preserve"> усі вищезгадані показники були гірш</w:t>
      </w:r>
      <w:r w:rsidR="00A23D96" w:rsidRPr="001416ED">
        <w:rPr>
          <w:lang w:val="uk-UA"/>
        </w:rPr>
        <w:t>ими</w:t>
      </w:r>
      <w:r w:rsidRPr="001416ED">
        <w:rPr>
          <w:lang w:val="uk-UA"/>
        </w:rPr>
        <w:t xml:space="preserve">, ніж при носійстві генотипу </w:t>
      </w:r>
      <w:r w:rsidRPr="001416ED">
        <w:rPr>
          <w:lang w:val="en-US"/>
        </w:rPr>
        <w:t>Lys</w:t>
      </w:r>
      <w:r w:rsidRPr="001416ED">
        <w:rPr>
          <w:lang w:val="uk-UA"/>
        </w:rPr>
        <w:t>/</w:t>
      </w:r>
      <w:r w:rsidRPr="001416ED">
        <w:rPr>
          <w:lang w:val="en-US"/>
        </w:rPr>
        <w:t>Lys</w:t>
      </w:r>
      <w:r w:rsidRPr="001416ED">
        <w:rPr>
          <w:lang w:val="uk-UA"/>
        </w:rPr>
        <w:t xml:space="preserve"> гена ЕТ</w:t>
      </w:r>
      <w:r w:rsidR="00BC0119" w:rsidRPr="001416ED">
        <w:rPr>
          <w:lang w:val="uk-UA"/>
        </w:rPr>
        <w:t>–</w:t>
      </w:r>
      <w:r w:rsidRPr="001416ED">
        <w:rPr>
          <w:lang w:val="uk-UA"/>
        </w:rPr>
        <w:t>1 при усіх варіантах ФВ ЛШ. У чоловіків з ФВ</w:t>
      </w:r>
      <w:r w:rsidR="000C04AA" w:rsidRPr="001416ED">
        <w:rPr>
          <w:lang w:val="uk-UA"/>
        </w:rPr>
        <w:t xml:space="preserve"> ˂ </w:t>
      </w:r>
      <w:r w:rsidRPr="001416ED">
        <w:rPr>
          <w:lang w:val="uk-UA"/>
        </w:rPr>
        <w:t>45</w:t>
      </w:r>
      <w:r w:rsidR="00D4219F" w:rsidRPr="001416ED">
        <w:rPr>
          <w:lang w:val="uk-UA"/>
        </w:rPr>
        <w:t xml:space="preserve"> %</w:t>
      </w:r>
      <w:r w:rsidRPr="001416ED">
        <w:rPr>
          <w:lang w:val="uk-UA"/>
        </w:rPr>
        <w:t xml:space="preserve"> </w:t>
      </w:r>
      <w:r w:rsidR="00BC0119" w:rsidRPr="001416ED">
        <w:rPr>
          <w:lang w:val="uk-UA"/>
        </w:rPr>
        <w:t>–</w:t>
      </w:r>
      <w:r w:rsidRPr="001416ED">
        <w:rPr>
          <w:lang w:val="uk-UA"/>
        </w:rPr>
        <w:t xml:space="preserve"> володарів як генотипу </w:t>
      </w:r>
      <w:r w:rsidRPr="001416ED">
        <w:rPr>
          <w:lang w:val="en-US"/>
        </w:rPr>
        <w:t>Lys</w:t>
      </w:r>
      <w:r w:rsidRPr="001416ED">
        <w:rPr>
          <w:lang w:val="uk-UA"/>
        </w:rPr>
        <w:t>/</w:t>
      </w:r>
      <w:r w:rsidRPr="001416ED">
        <w:rPr>
          <w:lang w:val="en-US"/>
        </w:rPr>
        <w:t>Lys</w:t>
      </w:r>
      <w:r w:rsidRPr="001416ED">
        <w:rPr>
          <w:lang w:val="uk-UA"/>
        </w:rPr>
        <w:t xml:space="preserve"> так і алелі </w:t>
      </w:r>
      <w:r w:rsidRPr="001416ED">
        <w:rPr>
          <w:lang w:val="en-US"/>
        </w:rPr>
        <w:t>Asn</w:t>
      </w:r>
      <w:r w:rsidRPr="001416ED">
        <w:rPr>
          <w:lang w:val="uk-UA"/>
        </w:rPr>
        <w:t xml:space="preserve">, </w:t>
      </w:r>
      <w:r w:rsidR="0009648E" w:rsidRPr="001416ED">
        <w:rPr>
          <w:lang w:val="uk-UA"/>
        </w:rPr>
        <w:t>загальний периферичний судинний опір (</w:t>
      </w:r>
      <w:r w:rsidRPr="001416ED">
        <w:rPr>
          <w:lang w:val="uk-UA"/>
        </w:rPr>
        <w:t>ЗПСО</w:t>
      </w:r>
      <w:r w:rsidR="0009648E" w:rsidRPr="001416ED">
        <w:rPr>
          <w:lang w:val="uk-UA"/>
        </w:rPr>
        <w:t>)</w:t>
      </w:r>
      <w:r w:rsidRPr="001416ED">
        <w:rPr>
          <w:lang w:val="uk-UA"/>
        </w:rPr>
        <w:t xml:space="preserve"> виявився вищим, ні</w:t>
      </w:r>
      <w:r w:rsidR="00A23D96" w:rsidRPr="001416ED">
        <w:rPr>
          <w:lang w:val="uk-UA"/>
        </w:rPr>
        <w:t>ж у осіб з ФВ</w:t>
      </w:r>
      <w:r w:rsidR="000C04AA" w:rsidRPr="001416ED">
        <w:rPr>
          <w:lang w:val="uk-UA"/>
        </w:rPr>
        <w:t xml:space="preserve"> ˃ </w:t>
      </w:r>
      <w:r w:rsidR="00A23D96" w:rsidRPr="001416ED">
        <w:rPr>
          <w:lang w:val="uk-UA"/>
        </w:rPr>
        <w:t>45</w:t>
      </w:r>
      <w:r w:rsidR="00D4219F" w:rsidRPr="001416ED">
        <w:rPr>
          <w:lang w:val="uk-UA"/>
        </w:rPr>
        <w:t xml:space="preserve"> %</w:t>
      </w:r>
      <w:r w:rsidR="00A23D96" w:rsidRPr="001416ED">
        <w:rPr>
          <w:lang w:val="uk-UA"/>
        </w:rPr>
        <w:t xml:space="preserve"> при носійстві</w:t>
      </w:r>
      <w:r w:rsidRPr="001416ED">
        <w:rPr>
          <w:lang w:val="uk-UA"/>
        </w:rPr>
        <w:t xml:space="preserve"> тих самих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Рівень САТ та ЧСС вірогідно вищий у носії</w:t>
      </w:r>
      <w:r w:rsidR="00A23D96" w:rsidRPr="001416ED">
        <w:rPr>
          <w:lang w:val="uk-UA"/>
        </w:rPr>
        <w:t>в</w:t>
      </w:r>
      <w:r w:rsidRPr="001416ED">
        <w:rPr>
          <w:lang w:val="uk-UA"/>
        </w:rPr>
        <w:t xml:space="preserve"> алелі </w:t>
      </w:r>
      <w:r w:rsidRPr="001416ED">
        <w:rPr>
          <w:lang w:val="en-US"/>
        </w:rPr>
        <w:t>Asn</w:t>
      </w:r>
      <w:r w:rsidRPr="001416ED">
        <w:rPr>
          <w:lang w:val="uk-UA"/>
        </w:rPr>
        <w:t xml:space="preserve">, ніж генотипу </w:t>
      </w:r>
      <w:r w:rsidRPr="001416ED">
        <w:rPr>
          <w:lang w:val="en-US"/>
        </w:rPr>
        <w:t>Lys</w:t>
      </w:r>
      <w:r w:rsidRPr="001416ED">
        <w:rPr>
          <w:lang w:val="uk-UA"/>
        </w:rPr>
        <w:t>/</w:t>
      </w:r>
      <w:r w:rsidRPr="001416ED">
        <w:rPr>
          <w:lang w:val="en-US"/>
        </w:rPr>
        <w:t>Lys</w:t>
      </w:r>
      <w:r w:rsidRPr="001416ED">
        <w:rPr>
          <w:lang w:val="uk-UA"/>
        </w:rPr>
        <w:t xml:space="preserve"> в кожній групі дослідження, проте немає достовірної різниці у цих показниках при різній систолічній функції ЛШ. Рівень ДАТ виявився більшим у чоловіків з</w:t>
      </w:r>
      <w:r w:rsidR="00983811" w:rsidRPr="001416ED">
        <w:rPr>
          <w:lang w:val="uk-UA"/>
        </w:rPr>
        <w:t xml:space="preserve"> </w:t>
      </w:r>
      <w:r w:rsidRPr="001416ED">
        <w:rPr>
          <w:lang w:val="uk-UA"/>
        </w:rPr>
        <w:t>ФВ</w:t>
      </w:r>
      <w:r w:rsidR="00983811" w:rsidRPr="001416ED">
        <w:rPr>
          <w:lang w:val="uk-UA"/>
        </w:rPr>
        <w:t xml:space="preserve"> &lt; 45 %</w:t>
      </w:r>
      <w:r w:rsidRPr="001416ED">
        <w:rPr>
          <w:lang w:val="uk-UA"/>
        </w:rPr>
        <w:t xml:space="preserve"> </w:t>
      </w:r>
      <w:r w:rsidR="00BC0119" w:rsidRPr="001416ED">
        <w:rPr>
          <w:lang w:val="uk-UA"/>
        </w:rPr>
        <w:t>–</w:t>
      </w:r>
      <w:r w:rsidRPr="001416ED">
        <w:rPr>
          <w:lang w:val="uk-UA"/>
        </w:rPr>
        <w:t xml:space="preserve"> носіїв генотипу </w:t>
      </w:r>
      <w:r w:rsidRPr="001416ED">
        <w:rPr>
          <w:lang w:val="en-US"/>
        </w:rPr>
        <w:t>Lys</w:t>
      </w:r>
      <w:r w:rsidRPr="001416ED">
        <w:rPr>
          <w:lang w:val="uk-UA"/>
        </w:rPr>
        <w:t>/</w:t>
      </w:r>
      <w:r w:rsidRPr="001416ED">
        <w:rPr>
          <w:lang w:val="en-US"/>
        </w:rPr>
        <w:t>Lys</w:t>
      </w:r>
      <w:r w:rsidR="00554199" w:rsidRPr="001416ED">
        <w:rPr>
          <w:lang w:val="uk-UA"/>
        </w:rPr>
        <w:t>, ніж у чолов</w:t>
      </w:r>
      <w:r w:rsidR="00BB77CC" w:rsidRPr="001416ED">
        <w:rPr>
          <w:lang w:val="uk-UA"/>
        </w:rPr>
        <w:t>і</w:t>
      </w:r>
      <w:r w:rsidR="00554199" w:rsidRPr="001416ED">
        <w:rPr>
          <w:lang w:val="uk-UA"/>
        </w:rPr>
        <w:t xml:space="preserve">ків зі </w:t>
      </w:r>
      <w:r w:rsidR="00E71158" w:rsidRPr="001416ED">
        <w:rPr>
          <w:lang w:val="uk-UA"/>
        </w:rPr>
        <w:t>ФВ</w:t>
      </w:r>
      <w:r w:rsidR="00554199" w:rsidRPr="001416ED">
        <w:rPr>
          <w:lang w:val="uk-UA"/>
        </w:rPr>
        <w:t xml:space="preserve"> </w:t>
      </w:r>
      <w:r w:rsidR="00E71158" w:rsidRPr="001416ED">
        <w:rPr>
          <w:lang w:val="uk-UA"/>
        </w:rPr>
        <w:t>˃ 45 %</w:t>
      </w:r>
      <w:r w:rsidR="00554199" w:rsidRPr="001416ED">
        <w:rPr>
          <w:lang w:val="uk-UA"/>
        </w:rPr>
        <w:t>, пр</w:t>
      </w:r>
      <w:r w:rsidR="00A23D96" w:rsidRPr="001416ED">
        <w:rPr>
          <w:lang w:val="uk-UA"/>
        </w:rPr>
        <w:t>и</w:t>
      </w:r>
      <w:r w:rsidR="00554199" w:rsidRPr="001416ED">
        <w:rPr>
          <w:lang w:val="uk-UA"/>
        </w:rPr>
        <w:t xml:space="preserve"> носійств</w:t>
      </w:r>
      <w:r w:rsidR="00A23D96" w:rsidRPr="001416ED">
        <w:rPr>
          <w:lang w:val="uk-UA"/>
        </w:rPr>
        <w:t>і</w:t>
      </w:r>
      <w:r w:rsidR="00554199" w:rsidRPr="001416ED">
        <w:rPr>
          <w:lang w:val="uk-UA"/>
        </w:rPr>
        <w:t xml:space="preserve"> того ж </w:t>
      </w:r>
      <w:r w:rsidR="00E6164F">
        <w:rPr>
          <w:lang w:val="uk-UA"/>
        </w:rPr>
        <w:t>поліморфного варіанту гена</w:t>
      </w:r>
      <w:r w:rsidR="00554199" w:rsidRPr="001416ED">
        <w:rPr>
          <w:lang w:val="uk-UA"/>
        </w:rPr>
        <w:t xml:space="preserve"> ЕТ</w:t>
      </w:r>
      <w:r w:rsidR="00BC0119" w:rsidRPr="001416ED">
        <w:rPr>
          <w:lang w:val="uk-UA"/>
        </w:rPr>
        <w:t>–</w:t>
      </w:r>
      <w:r w:rsidR="00554199" w:rsidRPr="001416ED">
        <w:rPr>
          <w:lang w:val="uk-UA"/>
        </w:rPr>
        <w:t>1.</w:t>
      </w:r>
      <w:r w:rsidR="00BF5D94" w:rsidRPr="001416ED">
        <w:rPr>
          <w:lang w:val="uk-UA"/>
        </w:rPr>
        <w:t xml:space="preserve"> Слід відмітити, що різниці у показниках КДР, КСР, ТЗСЛШ, ТМШП, ВТС, </w:t>
      </w:r>
      <w:r w:rsidR="00BF5D94" w:rsidRPr="001416ED">
        <w:rPr>
          <w:lang w:val="uk-UA"/>
        </w:rPr>
        <w:lastRenderedPageBreak/>
        <w:t xml:space="preserve">УІ, </w:t>
      </w:r>
      <w:r w:rsidR="00BF5D94" w:rsidRPr="001416ED">
        <w:rPr>
          <w:lang w:val="en-US"/>
        </w:rPr>
        <w:t>S</w:t>
      </w:r>
      <w:r w:rsidR="00BF5D94" w:rsidRPr="001416ED">
        <w:rPr>
          <w:lang w:val="uk-UA"/>
        </w:rPr>
        <w:t xml:space="preserve">, ППСО, Е/А, </w:t>
      </w:r>
      <w:r w:rsidR="00BF5D94" w:rsidRPr="001416ED">
        <w:rPr>
          <w:lang w:val="en-US"/>
        </w:rPr>
        <w:t>IVRT</w:t>
      </w:r>
      <w:r w:rsidR="00BF5D94" w:rsidRPr="001416ED">
        <w:rPr>
          <w:lang w:val="uk-UA"/>
        </w:rPr>
        <w:t xml:space="preserve"> між пацієнтами – носіями </w:t>
      </w:r>
      <w:r w:rsidR="00E6164F">
        <w:rPr>
          <w:lang w:val="uk-UA"/>
        </w:rPr>
        <w:t>поліморфних варіантів гена ЕТ–1</w:t>
      </w:r>
      <w:r w:rsidR="00BF5D94" w:rsidRPr="001416ED">
        <w:rPr>
          <w:lang w:val="uk-UA"/>
        </w:rPr>
        <w:t xml:space="preserve"> та різній ФВ не встановлено.</w:t>
      </w:r>
    </w:p>
    <w:p w:rsidR="00BF5D94" w:rsidRPr="001416ED" w:rsidRDefault="00BF5D94" w:rsidP="00BF5D94">
      <w:pPr>
        <w:spacing w:line="360" w:lineRule="auto"/>
        <w:ind w:firstLine="709"/>
        <w:jc w:val="both"/>
        <w:rPr>
          <w:lang w:val="uk-UA"/>
        </w:rPr>
      </w:pPr>
      <w:r w:rsidRPr="001416ED">
        <w:rPr>
          <w:lang w:val="uk-UA"/>
        </w:rPr>
        <w:t>Отримані результати демонструють, що більш</w:t>
      </w:r>
      <w:r w:rsidR="00674575" w:rsidRPr="001416ED">
        <w:rPr>
          <w:lang w:val="uk-UA"/>
        </w:rPr>
        <w:t xml:space="preserve"> виражені зміни </w:t>
      </w:r>
      <w:r w:rsidRPr="001416ED">
        <w:rPr>
          <w:lang w:val="uk-UA"/>
        </w:rPr>
        <w:t xml:space="preserve">показників серцевої та системної гемодинаміки у пацієнтів з </w:t>
      </w:r>
      <w:r w:rsidR="00674575" w:rsidRPr="001416ED">
        <w:rPr>
          <w:lang w:val="uk-UA"/>
        </w:rPr>
        <w:t>ФВ &lt; 45 %, а серед них</w:t>
      </w:r>
      <w:r w:rsidRPr="001416ED">
        <w:rPr>
          <w:lang w:val="uk-UA"/>
        </w:rPr>
        <w:t xml:space="preserve"> </w:t>
      </w:r>
      <w:r w:rsidR="00674575" w:rsidRPr="001416ED">
        <w:rPr>
          <w:lang w:val="uk-UA"/>
        </w:rPr>
        <w:t>-</w:t>
      </w:r>
      <w:r w:rsidRPr="001416ED">
        <w:rPr>
          <w:lang w:val="uk-UA"/>
        </w:rPr>
        <w:t xml:space="preserve">володарі алелі </w:t>
      </w:r>
      <w:r w:rsidRPr="001416ED">
        <w:rPr>
          <w:lang w:val="en-US"/>
        </w:rPr>
        <w:t>Asn</w:t>
      </w:r>
      <w:r w:rsidRPr="001416ED">
        <w:rPr>
          <w:lang w:val="uk-UA"/>
        </w:rPr>
        <w:t xml:space="preserve">, що може вказувати на негативний прогноз носійства алелі </w:t>
      </w:r>
      <w:r w:rsidRPr="001416ED">
        <w:rPr>
          <w:lang w:val="en-US"/>
        </w:rPr>
        <w:t>Asn</w:t>
      </w:r>
      <w:r w:rsidRPr="001416ED">
        <w:rPr>
          <w:lang w:val="uk-UA"/>
        </w:rPr>
        <w:t xml:space="preserve"> у чоловіків з ХСН </w:t>
      </w:r>
      <w:r w:rsidR="004A4E68" w:rsidRPr="001416ED">
        <w:rPr>
          <w:lang w:val="uk-UA"/>
        </w:rPr>
        <w:t>ІІ А</w:t>
      </w:r>
      <w:r w:rsidRPr="001416ED">
        <w:rPr>
          <w:lang w:val="uk-UA"/>
        </w:rPr>
        <w:t xml:space="preserve"> ст., що розвинулась на тлі </w:t>
      </w:r>
      <w:r w:rsidR="00A00896" w:rsidRPr="001416ED">
        <w:rPr>
          <w:lang w:val="uk-UA"/>
        </w:rPr>
        <w:t>ГХ</w:t>
      </w:r>
      <w:r w:rsidRPr="001416ED">
        <w:rPr>
          <w:lang w:val="uk-UA"/>
        </w:rPr>
        <w:t>.</w:t>
      </w:r>
    </w:p>
    <w:p w:rsidR="007A6387" w:rsidRPr="001416ED" w:rsidRDefault="007A6387" w:rsidP="008F0D3A">
      <w:pPr>
        <w:spacing w:line="360" w:lineRule="auto"/>
        <w:ind w:firstLine="709"/>
        <w:jc w:val="both"/>
        <w:rPr>
          <w:lang w:val="uk-UA"/>
        </w:rPr>
      </w:pPr>
      <w:r w:rsidRPr="001416ED">
        <w:rPr>
          <w:lang w:val="uk-UA"/>
        </w:rPr>
        <w:t xml:space="preserve">Наступним кроком став аналіз </w:t>
      </w:r>
      <w:r w:rsidR="002B4275">
        <w:rPr>
          <w:lang w:val="uk-UA"/>
        </w:rPr>
        <w:t>типів</w:t>
      </w:r>
      <w:r w:rsidRPr="001416ED">
        <w:rPr>
          <w:lang w:val="uk-UA"/>
        </w:rPr>
        <w:t xml:space="preserve"> ГЛШ у чоловіків з </w:t>
      </w:r>
      <w:r w:rsidR="00A63A7A" w:rsidRPr="001416ED">
        <w:rPr>
          <w:lang w:val="uk-UA"/>
        </w:rPr>
        <w:t>ГХ ІІІ ст</w:t>
      </w:r>
      <w:r w:rsidR="00674575" w:rsidRPr="001416ED">
        <w:rPr>
          <w:lang w:val="uk-UA"/>
        </w:rPr>
        <w:t>.</w:t>
      </w:r>
      <w:r w:rsidR="00AD3360" w:rsidRPr="001416ED">
        <w:rPr>
          <w:lang w:val="uk-UA"/>
        </w:rPr>
        <w:t xml:space="preserve"> </w:t>
      </w:r>
      <w:r w:rsidRPr="001416ED">
        <w:rPr>
          <w:lang w:val="uk-UA"/>
        </w:rPr>
        <w:t xml:space="preserve">при носійстві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1 (рис. 5.</w:t>
      </w:r>
      <w:r w:rsidR="00A00896" w:rsidRPr="001416ED">
        <w:rPr>
          <w:lang w:val="uk-UA"/>
        </w:rPr>
        <w:t>2</w:t>
      </w:r>
      <w:r w:rsidRPr="001416ED">
        <w:rPr>
          <w:lang w:val="uk-UA"/>
        </w:rPr>
        <w:t>)</w:t>
      </w:r>
    </w:p>
    <w:p w:rsidR="00EF44EC" w:rsidRPr="001416ED" w:rsidRDefault="00A9327B" w:rsidP="00EF44EC">
      <w:pPr>
        <w:spacing w:before="240" w:line="360" w:lineRule="auto"/>
        <w:ind w:firstLine="709"/>
        <w:jc w:val="both"/>
        <w:rPr>
          <w:lang w:val="uk-UA"/>
        </w:rPr>
      </w:pPr>
      <w:r>
        <w:rPr>
          <w:noProof/>
          <w:lang w:val="uk-UA" w:eastAsia="uk-UA"/>
        </w:rPr>
        <w:pict>
          <v:rect id="Прямоугольник 27" o:spid="_x0000_s1036" style="position:absolute;left:0;text-align:left;margin-left:258.15pt;margin-top:13.1pt;width:19.9pt;height:19.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" filled="f" stroked="f" strokeweight="2pt">
            <v:textbox style="mso-next-textbox:#Прямоугольник 27">
              <w:txbxContent>
                <w:p w:rsidR="00A9327B" w:rsidRPr="004B7DD0" w:rsidRDefault="00A9327B" w:rsidP="004B7DD0">
                  <w:pPr>
                    <w:jc w:val="center"/>
                    <w:rPr>
                      <w:color w:val="000000" w:themeColor="text1"/>
                      <w:sz w:val="22"/>
                      <w:szCs w:val="22"/>
                      <w:lang w:val="en-US"/>
                    </w:rPr>
                  </w:pPr>
                  <w:r w:rsidRPr="004B7DD0">
                    <w:rPr>
                      <w:color w:val="000000" w:themeColor="text1"/>
                      <w:sz w:val="22"/>
                      <w:szCs w:val="22"/>
                      <w:lang w:val="en-US"/>
                    </w:rPr>
                    <w:t>#</w:t>
                  </w:r>
                </w:p>
              </w:txbxContent>
            </v:textbox>
          </v:rect>
        </w:pict>
      </w:r>
      <w:r w:rsidR="00464042" w:rsidRPr="001416ED">
        <w:rPr>
          <w:noProof/>
          <w:lang w:val="uk-UA" w:eastAsia="uk-UA"/>
        </w:rPr>
        <w:drawing>
          <wp:inline distT="0" distB="0" distL="0" distR="0" wp14:anchorId="0BC86088" wp14:editId="212BE825">
            <wp:extent cx="4981433" cy="149443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A6598" w:rsidRPr="001416ED" w:rsidRDefault="00EA6598" w:rsidP="00EA6598">
      <w:pPr>
        <w:spacing w:before="100" w:line="360" w:lineRule="auto"/>
        <w:ind w:firstLine="708"/>
        <w:jc w:val="both"/>
        <w:rPr>
          <w:b/>
          <w:lang w:val="uk-UA"/>
        </w:rPr>
      </w:pPr>
      <w:r w:rsidRPr="001416ED">
        <w:rPr>
          <w:rFonts w:eastAsia="MS Mincho"/>
          <w:b/>
          <w:lang w:val="uk-UA" w:eastAsia="ja-JP"/>
        </w:rPr>
        <w:t>Рис. 5.</w:t>
      </w:r>
      <w:r w:rsidR="00A00896" w:rsidRPr="001416ED">
        <w:rPr>
          <w:rFonts w:eastAsia="MS Mincho"/>
          <w:b/>
          <w:lang w:val="uk-UA" w:eastAsia="ja-JP"/>
        </w:rPr>
        <w:t>2</w:t>
      </w:r>
      <w:r w:rsidR="007A6387" w:rsidRPr="001416ED">
        <w:rPr>
          <w:rFonts w:eastAsia="MS Mincho"/>
          <w:b/>
          <w:lang w:val="uk-UA" w:eastAsia="ja-JP"/>
        </w:rPr>
        <w:t>.</w:t>
      </w:r>
      <w:r w:rsidRPr="001416ED">
        <w:rPr>
          <w:rFonts w:eastAsia="MS Mincho"/>
          <w:lang w:val="uk-UA" w:eastAsia="ja-JP"/>
        </w:rPr>
        <w:t xml:space="preserve"> </w:t>
      </w:r>
      <w:r w:rsidRPr="001416ED">
        <w:rPr>
          <w:rFonts w:eastAsia="MS Mincho"/>
          <w:b/>
          <w:lang w:val="uk-UA" w:eastAsia="ja-JP"/>
        </w:rPr>
        <w:t xml:space="preserve">Типи </w:t>
      </w:r>
      <w:r w:rsidR="007A6387" w:rsidRPr="001416ED">
        <w:rPr>
          <w:rFonts w:eastAsia="MS Mincho"/>
          <w:b/>
          <w:lang w:val="uk-UA" w:eastAsia="ja-JP"/>
        </w:rPr>
        <w:t>Г</w:t>
      </w:r>
      <w:r w:rsidRPr="001416ED">
        <w:rPr>
          <w:rFonts w:eastAsia="MS Mincho"/>
          <w:b/>
          <w:lang w:val="uk-UA" w:eastAsia="ja-JP"/>
        </w:rPr>
        <w:t>ЛШ</w:t>
      </w:r>
      <w:r w:rsidRPr="001416ED">
        <w:rPr>
          <w:b/>
          <w:lang w:val="uk-UA"/>
        </w:rPr>
        <w:t xml:space="preserve"> у чоловіків з </w:t>
      </w:r>
      <w:r w:rsidR="00C34030" w:rsidRPr="001416ED">
        <w:rPr>
          <w:b/>
          <w:lang w:val="uk-UA"/>
        </w:rPr>
        <w:t xml:space="preserve">ГХ ІІІ ст. </w:t>
      </w:r>
      <w:r w:rsidRPr="001416ED">
        <w:rPr>
          <w:b/>
          <w:lang w:val="uk-UA"/>
        </w:rPr>
        <w:t xml:space="preserve">– носіїв </w:t>
      </w:r>
      <w:r w:rsidR="00E6164F">
        <w:rPr>
          <w:b/>
          <w:lang w:val="uk-UA"/>
        </w:rPr>
        <w:t>поліморфних варіантів гена ЕТ–1</w:t>
      </w:r>
      <w:r w:rsidRPr="001416ED">
        <w:rPr>
          <w:b/>
          <w:lang w:val="uk-UA"/>
        </w:rPr>
        <w:t>, (</w:t>
      </w:r>
      <w:r w:rsidR="00D4219F" w:rsidRPr="001416ED">
        <w:rPr>
          <w:b/>
          <w:lang w:val="uk-UA"/>
        </w:rPr>
        <w:t>%</w:t>
      </w:r>
      <w:r w:rsidRPr="001416ED">
        <w:rPr>
          <w:b/>
          <w:lang w:val="uk-UA"/>
        </w:rPr>
        <w:t>)</w:t>
      </w:r>
    </w:p>
    <w:p w:rsidR="00CA4BA8" w:rsidRPr="001416ED" w:rsidRDefault="00CA4BA8" w:rsidP="00D62CF6">
      <w:pPr>
        <w:spacing w:line="360" w:lineRule="auto"/>
        <w:ind w:firstLine="708"/>
        <w:jc w:val="both"/>
        <w:rPr>
          <w:lang w:val="uk-UA"/>
        </w:rPr>
      </w:pPr>
      <w:r w:rsidRPr="001416ED">
        <w:rPr>
          <w:lang w:val="uk-UA"/>
        </w:rPr>
        <w:t xml:space="preserve">Примітка: різниця достовірна * </w:t>
      </w:r>
      <w:r w:rsidR="00BC0119" w:rsidRPr="001416ED">
        <w:rPr>
          <w:lang w:val="uk-UA"/>
        </w:rPr>
        <w:t>–</w:t>
      </w:r>
      <w:r w:rsidRPr="001416ED">
        <w:rPr>
          <w:lang w:val="uk-UA"/>
        </w:rPr>
        <w:t xml:space="preserve"> при порівнянні з ПГЛШ </w:t>
      </w:r>
      <w:r w:rsidR="004B7DD0" w:rsidRPr="001416ED">
        <w:rPr>
          <w:lang w:val="uk-UA"/>
        </w:rPr>
        <w:t>(р</w:t>
      </w:r>
      <w:r w:rsidR="00674575" w:rsidRPr="001416ED">
        <w:rPr>
          <w:lang w:val="uk-UA"/>
        </w:rPr>
        <w:t>˂</w:t>
      </w:r>
      <w:r w:rsidR="004B7DD0" w:rsidRPr="001416ED">
        <w:rPr>
          <w:lang w:val="uk-UA"/>
        </w:rPr>
        <w:t xml:space="preserve">0,05), # </w:t>
      </w:r>
      <w:r w:rsidR="00BC0119" w:rsidRPr="001416ED">
        <w:rPr>
          <w:lang w:val="uk-UA"/>
        </w:rPr>
        <w:t>–</w:t>
      </w:r>
      <w:r w:rsidR="004B7DD0" w:rsidRPr="001416ED">
        <w:rPr>
          <w:lang w:val="uk-UA"/>
        </w:rPr>
        <w:t xml:space="preserve"> при порівнянні з КГЛШ (р</w:t>
      </w:r>
      <w:r w:rsidR="002B4275">
        <w:rPr>
          <w:lang w:val="uk-UA"/>
        </w:rPr>
        <w:t>˂</w:t>
      </w:r>
      <w:r w:rsidR="004B7DD0" w:rsidRPr="001416ED">
        <w:rPr>
          <w:lang w:val="uk-UA"/>
        </w:rPr>
        <w:t>0,05)</w:t>
      </w:r>
    </w:p>
    <w:p w:rsidR="00D62CF6" w:rsidRPr="001416ED" w:rsidRDefault="004B7DD0" w:rsidP="000964D2">
      <w:pPr>
        <w:spacing w:before="100" w:line="360" w:lineRule="auto"/>
        <w:ind w:firstLine="708"/>
        <w:jc w:val="both"/>
        <w:rPr>
          <w:lang w:val="uk-UA"/>
        </w:rPr>
      </w:pPr>
      <w:r w:rsidRPr="001416ED">
        <w:rPr>
          <w:lang w:val="uk-UA"/>
        </w:rPr>
        <w:t xml:space="preserve">Досліджено, що у пацієнтів з </w:t>
      </w:r>
      <w:r w:rsidR="002616A7" w:rsidRPr="001416ED">
        <w:rPr>
          <w:lang w:val="uk-UA"/>
        </w:rPr>
        <w:t xml:space="preserve">ГХ ІІІ ст. </w:t>
      </w:r>
      <w:r w:rsidR="00CE799B" w:rsidRPr="001416ED">
        <w:rPr>
          <w:lang w:val="uk-UA"/>
        </w:rPr>
        <w:t xml:space="preserve">при носійстві будь–якого </w:t>
      </w:r>
      <w:r w:rsidR="00E6164F">
        <w:rPr>
          <w:lang w:val="uk-UA"/>
        </w:rPr>
        <w:t>поліморфного варіанту гена</w:t>
      </w:r>
      <w:r w:rsidR="00CE799B" w:rsidRPr="001416ED">
        <w:rPr>
          <w:lang w:val="uk-UA"/>
        </w:rPr>
        <w:t xml:space="preserve"> ЕТ–1 </w:t>
      </w:r>
      <w:r w:rsidRPr="001416ED">
        <w:rPr>
          <w:lang w:val="uk-UA"/>
        </w:rPr>
        <w:t>достовірно частіше зустрічається ВГ</w:t>
      </w:r>
      <w:r w:rsidR="008231D5" w:rsidRPr="001416ED">
        <w:rPr>
          <w:lang w:val="uk-UA"/>
        </w:rPr>
        <w:t>ЛШ</w:t>
      </w:r>
      <w:r w:rsidR="00CE799B" w:rsidRPr="001416ED">
        <w:rPr>
          <w:lang w:val="uk-UA"/>
        </w:rPr>
        <w:t>, що є фактором ризику раптової серцевої смерті</w:t>
      </w:r>
      <w:r w:rsidR="008231D5" w:rsidRPr="001416ED">
        <w:rPr>
          <w:lang w:val="uk-UA"/>
        </w:rPr>
        <w:t xml:space="preserve"> та ЕГЛШ</w:t>
      </w:r>
      <w:r w:rsidR="00CE799B" w:rsidRPr="001416ED">
        <w:rPr>
          <w:lang w:val="uk-UA"/>
        </w:rPr>
        <w:t>, що є передумовою для зниження ФВ ЛШ</w:t>
      </w:r>
      <w:r w:rsidRPr="001416ED">
        <w:rPr>
          <w:lang w:val="uk-UA"/>
        </w:rPr>
        <w:t xml:space="preserve">. Різниці у частоті типів ГЛШ між володарями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1 не встановлено</w:t>
      </w:r>
      <w:r w:rsidR="006A4F8B" w:rsidRPr="001416ED">
        <w:rPr>
          <w:lang w:val="uk-UA"/>
        </w:rPr>
        <w:t xml:space="preserve"> </w:t>
      </w:r>
      <w:r w:rsidR="006A4F8B" w:rsidRPr="001416ED">
        <w:rPr>
          <w:rFonts w:eastAsiaTheme="minorHAnsi"/>
          <w:lang w:val="uk-UA" w:eastAsia="en-US"/>
        </w:rPr>
        <w:t>(</w:t>
      </w:r>
      <w:r w:rsidR="00471DF7" w:rsidRPr="001416ED">
        <w:rPr>
          <w:rFonts w:eastAsiaTheme="minorHAnsi"/>
          <w:lang w:val="uk-UA" w:eastAsia="en-US"/>
        </w:rPr>
        <w:t>р˃</w:t>
      </w:r>
      <w:r w:rsidR="006A4F8B" w:rsidRPr="001416ED">
        <w:rPr>
          <w:rFonts w:eastAsiaTheme="minorHAnsi"/>
          <w:lang w:val="uk-UA" w:eastAsia="en-US"/>
        </w:rPr>
        <w:t>0,05)</w:t>
      </w:r>
      <w:r w:rsidRPr="001416ED">
        <w:rPr>
          <w:lang w:val="uk-UA"/>
        </w:rPr>
        <w:t>.</w:t>
      </w:r>
      <w:r w:rsidR="000964D2" w:rsidRPr="001416ED">
        <w:rPr>
          <w:lang w:val="uk-UA"/>
        </w:rPr>
        <w:t xml:space="preserve"> </w:t>
      </w:r>
    </w:p>
    <w:p w:rsidR="008E6659" w:rsidRPr="001416ED" w:rsidRDefault="008E6659" w:rsidP="008E6659">
      <w:pPr>
        <w:spacing w:line="360" w:lineRule="auto"/>
        <w:ind w:firstLine="708"/>
        <w:jc w:val="both"/>
        <w:rPr>
          <w:lang w:val="uk-UA"/>
        </w:rPr>
      </w:pPr>
      <w:r w:rsidRPr="001416ED">
        <w:rPr>
          <w:lang w:val="uk-UA"/>
        </w:rPr>
        <w:t>Аналіз варіант</w:t>
      </w:r>
      <w:r w:rsidR="00195DC5" w:rsidRPr="001416ED">
        <w:rPr>
          <w:lang w:val="uk-UA"/>
        </w:rPr>
        <w:t>ів ГЛШ у чоловіків з ГХ ІІІ ст. та ФВ ˃ 45 %</w:t>
      </w:r>
      <w:r w:rsidRPr="001416ED">
        <w:rPr>
          <w:lang w:val="uk-UA"/>
        </w:rPr>
        <w:t xml:space="preserve"> різниці</w:t>
      </w:r>
      <w:r w:rsidR="00195DC5" w:rsidRPr="001416ED">
        <w:rPr>
          <w:lang w:val="uk-UA"/>
        </w:rPr>
        <w:t xml:space="preserve"> не виявив. Так, у чоловіків з </w:t>
      </w:r>
      <w:r w:rsidRPr="001416ED">
        <w:rPr>
          <w:lang w:val="uk-UA"/>
        </w:rPr>
        <w:t xml:space="preserve">ФВ ЛШ </w:t>
      </w:r>
      <w:r w:rsidR="00195DC5" w:rsidRPr="001416ED">
        <w:rPr>
          <w:lang w:val="uk-UA"/>
        </w:rPr>
        <w:t xml:space="preserve">˃ 45 % </w:t>
      </w:r>
      <w:r w:rsidRPr="001416ED">
        <w:rPr>
          <w:lang w:val="uk-UA"/>
        </w:rPr>
        <w:t xml:space="preserve">– носіїв генотипу </w:t>
      </w:r>
      <w:r w:rsidRPr="001416ED">
        <w:rPr>
          <w:lang w:val="en-US"/>
        </w:rPr>
        <w:t>Lys</w:t>
      </w:r>
      <w:r w:rsidRPr="001416ED">
        <w:rPr>
          <w:lang w:val="uk-UA"/>
        </w:rPr>
        <w:t>/</w:t>
      </w:r>
      <w:r w:rsidRPr="001416ED">
        <w:rPr>
          <w:lang w:val="en-US"/>
        </w:rPr>
        <w:t>Lys</w:t>
      </w:r>
      <w:r w:rsidRPr="001416ED">
        <w:rPr>
          <w:lang w:val="uk-UA"/>
        </w:rPr>
        <w:t xml:space="preserve"> частота  КГЛШ (41,67 %), ЕГЛШ (58,33 %), ПГЛШ (41,67 %) та ВГЛШ (58,33 %) достовірно не відрізняється від володарів алелі </w:t>
      </w:r>
      <w:r w:rsidRPr="001416ED">
        <w:rPr>
          <w:lang w:val="en-US"/>
        </w:rPr>
        <w:t>Asn</w:t>
      </w:r>
      <w:r w:rsidRPr="001416ED">
        <w:rPr>
          <w:lang w:val="uk-UA"/>
        </w:rPr>
        <w:t xml:space="preserve"> (37,50 % та 62,50 %, 37,50 % та 62,50 %, відповідно) (</w:t>
      </w:r>
      <w:r w:rsidR="00471DF7" w:rsidRPr="001416ED">
        <w:rPr>
          <w:lang w:val="uk-UA"/>
        </w:rPr>
        <w:t>р˃</w:t>
      </w:r>
      <w:r w:rsidRPr="001416ED">
        <w:rPr>
          <w:lang w:val="uk-UA"/>
        </w:rPr>
        <w:t>0,05).</w:t>
      </w:r>
    </w:p>
    <w:p w:rsidR="008E6659" w:rsidRPr="001416ED" w:rsidRDefault="00301AC5" w:rsidP="008E6659">
      <w:pPr>
        <w:spacing w:line="360" w:lineRule="auto"/>
        <w:ind w:firstLine="708"/>
        <w:jc w:val="both"/>
        <w:rPr>
          <w:lang w:val="uk-UA"/>
        </w:rPr>
      </w:pPr>
      <w:r w:rsidRPr="001416ED">
        <w:rPr>
          <w:lang w:val="uk-UA"/>
        </w:rPr>
        <w:lastRenderedPageBreak/>
        <w:t xml:space="preserve"> У пацієнтів з </w:t>
      </w:r>
      <w:r w:rsidR="008E6659" w:rsidRPr="001416ED">
        <w:rPr>
          <w:lang w:val="uk-UA"/>
        </w:rPr>
        <w:t>ФВ ЛШ</w:t>
      </w:r>
      <w:r w:rsidRPr="001416ED">
        <w:rPr>
          <w:lang w:val="uk-UA"/>
        </w:rPr>
        <w:t xml:space="preserve"> &lt; 45 %</w:t>
      </w:r>
      <w:r w:rsidR="008E6659" w:rsidRPr="001416ED">
        <w:rPr>
          <w:lang w:val="uk-UA"/>
        </w:rPr>
        <w:t xml:space="preserve">, що є носіями генотипу </w:t>
      </w:r>
      <w:r w:rsidR="008E6659" w:rsidRPr="001416ED">
        <w:rPr>
          <w:lang w:val="en-US"/>
        </w:rPr>
        <w:t>Lys</w:t>
      </w:r>
      <w:r w:rsidR="008E6659" w:rsidRPr="001416ED">
        <w:rPr>
          <w:lang w:val="uk-UA"/>
        </w:rPr>
        <w:t>/</w:t>
      </w:r>
      <w:r w:rsidR="008E6659" w:rsidRPr="001416ED">
        <w:rPr>
          <w:lang w:val="en-US"/>
        </w:rPr>
        <w:t>Lys</w:t>
      </w:r>
      <w:r w:rsidR="008E6659" w:rsidRPr="001416ED">
        <w:rPr>
          <w:lang w:val="uk-UA"/>
        </w:rPr>
        <w:t xml:space="preserve"> гена ЕТ–1, різниці у частоті КГЛШ (38,10 %) та ЕГЛШ (61,90 %) не виявлено, проте ВГЛШ (76,19 %) виявлял</w:t>
      </w:r>
      <w:r w:rsidR="007623CA" w:rsidRPr="001416ED">
        <w:rPr>
          <w:lang w:val="uk-UA"/>
        </w:rPr>
        <w:t>и</w:t>
      </w:r>
      <w:r w:rsidR="008E6659" w:rsidRPr="001416ED">
        <w:rPr>
          <w:lang w:val="uk-UA"/>
        </w:rPr>
        <w:t xml:space="preserve"> вірогідно частіше, ніж ПГЛШ (23,81 %) (р</w:t>
      </w:r>
      <w:r w:rsidR="007623CA" w:rsidRPr="001416ED">
        <w:rPr>
          <w:lang w:val="uk-UA"/>
        </w:rPr>
        <w:t>˂</w:t>
      </w:r>
      <w:r w:rsidR="008E6659" w:rsidRPr="001416ED">
        <w:rPr>
          <w:lang w:val="uk-UA"/>
        </w:rPr>
        <w:t xml:space="preserve">0,001). У носіїв алелі </w:t>
      </w:r>
      <w:r w:rsidR="008E6659" w:rsidRPr="001416ED">
        <w:rPr>
          <w:lang w:val="en-US"/>
        </w:rPr>
        <w:t>Asn</w:t>
      </w:r>
      <w:r w:rsidR="008E6659" w:rsidRPr="001416ED">
        <w:rPr>
          <w:lang w:val="uk-UA"/>
        </w:rPr>
        <w:t xml:space="preserve"> з ФВ</w:t>
      </w:r>
      <w:r w:rsidR="000C04AA" w:rsidRPr="001416ED">
        <w:rPr>
          <w:lang w:val="uk-UA"/>
        </w:rPr>
        <w:t xml:space="preserve"> ˂ </w:t>
      </w:r>
      <w:r w:rsidR="008E6659" w:rsidRPr="001416ED">
        <w:rPr>
          <w:lang w:val="uk-UA"/>
        </w:rPr>
        <w:t>45 % ЕГЛШ та ВГЛШ (70,25 % та 77,78 %, відповідно) зустрічалась частіше, ніж КГЛШ та ПГЛШ (29,75 % та 22,22 %, відповідно) (</w:t>
      </w:r>
      <w:r w:rsidR="007623CA" w:rsidRPr="001416ED">
        <w:rPr>
          <w:lang w:val="uk-UA"/>
        </w:rPr>
        <w:t>р˂</w:t>
      </w:r>
      <w:r w:rsidR="008E6659" w:rsidRPr="001416ED">
        <w:rPr>
          <w:lang w:val="uk-UA"/>
        </w:rPr>
        <w:t xml:space="preserve">0,05). Однак, різниці між носіями </w:t>
      </w:r>
      <w:r w:rsidR="00E6164F">
        <w:rPr>
          <w:lang w:val="uk-UA"/>
        </w:rPr>
        <w:t>поліморфних варіантів гена ЕТ–1</w:t>
      </w:r>
      <w:r w:rsidR="008E6659" w:rsidRPr="001416ED">
        <w:rPr>
          <w:lang w:val="uk-UA"/>
        </w:rPr>
        <w:t xml:space="preserve"> при різних типах ГЛШ не встановлено (р</w:t>
      </w:r>
      <w:r w:rsidRPr="001416ED">
        <w:rPr>
          <w:lang w:val="uk-UA"/>
        </w:rPr>
        <w:t>˃</w:t>
      </w:r>
      <w:r w:rsidR="008E6659" w:rsidRPr="001416ED">
        <w:rPr>
          <w:lang w:val="uk-UA"/>
        </w:rPr>
        <w:t xml:space="preserve">0,05). Слід відмітити, що різниця між показниками </w:t>
      </w:r>
      <w:r w:rsidR="002B4275">
        <w:rPr>
          <w:lang w:val="uk-UA"/>
        </w:rPr>
        <w:t>типів</w:t>
      </w:r>
      <w:r w:rsidR="008E6659" w:rsidRPr="001416ED">
        <w:rPr>
          <w:lang w:val="uk-UA"/>
        </w:rPr>
        <w:t xml:space="preserve"> ГЛШ у носіїв </w:t>
      </w:r>
      <w:r w:rsidR="00FF5C21">
        <w:rPr>
          <w:lang w:val="uk-UA"/>
        </w:rPr>
        <w:t>поліморфних варіантів гена</w:t>
      </w:r>
      <w:r w:rsidR="008E6659" w:rsidRPr="001416ED">
        <w:rPr>
          <w:lang w:val="uk-UA"/>
        </w:rPr>
        <w:t xml:space="preserve"> ЕТ–1 між пацієнтами з ФВ </w:t>
      </w:r>
      <w:r w:rsidRPr="001416ED">
        <w:rPr>
          <w:lang w:val="uk-UA"/>
        </w:rPr>
        <w:t xml:space="preserve">˂ 45 % та ФВ ˃ 45 % </w:t>
      </w:r>
      <w:r w:rsidR="008E6659" w:rsidRPr="001416ED">
        <w:rPr>
          <w:lang w:val="uk-UA"/>
        </w:rPr>
        <w:t xml:space="preserve"> не виявлено (р</w:t>
      </w:r>
      <w:r w:rsidRPr="001416ED">
        <w:rPr>
          <w:lang w:val="uk-UA"/>
        </w:rPr>
        <w:t>˃</w:t>
      </w:r>
      <w:r w:rsidR="008E6659" w:rsidRPr="001416ED">
        <w:rPr>
          <w:lang w:val="uk-UA"/>
        </w:rPr>
        <w:t xml:space="preserve">0,05). </w:t>
      </w:r>
    </w:p>
    <w:p w:rsidR="00770545" w:rsidRPr="001416ED" w:rsidRDefault="00770545" w:rsidP="00EA5076">
      <w:pPr>
        <w:spacing w:line="360" w:lineRule="auto"/>
        <w:ind w:firstLine="708"/>
        <w:jc w:val="both"/>
        <w:rPr>
          <w:rFonts w:eastAsiaTheme="minorHAnsi"/>
          <w:kern w:val="11"/>
          <w:lang w:val="uk-UA" w:eastAsia="en-US"/>
        </w:rPr>
      </w:pPr>
      <w:r w:rsidRPr="001416ED">
        <w:rPr>
          <w:rFonts w:eastAsiaTheme="minorHAnsi"/>
          <w:kern w:val="11"/>
          <w:lang w:val="uk-UA" w:eastAsia="en-US"/>
        </w:rPr>
        <w:t>Далі б</w:t>
      </w:r>
      <w:r w:rsidR="004F6BB9" w:rsidRPr="001416ED">
        <w:rPr>
          <w:rFonts w:eastAsiaTheme="minorHAnsi"/>
          <w:kern w:val="11"/>
          <w:lang w:val="uk-UA" w:eastAsia="en-US"/>
        </w:rPr>
        <w:t>у</w:t>
      </w:r>
      <w:r w:rsidRPr="001416ED">
        <w:rPr>
          <w:rFonts w:eastAsiaTheme="minorHAnsi"/>
          <w:kern w:val="11"/>
          <w:lang w:val="uk-UA" w:eastAsia="en-US"/>
        </w:rPr>
        <w:t xml:space="preserve">в проведений аналіз частоти </w:t>
      </w:r>
      <w:r w:rsidR="002B4275">
        <w:rPr>
          <w:rFonts w:eastAsiaTheme="minorHAnsi"/>
          <w:kern w:val="11"/>
          <w:lang w:val="uk-UA" w:eastAsia="en-US"/>
        </w:rPr>
        <w:t xml:space="preserve">типів </w:t>
      </w:r>
      <w:r w:rsidRPr="001416ED">
        <w:rPr>
          <w:rFonts w:eastAsiaTheme="minorHAnsi"/>
          <w:kern w:val="11"/>
          <w:lang w:val="uk-UA" w:eastAsia="en-US"/>
        </w:rPr>
        <w:t xml:space="preserve">ТМК у чоловіків з </w:t>
      </w:r>
      <w:r w:rsidR="00A63A7A" w:rsidRPr="001416ED">
        <w:rPr>
          <w:rFonts w:eastAsiaTheme="minorHAnsi"/>
          <w:kern w:val="11"/>
          <w:lang w:val="uk-UA" w:eastAsia="en-US"/>
        </w:rPr>
        <w:t>ГХ ІІІ стадії</w:t>
      </w:r>
      <w:r w:rsidR="00CE799B" w:rsidRPr="001416ED">
        <w:rPr>
          <w:rFonts w:eastAsiaTheme="minorHAnsi"/>
          <w:kern w:val="11"/>
          <w:lang w:val="uk-UA" w:eastAsia="en-US"/>
        </w:rPr>
        <w:t xml:space="preserve"> </w:t>
      </w:r>
      <w:r w:rsidRPr="001416ED">
        <w:rPr>
          <w:rFonts w:eastAsiaTheme="minorHAnsi"/>
          <w:kern w:val="11"/>
          <w:lang w:val="uk-UA" w:eastAsia="en-US"/>
        </w:rPr>
        <w:t xml:space="preserve">при носійстві </w:t>
      </w:r>
      <w:r w:rsidR="00E6164F">
        <w:rPr>
          <w:rFonts w:eastAsiaTheme="minorHAnsi"/>
          <w:kern w:val="11"/>
          <w:lang w:val="uk-UA" w:eastAsia="en-US"/>
        </w:rPr>
        <w:t>поліморфних варіантів гена ЕТ–1</w:t>
      </w:r>
      <w:r w:rsidRPr="001416ED">
        <w:rPr>
          <w:rFonts w:eastAsiaTheme="minorHAnsi"/>
          <w:kern w:val="11"/>
          <w:lang w:val="uk-UA" w:eastAsia="en-US"/>
        </w:rPr>
        <w:t xml:space="preserve"> (табл. 5.</w:t>
      </w:r>
      <w:r w:rsidR="001F5782" w:rsidRPr="001416ED">
        <w:rPr>
          <w:rFonts w:eastAsiaTheme="minorHAnsi"/>
          <w:kern w:val="11"/>
          <w:lang w:val="uk-UA" w:eastAsia="en-US"/>
        </w:rPr>
        <w:t>6</w:t>
      </w:r>
      <w:r w:rsidRPr="001416ED">
        <w:rPr>
          <w:rFonts w:eastAsiaTheme="minorHAnsi"/>
          <w:kern w:val="11"/>
          <w:lang w:val="uk-UA" w:eastAsia="en-US"/>
        </w:rPr>
        <w:t>)</w:t>
      </w:r>
      <w:r w:rsidR="004F6BB9" w:rsidRPr="001416ED">
        <w:rPr>
          <w:rFonts w:eastAsiaTheme="minorHAnsi"/>
          <w:kern w:val="11"/>
          <w:lang w:val="uk-UA" w:eastAsia="en-US"/>
        </w:rPr>
        <w:t>.</w:t>
      </w:r>
    </w:p>
    <w:p w:rsidR="008231D5" w:rsidRPr="001416ED" w:rsidRDefault="008231D5" w:rsidP="00BE103F">
      <w:pPr>
        <w:spacing w:line="360" w:lineRule="auto"/>
        <w:ind w:right="-18" w:firstLine="708"/>
        <w:jc w:val="right"/>
        <w:rPr>
          <w:rFonts w:eastAsiaTheme="minorHAnsi"/>
          <w:b/>
          <w:kern w:val="11"/>
          <w:lang w:val="uk-UA" w:eastAsia="en-US"/>
        </w:rPr>
      </w:pPr>
      <w:r w:rsidRPr="001416ED">
        <w:rPr>
          <w:rFonts w:eastAsiaTheme="minorHAnsi"/>
          <w:b/>
          <w:kern w:val="11"/>
          <w:lang w:val="uk-UA" w:eastAsia="en-US"/>
        </w:rPr>
        <w:t>Таблиця 5.</w:t>
      </w:r>
      <w:r w:rsidR="001F5782" w:rsidRPr="001416ED">
        <w:rPr>
          <w:rFonts w:eastAsiaTheme="minorHAnsi"/>
          <w:b/>
          <w:kern w:val="11"/>
          <w:lang w:val="uk-UA" w:eastAsia="en-US"/>
        </w:rPr>
        <w:t>6</w:t>
      </w:r>
    </w:p>
    <w:p w:rsidR="008231D5" w:rsidRPr="001416ED" w:rsidRDefault="008231D5" w:rsidP="00BE103F">
      <w:pPr>
        <w:spacing w:line="360" w:lineRule="auto"/>
        <w:ind w:right="-18"/>
        <w:jc w:val="center"/>
        <w:rPr>
          <w:rFonts w:eastAsiaTheme="minorHAnsi"/>
          <w:b/>
          <w:kern w:val="11"/>
          <w:lang w:val="uk-UA" w:eastAsia="en-US"/>
        </w:rPr>
      </w:pPr>
      <w:r w:rsidRPr="001416ED">
        <w:rPr>
          <w:b/>
          <w:lang w:val="uk-UA"/>
        </w:rPr>
        <w:t xml:space="preserve">Типи </w:t>
      </w:r>
      <w:r w:rsidR="008F0D3A" w:rsidRPr="001416ED">
        <w:rPr>
          <w:b/>
          <w:lang w:val="uk-UA"/>
        </w:rPr>
        <w:t xml:space="preserve">ТМК </w:t>
      </w:r>
      <w:r w:rsidRPr="001416ED">
        <w:rPr>
          <w:b/>
          <w:lang w:val="uk-UA"/>
        </w:rPr>
        <w:t xml:space="preserve"> у чоловіків з </w:t>
      </w:r>
      <w:r w:rsidR="00A63A7A" w:rsidRPr="001416ED">
        <w:rPr>
          <w:b/>
          <w:lang w:val="uk-UA"/>
        </w:rPr>
        <w:t>ГХ ІІІ ст</w:t>
      </w:r>
      <w:r w:rsidR="007623CA" w:rsidRPr="001416ED">
        <w:rPr>
          <w:b/>
          <w:lang w:val="uk-UA"/>
        </w:rPr>
        <w:t>.</w:t>
      </w:r>
      <w:r w:rsidR="00CE799B" w:rsidRPr="001416ED">
        <w:rPr>
          <w:b/>
          <w:lang w:val="uk-UA"/>
        </w:rPr>
        <w:t xml:space="preserve"> </w:t>
      </w:r>
      <w:r w:rsidR="00004786">
        <w:rPr>
          <w:b/>
          <w:lang w:val="uk-UA"/>
        </w:rPr>
        <w:t xml:space="preserve">- </w:t>
      </w:r>
      <w:r w:rsidR="00004786" w:rsidRPr="00004786">
        <w:rPr>
          <w:b/>
          <w:lang w:val="uk-UA"/>
        </w:rPr>
        <w:t xml:space="preserve">носіїв </w:t>
      </w:r>
      <w:r w:rsidR="00004786">
        <w:rPr>
          <w:b/>
          <w:lang w:val="uk-UA"/>
        </w:rPr>
        <w:t>різних варіантів</w:t>
      </w:r>
      <w:r w:rsidR="00F40216">
        <w:rPr>
          <w:b/>
          <w:lang w:val="uk-UA"/>
        </w:rPr>
        <w:t xml:space="preserve"> гена</w:t>
      </w:r>
      <w:r w:rsidRPr="001416ED">
        <w:rPr>
          <w:b/>
          <w:lang w:val="uk-UA"/>
        </w:rPr>
        <w:t xml:space="preserve"> ЕТ</w:t>
      </w:r>
      <w:r w:rsidR="00BC0119" w:rsidRPr="001416ED">
        <w:rPr>
          <w:b/>
          <w:lang w:val="uk-UA"/>
        </w:rPr>
        <w:t>–</w:t>
      </w:r>
      <w:r w:rsidRPr="001416ED">
        <w:rPr>
          <w:b/>
          <w:lang w:val="uk-UA"/>
        </w:rPr>
        <w:t>1, (</w:t>
      </w:r>
      <w:r w:rsidR="00D4219F" w:rsidRPr="001416ED">
        <w:rPr>
          <w:b/>
          <w:lang w:val="uk-UA"/>
        </w:rPr>
        <w:t>%</w:t>
      </w:r>
      <w:r w:rsidRPr="001416ED">
        <w:rPr>
          <w:b/>
          <w:lang w:val="uk-UA"/>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276"/>
        <w:gridCol w:w="1134"/>
        <w:gridCol w:w="1275"/>
        <w:gridCol w:w="1134"/>
        <w:gridCol w:w="1276"/>
        <w:gridCol w:w="1843"/>
      </w:tblGrid>
      <w:tr w:rsidR="008231D5" w:rsidRPr="001416ED" w:rsidTr="00D058DE">
        <w:tc>
          <w:tcPr>
            <w:tcW w:w="993" w:type="dxa"/>
            <w:vMerge w:val="restart"/>
          </w:tcPr>
          <w:p w:rsidR="008231D5" w:rsidRPr="001416ED" w:rsidRDefault="008231D5" w:rsidP="00AB005A">
            <w:pPr>
              <w:spacing w:line="360" w:lineRule="auto"/>
              <w:ind w:right="-18"/>
              <w:jc w:val="center"/>
              <w:rPr>
                <w:rFonts w:eastAsiaTheme="minorHAnsi"/>
                <w:b/>
                <w:kern w:val="11"/>
                <w:lang w:val="uk-UA" w:eastAsia="en-US"/>
              </w:rPr>
            </w:pPr>
            <w:r w:rsidRPr="001416ED">
              <w:rPr>
                <w:rFonts w:eastAsiaTheme="minorHAnsi"/>
                <w:b/>
                <w:kern w:val="11"/>
                <w:lang w:val="uk-UA" w:eastAsia="en-US"/>
              </w:rPr>
              <w:t>Групи</w:t>
            </w:r>
          </w:p>
        </w:tc>
        <w:tc>
          <w:tcPr>
            <w:tcW w:w="2410" w:type="dxa"/>
            <w:gridSpan w:val="2"/>
          </w:tcPr>
          <w:p w:rsidR="008231D5" w:rsidRPr="001416ED" w:rsidRDefault="008231D5" w:rsidP="00AB005A">
            <w:pPr>
              <w:spacing w:line="360" w:lineRule="auto"/>
              <w:ind w:right="-18"/>
              <w:jc w:val="center"/>
              <w:rPr>
                <w:rFonts w:eastAsiaTheme="minorHAnsi"/>
                <w:b/>
                <w:kern w:val="11"/>
                <w:lang w:val="uk-UA" w:eastAsia="en-US"/>
              </w:rPr>
            </w:pPr>
            <w:r w:rsidRPr="001416ED">
              <w:rPr>
                <w:rFonts w:eastAsiaTheme="minorHAnsi"/>
                <w:b/>
                <w:kern w:val="11"/>
                <w:lang w:val="uk-UA" w:eastAsia="en-US"/>
              </w:rPr>
              <w:t>Гіпертрофічний  тип ТМК</w:t>
            </w:r>
          </w:p>
        </w:tc>
        <w:tc>
          <w:tcPr>
            <w:tcW w:w="2409" w:type="dxa"/>
            <w:gridSpan w:val="2"/>
          </w:tcPr>
          <w:p w:rsidR="008231D5" w:rsidRPr="001416ED" w:rsidRDefault="008231D5" w:rsidP="00394210">
            <w:pPr>
              <w:spacing w:line="360" w:lineRule="auto"/>
              <w:ind w:right="-18"/>
              <w:jc w:val="center"/>
              <w:rPr>
                <w:rFonts w:eastAsiaTheme="minorHAnsi"/>
                <w:b/>
                <w:kern w:val="11"/>
                <w:lang w:val="uk-UA" w:eastAsia="en-US"/>
              </w:rPr>
            </w:pPr>
            <w:r w:rsidRPr="001416ED">
              <w:rPr>
                <w:rFonts w:eastAsiaTheme="minorHAnsi"/>
                <w:b/>
                <w:kern w:val="11"/>
                <w:lang w:val="uk-UA" w:eastAsia="en-US"/>
              </w:rPr>
              <w:t>Псевдонормаль</w:t>
            </w:r>
            <w:r w:rsidR="00BC0119" w:rsidRPr="001416ED">
              <w:rPr>
                <w:rFonts w:eastAsiaTheme="minorHAnsi"/>
                <w:b/>
                <w:kern w:val="11"/>
                <w:lang w:val="uk-UA" w:eastAsia="en-US"/>
              </w:rPr>
              <w:t>–</w:t>
            </w:r>
            <w:r w:rsidRPr="001416ED">
              <w:rPr>
                <w:rFonts w:eastAsiaTheme="minorHAnsi"/>
                <w:b/>
                <w:kern w:val="11"/>
                <w:lang w:val="uk-UA" w:eastAsia="en-US"/>
              </w:rPr>
              <w:t>ний тип ТМК</w:t>
            </w:r>
          </w:p>
        </w:tc>
        <w:tc>
          <w:tcPr>
            <w:tcW w:w="2410" w:type="dxa"/>
            <w:gridSpan w:val="2"/>
          </w:tcPr>
          <w:p w:rsidR="008231D5" w:rsidRPr="001416ED" w:rsidRDefault="008231D5" w:rsidP="00AB005A">
            <w:pPr>
              <w:spacing w:line="360" w:lineRule="auto"/>
              <w:ind w:right="-18"/>
              <w:jc w:val="center"/>
              <w:rPr>
                <w:rFonts w:eastAsiaTheme="minorHAnsi"/>
                <w:b/>
                <w:kern w:val="11"/>
                <w:lang w:val="uk-UA" w:eastAsia="en-US"/>
              </w:rPr>
            </w:pPr>
            <w:r w:rsidRPr="001416ED">
              <w:rPr>
                <w:rFonts w:eastAsiaTheme="minorHAnsi"/>
                <w:b/>
                <w:kern w:val="11"/>
                <w:lang w:val="uk-UA" w:eastAsia="en-US"/>
              </w:rPr>
              <w:t>Рестриктивний тип ТМК</w:t>
            </w:r>
          </w:p>
        </w:tc>
        <w:tc>
          <w:tcPr>
            <w:tcW w:w="1843" w:type="dxa"/>
            <w:vMerge w:val="restart"/>
          </w:tcPr>
          <w:p w:rsidR="008231D5" w:rsidRPr="001416ED" w:rsidRDefault="008231D5" w:rsidP="00AB005A">
            <w:pPr>
              <w:spacing w:line="360" w:lineRule="auto"/>
              <w:ind w:right="-18"/>
              <w:jc w:val="center"/>
              <w:rPr>
                <w:rFonts w:eastAsiaTheme="minorHAnsi"/>
                <w:b/>
                <w:kern w:val="11"/>
                <w:lang w:eastAsia="en-US"/>
              </w:rPr>
            </w:pPr>
            <w:r w:rsidRPr="001416ED">
              <w:rPr>
                <w:rFonts w:eastAsiaTheme="minorHAnsi"/>
                <w:b/>
                <w:kern w:val="11"/>
                <w:lang w:val="uk-UA" w:eastAsia="en-US"/>
              </w:rPr>
              <w:t>р</w:t>
            </w:r>
          </w:p>
          <w:p w:rsidR="008231D5" w:rsidRPr="001416ED" w:rsidRDefault="008231D5" w:rsidP="00AB005A">
            <w:pPr>
              <w:spacing w:after="200" w:line="360" w:lineRule="auto"/>
              <w:rPr>
                <w:rFonts w:eastAsiaTheme="minorHAnsi"/>
                <w:b/>
                <w:lang w:eastAsia="en-US"/>
              </w:rPr>
            </w:pPr>
          </w:p>
          <w:p w:rsidR="008231D5" w:rsidRPr="001416ED" w:rsidRDefault="008231D5" w:rsidP="00AB005A">
            <w:pPr>
              <w:spacing w:after="200" w:line="360" w:lineRule="auto"/>
              <w:rPr>
                <w:rFonts w:eastAsiaTheme="minorHAnsi"/>
                <w:b/>
                <w:kern w:val="11"/>
                <w:lang w:eastAsia="en-US"/>
              </w:rPr>
            </w:pPr>
          </w:p>
        </w:tc>
      </w:tr>
      <w:tr w:rsidR="008231D5" w:rsidRPr="001416ED" w:rsidTr="00D058DE">
        <w:tc>
          <w:tcPr>
            <w:tcW w:w="993" w:type="dxa"/>
            <w:vMerge/>
          </w:tcPr>
          <w:p w:rsidR="008231D5" w:rsidRPr="001416ED" w:rsidRDefault="008231D5" w:rsidP="00AB005A">
            <w:pPr>
              <w:spacing w:line="360" w:lineRule="auto"/>
              <w:rPr>
                <w:rFonts w:eastAsiaTheme="minorHAnsi"/>
                <w:b/>
                <w:lang w:val="uk-UA" w:eastAsia="en-US"/>
              </w:rPr>
            </w:pPr>
          </w:p>
        </w:tc>
        <w:tc>
          <w:tcPr>
            <w:tcW w:w="1134" w:type="dxa"/>
          </w:tcPr>
          <w:p w:rsidR="008231D5" w:rsidRPr="001416ED" w:rsidRDefault="008231D5" w:rsidP="00AB005A">
            <w:pPr>
              <w:spacing w:line="360" w:lineRule="auto"/>
              <w:rPr>
                <w:rFonts w:eastAsiaTheme="minorHAnsi"/>
                <w:lang w:val="uk-UA" w:eastAsia="en-US"/>
              </w:rPr>
            </w:pPr>
            <w:r w:rsidRPr="001416ED">
              <w:rPr>
                <w:rFonts w:eastAsiaTheme="minorHAnsi"/>
                <w:lang w:val="uk-UA" w:eastAsia="en-US"/>
              </w:rPr>
              <w:t>1. Ге</w:t>
            </w:r>
            <w:r w:rsidR="00BC0119" w:rsidRPr="001416ED">
              <w:rPr>
                <w:rFonts w:eastAsiaTheme="minorHAnsi"/>
                <w:lang w:val="uk-UA" w:eastAsia="en-US"/>
              </w:rPr>
              <w:t>–</w:t>
            </w:r>
            <w:r w:rsidRPr="001416ED">
              <w:rPr>
                <w:rFonts w:eastAsiaTheme="minorHAnsi"/>
                <w:lang w:val="uk-UA" w:eastAsia="en-US"/>
              </w:rPr>
              <w:t xml:space="preserve">нотип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p>
        </w:tc>
        <w:tc>
          <w:tcPr>
            <w:tcW w:w="1276" w:type="dxa"/>
          </w:tcPr>
          <w:p w:rsidR="008231D5" w:rsidRPr="001416ED" w:rsidRDefault="008231D5" w:rsidP="00394210">
            <w:pPr>
              <w:spacing w:line="360" w:lineRule="auto"/>
              <w:rPr>
                <w:rFonts w:eastAsiaTheme="minorHAnsi"/>
                <w:lang w:val="en-US" w:eastAsia="en-US"/>
              </w:rPr>
            </w:pPr>
            <w:r w:rsidRPr="001416ED">
              <w:rPr>
                <w:rFonts w:eastAsiaTheme="minorHAnsi"/>
                <w:lang w:val="uk-UA" w:eastAsia="en-US"/>
              </w:rPr>
              <w:t>2.Алель</w:t>
            </w:r>
            <w:r w:rsidRPr="001416ED">
              <w:rPr>
                <w:rFonts w:eastAsiaTheme="minorHAnsi"/>
                <w:lang w:val="en-US" w:eastAsia="en-US"/>
              </w:rPr>
              <w:t xml:space="preserve"> Asn</w:t>
            </w:r>
          </w:p>
        </w:tc>
        <w:tc>
          <w:tcPr>
            <w:tcW w:w="1134" w:type="dxa"/>
          </w:tcPr>
          <w:p w:rsidR="008231D5" w:rsidRPr="001416ED" w:rsidRDefault="008231D5" w:rsidP="00AB005A">
            <w:pPr>
              <w:spacing w:line="360" w:lineRule="auto"/>
              <w:rPr>
                <w:rFonts w:eastAsiaTheme="minorHAnsi"/>
                <w:lang w:val="uk-UA" w:eastAsia="en-US"/>
              </w:rPr>
            </w:pPr>
            <w:r w:rsidRPr="001416ED">
              <w:rPr>
                <w:rFonts w:eastAsiaTheme="minorHAnsi"/>
                <w:lang w:val="uk-UA" w:eastAsia="en-US"/>
              </w:rPr>
              <w:t>3. Ге</w:t>
            </w:r>
            <w:r w:rsidR="00BC0119" w:rsidRPr="001416ED">
              <w:rPr>
                <w:rFonts w:eastAsiaTheme="minorHAnsi"/>
                <w:lang w:val="uk-UA" w:eastAsia="en-US"/>
              </w:rPr>
              <w:t>–</w:t>
            </w:r>
            <w:r w:rsidRPr="001416ED">
              <w:rPr>
                <w:rFonts w:eastAsiaTheme="minorHAnsi"/>
                <w:lang w:val="uk-UA" w:eastAsia="en-US"/>
              </w:rPr>
              <w:t xml:space="preserve"> нотип</w:t>
            </w:r>
            <w:r w:rsidRPr="001416ED">
              <w:rPr>
                <w:rFonts w:eastAsiaTheme="minorHAnsi"/>
                <w:lang w:val="en-US" w:eastAsia="en-US"/>
              </w:rPr>
              <w:t xml:space="preserve"> Lys/Lys</w:t>
            </w:r>
          </w:p>
        </w:tc>
        <w:tc>
          <w:tcPr>
            <w:tcW w:w="1275" w:type="dxa"/>
          </w:tcPr>
          <w:p w:rsidR="008231D5" w:rsidRPr="001416ED" w:rsidRDefault="008231D5" w:rsidP="00AB005A">
            <w:pPr>
              <w:spacing w:line="360" w:lineRule="auto"/>
              <w:rPr>
                <w:rFonts w:eastAsiaTheme="minorHAnsi"/>
                <w:lang w:val="uk-UA" w:eastAsia="en-US"/>
              </w:rPr>
            </w:pPr>
            <w:r w:rsidRPr="001416ED">
              <w:rPr>
                <w:rFonts w:eastAsiaTheme="minorHAnsi"/>
                <w:lang w:val="uk-UA" w:eastAsia="en-US"/>
              </w:rPr>
              <w:t>4. Алель</w:t>
            </w:r>
            <w:r w:rsidR="00394210" w:rsidRPr="001416ED">
              <w:rPr>
                <w:rFonts w:eastAsiaTheme="minorHAnsi"/>
                <w:lang w:val="uk-UA" w:eastAsia="en-US"/>
              </w:rPr>
              <w:t xml:space="preserve"> </w:t>
            </w:r>
            <w:r w:rsidRPr="001416ED">
              <w:rPr>
                <w:rFonts w:eastAsiaTheme="minorHAnsi"/>
                <w:lang w:val="en-US" w:eastAsia="en-US"/>
              </w:rPr>
              <w:t>Asn</w:t>
            </w:r>
          </w:p>
        </w:tc>
        <w:tc>
          <w:tcPr>
            <w:tcW w:w="1134" w:type="dxa"/>
          </w:tcPr>
          <w:p w:rsidR="008231D5" w:rsidRPr="001416ED" w:rsidRDefault="008231D5" w:rsidP="00AB005A">
            <w:pPr>
              <w:spacing w:line="360" w:lineRule="auto"/>
              <w:rPr>
                <w:rFonts w:eastAsiaTheme="minorHAnsi"/>
                <w:lang w:val="uk-UA" w:eastAsia="en-US"/>
              </w:rPr>
            </w:pPr>
            <w:r w:rsidRPr="001416ED">
              <w:rPr>
                <w:rFonts w:eastAsiaTheme="minorHAnsi"/>
                <w:lang w:val="uk-UA" w:eastAsia="en-US"/>
              </w:rPr>
              <w:t>5. Ге</w:t>
            </w:r>
            <w:r w:rsidR="00BC0119" w:rsidRPr="001416ED">
              <w:rPr>
                <w:rFonts w:eastAsiaTheme="minorHAnsi"/>
                <w:lang w:val="uk-UA" w:eastAsia="en-US"/>
              </w:rPr>
              <w:t>–</w:t>
            </w:r>
            <w:r w:rsidRPr="001416ED">
              <w:rPr>
                <w:rFonts w:eastAsiaTheme="minorHAnsi"/>
                <w:lang w:val="uk-UA" w:eastAsia="en-US"/>
              </w:rPr>
              <w:t xml:space="preserve">нотип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p>
        </w:tc>
        <w:tc>
          <w:tcPr>
            <w:tcW w:w="1276" w:type="dxa"/>
          </w:tcPr>
          <w:p w:rsidR="008231D5" w:rsidRPr="001416ED" w:rsidRDefault="008231D5" w:rsidP="00770545">
            <w:pPr>
              <w:spacing w:line="360" w:lineRule="auto"/>
              <w:rPr>
                <w:rFonts w:eastAsiaTheme="minorHAnsi"/>
                <w:lang w:val="en-US" w:eastAsia="en-US"/>
              </w:rPr>
            </w:pPr>
            <w:r w:rsidRPr="001416ED">
              <w:rPr>
                <w:rFonts w:eastAsiaTheme="minorHAnsi"/>
                <w:lang w:val="uk-UA" w:eastAsia="en-US"/>
              </w:rPr>
              <w:t>6.Алель</w:t>
            </w:r>
            <w:r w:rsidRPr="001416ED">
              <w:rPr>
                <w:rFonts w:eastAsiaTheme="minorHAnsi"/>
                <w:lang w:val="en-US" w:eastAsia="en-US"/>
              </w:rPr>
              <w:t xml:space="preserve"> Asn</w:t>
            </w:r>
          </w:p>
        </w:tc>
        <w:tc>
          <w:tcPr>
            <w:tcW w:w="1843" w:type="dxa"/>
            <w:vMerge/>
          </w:tcPr>
          <w:p w:rsidR="008231D5" w:rsidRPr="001416ED" w:rsidRDefault="008231D5" w:rsidP="00AB005A">
            <w:pPr>
              <w:spacing w:line="360" w:lineRule="auto"/>
              <w:rPr>
                <w:rFonts w:eastAsiaTheme="minorHAnsi"/>
                <w:b/>
                <w:lang w:eastAsia="en-US"/>
              </w:rPr>
            </w:pPr>
          </w:p>
        </w:tc>
      </w:tr>
      <w:tr w:rsidR="008231D5" w:rsidRPr="001416ED" w:rsidTr="00D058DE">
        <w:tc>
          <w:tcPr>
            <w:tcW w:w="993" w:type="dxa"/>
          </w:tcPr>
          <w:p w:rsidR="008231D5" w:rsidRPr="002B4275" w:rsidRDefault="00EA5076" w:rsidP="008F0D3A">
            <w:pPr>
              <w:spacing w:line="360" w:lineRule="auto"/>
              <w:ind w:right="-18"/>
              <w:rPr>
                <w:rFonts w:eastAsiaTheme="minorHAnsi"/>
                <w:kern w:val="11"/>
                <w:lang w:val="uk-UA" w:eastAsia="en-US"/>
              </w:rPr>
            </w:pPr>
            <w:r w:rsidRPr="001416ED">
              <w:rPr>
                <w:rFonts w:eastAsiaTheme="minorHAnsi"/>
                <w:kern w:val="11"/>
                <w:lang w:val="uk-UA" w:eastAsia="en-US"/>
              </w:rPr>
              <w:t>ГХ ІІ</w:t>
            </w:r>
            <w:r w:rsidR="00CE799B" w:rsidRPr="001416ED">
              <w:rPr>
                <w:rFonts w:eastAsiaTheme="minorHAnsi"/>
                <w:kern w:val="11"/>
                <w:lang w:val="uk-UA" w:eastAsia="en-US"/>
              </w:rPr>
              <w:t>І</w:t>
            </w:r>
            <w:r w:rsidRPr="001416ED">
              <w:rPr>
                <w:rFonts w:eastAsiaTheme="minorHAnsi"/>
                <w:kern w:val="11"/>
                <w:lang w:val="uk-UA" w:eastAsia="en-US"/>
              </w:rPr>
              <w:t xml:space="preserve"> ст.</w:t>
            </w:r>
            <w:r w:rsidR="008231D5" w:rsidRPr="001416ED">
              <w:rPr>
                <w:rFonts w:eastAsiaTheme="minorHAnsi"/>
                <w:kern w:val="11"/>
                <w:lang w:val="uk-UA" w:eastAsia="en-US"/>
              </w:rPr>
              <w:t xml:space="preserve"> </w:t>
            </w:r>
            <w:r w:rsidR="002B4275">
              <w:rPr>
                <w:rFonts w:eastAsiaTheme="minorHAnsi"/>
                <w:kern w:val="11"/>
                <w:lang w:val="uk-UA" w:eastAsia="en-US"/>
              </w:rPr>
              <w:t>(</w:t>
            </w:r>
            <w:r w:rsidR="002B4275">
              <w:rPr>
                <w:rFonts w:eastAsiaTheme="minorHAnsi"/>
                <w:kern w:val="11"/>
                <w:lang w:val="en-US" w:eastAsia="en-US"/>
              </w:rPr>
              <w:t>n</w:t>
            </w:r>
            <w:r w:rsidR="002B4275">
              <w:rPr>
                <w:rFonts w:eastAsiaTheme="minorHAnsi"/>
                <w:kern w:val="11"/>
                <w:lang w:val="uk-UA" w:eastAsia="en-US"/>
              </w:rPr>
              <w:t>=50)</w:t>
            </w:r>
          </w:p>
        </w:tc>
        <w:tc>
          <w:tcPr>
            <w:tcW w:w="1134" w:type="dxa"/>
          </w:tcPr>
          <w:p w:rsidR="008231D5" w:rsidRPr="001416ED" w:rsidRDefault="008231D5" w:rsidP="008231D5">
            <w:pPr>
              <w:spacing w:line="360" w:lineRule="auto"/>
              <w:ind w:right="-18"/>
              <w:jc w:val="center"/>
              <w:rPr>
                <w:rFonts w:eastAsiaTheme="minorHAnsi"/>
                <w:kern w:val="11"/>
                <w:lang w:val="uk-UA" w:eastAsia="en-US"/>
              </w:rPr>
            </w:pPr>
            <w:r w:rsidRPr="001416ED">
              <w:rPr>
                <w:rFonts w:eastAsiaTheme="minorHAnsi"/>
                <w:kern w:val="11"/>
                <w:lang w:val="uk-UA" w:eastAsia="en-US"/>
              </w:rPr>
              <w:t>30,30</w:t>
            </w:r>
            <w:r w:rsidR="00D4219F" w:rsidRPr="001416ED">
              <w:rPr>
                <w:rFonts w:eastAsiaTheme="minorHAnsi"/>
                <w:kern w:val="11"/>
                <w:lang w:val="uk-UA" w:eastAsia="en-US"/>
              </w:rPr>
              <w:t xml:space="preserve"> %</w:t>
            </w:r>
            <w:r w:rsidRPr="001416ED">
              <w:rPr>
                <w:rFonts w:eastAsiaTheme="minorHAnsi"/>
                <w:kern w:val="11"/>
                <w:lang w:val="uk-UA" w:eastAsia="en-US"/>
              </w:rPr>
              <w:t xml:space="preserve"> (</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10)</w:t>
            </w:r>
          </w:p>
        </w:tc>
        <w:tc>
          <w:tcPr>
            <w:tcW w:w="1276" w:type="dxa"/>
          </w:tcPr>
          <w:p w:rsidR="00AB005A" w:rsidRPr="001416ED" w:rsidRDefault="00CA2EC8" w:rsidP="00CA2EC8">
            <w:pPr>
              <w:spacing w:line="360" w:lineRule="auto"/>
              <w:ind w:right="-18"/>
              <w:jc w:val="center"/>
              <w:rPr>
                <w:rFonts w:eastAsiaTheme="minorHAnsi"/>
                <w:kern w:val="11"/>
                <w:lang w:val="uk-UA" w:eastAsia="en-US"/>
              </w:rPr>
            </w:pPr>
            <w:r w:rsidRPr="001416ED">
              <w:rPr>
                <w:rFonts w:eastAsiaTheme="minorHAnsi"/>
                <w:kern w:val="11"/>
                <w:lang w:val="uk-UA" w:eastAsia="en-US"/>
              </w:rPr>
              <w:t>11,76</w:t>
            </w:r>
            <w:r w:rsidR="00D4219F" w:rsidRPr="001416ED">
              <w:rPr>
                <w:rFonts w:eastAsiaTheme="minorHAnsi"/>
                <w:kern w:val="11"/>
                <w:lang w:val="uk-UA" w:eastAsia="en-US"/>
              </w:rPr>
              <w:t xml:space="preserve"> %</w:t>
            </w:r>
          </w:p>
          <w:p w:rsidR="008231D5" w:rsidRPr="001416ED" w:rsidRDefault="00CA2EC8" w:rsidP="00CA2EC8">
            <w:pPr>
              <w:spacing w:line="360" w:lineRule="auto"/>
              <w:ind w:right="-18"/>
              <w:jc w:val="center"/>
              <w:rPr>
                <w:rFonts w:eastAsiaTheme="minorHAnsi"/>
                <w:kern w:val="11"/>
                <w:lang w:val="uk-UA" w:eastAsia="en-US"/>
              </w:rPr>
            </w:pP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2)</w:t>
            </w:r>
          </w:p>
        </w:tc>
        <w:tc>
          <w:tcPr>
            <w:tcW w:w="1134" w:type="dxa"/>
          </w:tcPr>
          <w:p w:rsidR="008231D5" w:rsidRPr="001416ED" w:rsidRDefault="00CA2EC8" w:rsidP="00AB005A">
            <w:pPr>
              <w:spacing w:line="360" w:lineRule="auto"/>
              <w:ind w:right="-18"/>
              <w:jc w:val="center"/>
              <w:rPr>
                <w:rFonts w:eastAsiaTheme="minorHAnsi"/>
                <w:kern w:val="11"/>
                <w:lang w:val="uk-UA" w:eastAsia="en-US"/>
              </w:rPr>
            </w:pPr>
            <w:r w:rsidRPr="001416ED">
              <w:rPr>
                <w:rFonts w:eastAsiaTheme="minorHAnsi"/>
                <w:kern w:val="11"/>
                <w:lang w:val="uk-UA" w:eastAsia="en-US"/>
              </w:rPr>
              <w:t>57,58</w:t>
            </w:r>
            <w:r w:rsidR="00D4219F" w:rsidRPr="001416ED">
              <w:rPr>
                <w:rFonts w:eastAsiaTheme="minorHAnsi"/>
                <w:kern w:val="11"/>
                <w:lang w:eastAsia="en-US"/>
              </w:rPr>
              <w:t xml:space="preserve"> %</w:t>
            </w:r>
            <w:r w:rsidRPr="001416ED">
              <w:rPr>
                <w:rFonts w:eastAsiaTheme="minorHAnsi"/>
                <w:kern w:val="11"/>
                <w:lang w:eastAsia="en-US"/>
              </w:rPr>
              <w:t xml:space="preserve"> </w:t>
            </w:r>
            <w:r w:rsidRPr="001416ED">
              <w:rPr>
                <w:rFonts w:eastAsiaTheme="minorHAnsi"/>
                <w:kern w:val="11"/>
                <w:lang w:val="uk-UA" w:eastAsia="en-US"/>
              </w:rPr>
              <w:t>(</w:t>
            </w:r>
            <w:r w:rsidRPr="001416ED">
              <w:rPr>
                <w:rFonts w:eastAsiaTheme="minorHAnsi"/>
                <w:kern w:val="11"/>
                <w:lang w:val="en-US" w:eastAsia="en-US"/>
              </w:rPr>
              <w:t>n</w:t>
            </w:r>
            <w:r w:rsidRPr="001416ED">
              <w:rPr>
                <w:rFonts w:eastAsiaTheme="minorHAnsi"/>
                <w:kern w:val="11"/>
                <w:lang w:eastAsia="en-US"/>
              </w:rPr>
              <w:t>=</w:t>
            </w:r>
            <w:r w:rsidRPr="001416ED">
              <w:rPr>
                <w:rFonts w:eastAsiaTheme="minorHAnsi"/>
                <w:kern w:val="11"/>
                <w:lang w:val="uk-UA" w:eastAsia="en-US"/>
              </w:rPr>
              <w:t>19)</w:t>
            </w:r>
          </w:p>
        </w:tc>
        <w:tc>
          <w:tcPr>
            <w:tcW w:w="1275" w:type="dxa"/>
          </w:tcPr>
          <w:p w:rsidR="008231D5" w:rsidRPr="001416ED" w:rsidRDefault="00CA2EC8" w:rsidP="00CA2EC8">
            <w:pPr>
              <w:spacing w:line="360" w:lineRule="auto"/>
              <w:ind w:right="-18"/>
              <w:jc w:val="center"/>
              <w:rPr>
                <w:rFonts w:eastAsiaTheme="minorHAnsi"/>
                <w:kern w:val="11"/>
                <w:lang w:eastAsia="en-US"/>
              </w:rPr>
            </w:pPr>
            <w:r w:rsidRPr="001416ED">
              <w:rPr>
                <w:rFonts w:eastAsiaTheme="minorHAnsi"/>
                <w:kern w:val="11"/>
                <w:lang w:val="uk-UA" w:eastAsia="en-US"/>
              </w:rPr>
              <w:t>82,35</w:t>
            </w:r>
            <w:r w:rsidR="00D4219F" w:rsidRPr="001416ED">
              <w:rPr>
                <w:rFonts w:eastAsiaTheme="minorHAnsi"/>
                <w:kern w:val="11"/>
                <w:lang w:eastAsia="en-US"/>
              </w:rPr>
              <w:t xml:space="preserve"> %</w:t>
            </w:r>
            <w:r w:rsidR="008231D5" w:rsidRPr="001416ED">
              <w:rPr>
                <w:rFonts w:eastAsiaTheme="minorHAnsi"/>
                <w:kern w:val="11"/>
                <w:lang w:eastAsia="en-US"/>
              </w:rPr>
              <w:t xml:space="preserve"> </w:t>
            </w:r>
            <w:r w:rsidR="008231D5" w:rsidRPr="001416ED">
              <w:rPr>
                <w:rFonts w:eastAsiaTheme="minorHAnsi"/>
                <w:kern w:val="11"/>
                <w:lang w:val="uk-UA" w:eastAsia="en-US"/>
              </w:rPr>
              <w:t>(</w:t>
            </w:r>
            <w:r w:rsidR="008231D5" w:rsidRPr="001416ED">
              <w:rPr>
                <w:rFonts w:eastAsiaTheme="minorHAnsi"/>
                <w:kern w:val="11"/>
                <w:lang w:val="en-US" w:eastAsia="en-US"/>
              </w:rPr>
              <w:t>n</w:t>
            </w:r>
            <w:r w:rsidR="008231D5" w:rsidRPr="001416ED">
              <w:rPr>
                <w:rFonts w:eastAsiaTheme="minorHAnsi"/>
                <w:kern w:val="11"/>
                <w:lang w:eastAsia="en-US"/>
              </w:rPr>
              <w:t>=</w:t>
            </w:r>
            <w:r w:rsidRPr="001416ED">
              <w:rPr>
                <w:rFonts w:eastAsiaTheme="minorHAnsi"/>
                <w:kern w:val="11"/>
                <w:lang w:val="uk-UA" w:eastAsia="en-US"/>
              </w:rPr>
              <w:t>14</w:t>
            </w:r>
            <w:r w:rsidR="008231D5" w:rsidRPr="001416ED">
              <w:rPr>
                <w:rFonts w:eastAsiaTheme="minorHAnsi"/>
                <w:kern w:val="11"/>
                <w:lang w:val="uk-UA" w:eastAsia="en-US"/>
              </w:rPr>
              <w:t>)</w:t>
            </w:r>
          </w:p>
        </w:tc>
        <w:tc>
          <w:tcPr>
            <w:tcW w:w="1134" w:type="dxa"/>
          </w:tcPr>
          <w:p w:rsidR="008231D5" w:rsidRPr="001416ED" w:rsidRDefault="00CA2EC8" w:rsidP="00CA2EC8">
            <w:pPr>
              <w:spacing w:line="360" w:lineRule="auto"/>
              <w:ind w:right="-18"/>
              <w:jc w:val="center"/>
              <w:rPr>
                <w:rFonts w:eastAsiaTheme="minorHAnsi"/>
                <w:kern w:val="11"/>
                <w:lang w:val="uk-UA" w:eastAsia="en-US"/>
              </w:rPr>
            </w:pPr>
            <w:r w:rsidRPr="001416ED">
              <w:rPr>
                <w:rFonts w:eastAsiaTheme="minorHAnsi"/>
                <w:kern w:val="11"/>
                <w:lang w:val="uk-UA" w:eastAsia="en-US"/>
              </w:rPr>
              <w:t>1</w:t>
            </w:r>
            <w:r w:rsidR="008231D5" w:rsidRPr="001416ED">
              <w:rPr>
                <w:rFonts w:eastAsiaTheme="minorHAnsi"/>
                <w:kern w:val="11"/>
                <w:lang w:eastAsia="en-US"/>
              </w:rPr>
              <w:t>2,</w:t>
            </w:r>
            <w:r w:rsidRPr="001416ED">
              <w:rPr>
                <w:rFonts w:eastAsiaTheme="minorHAnsi"/>
                <w:kern w:val="11"/>
                <w:lang w:val="uk-UA" w:eastAsia="en-US"/>
              </w:rPr>
              <w:t>12</w:t>
            </w:r>
            <w:r w:rsidR="00D4219F" w:rsidRPr="001416ED">
              <w:rPr>
                <w:rFonts w:eastAsiaTheme="minorHAnsi"/>
                <w:kern w:val="11"/>
                <w:lang w:val="uk-UA" w:eastAsia="en-US"/>
              </w:rPr>
              <w:t xml:space="preserve"> %</w:t>
            </w:r>
            <w:r w:rsidR="008231D5" w:rsidRPr="001416ED">
              <w:rPr>
                <w:rFonts w:eastAsiaTheme="minorHAnsi"/>
                <w:kern w:val="11"/>
                <w:lang w:val="uk-UA" w:eastAsia="en-US"/>
              </w:rPr>
              <w:t xml:space="preserve"> (</w:t>
            </w:r>
            <w:r w:rsidR="008231D5" w:rsidRPr="001416ED">
              <w:rPr>
                <w:rFonts w:eastAsiaTheme="minorHAnsi"/>
                <w:kern w:val="11"/>
                <w:lang w:val="en-US" w:eastAsia="en-US"/>
              </w:rPr>
              <w:t>n</w:t>
            </w:r>
            <w:r w:rsidR="008231D5" w:rsidRPr="001416ED">
              <w:rPr>
                <w:rFonts w:eastAsiaTheme="minorHAnsi"/>
                <w:kern w:val="11"/>
                <w:lang w:eastAsia="en-US"/>
              </w:rPr>
              <w:t>=</w:t>
            </w:r>
            <w:r w:rsidRPr="001416ED">
              <w:rPr>
                <w:rFonts w:eastAsiaTheme="minorHAnsi"/>
                <w:kern w:val="11"/>
                <w:lang w:val="uk-UA" w:eastAsia="en-US"/>
              </w:rPr>
              <w:t>4</w:t>
            </w:r>
            <w:r w:rsidR="008231D5" w:rsidRPr="001416ED">
              <w:rPr>
                <w:rFonts w:eastAsiaTheme="minorHAnsi"/>
                <w:kern w:val="11"/>
                <w:lang w:val="uk-UA" w:eastAsia="en-US"/>
              </w:rPr>
              <w:t xml:space="preserve">) </w:t>
            </w:r>
          </w:p>
        </w:tc>
        <w:tc>
          <w:tcPr>
            <w:tcW w:w="1276" w:type="dxa"/>
          </w:tcPr>
          <w:p w:rsidR="008231D5" w:rsidRPr="001416ED" w:rsidRDefault="00CA2EC8" w:rsidP="00AB005A">
            <w:pPr>
              <w:spacing w:line="360" w:lineRule="auto"/>
              <w:ind w:right="-18"/>
              <w:jc w:val="center"/>
              <w:rPr>
                <w:rFonts w:eastAsiaTheme="minorHAnsi"/>
                <w:kern w:val="11"/>
                <w:lang w:eastAsia="en-US"/>
              </w:rPr>
            </w:pPr>
            <w:r w:rsidRPr="001416ED">
              <w:rPr>
                <w:rFonts w:eastAsiaTheme="minorHAnsi"/>
                <w:kern w:val="11"/>
                <w:lang w:val="uk-UA" w:eastAsia="en-US"/>
              </w:rPr>
              <w:t>5,88</w:t>
            </w:r>
            <w:r w:rsidR="00D4219F" w:rsidRPr="001416ED">
              <w:rPr>
                <w:rFonts w:eastAsiaTheme="minorHAnsi"/>
                <w:kern w:val="11"/>
                <w:lang w:eastAsia="en-US"/>
              </w:rPr>
              <w:t xml:space="preserve"> %</w:t>
            </w:r>
            <w:r w:rsidR="008231D5" w:rsidRPr="001416ED">
              <w:rPr>
                <w:rFonts w:eastAsiaTheme="minorHAnsi"/>
                <w:kern w:val="11"/>
                <w:lang w:eastAsia="en-US"/>
              </w:rPr>
              <w:t xml:space="preserve"> </w:t>
            </w:r>
            <w:r w:rsidR="008231D5" w:rsidRPr="001416ED">
              <w:rPr>
                <w:rFonts w:eastAsiaTheme="minorHAnsi"/>
                <w:kern w:val="11"/>
                <w:lang w:val="uk-UA" w:eastAsia="en-US"/>
              </w:rPr>
              <w:t>(</w:t>
            </w:r>
            <w:r w:rsidR="008231D5" w:rsidRPr="001416ED">
              <w:rPr>
                <w:rFonts w:eastAsiaTheme="minorHAnsi"/>
                <w:kern w:val="11"/>
                <w:lang w:val="en-US" w:eastAsia="en-US"/>
              </w:rPr>
              <w:t>n</w:t>
            </w:r>
            <w:r w:rsidR="008231D5" w:rsidRPr="001416ED">
              <w:rPr>
                <w:rFonts w:eastAsiaTheme="minorHAnsi"/>
                <w:kern w:val="11"/>
                <w:lang w:eastAsia="en-US"/>
              </w:rPr>
              <w:t>=1</w:t>
            </w:r>
            <w:r w:rsidR="008231D5" w:rsidRPr="001416ED">
              <w:rPr>
                <w:rFonts w:eastAsiaTheme="minorHAnsi"/>
                <w:kern w:val="11"/>
                <w:lang w:val="uk-UA" w:eastAsia="en-US"/>
              </w:rPr>
              <w:t>)</w:t>
            </w:r>
          </w:p>
        </w:tc>
        <w:tc>
          <w:tcPr>
            <w:tcW w:w="1843" w:type="dxa"/>
          </w:tcPr>
          <w:p w:rsidR="002C776A" w:rsidRPr="001416ED" w:rsidRDefault="008231D5" w:rsidP="00770545">
            <w:pPr>
              <w:spacing w:line="360" w:lineRule="auto"/>
              <w:ind w:right="-18"/>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3</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00AB005A" w:rsidRPr="001416ED">
              <w:rPr>
                <w:rFonts w:eastAsiaTheme="minorHAnsi"/>
                <w:kern w:val="11"/>
                <w:vertAlign w:val="subscript"/>
                <w:lang w:eastAsia="en-US"/>
              </w:rPr>
              <w:t>&amp;</w:t>
            </w:r>
            <w:r w:rsidRPr="001416ED">
              <w:rPr>
                <w:rFonts w:eastAsiaTheme="minorHAnsi"/>
                <w:kern w:val="11"/>
                <w:vertAlign w:val="subscript"/>
                <w:lang w:val="uk-UA" w:eastAsia="en-US"/>
              </w:rPr>
              <w:t>;</w:t>
            </w:r>
            <w:r w:rsidRPr="001416ED">
              <w:rPr>
                <w:rFonts w:eastAsiaTheme="minorHAnsi"/>
                <w:kern w:val="11"/>
                <w:lang w:val="uk-UA" w:eastAsia="en-US"/>
              </w:rPr>
              <w:t>р</w:t>
            </w:r>
            <w:r w:rsidRPr="001416ED">
              <w:rPr>
                <w:rFonts w:eastAsiaTheme="minorHAnsi"/>
                <w:kern w:val="11"/>
                <w:vertAlign w:val="subscript"/>
                <w:lang w:val="uk-UA" w:eastAsia="en-US"/>
              </w:rPr>
              <w:t>5</w:t>
            </w:r>
            <w:r w:rsidR="00BC0119" w:rsidRPr="001416ED">
              <w:rPr>
                <w:rFonts w:eastAsiaTheme="minorHAnsi"/>
                <w:kern w:val="11"/>
                <w:vertAlign w:val="subscript"/>
                <w:lang w:val="uk-UA" w:eastAsia="en-US"/>
              </w:rPr>
              <w:t>–</w:t>
            </w:r>
            <w:r w:rsidRPr="001416ED">
              <w:rPr>
                <w:rFonts w:eastAsiaTheme="minorHAnsi"/>
                <w:kern w:val="11"/>
                <w:vertAlign w:val="subscript"/>
                <w:lang w:val="uk-UA" w:eastAsia="en-US"/>
              </w:rPr>
              <w:t>1</w:t>
            </w:r>
            <w:r w:rsidR="00AB005A" w:rsidRPr="001416ED">
              <w:rPr>
                <w:rFonts w:eastAsiaTheme="minorHAnsi"/>
                <w:kern w:val="11"/>
                <w:vertAlign w:val="subscript"/>
                <w:lang w:eastAsia="en-US"/>
              </w:rPr>
              <w:t>&amp;</w:t>
            </w:r>
            <w:r w:rsidRPr="001416ED">
              <w:rPr>
                <w:rFonts w:eastAsiaTheme="minorHAnsi"/>
                <w:kern w:val="11"/>
                <w:vertAlign w:val="subscript"/>
                <w:lang w:val="uk-UA" w:eastAsia="en-US"/>
              </w:rPr>
              <w:t>;</w:t>
            </w:r>
            <w:r w:rsidR="00AB005A" w:rsidRPr="001416ED">
              <w:rPr>
                <w:rFonts w:eastAsiaTheme="minorHAnsi"/>
                <w:kern w:val="11"/>
                <w:lang w:val="uk-UA" w:eastAsia="en-US"/>
              </w:rPr>
              <w:t xml:space="preserve"> </w:t>
            </w:r>
          </w:p>
          <w:p w:rsidR="00D058DE" w:rsidRPr="001416ED" w:rsidRDefault="00AB005A" w:rsidP="00770545">
            <w:pPr>
              <w:spacing w:line="360" w:lineRule="auto"/>
              <w:ind w:right="-18"/>
              <w:rPr>
                <w:rFonts w:eastAsiaTheme="minorHAnsi"/>
                <w:kern w:val="11"/>
                <w:vertAlign w:val="subscript"/>
                <w:lang w:val="uk-UA" w:eastAsia="en-US"/>
              </w:rPr>
            </w:pPr>
            <w:r w:rsidRPr="001416ED">
              <w:rPr>
                <w:rFonts w:eastAsiaTheme="minorHAnsi"/>
                <w:kern w:val="11"/>
                <w:lang w:val="uk-UA" w:eastAsia="en-US"/>
              </w:rPr>
              <w:t>р</w:t>
            </w:r>
            <w:r w:rsidRPr="001416ED">
              <w:rPr>
                <w:rFonts w:eastAsiaTheme="minorHAnsi"/>
                <w:kern w:val="11"/>
                <w:vertAlign w:val="subscript"/>
                <w:lang w:val="uk-UA" w:eastAsia="en-US"/>
              </w:rPr>
              <w:t>5</w:t>
            </w:r>
            <w:r w:rsidR="00BC0119" w:rsidRPr="001416ED">
              <w:rPr>
                <w:rFonts w:eastAsiaTheme="minorHAnsi"/>
                <w:kern w:val="11"/>
                <w:vertAlign w:val="subscript"/>
                <w:lang w:val="uk-UA" w:eastAsia="en-US"/>
              </w:rPr>
              <w:t>–</w:t>
            </w:r>
            <w:r w:rsidRPr="001416ED">
              <w:rPr>
                <w:rFonts w:eastAsiaTheme="minorHAnsi"/>
                <w:kern w:val="11"/>
                <w:vertAlign w:val="subscript"/>
                <w:lang w:eastAsia="en-US"/>
              </w:rPr>
              <w:t>3</w:t>
            </w:r>
            <w:r w:rsidRPr="001416ED">
              <w:rPr>
                <w:rFonts w:eastAsiaTheme="minorHAnsi"/>
                <w:kern w:val="11"/>
                <w:vertAlign w:val="subscript"/>
                <w:lang w:val="uk-UA" w:eastAsia="en-US"/>
              </w:rPr>
              <w:t>*</w:t>
            </w:r>
            <w:r w:rsidR="00770545" w:rsidRPr="001416ED">
              <w:rPr>
                <w:rFonts w:eastAsiaTheme="minorHAnsi"/>
                <w:kern w:val="11"/>
                <w:vertAlign w:val="subscript"/>
                <w:lang w:val="uk-UA" w:eastAsia="en-US"/>
              </w:rPr>
              <w:t>;</w:t>
            </w:r>
            <w:r w:rsidR="008231D5" w:rsidRPr="001416ED">
              <w:rPr>
                <w:rFonts w:eastAsiaTheme="minorHAnsi"/>
                <w:kern w:val="11"/>
                <w:lang w:val="uk-UA" w:eastAsia="en-US"/>
              </w:rPr>
              <w:t>р</w:t>
            </w:r>
            <w:r w:rsidR="008231D5" w:rsidRPr="001416ED">
              <w:rPr>
                <w:rFonts w:eastAsiaTheme="minorHAnsi"/>
                <w:kern w:val="11"/>
                <w:vertAlign w:val="subscript"/>
                <w:lang w:val="uk-UA" w:eastAsia="en-US"/>
              </w:rPr>
              <w:t>4</w:t>
            </w:r>
            <w:r w:rsidR="00BC0119" w:rsidRPr="001416ED">
              <w:rPr>
                <w:rFonts w:eastAsiaTheme="minorHAnsi"/>
                <w:kern w:val="11"/>
                <w:vertAlign w:val="subscript"/>
                <w:lang w:val="uk-UA" w:eastAsia="en-US"/>
              </w:rPr>
              <w:t>–</w:t>
            </w:r>
            <w:r w:rsidR="008231D5" w:rsidRPr="001416ED">
              <w:rPr>
                <w:rFonts w:eastAsiaTheme="minorHAnsi"/>
                <w:kern w:val="11"/>
                <w:vertAlign w:val="subscript"/>
                <w:lang w:val="uk-UA" w:eastAsia="en-US"/>
              </w:rPr>
              <w:t xml:space="preserve">2*; </w:t>
            </w:r>
          </w:p>
          <w:p w:rsidR="008231D5" w:rsidRPr="001416ED" w:rsidRDefault="00AB005A" w:rsidP="00770545">
            <w:pPr>
              <w:spacing w:line="360" w:lineRule="auto"/>
              <w:ind w:right="-18"/>
              <w:rPr>
                <w:rFonts w:eastAsiaTheme="minorHAnsi"/>
                <w:kern w:val="11"/>
                <w:lang w:val="uk-UA" w:eastAsia="en-US"/>
              </w:rPr>
            </w:pPr>
            <w:r w:rsidRPr="001416ED">
              <w:rPr>
                <w:rFonts w:eastAsiaTheme="minorHAnsi"/>
                <w:kern w:val="11"/>
                <w:lang w:val="uk-UA" w:eastAsia="en-US"/>
              </w:rPr>
              <w:t>р</w:t>
            </w:r>
            <w:r w:rsidRPr="001416ED">
              <w:rPr>
                <w:rFonts w:eastAsiaTheme="minorHAnsi"/>
                <w:kern w:val="11"/>
                <w:vertAlign w:val="subscript"/>
                <w:lang w:eastAsia="en-US"/>
              </w:rPr>
              <w:t>6</w:t>
            </w:r>
            <w:r w:rsidR="00BC0119" w:rsidRPr="001416ED">
              <w:rPr>
                <w:rFonts w:eastAsiaTheme="minorHAnsi"/>
                <w:kern w:val="11"/>
                <w:vertAlign w:val="subscript"/>
                <w:lang w:val="uk-UA" w:eastAsia="en-US"/>
              </w:rPr>
              <w:t>–</w:t>
            </w:r>
            <w:r w:rsidRPr="001416ED">
              <w:rPr>
                <w:rFonts w:eastAsiaTheme="minorHAnsi"/>
                <w:kern w:val="11"/>
                <w:vertAlign w:val="subscript"/>
                <w:lang w:eastAsia="en-US"/>
              </w:rPr>
              <w:t>4</w:t>
            </w:r>
            <w:r w:rsidRPr="001416ED">
              <w:rPr>
                <w:rFonts w:eastAsiaTheme="minorHAnsi"/>
                <w:kern w:val="11"/>
                <w:vertAlign w:val="subscript"/>
                <w:lang w:val="uk-UA" w:eastAsia="en-US"/>
              </w:rPr>
              <w:t>*</w:t>
            </w:r>
          </w:p>
        </w:tc>
      </w:tr>
    </w:tbl>
    <w:p w:rsidR="00AB005A" w:rsidRPr="001416ED" w:rsidRDefault="00AB005A" w:rsidP="00EA5076">
      <w:pPr>
        <w:spacing w:before="240" w:line="360" w:lineRule="auto"/>
        <w:rPr>
          <w:lang w:val="uk-UA"/>
        </w:rPr>
      </w:pPr>
      <w:r w:rsidRPr="001416ED">
        <w:rPr>
          <w:lang w:val="uk-UA"/>
        </w:rPr>
        <w:t>Примітка:</w:t>
      </w:r>
      <w:r w:rsidRPr="001416ED">
        <w:rPr>
          <w:i/>
          <w:lang w:val="uk-UA"/>
        </w:rPr>
        <w:t xml:space="preserve"> </w:t>
      </w:r>
      <w:r w:rsidRPr="001416ED">
        <w:rPr>
          <w:lang w:val="uk-UA"/>
        </w:rPr>
        <w:t xml:space="preserve">різниця достовірна * </w:t>
      </w:r>
      <w:r w:rsidR="00BC0119" w:rsidRPr="001416ED">
        <w:rPr>
          <w:lang w:val="uk-UA"/>
        </w:rPr>
        <w:t>–</w:t>
      </w:r>
      <w:r w:rsidRPr="001416ED">
        <w:rPr>
          <w:lang w:val="uk-UA"/>
        </w:rPr>
        <w:t xml:space="preserve"> при р</w:t>
      </w:r>
      <w:r w:rsidR="007623CA" w:rsidRPr="001416ED">
        <w:rPr>
          <w:lang w:val="uk-UA"/>
        </w:rPr>
        <w:t>˂</w:t>
      </w:r>
      <w:r w:rsidRPr="001416ED">
        <w:rPr>
          <w:lang w:val="uk-UA"/>
        </w:rPr>
        <w:t xml:space="preserve">0,001, </w:t>
      </w:r>
      <w:r w:rsidRPr="001416ED">
        <w:t>&amp;</w:t>
      </w:r>
      <w:r w:rsidRPr="001416ED">
        <w:rPr>
          <w:lang w:val="uk-UA"/>
        </w:rPr>
        <w:t xml:space="preserve"> </w:t>
      </w:r>
      <w:r w:rsidR="00BC0119" w:rsidRPr="001416ED">
        <w:rPr>
          <w:lang w:val="uk-UA"/>
        </w:rPr>
        <w:t>–</w:t>
      </w:r>
      <w:r w:rsidRPr="001416ED">
        <w:rPr>
          <w:lang w:val="uk-UA"/>
        </w:rPr>
        <w:t xml:space="preserve"> при р</w:t>
      </w:r>
      <w:r w:rsidR="007623CA" w:rsidRPr="001416ED">
        <w:rPr>
          <w:lang w:val="uk-UA"/>
        </w:rPr>
        <w:t>˂</w:t>
      </w:r>
      <w:r w:rsidRPr="001416ED">
        <w:rPr>
          <w:lang w:val="uk-UA"/>
        </w:rPr>
        <w:t>0,05</w:t>
      </w:r>
    </w:p>
    <w:p w:rsidR="004F6BB9" w:rsidRPr="001416ED" w:rsidRDefault="00770545" w:rsidP="00933839">
      <w:pPr>
        <w:spacing w:before="240" w:line="360" w:lineRule="auto"/>
        <w:ind w:firstLine="709"/>
        <w:jc w:val="both"/>
        <w:rPr>
          <w:rFonts w:eastAsiaTheme="minorHAnsi"/>
          <w:lang w:val="uk-UA" w:eastAsia="en-US"/>
        </w:rPr>
      </w:pPr>
      <w:r w:rsidRPr="001416ED">
        <w:rPr>
          <w:lang w:val="uk-UA"/>
        </w:rPr>
        <w:t xml:space="preserve">Встановлено, що у осіб з </w:t>
      </w:r>
      <w:r w:rsidR="00CE799B" w:rsidRPr="001416ED">
        <w:rPr>
          <w:lang w:val="uk-UA"/>
        </w:rPr>
        <w:t>ГХ ІІІ ст.</w:t>
      </w:r>
      <w:r w:rsidRPr="001416ED">
        <w:rPr>
          <w:lang w:val="uk-UA"/>
        </w:rPr>
        <w:t xml:space="preserve"> – носіїв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xml:space="preserve"> та алелі </w:t>
      </w:r>
      <w:r w:rsidRPr="001416ED">
        <w:rPr>
          <w:rFonts w:eastAsiaTheme="minorHAnsi"/>
          <w:lang w:val="en-US" w:eastAsia="en-US"/>
        </w:rPr>
        <w:t>Asn</w:t>
      </w:r>
      <w:r w:rsidRPr="001416ED">
        <w:rPr>
          <w:rFonts w:eastAsiaTheme="minorHAnsi"/>
          <w:lang w:val="uk-UA" w:eastAsia="en-US"/>
        </w:rPr>
        <w:t xml:space="preserve"> вірогідно частіше виявля</w:t>
      </w:r>
      <w:r w:rsidR="007623CA" w:rsidRPr="001416ED">
        <w:rPr>
          <w:rFonts w:eastAsiaTheme="minorHAnsi"/>
          <w:lang w:val="uk-UA" w:eastAsia="en-US"/>
        </w:rPr>
        <w:t>ли</w:t>
      </w:r>
      <w:r w:rsidRPr="001416ED">
        <w:rPr>
          <w:rFonts w:eastAsiaTheme="minorHAnsi"/>
          <w:lang w:val="uk-UA" w:eastAsia="en-US"/>
        </w:rPr>
        <w:t xml:space="preserve"> </w:t>
      </w:r>
      <w:r w:rsidR="00B6209A" w:rsidRPr="001416ED">
        <w:rPr>
          <w:rFonts w:eastAsiaTheme="minorHAnsi"/>
          <w:lang w:val="uk-UA" w:eastAsia="en-US"/>
        </w:rPr>
        <w:t>псевдо</w:t>
      </w:r>
      <w:r w:rsidR="00763125" w:rsidRPr="001416ED">
        <w:rPr>
          <w:rFonts w:eastAsiaTheme="minorHAnsi"/>
          <w:lang w:val="uk-UA" w:eastAsia="en-US"/>
        </w:rPr>
        <w:t>нормальний тип ТМК</w:t>
      </w:r>
      <w:r w:rsidRPr="001416ED">
        <w:rPr>
          <w:rFonts w:eastAsiaTheme="minorHAnsi"/>
          <w:lang w:val="uk-UA" w:eastAsia="en-US"/>
        </w:rPr>
        <w:t xml:space="preserve">, проте різниці між носіями </w:t>
      </w:r>
      <w:r w:rsidR="00E6164F">
        <w:rPr>
          <w:rFonts w:eastAsiaTheme="minorHAnsi"/>
          <w:lang w:val="uk-UA" w:eastAsia="en-US"/>
        </w:rPr>
        <w:t>поліморфних варіантів гена ЕТ–1</w:t>
      </w:r>
      <w:r w:rsidRPr="001416ED">
        <w:rPr>
          <w:rFonts w:eastAsiaTheme="minorHAnsi"/>
          <w:lang w:val="uk-UA" w:eastAsia="en-US"/>
        </w:rPr>
        <w:t xml:space="preserve"> не </w:t>
      </w:r>
      <w:r w:rsidR="00B6209A" w:rsidRPr="001416ED">
        <w:rPr>
          <w:rFonts w:eastAsiaTheme="minorHAnsi"/>
          <w:lang w:val="uk-UA" w:eastAsia="en-US"/>
        </w:rPr>
        <w:t>виявлено</w:t>
      </w:r>
      <w:r w:rsidRPr="001416ED">
        <w:rPr>
          <w:rFonts w:eastAsiaTheme="minorHAnsi"/>
          <w:lang w:val="uk-UA" w:eastAsia="en-US"/>
        </w:rPr>
        <w:t xml:space="preserve">. Порівнюючи отримані дані з пацієнтами з ГХ ІІ ст., де частіше зустрічається </w:t>
      </w:r>
      <w:r w:rsidR="00763125" w:rsidRPr="001416ED">
        <w:rPr>
          <w:rFonts w:eastAsiaTheme="minorHAnsi"/>
          <w:lang w:val="uk-UA" w:eastAsia="en-US"/>
        </w:rPr>
        <w:t>нормальний тип ТМК</w:t>
      </w:r>
      <w:r w:rsidRPr="001416ED">
        <w:rPr>
          <w:rFonts w:eastAsiaTheme="minorHAnsi"/>
          <w:lang w:val="uk-UA" w:eastAsia="en-US"/>
        </w:rPr>
        <w:t xml:space="preserve">, можна підсумувати, що у чоловіків з </w:t>
      </w:r>
      <w:r w:rsidR="00CE799B" w:rsidRPr="001416ED">
        <w:rPr>
          <w:rFonts w:eastAsiaTheme="minorHAnsi"/>
          <w:lang w:val="uk-UA" w:eastAsia="en-US"/>
        </w:rPr>
        <w:t xml:space="preserve">ГХ ІІІ ст. </w:t>
      </w:r>
      <w:r w:rsidRPr="001416ED">
        <w:rPr>
          <w:rFonts w:eastAsiaTheme="minorHAnsi"/>
          <w:lang w:val="uk-UA" w:eastAsia="en-US"/>
        </w:rPr>
        <w:t>гемодинамічні показники мають несприятливий прогноз.</w:t>
      </w:r>
    </w:p>
    <w:p w:rsidR="00933839" w:rsidRPr="001416ED" w:rsidRDefault="00933839" w:rsidP="004F6BB9">
      <w:pPr>
        <w:spacing w:line="360" w:lineRule="auto"/>
        <w:ind w:firstLine="709"/>
        <w:jc w:val="both"/>
        <w:rPr>
          <w:lang w:val="uk-UA"/>
        </w:rPr>
      </w:pPr>
      <w:r w:rsidRPr="001416ED">
        <w:rPr>
          <w:rFonts w:eastAsiaTheme="minorHAnsi"/>
          <w:lang w:val="uk-UA" w:eastAsia="en-US"/>
        </w:rPr>
        <w:lastRenderedPageBreak/>
        <w:t xml:space="preserve"> Варіанти розподілу типів ТМК у осіб з </w:t>
      </w:r>
      <w:r w:rsidR="00A63A7A" w:rsidRPr="001416ED">
        <w:rPr>
          <w:rFonts w:eastAsiaTheme="minorHAnsi"/>
          <w:lang w:val="uk-UA" w:eastAsia="en-US"/>
        </w:rPr>
        <w:t>ГХ ІІІ ст</w:t>
      </w:r>
      <w:r w:rsidR="007623CA" w:rsidRPr="001416ED">
        <w:rPr>
          <w:rFonts w:eastAsiaTheme="minorHAnsi"/>
          <w:lang w:val="uk-UA" w:eastAsia="en-US"/>
        </w:rPr>
        <w:t>.</w:t>
      </w:r>
      <w:r w:rsidR="00CE799B" w:rsidRPr="001416ED">
        <w:rPr>
          <w:rFonts w:eastAsiaTheme="minorHAnsi"/>
          <w:lang w:val="uk-UA" w:eastAsia="en-US"/>
        </w:rPr>
        <w:t xml:space="preserve"> </w:t>
      </w:r>
      <w:r w:rsidR="004F6BB9" w:rsidRPr="001416ED">
        <w:rPr>
          <w:rFonts w:eastAsiaTheme="minorHAnsi"/>
          <w:lang w:val="uk-UA" w:eastAsia="en-US"/>
        </w:rPr>
        <w:t xml:space="preserve">при різній </w:t>
      </w:r>
      <w:r w:rsidR="007623CA" w:rsidRPr="001416ED">
        <w:rPr>
          <w:rFonts w:eastAsiaTheme="minorHAnsi"/>
          <w:lang w:val="uk-UA" w:eastAsia="en-US"/>
        </w:rPr>
        <w:t>ФВ</w:t>
      </w:r>
      <w:r w:rsidR="004F6BB9" w:rsidRPr="001416ED">
        <w:rPr>
          <w:rFonts w:eastAsiaTheme="minorHAnsi"/>
          <w:lang w:val="uk-UA" w:eastAsia="en-US"/>
        </w:rPr>
        <w:t xml:space="preserve"> ЛШ</w:t>
      </w:r>
      <w:r w:rsidRPr="001416ED">
        <w:rPr>
          <w:rFonts w:eastAsiaTheme="minorHAnsi"/>
          <w:lang w:val="uk-UA" w:eastAsia="en-US"/>
        </w:rPr>
        <w:t xml:space="preserve"> показані на рис. 5.</w:t>
      </w:r>
      <w:r w:rsidR="001F5782" w:rsidRPr="001416ED">
        <w:rPr>
          <w:rFonts w:eastAsiaTheme="minorHAnsi"/>
          <w:lang w:val="uk-UA" w:eastAsia="en-US"/>
        </w:rPr>
        <w:t>3</w:t>
      </w:r>
      <w:r w:rsidRPr="001416ED">
        <w:rPr>
          <w:rFonts w:eastAsiaTheme="minorHAnsi"/>
          <w:lang w:val="uk-UA" w:eastAsia="en-US"/>
        </w:rPr>
        <w:t>.</w:t>
      </w:r>
      <w:r w:rsidR="004F6BB9" w:rsidRPr="001416ED">
        <w:rPr>
          <w:rFonts w:eastAsiaTheme="minorHAnsi"/>
          <w:lang w:val="uk-UA" w:eastAsia="en-US"/>
        </w:rPr>
        <w:t xml:space="preserve"> </w:t>
      </w:r>
    </w:p>
    <w:p w:rsidR="00C076D2" w:rsidRPr="001416ED" w:rsidRDefault="00933839" w:rsidP="00237F9C">
      <w:pPr>
        <w:spacing w:line="360" w:lineRule="auto"/>
        <w:ind w:firstLine="709"/>
        <w:jc w:val="both"/>
        <w:rPr>
          <w:lang w:val="uk-UA"/>
        </w:rPr>
      </w:pPr>
      <w:r w:rsidRPr="001416ED">
        <w:rPr>
          <w:noProof/>
          <w:lang w:val="uk-UA" w:eastAsia="uk-UA"/>
        </w:rPr>
        <w:drawing>
          <wp:inline distT="0" distB="0" distL="0" distR="0" wp14:anchorId="2C75A9C3" wp14:editId="38FE5AE8">
            <wp:extent cx="5854890" cy="1917510"/>
            <wp:effectExtent l="0" t="0" r="0"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1E0F" w:rsidRPr="001416ED" w:rsidRDefault="009E1E0F" w:rsidP="009E1E0F">
      <w:pPr>
        <w:spacing w:before="100" w:line="360" w:lineRule="auto"/>
        <w:ind w:firstLine="708"/>
        <w:jc w:val="both"/>
        <w:rPr>
          <w:b/>
          <w:lang w:val="uk-UA"/>
        </w:rPr>
      </w:pPr>
      <w:r w:rsidRPr="001416ED">
        <w:rPr>
          <w:rFonts w:eastAsia="MS Mincho"/>
          <w:b/>
          <w:lang w:val="uk-UA" w:eastAsia="ja-JP"/>
        </w:rPr>
        <w:t>Рис. 5.</w:t>
      </w:r>
      <w:r w:rsidR="001F5782" w:rsidRPr="001416ED">
        <w:rPr>
          <w:rFonts w:eastAsia="MS Mincho"/>
          <w:b/>
          <w:lang w:val="uk-UA" w:eastAsia="ja-JP"/>
        </w:rPr>
        <w:t>3</w:t>
      </w:r>
      <w:r w:rsidRPr="001416ED">
        <w:rPr>
          <w:rFonts w:eastAsia="MS Mincho"/>
          <w:b/>
          <w:lang w:val="uk-UA" w:eastAsia="ja-JP"/>
        </w:rPr>
        <w:t>.</w:t>
      </w:r>
      <w:r w:rsidRPr="001416ED">
        <w:rPr>
          <w:rFonts w:eastAsia="MS Mincho"/>
          <w:lang w:val="uk-UA" w:eastAsia="ja-JP"/>
        </w:rPr>
        <w:t xml:space="preserve"> </w:t>
      </w:r>
      <w:r w:rsidRPr="001416ED">
        <w:rPr>
          <w:rFonts w:eastAsia="MS Mincho"/>
          <w:b/>
          <w:lang w:val="uk-UA" w:eastAsia="ja-JP"/>
        </w:rPr>
        <w:t xml:space="preserve">Типи </w:t>
      </w:r>
      <w:r w:rsidR="007623CA" w:rsidRPr="001416ED">
        <w:rPr>
          <w:rFonts w:eastAsia="MS Mincho"/>
          <w:b/>
          <w:lang w:val="uk-UA" w:eastAsia="ja-JP"/>
        </w:rPr>
        <w:t xml:space="preserve">ТМК </w:t>
      </w:r>
      <w:r w:rsidRPr="001416ED">
        <w:rPr>
          <w:b/>
          <w:lang w:val="uk-UA"/>
        </w:rPr>
        <w:t xml:space="preserve">у чоловіків з </w:t>
      </w:r>
      <w:r w:rsidR="00C34030" w:rsidRPr="001416ED">
        <w:rPr>
          <w:b/>
          <w:lang w:val="uk-UA"/>
        </w:rPr>
        <w:t xml:space="preserve">ГХ ІІІ ст. </w:t>
      </w:r>
      <w:r w:rsidRPr="001416ED">
        <w:rPr>
          <w:b/>
          <w:lang w:val="uk-UA"/>
        </w:rPr>
        <w:t xml:space="preserve">– носіїв </w:t>
      </w:r>
      <w:r w:rsidR="00E6164F">
        <w:rPr>
          <w:b/>
          <w:lang w:val="uk-UA"/>
        </w:rPr>
        <w:t>поліморфних варіантів гена ЕТ–1</w:t>
      </w:r>
      <w:r w:rsidRPr="001416ED">
        <w:rPr>
          <w:b/>
          <w:lang w:val="uk-UA"/>
        </w:rPr>
        <w:t xml:space="preserve">, при різній </w:t>
      </w:r>
      <w:r w:rsidR="007623CA" w:rsidRPr="001416ED">
        <w:rPr>
          <w:b/>
          <w:lang w:val="uk-UA"/>
        </w:rPr>
        <w:t>ФВ</w:t>
      </w:r>
      <w:r w:rsidRPr="001416ED">
        <w:rPr>
          <w:b/>
          <w:lang w:val="uk-UA"/>
        </w:rPr>
        <w:t xml:space="preserve"> ЛШ</w:t>
      </w:r>
      <w:r w:rsidR="00860278" w:rsidRPr="001416ED">
        <w:rPr>
          <w:b/>
          <w:lang w:val="uk-UA"/>
        </w:rPr>
        <w:t>,</w:t>
      </w:r>
      <w:r w:rsidRPr="001416ED">
        <w:rPr>
          <w:b/>
          <w:lang w:val="uk-UA"/>
        </w:rPr>
        <w:t xml:space="preserve"> (</w:t>
      </w:r>
      <w:r w:rsidR="00D4219F" w:rsidRPr="001416ED">
        <w:rPr>
          <w:b/>
          <w:lang w:val="uk-UA"/>
        </w:rPr>
        <w:t xml:space="preserve"> %</w:t>
      </w:r>
      <w:r w:rsidRPr="001416ED">
        <w:rPr>
          <w:b/>
          <w:lang w:val="uk-UA"/>
        </w:rPr>
        <w:t>)</w:t>
      </w:r>
    </w:p>
    <w:p w:rsidR="009E1E0F" w:rsidRPr="001416ED" w:rsidRDefault="009E1E0F" w:rsidP="004F6BB9">
      <w:pPr>
        <w:spacing w:line="360" w:lineRule="auto"/>
        <w:ind w:firstLine="708"/>
        <w:jc w:val="both"/>
        <w:rPr>
          <w:lang w:val="uk-UA"/>
        </w:rPr>
      </w:pPr>
      <w:r w:rsidRPr="001416ED">
        <w:rPr>
          <w:lang w:val="uk-UA"/>
        </w:rPr>
        <w:t>Примітка: різниця достовірна</w:t>
      </w:r>
      <w:r w:rsidR="004C6C34" w:rsidRPr="001416ED">
        <w:rPr>
          <w:lang w:val="uk-UA"/>
        </w:rPr>
        <w:t xml:space="preserve">: </w:t>
      </w:r>
      <w:r w:rsidRPr="001416ED">
        <w:rPr>
          <w:lang w:val="uk-UA"/>
        </w:rPr>
        <w:t xml:space="preserve">* </w:t>
      </w:r>
      <w:r w:rsidR="00BC0119" w:rsidRPr="001416ED">
        <w:rPr>
          <w:lang w:val="uk-UA"/>
        </w:rPr>
        <w:t>–</w:t>
      </w:r>
      <w:r w:rsidRPr="001416ED">
        <w:rPr>
          <w:lang w:val="uk-UA"/>
        </w:rPr>
        <w:t xml:space="preserve"> при порівнянні з гіпертрофічним типом ТМК</w:t>
      </w:r>
      <w:r w:rsidR="004C6C34" w:rsidRPr="001416ED">
        <w:rPr>
          <w:lang w:val="uk-UA"/>
        </w:rPr>
        <w:t xml:space="preserve"> (р</w:t>
      </w:r>
      <w:r w:rsidR="002B4275">
        <w:rPr>
          <w:lang w:val="uk-UA"/>
        </w:rPr>
        <w:t>˂</w:t>
      </w:r>
      <w:r w:rsidR="004C6C34" w:rsidRPr="001416ED">
        <w:rPr>
          <w:lang w:val="uk-UA"/>
        </w:rPr>
        <w:t>0,05)</w:t>
      </w:r>
      <w:r w:rsidRPr="001416ED">
        <w:rPr>
          <w:lang w:val="uk-UA"/>
        </w:rPr>
        <w:t xml:space="preserve">, # </w:t>
      </w:r>
      <w:r w:rsidR="00BC0119" w:rsidRPr="001416ED">
        <w:rPr>
          <w:lang w:val="uk-UA"/>
        </w:rPr>
        <w:t>–</w:t>
      </w:r>
      <w:r w:rsidRPr="001416ED">
        <w:rPr>
          <w:lang w:val="uk-UA"/>
        </w:rPr>
        <w:t xml:space="preserve"> при порівнянні з псевдонормальним типом ТМК</w:t>
      </w:r>
      <w:r w:rsidR="004C6C34" w:rsidRPr="001416ED">
        <w:rPr>
          <w:lang w:val="uk-UA"/>
        </w:rPr>
        <w:t xml:space="preserve"> (р</w:t>
      </w:r>
      <w:r w:rsidR="007623CA" w:rsidRPr="001416ED">
        <w:rPr>
          <w:lang w:val="uk-UA"/>
        </w:rPr>
        <w:t>˂</w:t>
      </w:r>
      <w:r w:rsidR="004C6C34" w:rsidRPr="001416ED">
        <w:rPr>
          <w:lang w:val="uk-UA"/>
        </w:rPr>
        <w:t>0,05)</w:t>
      </w:r>
    </w:p>
    <w:p w:rsidR="007A6F3D" w:rsidRPr="001416ED" w:rsidRDefault="007A6F3D" w:rsidP="007A6F3D">
      <w:pPr>
        <w:spacing w:before="240" w:line="360" w:lineRule="auto"/>
        <w:ind w:firstLine="709"/>
        <w:jc w:val="both"/>
        <w:rPr>
          <w:lang w:val="uk-UA"/>
        </w:rPr>
      </w:pPr>
      <w:r w:rsidRPr="001416ED">
        <w:rPr>
          <w:rFonts w:eastAsiaTheme="minorHAnsi"/>
          <w:lang w:val="uk-UA" w:eastAsia="en-US"/>
        </w:rPr>
        <w:t xml:space="preserve">У осіб з </w:t>
      </w:r>
      <w:r w:rsidR="00A63A7A" w:rsidRPr="001416ED">
        <w:rPr>
          <w:rFonts w:eastAsiaTheme="minorHAnsi"/>
          <w:lang w:val="uk-UA" w:eastAsia="en-US"/>
        </w:rPr>
        <w:t>ГХ ІІІ ст</w:t>
      </w:r>
      <w:r w:rsidR="007623CA" w:rsidRPr="001416ED">
        <w:rPr>
          <w:rFonts w:eastAsiaTheme="minorHAnsi"/>
          <w:lang w:val="uk-UA" w:eastAsia="en-US"/>
        </w:rPr>
        <w:t>.</w:t>
      </w:r>
      <w:r w:rsidR="001C4EA7" w:rsidRPr="001416ED">
        <w:rPr>
          <w:rFonts w:eastAsiaTheme="minorHAnsi"/>
          <w:lang w:val="uk-UA" w:eastAsia="en-US"/>
        </w:rPr>
        <w:t xml:space="preserve"> </w:t>
      </w:r>
      <w:r w:rsidRPr="001416ED">
        <w:rPr>
          <w:rFonts w:eastAsiaTheme="minorHAnsi"/>
          <w:lang w:val="uk-UA" w:eastAsia="en-US"/>
        </w:rPr>
        <w:t xml:space="preserve">з ФВ </w:t>
      </w:r>
      <w:r w:rsidR="007623CA" w:rsidRPr="001416ED">
        <w:rPr>
          <w:rFonts w:eastAsiaTheme="minorHAnsi"/>
          <w:lang w:val="uk-UA" w:eastAsia="en-US"/>
        </w:rPr>
        <w:t>˃ 45 %</w:t>
      </w:r>
      <w:r w:rsidRPr="001416ED">
        <w:rPr>
          <w:rFonts w:eastAsiaTheme="minorHAnsi"/>
          <w:lang w:val="uk-UA" w:eastAsia="en-US"/>
        </w:rPr>
        <w:t xml:space="preserve">, що є носіями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xml:space="preserve"> та алелі </w:t>
      </w:r>
      <w:r w:rsidRPr="001416ED">
        <w:rPr>
          <w:rFonts w:eastAsiaTheme="minorHAnsi"/>
          <w:lang w:val="en-US" w:eastAsia="en-US"/>
        </w:rPr>
        <w:t>Asn</w:t>
      </w:r>
      <w:r w:rsidRPr="001416ED">
        <w:rPr>
          <w:rFonts w:eastAsiaTheme="minorHAnsi"/>
          <w:lang w:val="uk-UA" w:eastAsia="en-US"/>
        </w:rPr>
        <w:t xml:space="preserve"> переважає </w:t>
      </w:r>
      <w:r w:rsidR="00763125" w:rsidRPr="001416ED">
        <w:rPr>
          <w:rFonts w:eastAsiaTheme="minorHAnsi"/>
          <w:lang w:val="uk-UA" w:eastAsia="en-US"/>
        </w:rPr>
        <w:t>псевдормальний тип ТМК</w:t>
      </w:r>
      <w:r w:rsidRPr="001416ED">
        <w:rPr>
          <w:rFonts w:eastAsiaTheme="minorHAnsi"/>
          <w:lang w:val="uk-UA" w:eastAsia="en-US"/>
        </w:rPr>
        <w:t>. Проте</w:t>
      </w:r>
      <w:r w:rsidR="001C4EA7" w:rsidRPr="001416ED">
        <w:rPr>
          <w:rFonts w:eastAsiaTheme="minorHAnsi"/>
          <w:lang w:val="uk-UA" w:eastAsia="en-US"/>
        </w:rPr>
        <w:t>,</w:t>
      </w:r>
      <w:r w:rsidRPr="001416ED">
        <w:rPr>
          <w:rFonts w:eastAsiaTheme="minorHAnsi"/>
          <w:lang w:val="uk-UA" w:eastAsia="en-US"/>
        </w:rPr>
        <w:t xml:space="preserve"> немає різниці у частоті  типів ТМК між носіями </w:t>
      </w:r>
      <w:r w:rsidR="00E6164F">
        <w:rPr>
          <w:rFonts w:eastAsiaTheme="minorHAnsi"/>
          <w:lang w:val="uk-UA" w:eastAsia="en-US"/>
        </w:rPr>
        <w:t>поліморфних варіантів гена ЕТ–1</w:t>
      </w:r>
      <w:r w:rsidR="00A94302" w:rsidRPr="001416ED">
        <w:rPr>
          <w:rFonts w:eastAsiaTheme="minorHAnsi"/>
          <w:lang w:val="uk-UA" w:eastAsia="en-US"/>
        </w:rPr>
        <w:t xml:space="preserve"> у пацієнтів з ФВ</w:t>
      </w:r>
      <w:r w:rsidR="000C04AA" w:rsidRPr="001416ED">
        <w:rPr>
          <w:rFonts w:eastAsiaTheme="minorHAnsi"/>
          <w:lang w:val="uk-UA" w:eastAsia="en-US"/>
        </w:rPr>
        <w:t xml:space="preserve"> ˃ </w:t>
      </w:r>
      <w:r w:rsidRPr="001416ED">
        <w:rPr>
          <w:rFonts w:eastAsiaTheme="minorHAnsi"/>
          <w:lang w:val="uk-UA" w:eastAsia="en-US"/>
        </w:rPr>
        <w:t>45</w:t>
      </w:r>
      <w:r w:rsidR="00D4219F" w:rsidRPr="001416ED">
        <w:rPr>
          <w:rFonts w:eastAsiaTheme="minorHAnsi"/>
          <w:lang w:val="uk-UA" w:eastAsia="en-US"/>
        </w:rPr>
        <w:t xml:space="preserve"> %</w:t>
      </w:r>
      <w:r w:rsidRPr="001416ED">
        <w:rPr>
          <w:rFonts w:eastAsiaTheme="minorHAnsi"/>
          <w:lang w:val="uk-UA" w:eastAsia="en-US"/>
        </w:rPr>
        <w:t>. У чоловіків з ФВ</w:t>
      </w:r>
      <w:r w:rsidR="000C04AA" w:rsidRPr="001416ED">
        <w:rPr>
          <w:rFonts w:eastAsiaTheme="minorHAnsi"/>
          <w:lang w:val="uk-UA" w:eastAsia="en-US"/>
        </w:rPr>
        <w:t xml:space="preserve"> ˂ </w:t>
      </w:r>
      <w:r w:rsidRPr="001416ED">
        <w:rPr>
          <w:rFonts w:eastAsiaTheme="minorHAnsi"/>
          <w:lang w:val="uk-UA" w:eastAsia="en-US"/>
        </w:rPr>
        <w:t>45</w:t>
      </w:r>
      <w:r w:rsidR="00D4219F" w:rsidRPr="001416ED">
        <w:rPr>
          <w:rFonts w:eastAsiaTheme="minorHAnsi"/>
          <w:lang w:val="uk-UA" w:eastAsia="en-US"/>
        </w:rPr>
        <w:t xml:space="preserve"> %</w:t>
      </w:r>
      <w:r w:rsidRPr="001416ED">
        <w:rPr>
          <w:rFonts w:eastAsiaTheme="minorHAnsi"/>
          <w:lang w:val="uk-UA" w:eastAsia="en-US"/>
        </w:rPr>
        <w:t xml:space="preserve"> </w:t>
      </w:r>
      <w:r w:rsidR="00BC0119" w:rsidRPr="001416ED">
        <w:rPr>
          <w:rFonts w:eastAsiaTheme="minorHAnsi"/>
          <w:lang w:val="uk-UA" w:eastAsia="en-US"/>
        </w:rPr>
        <w:t>–</w:t>
      </w:r>
      <w:r w:rsidRPr="001416ED">
        <w:rPr>
          <w:rFonts w:eastAsiaTheme="minorHAnsi"/>
          <w:lang w:val="uk-UA" w:eastAsia="en-US"/>
        </w:rPr>
        <w:t xml:space="preserve"> носіїв генотипу </w:t>
      </w:r>
      <w:r w:rsidRPr="001416ED">
        <w:rPr>
          <w:rFonts w:eastAsiaTheme="minorHAnsi"/>
          <w:lang w:val="en-US" w:eastAsia="en-US"/>
        </w:rPr>
        <w:t>Lys</w:t>
      </w:r>
      <w:r w:rsidRPr="001416ED">
        <w:rPr>
          <w:rFonts w:eastAsiaTheme="minorHAnsi"/>
          <w:lang w:val="uk-UA" w:eastAsia="en-US"/>
        </w:rPr>
        <w:t>/</w:t>
      </w:r>
      <w:r w:rsidRPr="001416ED">
        <w:rPr>
          <w:rFonts w:eastAsiaTheme="minorHAnsi"/>
          <w:lang w:val="en-US" w:eastAsia="en-US"/>
        </w:rPr>
        <w:t>Lys</w:t>
      </w:r>
      <w:r w:rsidRPr="001416ED">
        <w:rPr>
          <w:rFonts w:eastAsiaTheme="minorHAnsi"/>
          <w:lang w:val="uk-UA" w:eastAsia="en-US"/>
        </w:rPr>
        <w:t>, гіпертрофічний і псевдонормальний типи ТМК зустрічаються достовірно частіше, ніж рестриктивний тип, проте частот</w:t>
      </w:r>
      <w:r w:rsidR="00750972" w:rsidRPr="001416ED">
        <w:rPr>
          <w:rFonts w:eastAsiaTheme="minorHAnsi"/>
          <w:lang w:val="uk-UA" w:eastAsia="en-US"/>
        </w:rPr>
        <w:t>а</w:t>
      </w:r>
      <w:r w:rsidRPr="001416ED">
        <w:rPr>
          <w:rFonts w:eastAsiaTheme="minorHAnsi"/>
          <w:lang w:val="uk-UA" w:eastAsia="en-US"/>
        </w:rPr>
        <w:t xml:space="preserve"> між</w:t>
      </w:r>
      <w:r w:rsidR="00750972" w:rsidRPr="001416ED">
        <w:rPr>
          <w:rFonts w:eastAsiaTheme="minorHAnsi"/>
          <w:lang w:val="uk-UA" w:eastAsia="en-US"/>
        </w:rPr>
        <w:t xml:space="preserve"> першими двома типами ТМК </w:t>
      </w:r>
      <w:r w:rsidRPr="001416ED">
        <w:rPr>
          <w:rFonts w:eastAsiaTheme="minorHAnsi"/>
          <w:lang w:val="uk-UA" w:eastAsia="en-US"/>
        </w:rPr>
        <w:t xml:space="preserve">не </w:t>
      </w:r>
      <w:r w:rsidR="00750972" w:rsidRPr="001416ED">
        <w:rPr>
          <w:rFonts w:eastAsiaTheme="minorHAnsi"/>
          <w:lang w:val="uk-UA" w:eastAsia="en-US"/>
        </w:rPr>
        <w:t>відрізняється</w:t>
      </w:r>
      <w:r w:rsidRPr="001416ED">
        <w:rPr>
          <w:rFonts w:eastAsiaTheme="minorHAnsi"/>
          <w:lang w:val="uk-UA" w:eastAsia="en-US"/>
        </w:rPr>
        <w:t xml:space="preserve">. У носіїв алелі </w:t>
      </w:r>
      <w:r w:rsidRPr="001416ED">
        <w:rPr>
          <w:rFonts w:eastAsiaTheme="minorHAnsi"/>
          <w:lang w:val="en-US" w:eastAsia="en-US"/>
        </w:rPr>
        <w:t>Asn</w:t>
      </w:r>
      <w:r w:rsidRPr="001416ED">
        <w:rPr>
          <w:rFonts w:eastAsiaTheme="minorHAnsi"/>
          <w:lang w:val="uk-UA" w:eastAsia="en-US"/>
        </w:rPr>
        <w:t xml:space="preserve"> псевдонормальний тип ТМК виявлявся вірогідно найчастіше. Різниці у частоті  типів </w:t>
      </w:r>
      <w:r w:rsidR="00750972" w:rsidRPr="001416ED">
        <w:rPr>
          <w:rFonts w:eastAsiaTheme="minorHAnsi"/>
          <w:lang w:val="uk-UA" w:eastAsia="en-US"/>
        </w:rPr>
        <w:t>ТМК</w:t>
      </w:r>
      <w:r w:rsidRPr="001416ED">
        <w:rPr>
          <w:rFonts w:eastAsiaTheme="minorHAnsi"/>
          <w:lang w:val="uk-UA" w:eastAsia="en-US"/>
        </w:rPr>
        <w:t xml:space="preserve"> між носіями поліморфних варіантів гена ЕТ</w:t>
      </w:r>
      <w:r w:rsidR="00BC0119" w:rsidRPr="001416ED">
        <w:rPr>
          <w:rFonts w:eastAsiaTheme="minorHAnsi"/>
          <w:lang w:val="uk-UA" w:eastAsia="en-US"/>
        </w:rPr>
        <w:t>–</w:t>
      </w:r>
      <w:r w:rsidRPr="001416ED">
        <w:rPr>
          <w:rFonts w:eastAsiaTheme="minorHAnsi"/>
          <w:lang w:val="uk-UA" w:eastAsia="en-US"/>
        </w:rPr>
        <w:t xml:space="preserve">1 не встановлено. Порівнюючи частоти типів ТМК між усіма генотипами у пацієнтів зі </w:t>
      </w:r>
      <w:r w:rsidR="007623CA" w:rsidRPr="001416ED">
        <w:rPr>
          <w:rFonts w:eastAsiaTheme="minorHAnsi"/>
          <w:lang w:val="uk-UA" w:eastAsia="en-US"/>
        </w:rPr>
        <w:t xml:space="preserve">ФВ ˃ 45 % та  ФВ ˂ 45 % </w:t>
      </w:r>
      <w:r w:rsidRPr="001416ED">
        <w:rPr>
          <w:rFonts w:eastAsiaTheme="minorHAnsi"/>
          <w:lang w:val="uk-UA" w:eastAsia="en-US"/>
        </w:rPr>
        <w:t>різниці не досліджено.</w:t>
      </w:r>
    </w:p>
    <w:p w:rsidR="00376ED2" w:rsidRPr="001416ED" w:rsidRDefault="00376ED2" w:rsidP="00376ED2">
      <w:pPr>
        <w:spacing w:before="240" w:line="360" w:lineRule="auto"/>
        <w:ind w:firstLine="708"/>
        <w:jc w:val="both"/>
        <w:rPr>
          <w:b/>
          <w:lang w:val="uk-UA"/>
        </w:rPr>
      </w:pPr>
      <w:r w:rsidRPr="001416ED">
        <w:rPr>
          <w:b/>
          <w:lang w:val="uk-UA"/>
        </w:rPr>
        <w:t>5.</w:t>
      </w:r>
      <w:r w:rsidR="001F5782" w:rsidRPr="001416ED">
        <w:rPr>
          <w:b/>
          <w:lang w:val="uk-UA"/>
        </w:rPr>
        <w:t>3.</w:t>
      </w:r>
      <w:r w:rsidRPr="001416ED">
        <w:rPr>
          <w:b/>
          <w:lang w:val="uk-UA"/>
        </w:rPr>
        <w:t xml:space="preserve"> </w:t>
      </w:r>
      <w:r w:rsidR="00AA1841" w:rsidRPr="001416ED">
        <w:rPr>
          <w:b/>
          <w:lang w:val="uk-UA"/>
        </w:rPr>
        <w:t>Плазмова концентрація ЕТ</w:t>
      </w:r>
      <w:r w:rsidR="00BC0119" w:rsidRPr="001416ED">
        <w:rPr>
          <w:b/>
          <w:lang w:val="uk-UA"/>
        </w:rPr>
        <w:t>–</w:t>
      </w:r>
      <w:r w:rsidR="00AA1841" w:rsidRPr="001416ED">
        <w:rPr>
          <w:b/>
          <w:lang w:val="uk-UA"/>
        </w:rPr>
        <w:t xml:space="preserve">1 у чоловіків з ГХ різної </w:t>
      </w:r>
      <w:r w:rsidR="00046A18" w:rsidRPr="001416ED">
        <w:rPr>
          <w:b/>
          <w:lang w:val="uk-UA"/>
        </w:rPr>
        <w:t>стадії</w:t>
      </w:r>
      <w:r w:rsidR="00AA1841" w:rsidRPr="001416ED">
        <w:rPr>
          <w:b/>
          <w:lang w:val="uk-UA"/>
        </w:rPr>
        <w:t xml:space="preserve"> при різних показниках структури і функції міокарду та показників системної гемодинаміки</w:t>
      </w:r>
    </w:p>
    <w:p w:rsidR="00604BEA" w:rsidRPr="001416ED" w:rsidRDefault="00003E40" w:rsidP="00376ED2">
      <w:pPr>
        <w:spacing w:before="240" w:line="360" w:lineRule="auto"/>
        <w:ind w:firstLine="708"/>
        <w:jc w:val="both"/>
        <w:rPr>
          <w:lang w:val="uk-UA"/>
        </w:rPr>
      </w:pPr>
      <w:r w:rsidRPr="001416ED">
        <w:rPr>
          <w:lang w:val="uk-UA"/>
        </w:rPr>
        <w:t>Вченими показано, що ЕТ</w:t>
      </w:r>
      <w:r w:rsidR="00BC0119" w:rsidRPr="001416ED">
        <w:rPr>
          <w:lang w:val="uk-UA"/>
        </w:rPr>
        <w:t>–</w:t>
      </w:r>
      <w:r w:rsidRPr="001416ED">
        <w:rPr>
          <w:lang w:val="uk-UA"/>
        </w:rPr>
        <w:t xml:space="preserve">1 є не лише потужним вазоконстриктором, але й має </w:t>
      </w:r>
      <w:r w:rsidR="007A6F3D" w:rsidRPr="001416ED">
        <w:rPr>
          <w:lang w:val="uk-UA"/>
        </w:rPr>
        <w:t xml:space="preserve">несприятливу </w:t>
      </w:r>
      <w:r w:rsidRPr="001416ED">
        <w:rPr>
          <w:lang w:val="uk-UA"/>
        </w:rPr>
        <w:t xml:space="preserve">кардіотропну дію. </w:t>
      </w:r>
      <w:r w:rsidR="007A6F3D" w:rsidRPr="001416ED">
        <w:rPr>
          <w:lang w:val="uk-UA"/>
        </w:rPr>
        <w:t>Тому</w:t>
      </w:r>
      <w:r w:rsidR="0079340B" w:rsidRPr="001416ED">
        <w:rPr>
          <w:lang w:val="uk-UA"/>
        </w:rPr>
        <w:t>,</w:t>
      </w:r>
      <w:r w:rsidR="007A6F3D" w:rsidRPr="001416ED">
        <w:rPr>
          <w:lang w:val="uk-UA"/>
        </w:rPr>
        <w:t xml:space="preserve"> цікавим стало визначення</w:t>
      </w:r>
      <w:r w:rsidRPr="001416ED">
        <w:rPr>
          <w:lang w:val="uk-UA"/>
        </w:rPr>
        <w:t xml:space="preserve"> </w:t>
      </w:r>
      <w:r w:rsidRPr="001416ED">
        <w:rPr>
          <w:lang w:val="uk-UA"/>
        </w:rPr>
        <w:lastRenderedPageBreak/>
        <w:t>кореляційного зв’язку між рівнем ЕТ</w:t>
      </w:r>
      <w:r w:rsidR="00BC0119" w:rsidRPr="001416ED">
        <w:rPr>
          <w:lang w:val="uk-UA"/>
        </w:rPr>
        <w:t>–</w:t>
      </w:r>
      <w:r w:rsidRPr="001416ED">
        <w:rPr>
          <w:lang w:val="uk-UA"/>
        </w:rPr>
        <w:t>1 в плазмі крові при структурно</w:t>
      </w:r>
      <w:r w:rsidR="00BC0119" w:rsidRPr="001416ED">
        <w:rPr>
          <w:lang w:val="uk-UA"/>
        </w:rPr>
        <w:t>–</w:t>
      </w:r>
      <w:r w:rsidRPr="001416ED">
        <w:rPr>
          <w:lang w:val="uk-UA"/>
        </w:rPr>
        <w:t>функціональни</w:t>
      </w:r>
      <w:r w:rsidR="007A6F3D" w:rsidRPr="001416ED">
        <w:rPr>
          <w:lang w:val="uk-UA"/>
        </w:rPr>
        <w:t>х</w:t>
      </w:r>
      <w:r w:rsidRPr="001416ED">
        <w:rPr>
          <w:lang w:val="uk-UA"/>
        </w:rPr>
        <w:t xml:space="preserve"> зміна</w:t>
      </w:r>
      <w:r w:rsidR="007A6F3D" w:rsidRPr="001416ED">
        <w:rPr>
          <w:lang w:val="uk-UA"/>
        </w:rPr>
        <w:t>х</w:t>
      </w:r>
      <w:r w:rsidRPr="001416ED">
        <w:rPr>
          <w:lang w:val="uk-UA"/>
        </w:rPr>
        <w:t xml:space="preserve"> міокарда та системно</w:t>
      </w:r>
      <w:r w:rsidR="0079340B" w:rsidRPr="001416ED">
        <w:rPr>
          <w:lang w:val="uk-UA"/>
        </w:rPr>
        <w:t>ю</w:t>
      </w:r>
      <w:r w:rsidRPr="001416ED">
        <w:rPr>
          <w:lang w:val="uk-UA"/>
        </w:rPr>
        <w:t xml:space="preserve"> гемодинамік</w:t>
      </w:r>
      <w:r w:rsidR="0079340B" w:rsidRPr="001416ED">
        <w:rPr>
          <w:lang w:val="uk-UA"/>
        </w:rPr>
        <w:t>ою</w:t>
      </w:r>
      <w:r w:rsidRPr="001416ED">
        <w:rPr>
          <w:lang w:val="uk-UA"/>
        </w:rPr>
        <w:t xml:space="preserve"> у чоловіків з ЕГ різної </w:t>
      </w:r>
      <w:r w:rsidR="00046A18" w:rsidRPr="001416ED">
        <w:rPr>
          <w:lang w:val="uk-UA"/>
        </w:rPr>
        <w:t>стадії</w:t>
      </w:r>
      <w:r w:rsidR="006A66E9" w:rsidRPr="001416ED">
        <w:rPr>
          <w:lang w:val="uk-UA"/>
        </w:rPr>
        <w:t xml:space="preserve"> за допомогою кореляційного аналізу по Спірмену</w:t>
      </w:r>
      <w:r w:rsidRPr="001416ED">
        <w:rPr>
          <w:lang w:val="uk-UA"/>
        </w:rPr>
        <w:t xml:space="preserve"> (табл. </w:t>
      </w:r>
      <w:r w:rsidR="00B3337C" w:rsidRPr="001416ED">
        <w:rPr>
          <w:lang w:val="uk-UA"/>
        </w:rPr>
        <w:t>5</w:t>
      </w:r>
      <w:r w:rsidRPr="001416ED">
        <w:rPr>
          <w:lang w:val="uk-UA"/>
        </w:rPr>
        <w:t>.</w:t>
      </w:r>
      <w:r w:rsidR="001F5782" w:rsidRPr="001416ED">
        <w:rPr>
          <w:lang w:val="uk-UA"/>
        </w:rPr>
        <w:t>7</w:t>
      </w:r>
      <w:r w:rsidRPr="001416ED">
        <w:rPr>
          <w:lang w:val="uk-UA"/>
        </w:rPr>
        <w:t>)</w:t>
      </w:r>
      <w:r w:rsidR="007A6F3D" w:rsidRPr="001416ED">
        <w:rPr>
          <w:lang w:val="uk-UA"/>
        </w:rPr>
        <w:t>.</w:t>
      </w:r>
    </w:p>
    <w:p w:rsidR="00AA1841" w:rsidRPr="001416ED" w:rsidRDefault="00AA1841" w:rsidP="00AA1841">
      <w:pPr>
        <w:spacing w:line="360" w:lineRule="auto"/>
        <w:ind w:firstLine="708"/>
        <w:jc w:val="right"/>
        <w:rPr>
          <w:b/>
          <w:lang w:val="uk-UA"/>
        </w:rPr>
      </w:pPr>
      <w:r w:rsidRPr="001416ED">
        <w:rPr>
          <w:b/>
          <w:lang w:val="uk-UA"/>
        </w:rPr>
        <w:t>Таблиця 5.</w:t>
      </w:r>
      <w:r w:rsidR="001F5782" w:rsidRPr="001416ED">
        <w:rPr>
          <w:b/>
          <w:lang w:val="uk-UA"/>
        </w:rPr>
        <w:t>7</w:t>
      </w:r>
    </w:p>
    <w:p w:rsidR="00AA1841" w:rsidRPr="001416ED" w:rsidRDefault="0036366B" w:rsidP="00AA1841">
      <w:pPr>
        <w:spacing w:line="360" w:lineRule="auto"/>
        <w:ind w:right="-18"/>
        <w:jc w:val="center"/>
        <w:rPr>
          <w:b/>
          <w:lang w:val="uk-UA"/>
        </w:rPr>
      </w:pPr>
      <w:r w:rsidRPr="001416ED">
        <w:rPr>
          <w:b/>
          <w:lang w:val="uk-UA"/>
        </w:rPr>
        <w:t>Показники к</w:t>
      </w:r>
      <w:r w:rsidR="00AA1841" w:rsidRPr="001416ED">
        <w:rPr>
          <w:b/>
          <w:lang w:val="uk-UA"/>
        </w:rPr>
        <w:t>ореляці</w:t>
      </w:r>
      <w:r w:rsidRPr="001416ED">
        <w:rPr>
          <w:b/>
          <w:lang w:val="uk-UA"/>
        </w:rPr>
        <w:t>ї</w:t>
      </w:r>
      <w:r w:rsidR="00AA1841" w:rsidRPr="001416ED">
        <w:rPr>
          <w:b/>
          <w:lang w:val="uk-UA"/>
        </w:rPr>
        <w:t xml:space="preserve"> рівня ЕТ</w:t>
      </w:r>
      <w:r w:rsidR="00BC0119" w:rsidRPr="001416ED">
        <w:rPr>
          <w:b/>
          <w:lang w:val="uk-UA"/>
        </w:rPr>
        <w:t>–</w:t>
      </w:r>
      <w:r w:rsidR="00AA1841" w:rsidRPr="001416ED">
        <w:rPr>
          <w:b/>
          <w:lang w:val="uk-UA"/>
        </w:rPr>
        <w:t xml:space="preserve">1 в плазмі крові та показників внутрішньосерцевої та системної гемодинаміки у чоловіків з ГХ </w:t>
      </w:r>
      <w:r w:rsidR="00A63A7A" w:rsidRPr="001416ED">
        <w:rPr>
          <w:b/>
          <w:lang w:val="uk-UA"/>
        </w:rPr>
        <w:t>ІІ та ІІІ ст</w:t>
      </w:r>
      <w:r w:rsidR="00DF440C">
        <w:rPr>
          <w:b/>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701"/>
        <w:gridCol w:w="1843"/>
        <w:gridCol w:w="2126"/>
      </w:tblGrid>
      <w:tr w:rsidR="00604BEA" w:rsidRPr="001416ED" w:rsidTr="001F5782">
        <w:tc>
          <w:tcPr>
            <w:tcW w:w="2410" w:type="dxa"/>
            <w:vMerge w:val="restart"/>
          </w:tcPr>
          <w:p w:rsidR="00AA1841" w:rsidRPr="001416ED" w:rsidRDefault="00AA1841" w:rsidP="00AA1841">
            <w:pPr>
              <w:autoSpaceDE w:val="0"/>
              <w:autoSpaceDN w:val="0"/>
              <w:adjustRightInd w:val="0"/>
              <w:spacing w:line="360" w:lineRule="auto"/>
              <w:jc w:val="center"/>
              <w:rPr>
                <w:b/>
                <w:lang w:val="uk-UA"/>
              </w:rPr>
            </w:pPr>
            <w:r w:rsidRPr="001416ED">
              <w:rPr>
                <w:b/>
                <w:lang w:val="uk-UA"/>
              </w:rPr>
              <w:t>Показник</w:t>
            </w:r>
          </w:p>
        </w:tc>
        <w:tc>
          <w:tcPr>
            <w:tcW w:w="3544" w:type="dxa"/>
            <w:gridSpan w:val="2"/>
          </w:tcPr>
          <w:p w:rsidR="00AA1841" w:rsidRPr="001416ED" w:rsidRDefault="00AA1841" w:rsidP="0079340B">
            <w:pPr>
              <w:autoSpaceDE w:val="0"/>
              <w:autoSpaceDN w:val="0"/>
              <w:adjustRightInd w:val="0"/>
              <w:spacing w:line="360" w:lineRule="auto"/>
              <w:jc w:val="center"/>
              <w:rPr>
                <w:b/>
                <w:lang w:val="uk-UA"/>
              </w:rPr>
            </w:pPr>
            <w:r w:rsidRPr="001416ED">
              <w:rPr>
                <w:b/>
                <w:lang w:val="uk-UA"/>
              </w:rPr>
              <w:t>ГХ ІІ ст</w:t>
            </w:r>
            <w:r w:rsidR="0079340B" w:rsidRPr="001416ED">
              <w:rPr>
                <w:b/>
                <w:lang w:val="uk-UA"/>
              </w:rPr>
              <w:t>.</w:t>
            </w:r>
            <w:r w:rsidRPr="001416ED">
              <w:rPr>
                <w:b/>
                <w:lang w:val="en-US"/>
              </w:rPr>
              <w:t xml:space="preserve"> </w:t>
            </w:r>
            <w:r w:rsidRPr="001416ED">
              <w:rPr>
                <w:b/>
                <w:lang w:val="uk-UA"/>
              </w:rPr>
              <w:t>(</w:t>
            </w:r>
            <w:r w:rsidRPr="001416ED">
              <w:rPr>
                <w:b/>
                <w:lang w:val="en-US"/>
              </w:rPr>
              <w:t>n</w:t>
            </w:r>
            <w:r w:rsidRPr="001416ED">
              <w:rPr>
                <w:b/>
                <w:lang w:val="uk-UA"/>
              </w:rPr>
              <w:t>=62)</w:t>
            </w:r>
          </w:p>
        </w:tc>
        <w:tc>
          <w:tcPr>
            <w:tcW w:w="3969" w:type="dxa"/>
            <w:gridSpan w:val="2"/>
          </w:tcPr>
          <w:p w:rsidR="00AA1841" w:rsidRPr="001416ED" w:rsidRDefault="0079340B" w:rsidP="0079340B">
            <w:pPr>
              <w:spacing w:line="360" w:lineRule="auto"/>
              <w:ind w:right="-18"/>
              <w:jc w:val="center"/>
              <w:rPr>
                <w:b/>
                <w:lang w:val="uk-UA"/>
              </w:rPr>
            </w:pPr>
            <w:r w:rsidRPr="001416ED">
              <w:rPr>
                <w:b/>
                <w:lang w:val="uk-UA"/>
              </w:rPr>
              <w:t xml:space="preserve">ГХ ІІІ </w:t>
            </w:r>
            <w:r w:rsidR="00AA1841" w:rsidRPr="001416ED">
              <w:rPr>
                <w:b/>
                <w:lang w:val="uk-UA"/>
              </w:rPr>
              <w:t xml:space="preserve"> ст</w:t>
            </w:r>
            <w:r w:rsidR="006C63F3" w:rsidRPr="001416ED">
              <w:rPr>
                <w:b/>
                <w:lang w:val="uk-UA"/>
              </w:rPr>
              <w:t>.</w:t>
            </w:r>
            <w:r w:rsidR="00AA1841" w:rsidRPr="001416ED">
              <w:rPr>
                <w:b/>
                <w:lang w:val="uk-UA"/>
              </w:rPr>
              <w:t xml:space="preserve"> (</w:t>
            </w:r>
            <w:r w:rsidR="00AA1841" w:rsidRPr="001416ED">
              <w:rPr>
                <w:b/>
                <w:lang w:val="en-US"/>
              </w:rPr>
              <w:t>n</w:t>
            </w:r>
            <w:r w:rsidR="00AA1841" w:rsidRPr="001416ED">
              <w:rPr>
                <w:b/>
                <w:lang w:val="uk-UA"/>
              </w:rPr>
              <w:t>=50)</w:t>
            </w:r>
          </w:p>
        </w:tc>
      </w:tr>
      <w:tr w:rsidR="00604BEA" w:rsidRPr="001416ED" w:rsidTr="001F5782">
        <w:tc>
          <w:tcPr>
            <w:tcW w:w="2410" w:type="dxa"/>
            <w:vMerge/>
          </w:tcPr>
          <w:p w:rsidR="00AA1841" w:rsidRPr="001416ED" w:rsidRDefault="00AA1841" w:rsidP="00AA1841">
            <w:pPr>
              <w:spacing w:line="360" w:lineRule="auto"/>
              <w:ind w:right="-18"/>
              <w:jc w:val="center"/>
              <w:rPr>
                <w:lang w:val="uk-UA"/>
              </w:rPr>
            </w:pPr>
          </w:p>
        </w:tc>
        <w:tc>
          <w:tcPr>
            <w:tcW w:w="1843" w:type="dxa"/>
          </w:tcPr>
          <w:p w:rsidR="00AA1841" w:rsidRPr="001416ED" w:rsidRDefault="00AA1841" w:rsidP="00AA1841">
            <w:pPr>
              <w:autoSpaceDE w:val="0"/>
              <w:autoSpaceDN w:val="0"/>
              <w:adjustRightInd w:val="0"/>
              <w:spacing w:line="360" w:lineRule="auto"/>
              <w:jc w:val="center"/>
              <w:rPr>
                <w:lang w:val="uk-UA"/>
              </w:rPr>
            </w:pPr>
            <w:r w:rsidRPr="001416ED">
              <w:rPr>
                <w:lang w:val="en-US"/>
              </w:rPr>
              <w:t>R</w:t>
            </w:r>
          </w:p>
        </w:tc>
        <w:tc>
          <w:tcPr>
            <w:tcW w:w="1701" w:type="dxa"/>
          </w:tcPr>
          <w:p w:rsidR="00AA1841" w:rsidRPr="001416ED" w:rsidRDefault="00AA1841" w:rsidP="00AA1841">
            <w:pPr>
              <w:autoSpaceDE w:val="0"/>
              <w:autoSpaceDN w:val="0"/>
              <w:adjustRightInd w:val="0"/>
              <w:spacing w:line="360" w:lineRule="auto"/>
              <w:jc w:val="center"/>
              <w:rPr>
                <w:lang w:val="uk-UA"/>
              </w:rPr>
            </w:pPr>
            <w:r w:rsidRPr="001416ED">
              <w:rPr>
                <w:lang w:val="en-US"/>
              </w:rPr>
              <w:t>p</w:t>
            </w:r>
          </w:p>
        </w:tc>
        <w:tc>
          <w:tcPr>
            <w:tcW w:w="1843" w:type="dxa"/>
          </w:tcPr>
          <w:p w:rsidR="00AA1841" w:rsidRPr="001416ED" w:rsidRDefault="00AA1841" w:rsidP="00AA1841">
            <w:pPr>
              <w:autoSpaceDE w:val="0"/>
              <w:autoSpaceDN w:val="0"/>
              <w:adjustRightInd w:val="0"/>
              <w:spacing w:line="360" w:lineRule="auto"/>
              <w:jc w:val="center"/>
              <w:rPr>
                <w:lang w:val="uk-UA"/>
              </w:rPr>
            </w:pPr>
            <w:r w:rsidRPr="001416ED">
              <w:rPr>
                <w:lang w:val="en-US"/>
              </w:rPr>
              <w:t>R</w:t>
            </w:r>
          </w:p>
        </w:tc>
        <w:tc>
          <w:tcPr>
            <w:tcW w:w="2126" w:type="dxa"/>
          </w:tcPr>
          <w:p w:rsidR="00AA1841" w:rsidRPr="001416ED" w:rsidRDefault="00AA1841" w:rsidP="00AA1841">
            <w:pPr>
              <w:autoSpaceDE w:val="0"/>
              <w:autoSpaceDN w:val="0"/>
              <w:adjustRightInd w:val="0"/>
              <w:spacing w:line="360" w:lineRule="auto"/>
              <w:jc w:val="center"/>
              <w:rPr>
                <w:lang w:val="uk-UA"/>
              </w:rPr>
            </w:pPr>
            <w:r w:rsidRPr="001416ED">
              <w:rPr>
                <w:lang w:val="en-US"/>
              </w:rPr>
              <w:t>p</w:t>
            </w:r>
          </w:p>
        </w:tc>
      </w:tr>
      <w:tr w:rsidR="00604BEA" w:rsidRPr="001416ED" w:rsidTr="001F5782">
        <w:tc>
          <w:tcPr>
            <w:tcW w:w="2410" w:type="dxa"/>
          </w:tcPr>
          <w:p w:rsidR="00AA1841" w:rsidRPr="001416ED" w:rsidRDefault="00AA1841" w:rsidP="00AA1841">
            <w:pPr>
              <w:spacing w:line="360" w:lineRule="auto"/>
              <w:jc w:val="center"/>
              <w:rPr>
                <w:lang w:val="uk-UA"/>
              </w:rPr>
            </w:pPr>
            <w:r w:rsidRPr="001416ED">
              <w:rPr>
                <w:lang w:val="uk-UA"/>
              </w:rPr>
              <w:t>СІ, л/(хв.·м</w:t>
            </w:r>
            <w:r w:rsidRPr="001416ED">
              <w:rPr>
                <w:vertAlign w:val="superscript"/>
                <w:lang w:val="uk-UA"/>
              </w:rPr>
              <w:t>2</w:t>
            </w:r>
            <w:r w:rsidRPr="001416ED">
              <w:rPr>
                <w:lang w:val="uk-UA"/>
              </w:rPr>
              <w:t>)</w:t>
            </w:r>
          </w:p>
        </w:tc>
        <w:tc>
          <w:tcPr>
            <w:tcW w:w="1843" w:type="dxa"/>
          </w:tcPr>
          <w:p w:rsidR="00AA1841" w:rsidRPr="001416ED" w:rsidRDefault="00AA1841" w:rsidP="006F4006">
            <w:pPr>
              <w:spacing w:line="360" w:lineRule="auto"/>
              <w:ind w:right="-18"/>
              <w:jc w:val="center"/>
              <w:rPr>
                <w:b/>
                <w:lang w:val="uk-UA"/>
              </w:rPr>
            </w:pPr>
            <w:r w:rsidRPr="001416ED">
              <w:rPr>
                <w:b/>
                <w:lang w:val="uk-UA"/>
              </w:rPr>
              <w:t>0,</w:t>
            </w:r>
            <w:r w:rsidR="006F4006" w:rsidRPr="001416ED">
              <w:rPr>
                <w:b/>
                <w:lang w:val="uk-UA"/>
              </w:rPr>
              <w:t>29</w:t>
            </w:r>
          </w:p>
        </w:tc>
        <w:tc>
          <w:tcPr>
            <w:tcW w:w="1701" w:type="dxa"/>
          </w:tcPr>
          <w:p w:rsidR="00AA1841" w:rsidRPr="001416ED" w:rsidRDefault="006F4006" w:rsidP="006F4006">
            <w:pPr>
              <w:spacing w:line="360" w:lineRule="auto"/>
              <w:ind w:right="-18"/>
              <w:jc w:val="center"/>
              <w:rPr>
                <w:b/>
                <w:lang w:val="uk-UA"/>
              </w:rPr>
            </w:pPr>
            <w:r w:rsidRPr="001416ED">
              <w:rPr>
                <w:b/>
                <w:lang w:val="uk-UA"/>
              </w:rPr>
              <w:t>&lt;0,05</w:t>
            </w:r>
          </w:p>
        </w:tc>
        <w:tc>
          <w:tcPr>
            <w:tcW w:w="1843" w:type="dxa"/>
          </w:tcPr>
          <w:p w:rsidR="00AA1841" w:rsidRPr="001416ED" w:rsidRDefault="00AA1841" w:rsidP="0021561D">
            <w:pPr>
              <w:spacing w:line="360" w:lineRule="auto"/>
              <w:ind w:right="-18"/>
              <w:jc w:val="center"/>
              <w:rPr>
                <w:b/>
                <w:lang w:val="uk-UA"/>
              </w:rPr>
            </w:pPr>
            <w:r w:rsidRPr="001416ED">
              <w:rPr>
                <w:b/>
                <w:lang w:val="uk-UA"/>
              </w:rPr>
              <w:t>0,</w:t>
            </w:r>
            <w:r w:rsidR="0021561D" w:rsidRPr="001416ED">
              <w:rPr>
                <w:b/>
                <w:lang w:val="uk-UA"/>
              </w:rPr>
              <w:t>28</w:t>
            </w:r>
          </w:p>
        </w:tc>
        <w:tc>
          <w:tcPr>
            <w:tcW w:w="2126" w:type="dxa"/>
          </w:tcPr>
          <w:p w:rsidR="00AA1841" w:rsidRPr="001416ED" w:rsidRDefault="0021561D" w:rsidP="00AA1841">
            <w:pPr>
              <w:spacing w:line="360" w:lineRule="auto"/>
              <w:ind w:right="-18"/>
              <w:jc w:val="center"/>
              <w:rPr>
                <w:b/>
                <w:lang w:val="uk-UA"/>
              </w:rPr>
            </w:pPr>
            <w:r w:rsidRPr="001416ED">
              <w:rPr>
                <w:b/>
                <w:lang w:val="uk-UA"/>
              </w:rPr>
              <w:t>&lt;0,05</w:t>
            </w:r>
          </w:p>
        </w:tc>
      </w:tr>
      <w:tr w:rsidR="00604BEA" w:rsidRPr="001416ED" w:rsidTr="001F5782">
        <w:tc>
          <w:tcPr>
            <w:tcW w:w="2410" w:type="dxa"/>
          </w:tcPr>
          <w:p w:rsidR="00AA1841" w:rsidRPr="001416ED" w:rsidRDefault="00AA1841" w:rsidP="00AA1841">
            <w:pPr>
              <w:ind w:right="-18"/>
              <w:jc w:val="center"/>
              <w:rPr>
                <w:lang w:val="uk-UA"/>
              </w:rPr>
            </w:pPr>
            <w:r w:rsidRPr="001416ED">
              <w:rPr>
                <w:lang w:val="uk-UA"/>
              </w:rPr>
              <w:t>Е/А, ум.од.</w:t>
            </w:r>
          </w:p>
        </w:tc>
        <w:tc>
          <w:tcPr>
            <w:tcW w:w="1843" w:type="dxa"/>
          </w:tcPr>
          <w:p w:rsidR="00AA1841" w:rsidRPr="001416ED" w:rsidRDefault="00604BEA" w:rsidP="00AA1841">
            <w:pPr>
              <w:spacing w:after="200"/>
              <w:ind w:right="-18"/>
              <w:jc w:val="center"/>
              <w:rPr>
                <w:lang w:val="uk-UA"/>
              </w:rPr>
            </w:pPr>
            <w:r w:rsidRPr="001416ED">
              <w:rPr>
                <w:lang w:val="uk-UA"/>
              </w:rPr>
              <w:t>0,11</w:t>
            </w:r>
          </w:p>
        </w:tc>
        <w:tc>
          <w:tcPr>
            <w:tcW w:w="1701" w:type="dxa"/>
          </w:tcPr>
          <w:p w:rsidR="00AA1841" w:rsidRPr="001416ED" w:rsidRDefault="000C04AA" w:rsidP="00604BEA">
            <w:pPr>
              <w:spacing w:after="200"/>
              <w:ind w:right="-18"/>
              <w:jc w:val="center"/>
              <w:rPr>
                <w:lang w:val="uk-UA"/>
              </w:rPr>
            </w:pPr>
            <w:r w:rsidRPr="001416ED">
              <w:rPr>
                <w:lang w:val="uk-UA"/>
              </w:rPr>
              <w:t xml:space="preserve"> ˃ </w:t>
            </w:r>
            <w:r w:rsidR="00604BEA" w:rsidRPr="001416ED">
              <w:rPr>
                <w:lang w:val="uk-UA"/>
              </w:rPr>
              <w:t>0,05</w:t>
            </w:r>
          </w:p>
        </w:tc>
        <w:tc>
          <w:tcPr>
            <w:tcW w:w="1843" w:type="dxa"/>
          </w:tcPr>
          <w:p w:rsidR="00AA1841" w:rsidRPr="001416ED" w:rsidRDefault="00BC0119" w:rsidP="0021561D">
            <w:pPr>
              <w:spacing w:after="200"/>
              <w:ind w:right="-18"/>
              <w:jc w:val="center"/>
              <w:rPr>
                <w:b/>
                <w:lang w:val="uk-UA"/>
              </w:rPr>
            </w:pPr>
            <w:r w:rsidRPr="001416ED">
              <w:rPr>
                <w:b/>
                <w:lang w:val="uk-UA"/>
              </w:rPr>
              <w:t>–</w:t>
            </w:r>
            <w:r w:rsidR="00AA1841" w:rsidRPr="001416ED">
              <w:rPr>
                <w:b/>
                <w:lang w:val="uk-UA"/>
              </w:rPr>
              <w:t>0,</w:t>
            </w:r>
            <w:r w:rsidR="0021561D" w:rsidRPr="001416ED">
              <w:rPr>
                <w:b/>
                <w:lang w:val="uk-UA"/>
              </w:rPr>
              <w:t>2</w:t>
            </w:r>
            <w:r w:rsidR="00AA1841" w:rsidRPr="001416ED">
              <w:rPr>
                <w:b/>
                <w:lang w:val="uk-UA"/>
              </w:rPr>
              <w:t>8</w:t>
            </w:r>
          </w:p>
        </w:tc>
        <w:tc>
          <w:tcPr>
            <w:tcW w:w="2126" w:type="dxa"/>
          </w:tcPr>
          <w:p w:rsidR="00AA1841" w:rsidRPr="001416ED" w:rsidRDefault="0021561D" w:rsidP="00AA1841">
            <w:pPr>
              <w:spacing w:after="200"/>
              <w:ind w:right="-18"/>
              <w:jc w:val="center"/>
              <w:rPr>
                <w:b/>
                <w:lang w:val="uk-UA"/>
              </w:rPr>
            </w:pPr>
            <w:r w:rsidRPr="001416ED">
              <w:rPr>
                <w:b/>
                <w:lang w:val="uk-UA"/>
              </w:rPr>
              <w:t>&lt;0,05</w:t>
            </w:r>
          </w:p>
        </w:tc>
      </w:tr>
      <w:tr w:rsidR="00604BEA" w:rsidRPr="001416ED" w:rsidTr="001F5782">
        <w:tc>
          <w:tcPr>
            <w:tcW w:w="2410" w:type="dxa"/>
          </w:tcPr>
          <w:p w:rsidR="00AA1841" w:rsidRPr="001416ED" w:rsidRDefault="00AA1841" w:rsidP="00AA1841">
            <w:pPr>
              <w:ind w:right="-18"/>
              <w:jc w:val="center"/>
              <w:rPr>
                <w:lang w:val="uk-UA"/>
              </w:rPr>
            </w:pPr>
            <w:r w:rsidRPr="001416ED">
              <w:rPr>
                <w:lang w:val="en-US"/>
              </w:rPr>
              <w:t>IVRT</w:t>
            </w:r>
            <w:r w:rsidRPr="001416ED">
              <w:rPr>
                <w:lang w:val="uk-UA"/>
              </w:rPr>
              <w:t>, мс</w:t>
            </w:r>
          </w:p>
        </w:tc>
        <w:tc>
          <w:tcPr>
            <w:tcW w:w="1843" w:type="dxa"/>
          </w:tcPr>
          <w:p w:rsidR="00AA1841" w:rsidRPr="001416ED" w:rsidRDefault="00AA1841" w:rsidP="00604BEA">
            <w:pPr>
              <w:spacing w:after="200"/>
              <w:ind w:right="-18"/>
              <w:jc w:val="center"/>
              <w:rPr>
                <w:lang w:val="uk-UA"/>
              </w:rPr>
            </w:pPr>
            <w:r w:rsidRPr="001416ED">
              <w:rPr>
                <w:lang w:val="uk-UA"/>
              </w:rPr>
              <w:t>0,</w:t>
            </w:r>
            <w:r w:rsidR="00604BEA" w:rsidRPr="001416ED">
              <w:rPr>
                <w:lang w:val="uk-UA"/>
              </w:rPr>
              <w:t>03</w:t>
            </w:r>
          </w:p>
        </w:tc>
        <w:tc>
          <w:tcPr>
            <w:tcW w:w="1701" w:type="dxa"/>
          </w:tcPr>
          <w:p w:rsidR="00AA1841" w:rsidRPr="001416ED" w:rsidRDefault="000C04AA" w:rsidP="00AA1841">
            <w:pPr>
              <w:spacing w:after="200"/>
              <w:ind w:right="-18"/>
              <w:jc w:val="center"/>
              <w:rPr>
                <w:lang w:val="uk-UA"/>
              </w:rPr>
            </w:pPr>
            <w:r w:rsidRPr="001416ED">
              <w:rPr>
                <w:lang w:val="uk-UA"/>
              </w:rPr>
              <w:t xml:space="preserve"> ˃ </w:t>
            </w:r>
            <w:r w:rsidR="00604BEA" w:rsidRPr="001416ED">
              <w:rPr>
                <w:lang w:val="uk-UA"/>
              </w:rPr>
              <w:t>0,05</w:t>
            </w:r>
          </w:p>
        </w:tc>
        <w:tc>
          <w:tcPr>
            <w:tcW w:w="1843" w:type="dxa"/>
          </w:tcPr>
          <w:p w:rsidR="00AA1841" w:rsidRPr="001416ED" w:rsidRDefault="0021561D" w:rsidP="00AA1841">
            <w:pPr>
              <w:spacing w:after="200"/>
              <w:ind w:right="-18"/>
              <w:jc w:val="center"/>
              <w:rPr>
                <w:b/>
                <w:lang w:val="uk-UA"/>
              </w:rPr>
            </w:pPr>
            <w:r w:rsidRPr="001416ED">
              <w:rPr>
                <w:b/>
                <w:lang w:val="uk-UA"/>
              </w:rPr>
              <w:t>0,32</w:t>
            </w:r>
          </w:p>
        </w:tc>
        <w:tc>
          <w:tcPr>
            <w:tcW w:w="2126" w:type="dxa"/>
          </w:tcPr>
          <w:p w:rsidR="00AA1841" w:rsidRPr="001416ED" w:rsidRDefault="0021561D" w:rsidP="00AA1841">
            <w:pPr>
              <w:spacing w:after="200"/>
              <w:ind w:right="-18"/>
              <w:jc w:val="center"/>
              <w:rPr>
                <w:b/>
                <w:lang w:val="uk-UA"/>
              </w:rPr>
            </w:pPr>
            <w:r w:rsidRPr="001416ED">
              <w:rPr>
                <w:b/>
                <w:lang w:val="uk-UA"/>
              </w:rPr>
              <w:t>&lt;0,05</w:t>
            </w:r>
          </w:p>
        </w:tc>
      </w:tr>
      <w:tr w:rsidR="00604BEA" w:rsidRPr="001416ED" w:rsidTr="001F5782">
        <w:tc>
          <w:tcPr>
            <w:tcW w:w="2410" w:type="dxa"/>
          </w:tcPr>
          <w:p w:rsidR="00604BEA" w:rsidRPr="001416ED" w:rsidRDefault="00604BEA" w:rsidP="00AA1841">
            <w:pPr>
              <w:spacing w:line="360" w:lineRule="auto"/>
              <w:jc w:val="center"/>
              <w:rPr>
                <w:lang w:val="uk-UA"/>
              </w:rPr>
            </w:pPr>
            <w:r w:rsidRPr="001416ED">
              <w:rPr>
                <w:lang w:val="uk-UA"/>
              </w:rPr>
              <w:t>ЗПСО,</w:t>
            </w:r>
            <w:r w:rsidRPr="001416ED">
              <w:rPr>
                <w:szCs w:val="22"/>
              </w:rPr>
              <w:t xml:space="preserve"> дин•с•см</w:t>
            </w:r>
            <w:r w:rsidR="00BC0119" w:rsidRPr="001416ED">
              <w:rPr>
                <w:szCs w:val="22"/>
                <w:vertAlign w:val="superscript"/>
              </w:rPr>
              <w:t>–</w:t>
            </w:r>
            <w:r w:rsidRPr="001416ED">
              <w:rPr>
                <w:szCs w:val="22"/>
                <w:vertAlign w:val="superscript"/>
              </w:rPr>
              <w:t>5</w:t>
            </w:r>
          </w:p>
        </w:tc>
        <w:tc>
          <w:tcPr>
            <w:tcW w:w="1843" w:type="dxa"/>
          </w:tcPr>
          <w:p w:rsidR="00604BEA" w:rsidRPr="001416ED" w:rsidRDefault="00604BEA" w:rsidP="00AA1841">
            <w:pPr>
              <w:spacing w:line="360" w:lineRule="auto"/>
              <w:ind w:right="-18"/>
              <w:jc w:val="center"/>
              <w:rPr>
                <w:lang w:val="uk-UA"/>
              </w:rPr>
            </w:pPr>
            <w:r w:rsidRPr="001416ED">
              <w:rPr>
                <w:lang w:val="uk-UA"/>
              </w:rPr>
              <w:t>0,16</w:t>
            </w:r>
          </w:p>
        </w:tc>
        <w:tc>
          <w:tcPr>
            <w:tcW w:w="1701" w:type="dxa"/>
          </w:tcPr>
          <w:p w:rsidR="00604BEA" w:rsidRPr="001416ED" w:rsidRDefault="000C04AA" w:rsidP="00AA1841">
            <w:pPr>
              <w:spacing w:line="360" w:lineRule="auto"/>
              <w:ind w:right="-18"/>
              <w:jc w:val="center"/>
              <w:rPr>
                <w:lang w:val="uk-UA"/>
              </w:rPr>
            </w:pPr>
            <w:r w:rsidRPr="001416ED">
              <w:rPr>
                <w:lang w:val="uk-UA"/>
              </w:rPr>
              <w:t xml:space="preserve"> ˃ </w:t>
            </w:r>
            <w:r w:rsidR="00604BEA" w:rsidRPr="001416ED">
              <w:rPr>
                <w:lang w:val="uk-UA"/>
              </w:rPr>
              <w:t>0,05</w:t>
            </w:r>
          </w:p>
        </w:tc>
        <w:tc>
          <w:tcPr>
            <w:tcW w:w="1843" w:type="dxa"/>
          </w:tcPr>
          <w:p w:rsidR="00604BEA" w:rsidRPr="001416ED" w:rsidRDefault="00604BEA" w:rsidP="00AA1841">
            <w:pPr>
              <w:spacing w:line="360" w:lineRule="auto"/>
              <w:ind w:right="-18"/>
              <w:jc w:val="center"/>
              <w:rPr>
                <w:b/>
                <w:u w:val="single"/>
                <w:lang w:val="uk-UA"/>
              </w:rPr>
            </w:pPr>
            <w:r w:rsidRPr="001416ED">
              <w:rPr>
                <w:b/>
                <w:u w:val="single"/>
                <w:lang w:val="uk-UA"/>
              </w:rPr>
              <w:t>0,57</w:t>
            </w:r>
          </w:p>
        </w:tc>
        <w:tc>
          <w:tcPr>
            <w:tcW w:w="2126" w:type="dxa"/>
          </w:tcPr>
          <w:p w:rsidR="00604BEA" w:rsidRPr="001416ED" w:rsidRDefault="00604BEA" w:rsidP="00AA1841">
            <w:pPr>
              <w:spacing w:line="360" w:lineRule="auto"/>
              <w:ind w:right="-18"/>
              <w:jc w:val="center"/>
              <w:rPr>
                <w:b/>
                <w:lang w:val="uk-UA"/>
              </w:rPr>
            </w:pPr>
            <w:r w:rsidRPr="001416ED">
              <w:rPr>
                <w:b/>
                <w:lang w:val="uk-UA"/>
              </w:rPr>
              <w:t>&lt;0,05</w:t>
            </w:r>
          </w:p>
        </w:tc>
      </w:tr>
      <w:tr w:rsidR="00DA4A68" w:rsidRPr="001416ED" w:rsidTr="001F5782">
        <w:tc>
          <w:tcPr>
            <w:tcW w:w="2410" w:type="dxa"/>
          </w:tcPr>
          <w:p w:rsidR="00DA4A68" w:rsidRPr="001416ED" w:rsidRDefault="00DA4A68" w:rsidP="008F5306">
            <w:pPr>
              <w:spacing w:line="360" w:lineRule="auto"/>
              <w:ind w:right="-18"/>
              <w:jc w:val="center"/>
              <w:rPr>
                <w:lang w:val="uk-UA"/>
              </w:rPr>
            </w:pPr>
            <w:r w:rsidRPr="001416ED">
              <w:rPr>
                <w:lang w:val="uk-UA"/>
              </w:rPr>
              <w:t>ВТС, ум. од.</w:t>
            </w:r>
          </w:p>
        </w:tc>
        <w:tc>
          <w:tcPr>
            <w:tcW w:w="1843" w:type="dxa"/>
          </w:tcPr>
          <w:p w:rsidR="00DA4A68" w:rsidRPr="001416ED" w:rsidRDefault="00BC0119" w:rsidP="00DA4A68">
            <w:pPr>
              <w:spacing w:line="360" w:lineRule="auto"/>
              <w:ind w:right="-18"/>
              <w:jc w:val="center"/>
              <w:rPr>
                <w:lang w:val="uk-UA"/>
              </w:rPr>
            </w:pPr>
            <w:r w:rsidRPr="001416ED">
              <w:rPr>
                <w:lang w:val="uk-UA"/>
              </w:rPr>
              <w:t>–</w:t>
            </w:r>
            <w:r w:rsidR="00DA4A68" w:rsidRPr="001416ED">
              <w:rPr>
                <w:lang w:val="uk-UA"/>
              </w:rPr>
              <w:t>0,17</w:t>
            </w:r>
          </w:p>
        </w:tc>
        <w:tc>
          <w:tcPr>
            <w:tcW w:w="1701" w:type="dxa"/>
          </w:tcPr>
          <w:p w:rsidR="00DA4A68" w:rsidRPr="001416ED" w:rsidRDefault="000C04AA" w:rsidP="008F5306">
            <w:pPr>
              <w:spacing w:line="360" w:lineRule="auto"/>
              <w:ind w:right="-18"/>
              <w:jc w:val="center"/>
              <w:rPr>
                <w:lang w:val="uk-UA"/>
              </w:rPr>
            </w:pPr>
            <w:r w:rsidRPr="001416ED">
              <w:rPr>
                <w:lang w:val="uk-UA"/>
              </w:rPr>
              <w:t xml:space="preserve"> ˃ </w:t>
            </w:r>
            <w:r w:rsidR="00DA4A68" w:rsidRPr="001416ED">
              <w:rPr>
                <w:lang w:val="uk-UA"/>
              </w:rPr>
              <w:t>0,05</w:t>
            </w:r>
          </w:p>
        </w:tc>
        <w:tc>
          <w:tcPr>
            <w:tcW w:w="1843" w:type="dxa"/>
          </w:tcPr>
          <w:p w:rsidR="00DA4A68" w:rsidRPr="001416ED" w:rsidRDefault="00BC0119" w:rsidP="00DA4A68">
            <w:pPr>
              <w:spacing w:line="360" w:lineRule="auto"/>
              <w:ind w:right="-18"/>
              <w:jc w:val="center"/>
              <w:rPr>
                <w:b/>
                <w:u w:val="single"/>
                <w:lang w:val="uk-UA"/>
              </w:rPr>
            </w:pPr>
            <w:r w:rsidRPr="001416ED">
              <w:rPr>
                <w:b/>
                <w:u w:val="single"/>
                <w:lang w:val="uk-UA"/>
              </w:rPr>
              <w:t>–</w:t>
            </w:r>
            <w:r w:rsidR="00DA4A68" w:rsidRPr="001416ED">
              <w:rPr>
                <w:b/>
                <w:u w:val="single"/>
                <w:lang w:val="uk-UA"/>
              </w:rPr>
              <w:t>0,54</w:t>
            </w:r>
          </w:p>
        </w:tc>
        <w:tc>
          <w:tcPr>
            <w:tcW w:w="2126" w:type="dxa"/>
          </w:tcPr>
          <w:p w:rsidR="00DA4A68" w:rsidRPr="001416ED" w:rsidRDefault="00DA4A68" w:rsidP="00DA4A68">
            <w:pPr>
              <w:spacing w:line="360" w:lineRule="auto"/>
              <w:ind w:right="-18"/>
              <w:jc w:val="center"/>
              <w:rPr>
                <w:b/>
                <w:lang w:val="uk-UA"/>
              </w:rPr>
            </w:pPr>
            <w:r w:rsidRPr="001416ED">
              <w:rPr>
                <w:b/>
                <w:lang w:val="uk-UA"/>
              </w:rPr>
              <w:t>&lt;0,05</w:t>
            </w:r>
          </w:p>
        </w:tc>
      </w:tr>
      <w:tr w:rsidR="00DA4A68" w:rsidRPr="001416ED" w:rsidTr="001F5782">
        <w:tc>
          <w:tcPr>
            <w:tcW w:w="2410" w:type="dxa"/>
          </w:tcPr>
          <w:p w:rsidR="00DA4A68" w:rsidRPr="001416ED" w:rsidRDefault="00DA4A68" w:rsidP="008F5306">
            <w:pPr>
              <w:spacing w:line="360" w:lineRule="auto"/>
              <w:jc w:val="center"/>
              <w:rPr>
                <w:lang w:val="uk-UA"/>
              </w:rPr>
            </w:pPr>
            <w:r w:rsidRPr="001416ED">
              <w:rPr>
                <w:lang w:val="uk-UA"/>
              </w:rPr>
              <w:t>іММЛШ,</w:t>
            </w:r>
            <w:r w:rsidR="00DF440C">
              <w:rPr>
                <w:lang w:val="uk-UA"/>
              </w:rPr>
              <w:t xml:space="preserve"> </w:t>
            </w:r>
            <w:r w:rsidRPr="001416ED">
              <w:rPr>
                <w:lang w:val="uk-UA"/>
              </w:rPr>
              <w:t>г/м</w:t>
            </w:r>
            <w:r w:rsidRPr="001416ED">
              <w:rPr>
                <w:vertAlign w:val="superscript"/>
                <w:lang w:val="uk-UA"/>
              </w:rPr>
              <w:t>2</w:t>
            </w:r>
          </w:p>
        </w:tc>
        <w:tc>
          <w:tcPr>
            <w:tcW w:w="1843" w:type="dxa"/>
          </w:tcPr>
          <w:p w:rsidR="00DA4A68" w:rsidRPr="001416ED" w:rsidRDefault="00DA4A68" w:rsidP="00DA4A68">
            <w:pPr>
              <w:spacing w:line="360" w:lineRule="auto"/>
              <w:ind w:right="-18"/>
              <w:jc w:val="center"/>
              <w:rPr>
                <w:b/>
                <w:u w:val="single"/>
                <w:lang w:val="uk-UA"/>
              </w:rPr>
            </w:pPr>
            <w:r w:rsidRPr="001416ED">
              <w:rPr>
                <w:b/>
                <w:u w:val="single"/>
                <w:lang w:val="uk-UA"/>
              </w:rPr>
              <w:t>0,68</w:t>
            </w:r>
          </w:p>
        </w:tc>
        <w:tc>
          <w:tcPr>
            <w:tcW w:w="1701" w:type="dxa"/>
          </w:tcPr>
          <w:p w:rsidR="00DA4A68" w:rsidRPr="001416ED" w:rsidRDefault="00DA4A68" w:rsidP="00DA4A68">
            <w:pPr>
              <w:spacing w:line="360" w:lineRule="auto"/>
              <w:ind w:right="-18"/>
              <w:jc w:val="center"/>
              <w:rPr>
                <w:b/>
                <w:lang w:val="uk-UA"/>
              </w:rPr>
            </w:pPr>
            <w:r w:rsidRPr="001416ED">
              <w:rPr>
                <w:b/>
                <w:lang w:val="uk-UA"/>
              </w:rPr>
              <w:t>&lt;0,05</w:t>
            </w:r>
          </w:p>
        </w:tc>
        <w:tc>
          <w:tcPr>
            <w:tcW w:w="1843" w:type="dxa"/>
          </w:tcPr>
          <w:p w:rsidR="00DA4A68" w:rsidRPr="001416ED" w:rsidRDefault="00DA4A68" w:rsidP="00DA4A68">
            <w:pPr>
              <w:spacing w:line="360" w:lineRule="auto"/>
              <w:ind w:right="-18"/>
              <w:jc w:val="center"/>
              <w:rPr>
                <w:b/>
                <w:u w:val="single"/>
                <w:lang w:val="uk-UA"/>
              </w:rPr>
            </w:pPr>
            <w:r w:rsidRPr="001416ED">
              <w:rPr>
                <w:b/>
                <w:u w:val="single"/>
                <w:lang w:val="uk-UA"/>
              </w:rPr>
              <w:t>0,81</w:t>
            </w:r>
          </w:p>
        </w:tc>
        <w:tc>
          <w:tcPr>
            <w:tcW w:w="2126" w:type="dxa"/>
          </w:tcPr>
          <w:p w:rsidR="00DA4A68" w:rsidRPr="001416ED" w:rsidRDefault="00DA4A68" w:rsidP="00DA4A68">
            <w:pPr>
              <w:spacing w:line="360" w:lineRule="auto"/>
              <w:ind w:right="-18"/>
              <w:jc w:val="center"/>
              <w:rPr>
                <w:b/>
                <w:lang w:val="uk-UA"/>
              </w:rPr>
            </w:pPr>
            <w:r w:rsidRPr="001416ED">
              <w:rPr>
                <w:b/>
                <w:lang w:val="uk-UA"/>
              </w:rPr>
              <w:t>&lt;0,05</w:t>
            </w:r>
          </w:p>
        </w:tc>
      </w:tr>
      <w:tr w:rsidR="0012776C" w:rsidRPr="001416ED" w:rsidTr="001F5782">
        <w:tc>
          <w:tcPr>
            <w:tcW w:w="2410" w:type="dxa"/>
          </w:tcPr>
          <w:p w:rsidR="0012776C" w:rsidRPr="001416ED" w:rsidRDefault="0012776C" w:rsidP="00611422">
            <w:pPr>
              <w:spacing w:line="276" w:lineRule="auto"/>
              <w:jc w:val="center"/>
              <w:rPr>
                <w:lang w:val="uk-UA"/>
              </w:rPr>
            </w:pPr>
            <w:r w:rsidRPr="001416ED">
              <w:rPr>
                <w:lang w:val="uk-UA"/>
              </w:rPr>
              <w:t>САТ, мм рт. ст.</w:t>
            </w:r>
          </w:p>
        </w:tc>
        <w:tc>
          <w:tcPr>
            <w:tcW w:w="1843" w:type="dxa"/>
          </w:tcPr>
          <w:p w:rsidR="0012776C" w:rsidRPr="001416ED" w:rsidRDefault="0012776C" w:rsidP="00611422">
            <w:pPr>
              <w:spacing w:line="360" w:lineRule="auto"/>
              <w:ind w:right="-18"/>
              <w:jc w:val="center"/>
              <w:rPr>
                <w:lang w:val="uk-UA"/>
              </w:rPr>
            </w:pPr>
            <w:r w:rsidRPr="001416ED">
              <w:rPr>
                <w:lang w:val="uk-UA"/>
              </w:rPr>
              <w:t>0,16</w:t>
            </w:r>
          </w:p>
        </w:tc>
        <w:tc>
          <w:tcPr>
            <w:tcW w:w="1701" w:type="dxa"/>
          </w:tcPr>
          <w:p w:rsidR="0012776C" w:rsidRPr="001416ED" w:rsidRDefault="000C04AA" w:rsidP="00611422">
            <w:pPr>
              <w:spacing w:line="360" w:lineRule="auto"/>
              <w:ind w:right="-18"/>
              <w:jc w:val="center"/>
              <w:rPr>
                <w:lang w:val="uk-UA"/>
              </w:rPr>
            </w:pPr>
            <w:r w:rsidRPr="001416ED">
              <w:rPr>
                <w:lang w:val="uk-UA"/>
              </w:rPr>
              <w:t xml:space="preserve"> ˃ </w:t>
            </w:r>
            <w:r w:rsidR="0012776C" w:rsidRPr="001416ED">
              <w:rPr>
                <w:lang w:val="uk-UA"/>
              </w:rPr>
              <w:t>0,05</w:t>
            </w:r>
          </w:p>
        </w:tc>
        <w:tc>
          <w:tcPr>
            <w:tcW w:w="1843" w:type="dxa"/>
          </w:tcPr>
          <w:p w:rsidR="0012776C" w:rsidRPr="001416ED" w:rsidRDefault="0012776C" w:rsidP="00611422">
            <w:pPr>
              <w:spacing w:line="360" w:lineRule="auto"/>
              <w:ind w:right="-18"/>
              <w:jc w:val="center"/>
              <w:rPr>
                <w:b/>
                <w:lang w:val="uk-UA"/>
              </w:rPr>
            </w:pPr>
            <w:r w:rsidRPr="001416ED">
              <w:rPr>
                <w:b/>
                <w:lang w:val="uk-UA"/>
              </w:rPr>
              <w:t>0,29</w:t>
            </w:r>
          </w:p>
        </w:tc>
        <w:tc>
          <w:tcPr>
            <w:tcW w:w="2126" w:type="dxa"/>
          </w:tcPr>
          <w:p w:rsidR="0012776C" w:rsidRPr="001416ED" w:rsidRDefault="0012776C" w:rsidP="00611422">
            <w:pPr>
              <w:spacing w:line="360" w:lineRule="auto"/>
              <w:ind w:right="-18"/>
              <w:jc w:val="center"/>
              <w:rPr>
                <w:b/>
                <w:lang w:val="uk-UA"/>
              </w:rPr>
            </w:pPr>
            <w:r w:rsidRPr="001416ED">
              <w:rPr>
                <w:b/>
                <w:lang w:val="uk-UA"/>
              </w:rPr>
              <w:t>&lt;0,05</w:t>
            </w:r>
          </w:p>
        </w:tc>
      </w:tr>
      <w:tr w:rsidR="0012776C" w:rsidRPr="001416ED" w:rsidTr="001F5782">
        <w:tc>
          <w:tcPr>
            <w:tcW w:w="2410" w:type="dxa"/>
          </w:tcPr>
          <w:p w:rsidR="0012776C" w:rsidRPr="001416ED" w:rsidRDefault="0012776C" w:rsidP="00611422">
            <w:pPr>
              <w:spacing w:line="276" w:lineRule="auto"/>
              <w:jc w:val="center"/>
              <w:rPr>
                <w:lang w:val="uk-UA"/>
              </w:rPr>
            </w:pPr>
            <w:r w:rsidRPr="001416ED">
              <w:rPr>
                <w:lang w:val="uk-UA"/>
              </w:rPr>
              <w:t>ДАТ, мм рт. ст.</w:t>
            </w:r>
          </w:p>
        </w:tc>
        <w:tc>
          <w:tcPr>
            <w:tcW w:w="1843" w:type="dxa"/>
          </w:tcPr>
          <w:p w:rsidR="0012776C" w:rsidRPr="001416ED" w:rsidRDefault="0012776C" w:rsidP="00611422">
            <w:pPr>
              <w:spacing w:line="360" w:lineRule="auto"/>
              <w:ind w:right="-18"/>
              <w:jc w:val="center"/>
              <w:rPr>
                <w:b/>
                <w:lang w:val="uk-UA"/>
              </w:rPr>
            </w:pPr>
            <w:r w:rsidRPr="001416ED">
              <w:rPr>
                <w:b/>
                <w:lang w:val="uk-UA"/>
              </w:rPr>
              <w:t>0,31</w:t>
            </w:r>
          </w:p>
        </w:tc>
        <w:tc>
          <w:tcPr>
            <w:tcW w:w="1701" w:type="dxa"/>
          </w:tcPr>
          <w:p w:rsidR="0012776C" w:rsidRPr="001416ED" w:rsidRDefault="0012776C" w:rsidP="00611422">
            <w:pPr>
              <w:spacing w:line="360" w:lineRule="auto"/>
              <w:ind w:right="-18"/>
              <w:jc w:val="center"/>
              <w:rPr>
                <w:b/>
                <w:lang w:val="uk-UA"/>
              </w:rPr>
            </w:pPr>
            <w:r w:rsidRPr="001416ED">
              <w:rPr>
                <w:b/>
                <w:lang w:val="uk-UA"/>
              </w:rPr>
              <w:t>&lt;0,05</w:t>
            </w:r>
          </w:p>
        </w:tc>
        <w:tc>
          <w:tcPr>
            <w:tcW w:w="1843" w:type="dxa"/>
          </w:tcPr>
          <w:p w:rsidR="0012776C" w:rsidRPr="001416ED" w:rsidRDefault="0012776C" w:rsidP="00611422">
            <w:pPr>
              <w:spacing w:line="360" w:lineRule="auto"/>
              <w:ind w:right="-18"/>
              <w:jc w:val="center"/>
              <w:rPr>
                <w:b/>
                <w:lang w:val="uk-UA"/>
              </w:rPr>
            </w:pPr>
            <w:r w:rsidRPr="001416ED">
              <w:rPr>
                <w:b/>
                <w:lang w:val="uk-UA"/>
              </w:rPr>
              <w:t>0,32</w:t>
            </w:r>
          </w:p>
        </w:tc>
        <w:tc>
          <w:tcPr>
            <w:tcW w:w="2126" w:type="dxa"/>
          </w:tcPr>
          <w:p w:rsidR="0012776C" w:rsidRPr="001416ED" w:rsidRDefault="0012776C" w:rsidP="00611422">
            <w:pPr>
              <w:spacing w:line="360" w:lineRule="auto"/>
              <w:ind w:right="-18"/>
              <w:jc w:val="center"/>
              <w:rPr>
                <w:b/>
                <w:lang w:val="uk-UA"/>
              </w:rPr>
            </w:pPr>
            <w:r w:rsidRPr="001416ED">
              <w:rPr>
                <w:b/>
                <w:lang w:val="uk-UA"/>
              </w:rPr>
              <w:t>&lt;0,05</w:t>
            </w:r>
          </w:p>
        </w:tc>
      </w:tr>
      <w:tr w:rsidR="0012776C" w:rsidRPr="001416ED" w:rsidTr="001F5782">
        <w:tc>
          <w:tcPr>
            <w:tcW w:w="2410" w:type="dxa"/>
          </w:tcPr>
          <w:p w:rsidR="0012776C" w:rsidRPr="001416ED" w:rsidRDefault="0012776C" w:rsidP="00611422">
            <w:pPr>
              <w:spacing w:line="360" w:lineRule="auto"/>
              <w:jc w:val="center"/>
              <w:rPr>
                <w:lang w:val="uk-UA"/>
              </w:rPr>
            </w:pPr>
            <w:r w:rsidRPr="001416ED">
              <w:rPr>
                <w:lang w:val="uk-UA"/>
              </w:rPr>
              <w:t>ЧСС, за 1 хв.</w:t>
            </w:r>
          </w:p>
        </w:tc>
        <w:tc>
          <w:tcPr>
            <w:tcW w:w="1843" w:type="dxa"/>
          </w:tcPr>
          <w:p w:rsidR="0012776C" w:rsidRPr="001416ED" w:rsidRDefault="0012776C" w:rsidP="00611422">
            <w:pPr>
              <w:spacing w:line="360" w:lineRule="auto"/>
              <w:ind w:right="-18"/>
              <w:jc w:val="center"/>
              <w:rPr>
                <w:b/>
                <w:lang w:val="uk-UA"/>
              </w:rPr>
            </w:pPr>
            <w:r w:rsidRPr="001416ED">
              <w:rPr>
                <w:b/>
                <w:lang w:val="uk-UA"/>
              </w:rPr>
              <w:t>0,27</w:t>
            </w:r>
          </w:p>
        </w:tc>
        <w:tc>
          <w:tcPr>
            <w:tcW w:w="1701" w:type="dxa"/>
          </w:tcPr>
          <w:p w:rsidR="0012776C" w:rsidRPr="001416ED" w:rsidRDefault="0012776C" w:rsidP="00611422">
            <w:pPr>
              <w:spacing w:line="360" w:lineRule="auto"/>
              <w:ind w:right="-18"/>
              <w:jc w:val="center"/>
              <w:rPr>
                <w:b/>
                <w:lang w:val="uk-UA"/>
              </w:rPr>
            </w:pPr>
            <w:r w:rsidRPr="001416ED">
              <w:rPr>
                <w:b/>
                <w:lang w:val="uk-UA"/>
              </w:rPr>
              <w:t>&lt;0,05</w:t>
            </w:r>
          </w:p>
        </w:tc>
        <w:tc>
          <w:tcPr>
            <w:tcW w:w="1843" w:type="dxa"/>
          </w:tcPr>
          <w:p w:rsidR="0012776C" w:rsidRPr="001416ED" w:rsidRDefault="0012776C" w:rsidP="00611422">
            <w:pPr>
              <w:spacing w:line="360" w:lineRule="auto"/>
              <w:ind w:right="-18"/>
              <w:jc w:val="center"/>
              <w:rPr>
                <w:b/>
                <w:u w:val="single"/>
                <w:lang w:val="uk-UA"/>
              </w:rPr>
            </w:pPr>
            <w:r w:rsidRPr="001416ED">
              <w:rPr>
                <w:b/>
                <w:u w:val="single"/>
                <w:lang w:val="uk-UA"/>
              </w:rPr>
              <w:t>0,56</w:t>
            </w:r>
          </w:p>
        </w:tc>
        <w:tc>
          <w:tcPr>
            <w:tcW w:w="2126" w:type="dxa"/>
          </w:tcPr>
          <w:p w:rsidR="0012776C" w:rsidRPr="001416ED" w:rsidRDefault="0012776C" w:rsidP="00611422">
            <w:pPr>
              <w:spacing w:line="360" w:lineRule="auto"/>
              <w:ind w:right="-18"/>
              <w:jc w:val="center"/>
              <w:rPr>
                <w:b/>
                <w:lang w:val="uk-UA"/>
              </w:rPr>
            </w:pPr>
            <w:r w:rsidRPr="001416ED">
              <w:rPr>
                <w:b/>
                <w:lang w:val="uk-UA"/>
              </w:rPr>
              <w:t>&lt;0,05</w:t>
            </w:r>
          </w:p>
        </w:tc>
      </w:tr>
    </w:tbl>
    <w:p w:rsidR="00A7687B" w:rsidRPr="001416ED" w:rsidRDefault="00A7687B" w:rsidP="006C63F3">
      <w:pPr>
        <w:spacing w:before="240" w:line="360" w:lineRule="auto"/>
        <w:ind w:firstLine="708"/>
        <w:rPr>
          <w:lang w:val="uk-UA"/>
        </w:rPr>
      </w:pPr>
      <w:r w:rsidRPr="001416ED">
        <w:rPr>
          <w:lang w:val="uk-UA"/>
        </w:rPr>
        <w:t xml:space="preserve">Примітка: </w:t>
      </w:r>
      <w:r w:rsidRPr="001416ED">
        <w:rPr>
          <w:lang w:val="en-US"/>
        </w:rPr>
        <w:t>R</w:t>
      </w:r>
      <w:r w:rsidRPr="001416ED">
        <w:rPr>
          <w:lang w:val="uk-UA"/>
        </w:rPr>
        <w:t xml:space="preserve"> – кореляційний коефіцієнт Спірмена</w:t>
      </w:r>
    </w:p>
    <w:p w:rsidR="00AA1841" w:rsidRPr="001416ED" w:rsidRDefault="00604BEA" w:rsidP="00376ED2">
      <w:pPr>
        <w:spacing w:before="240" w:line="360" w:lineRule="auto"/>
        <w:ind w:firstLine="708"/>
        <w:jc w:val="both"/>
        <w:rPr>
          <w:lang w:val="uk-UA"/>
        </w:rPr>
      </w:pPr>
      <w:r w:rsidRPr="001416ED">
        <w:rPr>
          <w:lang w:val="uk-UA"/>
        </w:rPr>
        <w:t>У чолові</w:t>
      </w:r>
      <w:r w:rsidRPr="001416ED">
        <w:t>к</w:t>
      </w:r>
      <w:r w:rsidRPr="001416ED">
        <w:rPr>
          <w:lang w:val="uk-UA"/>
        </w:rPr>
        <w:t>і</w:t>
      </w:r>
      <w:r w:rsidRPr="001416ED">
        <w:t>в</w:t>
      </w:r>
      <w:r w:rsidRPr="001416ED">
        <w:rPr>
          <w:lang w:val="uk-UA"/>
        </w:rPr>
        <w:t xml:space="preserve"> з ГХ ІІ ст. знайдена </w:t>
      </w:r>
      <w:r w:rsidR="00791E5D" w:rsidRPr="001416ED">
        <w:rPr>
          <w:lang w:val="uk-UA"/>
        </w:rPr>
        <w:t xml:space="preserve">достовірна </w:t>
      </w:r>
      <w:r w:rsidRPr="001416ED">
        <w:rPr>
          <w:lang w:val="uk-UA"/>
        </w:rPr>
        <w:t xml:space="preserve">позитивна кореляція між плазмовою концентрацією </w:t>
      </w:r>
      <w:r w:rsidR="00514BB8" w:rsidRPr="001416ED">
        <w:rPr>
          <w:lang w:val="uk-UA"/>
        </w:rPr>
        <w:t>ЕТ</w:t>
      </w:r>
      <w:r w:rsidR="00BC0119" w:rsidRPr="001416ED">
        <w:rPr>
          <w:lang w:val="uk-UA"/>
        </w:rPr>
        <w:t>–</w:t>
      </w:r>
      <w:r w:rsidR="00514BB8" w:rsidRPr="001416ED">
        <w:rPr>
          <w:lang w:val="uk-UA"/>
        </w:rPr>
        <w:t>1 та СІ, ДАТ, ЧСС</w:t>
      </w:r>
      <w:r w:rsidR="005F77DB" w:rsidRPr="001416ED">
        <w:rPr>
          <w:lang w:val="uk-UA"/>
        </w:rPr>
        <w:t>, іММЛШ</w:t>
      </w:r>
      <w:r w:rsidRPr="001416ED">
        <w:rPr>
          <w:lang w:val="uk-UA"/>
        </w:rPr>
        <w:t xml:space="preserve">, в інших показниках кореляції не виявлено. У осіб з ГХ </w:t>
      </w:r>
      <w:r w:rsidR="00791E5D" w:rsidRPr="001416ED">
        <w:rPr>
          <w:lang w:val="uk-UA"/>
        </w:rPr>
        <w:t>ІІІ</w:t>
      </w:r>
      <w:r w:rsidRPr="001416ED">
        <w:rPr>
          <w:lang w:val="uk-UA"/>
        </w:rPr>
        <w:t xml:space="preserve"> ст. встановлена позитивна кореляція пептиду з СІ,  </w:t>
      </w:r>
      <w:r w:rsidRPr="001416ED">
        <w:rPr>
          <w:lang w:val="en-US"/>
        </w:rPr>
        <w:t>IVRT</w:t>
      </w:r>
      <w:r w:rsidRPr="001416ED">
        <w:rPr>
          <w:lang w:val="uk-UA"/>
        </w:rPr>
        <w:t>, САТ, ДАТ, ЧСС, ЗПСО</w:t>
      </w:r>
      <w:r w:rsidR="005F77DB" w:rsidRPr="001416ED">
        <w:rPr>
          <w:lang w:val="uk-UA"/>
        </w:rPr>
        <w:t>,</w:t>
      </w:r>
      <w:r w:rsidRPr="001416ED">
        <w:rPr>
          <w:lang w:val="uk-UA"/>
        </w:rPr>
        <w:t xml:space="preserve"> </w:t>
      </w:r>
      <w:r w:rsidR="005F77DB" w:rsidRPr="001416ED">
        <w:rPr>
          <w:lang w:val="uk-UA"/>
        </w:rPr>
        <w:t xml:space="preserve">іММЛШ </w:t>
      </w:r>
      <w:r w:rsidRPr="001416ED">
        <w:rPr>
          <w:lang w:val="uk-UA"/>
        </w:rPr>
        <w:t>та негативна кореляція з Е/А</w:t>
      </w:r>
      <w:r w:rsidR="005F77DB" w:rsidRPr="001416ED">
        <w:rPr>
          <w:lang w:val="uk-UA"/>
        </w:rPr>
        <w:t xml:space="preserve"> та ВТС,</w:t>
      </w:r>
      <w:r w:rsidRPr="001416ED">
        <w:rPr>
          <w:lang w:val="uk-UA"/>
        </w:rPr>
        <w:t xml:space="preserve"> проте в усіх інших показниках вірогідної кореляції не досліджено.</w:t>
      </w:r>
      <w:r w:rsidR="003C43D4" w:rsidRPr="001416ED">
        <w:rPr>
          <w:lang w:val="uk-UA"/>
        </w:rPr>
        <w:t xml:space="preserve"> Отримані дані демонструють роль ЕТ</w:t>
      </w:r>
      <w:r w:rsidR="00BC0119" w:rsidRPr="001416ED">
        <w:rPr>
          <w:lang w:val="uk-UA"/>
        </w:rPr>
        <w:t>–</w:t>
      </w:r>
      <w:r w:rsidR="003C43D4" w:rsidRPr="001416ED">
        <w:rPr>
          <w:lang w:val="uk-UA"/>
        </w:rPr>
        <w:t>1, як одного із можливих факторів ініціації</w:t>
      </w:r>
      <w:r w:rsidR="006C63F3" w:rsidRPr="001416ED">
        <w:rPr>
          <w:lang w:val="uk-UA"/>
        </w:rPr>
        <w:t xml:space="preserve"> та</w:t>
      </w:r>
      <w:r w:rsidR="003C43D4" w:rsidRPr="001416ED">
        <w:rPr>
          <w:lang w:val="uk-UA"/>
        </w:rPr>
        <w:t xml:space="preserve"> впливу на основні патогенетичні ланки та прогресування ГХ і ХСН на її тлі.</w:t>
      </w:r>
    </w:p>
    <w:p w:rsidR="00C53C22" w:rsidRPr="001416ED" w:rsidRDefault="004D7D90" w:rsidP="00362F9C">
      <w:pPr>
        <w:spacing w:line="360" w:lineRule="auto"/>
        <w:ind w:firstLine="709"/>
        <w:jc w:val="both"/>
        <w:rPr>
          <w:rFonts w:eastAsiaTheme="minorHAnsi"/>
          <w:kern w:val="11"/>
          <w:lang w:val="uk-UA" w:eastAsia="en-US"/>
        </w:rPr>
      </w:pPr>
      <w:r w:rsidRPr="001416ED">
        <w:rPr>
          <w:rFonts w:eastAsiaTheme="minorHAnsi"/>
          <w:kern w:val="11"/>
          <w:lang w:val="uk-UA" w:eastAsia="en-US"/>
        </w:rPr>
        <w:t>Встановлено, що у чоловіків ГХ</w:t>
      </w:r>
      <w:r w:rsidR="0079340B" w:rsidRPr="001416ED">
        <w:rPr>
          <w:rFonts w:eastAsiaTheme="minorHAnsi"/>
          <w:kern w:val="11"/>
          <w:lang w:val="uk-UA" w:eastAsia="en-US"/>
        </w:rPr>
        <w:t xml:space="preserve"> ІІІ ст.</w:t>
      </w:r>
      <w:r w:rsidRPr="001416ED">
        <w:rPr>
          <w:rFonts w:eastAsiaTheme="minorHAnsi"/>
          <w:kern w:val="11"/>
          <w:lang w:val="uk-UA" w:eastAsia="en-US"/>
        </w:rPr>
        <w:t xml:space="preserve"> рівень ЕТ</w:t>
      </w:r>
      <w:r w:rsidR="00BC0119" w:rsidRPr="001416ED">
        <w:rPr>
          <w:rFonts w:eastAsiaTheme="minorHAnsi"/>
          <w:kern w:val="11"/>
          <w:lang w:val="uk-UA" w:eastAsia="en-US"/>
        </w:rPr>
        <w:t>–</w:t>
      </w:r>
      <w:r w:rsidRPr="001416ED">
        <w:rPr>
          <w:rFonts w:eastAsiaTheme="minorHAnsi"/>
          <w:kern w:val="11"/>
          <w:lang w:val="uk-UA" w:eastAsia="en-US"/>
        </w:rPr>
        <w:t xml:space="preserve">1 вірогідно вищий при носійстві алелі </w:t>
      </w:r>
      <w:r w:rsidRPr="001416ED">
        <w:rPr>
          <w:rFonts w:eastAsiaTheme="minorHAnsi"/>
          <w:kern w:val="11"/>
          <w:lang w:val="en-US" w:eastAsia="en-US"/>
        </w:rPr>
        <w:t>Asn</w:t>
      </w:r>
      <w:r w:rsidRPr="001416ED">
        <w:rPr>
          <w:rFonts w:eastAsiaTheme="minorHAnsi"/>
          <w:kern w:val="11"/>
          <w:lang w:val="uk-UA" w:eastAsia="en-US"/>
        </w:rPr>
        <w:t>, то</w:t>
      </w:r>
      <w:r w:rsidR="00A94302" w:rsidRPr="001416ED">
        <w:rPr>
          <w:rFonts w:eastAsiaTheme="minorHAnsi"/>
          <w:kern w:val="11"/>
          <w:lang w:val="uk-UA" w:eastAsia="en-US"/>
        </w:rPr>
        <w:t>м</w:t>
      </w:r>
      <w:r w:rsidRPr="001416ED">
        <w:rPr>
          <w:rFonts w:eastAsiaTheme="minorHAnsi"/>
          <w:kern w:val="11"/>
          <w:lang w:val="uk-UA" w:eastAsia="en-US"/>
        </w:rPr>
        <w:t>у було вирішено дослідити</w:t>
      </w:r>
      <w:r w:rsidR="00C53C22" w:rsidRPr="001416ED">
        <w:rPr>
          <w:rFonts w:eastAsiaTheme="minorHAnsi"/>
          <w:kern w:val="11"/>
          <w:lang w:val="uk-UA" w:eastAsia="en-US"/>
        </w:rPr>
        <w:t xml:space="preserve"> рівні ЕТ</w:t>
      </w:r>
      <w:r w:rsidR="00BC0119" w:rsidRPr="001416ED">
        <w:rPr>
          <w:rFonts w:eastAsiaTheme="minorHAnsi"/>
          <w:kern w:val="11"/>
          <w:lang w:val="uk-UA" w:eastAsia="en-US"/>
        </w:rPr>
        <w:t>–</w:t>
      </w:r>
      <w:r w:rsidR="00C53C22" w:rsidRPr="001416ED">
        <w:rPr>
          <w:rFonts w:eastAsiaTheme="minorHAnsi"/>
          <w:kern w:val="11"/>
          <w:lang w:val="uk-UA" w:eastAsia="en-US"/>
        </w:rPr>
        <w:t xml:space="preserve">1 у чоловіків з </w:t>
      </w:r>
      <w:r w:rsidR="00A63A7A" w:rsidRPr="001416ED">
        <w:rPr>
          <w:rFonts w:eastAsiaTheme="minorHAnsi"/>
          <w:kern w:val="11"/>
          <w:lang w:val="uk-UA" w:eastAsia="en-US"/>
        </w:rPr>
        <w:t xml:space="preserve">ГХ ІІІ </w:t>
      </w:r>
      <w:r w:rsidR="00A63A7A" w:rsidRPr="001416ED">
        <w:rPr>
          <w:rFonts w:eastAsiaTheme="minorHAnsi"/>
          <w:kern w:val="11"/>
          <w:lang w:val="uk-UA" w:eastAsia="en-US"/>
        </w:rPr>
        <w:lastRenderedPageBreak/>
        <w:t>ст</w:t>
      </w:r>
      <w:r w:rsidR="0079340B" w:rsidRPr="001416ED">
        <w:rPr>
          <w:rFonts w:eastAsiaTheme="minorHAnsi"/>
          <w:kern w:val="11"/>
          <w:lang w:val="uk-UA" w:eastAsia="en-US"/>
        </w:rPr>
        <w:t>.</w:t>
      </w:r>
      <w:r w:rsidR="00791E5D" w:rsidRPr="001416ED">
        <w:rPr>
          <w:rFonts w:eastAsiaTheme="minorHAnsi"/>
          <w:kern w:val="11"/>
          <w:lang w:val="uk-UA" w:eastAsia="en-US"/>
        </w:rPr>
        <w:t xml:space="preserve"> </w:t>
      </w:r>
      <w:r w:rsidR="006C63F3" w:rsidRPr="001416ED">
        <w:rPr>
          <w:rFonts w:eastAsiaTheme="minorHAnsi"/>
          <w:kern w:val="11"/>
          <w:lang w:val="uk-UA" w:eastAsia="en-US"/>
        </w:rPr>
        <w:t>при</w:t>
      </w:r>
      <w:r w:rsidR="00C53C22" w:rsidRPr="001416ED">
        <w:rPr>
          <w:rFonts w:eastAsiaTheme="minorHAnsi"/>
          <w:kern w:val="11"/>
          <w:lang w:val="uk-UA" w:eastAsia="en-US"/>
        </w:rPr>
        <w:t xml:space="preserve"> </w:t>
      </w:r>
      <w:r w:rsidR="0079340B" w:rsidRPr="001416ED">
        <w:rPr>
          <w:rFonts w:eastAsiaTheme="minorHAnsi"/>
          <w:kern w:val="11"/>
          <w:lang w:val="uk-UA" w:eastAsia="en-US"/>
        </w:rPr>
        <w:t xml:space="preserve">ФВ ˃ 45 % та  ФВ &lt; 45 %, </w:t>
      </w:r>
      <w:r w:rsidR="00C53C22" w:rsidRPr="001416ED">
        <w:rPr>
          <w:rFonts w:eastAsiaTheme="minorHAnsi"/>
          <w:kern w:val="11"/>
          <w:lang w:val="uk-UA" w:eastAsia="en-US"/>
        </w:rPr>
        <w:t xml:space="preserve"> при носійстві </w:t>
      </w:r>
      <w:r w:rsidR="00E6164F">
        <w:rPr>
          <w:rFonts w:eastAsiaTheme="minorHAnsi"/>
          <w:kern w:val="11"/>
          <w:lang w:val="uk-UA" w:eastAsia="en-US"/>
        </w:rPr>
        <w:t>поліморфних варіантів гена ЕТ–1</w:t>
      </w:r>
      <w:r w:rsidR="00C53C22" w:rsidRPr="001416ED">
        <w:rPr>
          <w:rFonts w:eastAsiaTheme="minorHAnsi"/>
          <w:kern w:val="11"/>
          <w:lang w:val="uk-UA" w:eastAsia="en-US"/>
        </w:rPr>
        <w:t xml:space="preserve"> (табл. </w:t>
      </w:r>
      <w:r w:rsidRPr="001416ED">
        <w:rPr>
          <w:rFonts w:eastAsiaTheme="minorHAnsi"/>
          <w:kern w:val="11"/>
          <w:lang w:val="uk-UA" w:eastAsia="en-US"/>
        </w:rPr>
        <w:t>5</w:t>
      </w:r>
      <w:r w:rsidR="00C53C22" w:rsidRPr="001416ED">
        <w:rPr>
          <w:rFonts w:eastAsiaTheme="minorHAnsi"/>
          <w:kern w:val="11"/>
          <w:lang w:val="uk-UA" w:eastAsia="en-US"/>
        </w:rPr>
        <w:t>.</w:t>
      </w:r>
      <w:r w:rsidR="006A66E9" w:rsidRPr="001416ED">
        <w:rPr>
          <w:rFonts w:eastAsiaTheme="minorHAnsi"/>
          <w:kern w:val="11"/>
          <w:lang w:val="uk-UA" w:eastAsia="en-US"/>
        </w:rPr>
        <w:t>8</w:t>
      </w:r>
      <w:r w:rsidR="00C53C22" w:rsidRPr="001416ED">
        <w:rPr>
          <w:rFonts w:eastAsiaTheme="minorHAnsi"/>
          <w:kern w:val="11"/>
          <w:lang w:val="uk-UA" w:eastAsia="en-US"/>
        </w:rPr>
        <w:t>)</w:t>
      </w:r>
      <w:r w:rsidRPr="001416ED">
        <w:rPr>
          <w:rFonts w:eastAsiaTheme="minorHAnsi"/>
          <w:kern w:val="11"/>
          <w:lang w:val="uk-UA" w:eastAsia="en-US"/>
        </w:rPr>
        <w:t>.</w:t>
      </w:r>
    </w:p>
    <w:p w:rsidR="00C53C22" w:rsidRPr="001416ED" w:rsidRDefault="00C53C22" w:rsidP="00C53C22">
      <w:pPr>
        <w:spacing w:line="360" w:lineRule="auto"/>
        <w:ind w:right="140" w:firstLine="708"/>
        <w:jc w:val="right"/>
        <w:rPr>
          <w:b/>
          <w:lang w:val="uk-UA"/>
        </w:rPr>
      </w:pPr>
      <w:r w:rsidRPr="001416ED">
        <w:rPr>
          <w:b/>
          <w:lang w:val="uk-UA"/>
        </w:rPr>
        <w:t xml:space="preserve">Таблиця </w:t>
      </w:r>
      <w:r w:rsidR="00C040A3" w:rsidRPr="001416ED">
        <w:rPr>
          <w:b/>
          <w:lang w:val="uk-UA"/>
        </w:rPr>
        <w:t>5</w:t>
      </w:r>
      <w:r w:rsidRPr="001416ED">
        <w:rPr>
          <w:b/>
          <w:lang w:val="uk-UA"/>
        </w:rPr>
        <w:t>.</w:t>
      </w:r>
      <w:r w:rsidR="006A66E9" w:rsidRPr="001416ED">
        <w:rPr>
          <w:b/>
          <w:lang w:val="uk-UA"/>
        </w:rPr>
        <w:t>8</w:t>
      </w:r>
    </w:p>
    <w:p w:rsidR="00C53C22" w:rsidRPr="001416ED" w:rsidRDefault="00C53C22" w:rsidP="00C53C22">
      <w:pPr>
        <w:spacing w:line="360" w:lineRule="auto"/>
        <w:ind w:right="140"/>
        <w:jc w:val="center"/>
        <w:outlineLvl w:val="0"/>
        <w:rPr>
          <w:b/>
          <w:lang w:val="uk-UA"/>
        </w:rPr>
      </w:pPr>
      <w:r w:rsidRPr="001416ED">
        <w:rPr>
          <w:b/>
          <w:lang w:val="uk-UA"/>
        </w:rPr>
        <w:t>Рівні ЕТ</w:t>
      </w:r>
      <w:r w:rsidR="00BC0119" w:rsidRPr="001416ED">
        <w:rPr>
          <w:b/>
          <w:lang w:val="uk-UA"/>
        </w:rPr>
        <w:t>–</w:t>
      </w:r>
      <w:r w:rsidRPr="001416ED">
        <w:rPr>
          <w:b/>
          <w:lang w:val="uk-UA"/>
        </w:rPr>
        <w:t>1 у плазмі крові чоловіків, хворих н</w:t>
      </w:r>
      <w:r w:rsidR="008A7230" w:rsidRPr="001416ED">
        <w:rPr>
          <w:b/>
          <w:lang w:val="uk-UA"/>
        </w:rPr>
        <w:t xml:space="preserve">а  ГХ </w:t>
      </w:r>
      <w:r w:rsidR="004A4E68" w:rsidRPr="001416ED">
        <w:rPr>
          <w:b/>
          <w:lang w:val="uk-UA"/>
        </w:rPr>
        <w:t>І</w:t>
      </w:r>
      <w:r w:rsidR="001534FD" w:rsidRPr="001416ED">
        <w:rPr>
          <w:b/>
          <w:lang w:val="uk-UA"/>
        </w:rPr>
        <w:t>ІІ</w:t>
      </w:r>
      <w:r w:rsidR="008A7230" w:rsidRPr="001416ED">
        <w:rPr>
          <w:b/>
          <w:lang w:val="uk-UA"/>
        </w:rPr>
        <w:t xml:space="preserve"> ст.</w:t>
      </w:r>
      <w:r w:rsidRPr="001416ED">
        <w:rPr>
          <w:b/>
          <w:lang w:val="uk-UA"/>
        </w:rPr>
        <w:t xml:space="preserve">, </w:t>
      </w:r>
      <w:r w:rsidR="008A7230" w:rsidRPr="001416ED">
        <w:rPr>
          <w:b/>
          <w:lang w:val="uk-UA"/>
        </w:rPr>
        <w:t xml:space="preserve">при </w:t>
      </w:r>
      <w:r w:rsidRPr="001416ED">
        <w:rPr>
          <w:b/>
          <w:lang w:val="uk-UA"/>
        </w:rPr>
        <w:t xml:space="preserve">різній </w:t>
      </w:r>
      <w:r w:rsidR="0079340B" w:rsidRPr="001416ED">
        <w:rPr>
          <w:b/>
          <w:lang w:val="uk-UA"/>
        </w:rPr>
        <w:t>ФВ</w:t>
      </w:r>
      <w:r w:rsidRPr="001416ED">
        <w:rPr>
          <w:b/>
          <w:lang w:val="uk-UA"/>
        </w:rPr>
        <w:t xml:space="preserve"> ЛШ</w:t>
      </w:r>
      <w:r w:rsidR="008A7230" w:rsidRPr="001416ED">
        <w:rPr>
          <w:b/>
          <w:lang w:val="uk-UA"/>
        </w:rPr>
        <w:t xml:space="preserve"> та</w:t>
      </w:r>
      <w:r w:rsidRPr="001416ED">
        <w:rPr>
          <w:b/>
          <w:lang w:val="uk-UA"/>
        </w:rPr>
        <w:t xml:space="preserve"> при носійстві </w:t>
      </w:r>
      <w:r w:rsidR="00FF5C21">
        <w:rPr>
          <w:b/>
          <w:lang w:val="uk-UA"/>
        </w:rPr>
        <w:t>поліморфних варіантів гена</w:t>
      </w:r>
      <w:r w:rsidRPr="001416ED">
        <w:rPr>
          <w:b/>
          <w:lang w:val="uk-UA"/>
        </w:rPr>
        <w:t xml:space="preserve"> ЕТ</w:t>
      </w:r>
      <w:r w:rsidR="00BC0119" w:rsidRPr="001416ED">
        <w:rPr>
          <w:b/>
          <w:lang w:val="uk-UA"/>
        </w:rPr>
        <w:t>–</w:t>
      </w:r>
      <w:r w:rsidRPr="001416ED">
        <w:rPr>
          <w:b/>
          <w:lang w:val="uk-UA"/>
        </w:rPr>
        <w:t>1, фмоль/мл  (</w:t>
      </w:r>
      <w:r w:rsidRPr="001416ED">
        <w:rPr>
          <w:b/>
          <w:lang w:val="en-US"/>
        </w:rPr>
        <w:t>M</w:t>
      </w:r>
      <w:r w:rsidR="007A07A9" w:rsidRPr="001416ED">
        <w:rPr>
          <w:b/>
          <w:lang w:val="uk-UA"/>
        </w:rPr>
        <w:t xml:space="preserve"> ± </w:t>
      </w:r>
      <w:r w:rsidRPr="001416ED">
        <w:rPr>
          <w:b/>
          <w:lang w:val="en-US"/>
        </w:rPr>
        <w:t>m</w:t>
      </w:r>
      <w:r w:rsidRPr="001416ED">
        <w:rPr>
          <w:b/>
          <w:lang w:val="uk-UA"/>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985"/>
        <w:gridCol w:w="1984"/>
        <w:gridCol w:w="1418"/>
      </w:tblGrid>
      <w:tr w:rsidR="00AF721A" w:rsidRPr="001416ED" w:rsidTr="00403FB9">
        <w:tc>
          <w:tcPr>
            <w:tcW w:w="4394" w:type="dxa"/>
          </w:tcPr>
          <w:p w:rsidR="00AF721A" w:rsidRPr="001416ED" w:rsidRDefault="00AF721A" w:rsidP="00AF721A">
            <w:pPr>
              <w:spacing w:line="360" w:lineRule="auto"/>
              <w:ind w:right="140" w:firstLine="708"/>
              <w:jc w:val="center"/>
              <w:rPr>
                <w:b/>
                <w:lang w:val="uk-UA"/>
              </w:rPr>
            </w:pPr>
            <w:r w:rsidRPr="001416ED">
              <w:rPr>
                <w:b/>
                <w:lang w:val="uk-UA"/>
              </w:rPr>
              <w:t>Групи</w:t>
            </w:r>
          </w:p>
        </w:tc>
        <w:tc>
          <w:tcPr>
            <w:tcW w:w="1985" w:type="dxa"/>
          </w:tcPr>
          <w:p w:rsidR="00AF721A" w:rsidRPr="001416ED" w:rsidRDefault="00AF721A" w:rsidP="00791E5D">
            <w:pPr>
              <w:spacing w:line="360" w:lineRule="auto"/>
              <w:jc w:val="center"/>
              <w:rPr>
                <w:rFonts w:eastAsiaTheme="minorHAnsi"/>
                <w:b/>
                <w:kern w:val="11"/>
                <w:lang w:val="uk-UA" w:eastAsia="en-US"/>
              </w:rPr>
            </w:pPr>
            <w:r w:rsidRPr="001416ED">
              <w:rPr>
                <w:rFonts w:eastAsiaTheme="minorHAnsi"/>
                <w:b/>
                <w:kern w:val="11"/>
                <w:lang w:val="uk-UA" w:eastAsia="en-US"/>
              </w:rPr>
              <w:t xml:space="preserve">Носії генотипу </w:t>
            </w:r>
            <w:r w:rsidRPr="001416ED">
              <w:rPr>
                <w:rFonts w:eastAsiaTheme="minorHAnsi"/>
                <w:b/>
                <w:kern w:val="11"/>
                <w:lang w:val="en-US" w:eastAsia="en-US"/>
              </w:rPr>
              <w:t>Lys</w:t>
            </w:r>
            <w:r w:rsidRPr="001416ED">
              <w:rPr>
                <w:rFonts w:eastAsiaTheme="minorHAnsi"/>
                <w:b/>
                <w:kern w:val="11"/>
                <w:lang w:val="uk-UA" w:eastAsia="en-US"/>
              </w:rPr>
              <w:t>/</w:t>
            </w:r>
            <w:r w:rsidRPr="001416ED">
              <w:rPr>
                <w:rFonts w:eastAsiaTheme="minorHAnsi"/>
                <w:b/>
                <w:kern w:val="11"/>
                <w:lang w:val="en-US" w:eastAsia="en-US"/>
              </w:rPr>
              <w:t>Lys</w:t>
            </w:r>
            <w:r w:rsidR="00791E5D" w:rsidRPr="001416ED">
              <w:rPr>
                <w:rFonts w:eastAsiaTheme="minorHAnsi"/>
                <w:b/>
                <w:kern w:val="11"/>
                <w:lang w:val="uk-UA" w:eastAsia="en-US"/>
              </w:rPr>
              <w:t xml:space="preserve"> </w:t>
            </w:r>
          </w:p>
        </w:tc>
        <w:tc>
          <w:tcPr>
            <w:tcW w:w="1984" w:type="dxa"/>
          </w:tcPr>
          <w:p w:rsidR="00AF721A" w:rsidRPr="001416ED" w:rsidRDefault="00AF721A" w:rsidP="00791E5D">
            <w:pPr>
              <w:spacing w:line="360" w:lineRule="auto"/>
              <w:jc w:val="center"/>
              <w:rPr>
                <w:rFonts w:eastAsiaTheme="minorHAnsi"/>
                <w:b/>
                <w:kern w:val="11"/>
                <w:lang w:val="en-US" w:eastAsia="en-US"/>
              </w:rPr>
            </w:pPr>
            <w:r w:rsidRPr="001416ED">
              <w:rPr>
                <w:rFonts w:eastAsiaTheme="minorHAnsi"/>
                <w:b/>
                <w:kern w:val="11"/>
                <w:lang w:eastAsia="en-US"/>
              </w:rPr>
              <w:t>Но</w:t>
            </w:r>
            <w:r w:rsidRPr="001416ED">
              <w:rPr>
                <w:rFonts w:eastAsiaTheme="minorHAnsi"/>
                <w:b/>
                <w:kern w:val="11"/>
                <w:lang w:val="uk-UA" w:eastAsia="en-US"/>
              </w:rPr>
              <w:t xml:space="preserve">сії алелі </w:t>
            </w:r>
            <w:r w:rsidRPr="001416ED">
              <w:rPr>
                <w:rFonts w:eastAsiaTheme="minorHAnsi"/>
                <w:b/>
                <w:kern w:val="11"/>
                <w:lang w:val="en-US" w:eastAsia="en-US"/>
              </w:rPr>
              <w:t>Asn</w:t>
            </w:r>
            <w:r w:rsidR="00791E5D" w:rsidRPr="001416ED">
              <w:rPr>
                <w:rFonts w:eastAsiaTheme="minorHAnsi"/>
                <w:b/>
                <w:kern w:val="11"/>
                <w:lang w:val="uk-UA" w:eastAsia="en-US"/>
              </w:rPr>
              <w:t xml:space="preserve"> </w:t>
            </w:r>
          </w:p>
        </w:tc>
        <w:tc>
          <w:tcPr>
            <w:tcW w:w="1418" w:type="dxa"/>
          </w:tcPr>
          <w:p w:rsidR="00AF721A" w:rsidRPr="001416ED" w:rsidRDefault="00AF721A" w:rsidP="00465148">
            <w:pPr>
              <w:spacing w:line="360" w:lineRule="auto"/>
              <w:jc w:val="center"/>
              <w:rPr>
                <w:rFonts w:eastAsiaTheme="minorHAnsi"/>
                <w:b/>
                <w:kern w:val="11"/>
                <w:lang w:val="uk-UA" w:eastAsia="en-US"/>
              </w:rPr>
            </w:pPr>
            <w:r w:rsidRPr="001416ED">
              <w:rPr>
                <w:rFonts w:eastAsiaTheme="minorHAnsi"/>
                <w:b/>
                <w:kern w:val="11"/>
                <w:lang w:val="uk-UA" w:eastAsia="en-US"/>
              </w:rPr>
              <w:t>р</w:t>
            </w:r>
          </w:p>
        </w:tc>
      </w:tr>
      <w:tr w:rsidR="00AF721A" w:rsidRPr="001416ED" w:rsidTr="00403FB9">
        <w:trPr>
          <w:trHeight w:val="1010"/>
        </w:trPr>
        <w:tc>
          <w:tcPr>
            <w:tcW w:w="4394" w:type="dxa"/>
          </w:tcPr>
          <w:p w:rsidR="00791E5D" w:rsidRPr="001416ED" w:rsidRDefault="00AF721A" w:rsidP="00791E5D">
            <w:pPr>
              <w:spacing w:line="360" w:lineRule="auto"/>
              <w:ind w:right="140"/>
              <w:jc w:val="both"/>
              <w:rPr>
                <w:lang w:val="uk-UA"/>
              </w:rPr>
            </w:pPr>
            <w:r w:rsidRPr="001416ED">
              <w:rPr>
                <w:lang w:val="uk-UA"/>
              </w:rPr>
              <w:t>1.</w:t>
            </w:r>
            <w:r w:rsidR="00791E5D" w:rsidRPr="001416ED">
              <w:rPr>
                <w:lang w:val="uk-UA"/>
              </w:rPr>
              <w:t xml:space="preserve"> Чоловіки з</w:t>
            </w:r>
            <w:r w:rsidRPr="001416ED">
              <w:rPr>
                <w:lang w:val="uk-UA"/>
              </w:rPr>
              <w:t xml:space="preserve"> ГХ </w:t>
            </w:r>
            <w:r w:rsidR="00791E5D" w:rsidRPr="001416ED">
              <w:rPr>
                <w:lang w:val="uk-UA"/>
              </w:rPr>
              <w:t xml:space="preserve">ІІІ </w:t>
            </w:r>
            <w:r w:rsidRPr="001416ED">
              <w:rPr>
                <w:lang w:val="uk-UA"/>
              </w:rPr>
              <w:t xml:space="preserve"> ст. та </w:t>
            </w:r>
          </w:p>
          <w:p w:rsidR="00AF721A" w:rsidRPr="001416ED" w:rsidRDefault="00AF721A" w:rsidP="00403FB9">
            <w:pPr>
              <w:spacing w:line="360" w:lineRule="auto"/>
              <w:ind w:right="140"/>
              <w:jc w:val="both"/>
              <w:rPr>
                <w:lang w:val="uk-UA"/>
              </w:rPr>
            </w:pPr>
            <w:r w:rsidRPr="001416ED">
              <w:rPr>
                <w:lang w:val="uk-UA"/>
              </w:rPr>
              <w:t>ФВ</w:t>
            </w:r>
            <w:r w:rsidR="0079340B" w:rsidRPr="001416ED">
              <w:rPr>
                <w:lang w:val="uk-UA"/>
              </w:rPr>
              <w:t xml:space="preserve"> </w:t>
            </w:r>
            <w:r w:rsidRPr="001416ED">
              <w:rPr>
                <w:lang w:val="uk-UA"/>
              </w:rPr>
              <w:t>&gt;</w:t>
            </w:r>
            <w:r w:rsidR="0079340B" w:rsidRPr="001416ED">
              <w:rPr>
                <w:lang w:val="uk-UA"/>
              </w:rPr>
              <w:t xml:space="preserve"> </w:t>
            </w:r>
            <w:r w:rsidRPr="001416ED">
              <w:rPr>
                <w:lang w:val="uk-UA"/>
              </w:rPr>
              <w:t>45</w:t>
            </w:r>
            <w:r w:rsidR="00D4219F" w:rsidRPr="001416ED">
              <w:rPr>
                <w:lang w:val="uk-UA"/>
              </w:rPr>
              <w:t xml:space="preserve"> %</w:t>
            </w:r>
            <w:r w:rsidRPr="001416ED">
              <w:rPr>
                <w:lang w:val="uk-UA"/>
              </w:rPr>
              <w:t xml:space="preserve">  </w:t>
            </w:r>
            <w:r w:rsidRPr="001416ED">
              <w:t>(</w:t>
            </w:r>
            <w:r w:rsidRPr="001416ED">
              <w:rPr>
                <w:lang w:val="en-US"/>
              </w:rPr>
              <w:t>n</w:t>
            </w:r>
            <w:r w:rsidRPr="001416ED">
              <w:t>=</w:t>
            </w:r>
            <w:r w:rsidR="00403FB9" w:rsidRPr="001416ED">
              <w:rPr>
                <w:lang w:val="uk-UA"/>
              </w:rPr>
              <w:t>2</w:t>
            </w:r>
            <w:r w:rsidRPr="001416ED">
              <w:rPr>
                <w:lang w:val="uk-UA"/>
              </w:rPr>
              <w:t>0</w:t>
            </w:r>
            <w:r w:rsidRPr="001416ED">
              <w:t>)</w:t>
            </w:r>
          </w:p>
        </w:tc>
        <w:tc>
          <w:tcPr>
            <w:tcW w:w="1985" w:type="dxa"/>
          </w:tcPr>
          <w:p w:rsidR="00AF721A" w:rsidRPr="001416ED" w:rsidRDefault="00AF721A" w:rsidP="00AF721A">
            <w:pPr>
              <w:tabs>
                <w:tab w:val="left" w:pos="1766"/>
              </w:tabs>
              <w:spacing w:line="360" w:lineRule="auto"/>
              <w:ind w:right="140"/>
              <w:jc w:val="center"/>
              <w:rPr>
                <w:lang w:val="uk-UA"/>
              </w:rPr>
            </w:pPr>
            <w:r w:rsidRPr="001416ED">
              <w:rPr>
                <w:lang w:val="uk-UA"/>
              </w:rPr>
              <w:t>12,</w:t>
            </w:r>
            <w:r w:rsidR="00D12B8B" w:rsidRPr="001416ED">
              <w:rPr>
                <w:lang w:val="uk-UA"/>
              </w:rPr>
              <w:t>0</w:t>
            </w:r>
            <w:r w:rsidRPr="001416ED">
              <w:rPr>
                <w:lang w:val="uk-UA"/>
              </w:rPr>
              <w:t>3</w:t>
            </w:r>
            <w:r w:rsidR="007A07A9" w:rsidRPr="001416ED">
              <w:rPr>
                <w:lang w:val="uk-UA"/>
              </w:rPr>
              <w:t xml:space="preserve"> ± </w:t>
            </w:r>
            <w:r w:rsidRPr="001416ED">
              <w:rPr>
                <w:lang w:val="uk-UA"/>
              </w:rPr>
              <w:t>0,13</w:t>
            </w:r>
          </w:p>
          <w:p w:rsidR="00AF721A" w:rsidRPr="001416ED" w:rsidRDefault="00403FB9" w:rsidP="00791E5D">
            <w:pPr>
              <w:tabs>
                <w:tab w:val="left" w:pos="1766"/>
              </w:tabs>
              <w:spacing w:line="360" w:lineRule="auto"/>
              <w:ind w:right="140"/>
              <w:jc w:val="center"/>
              <w:rPr>
                <w:lang w:val="uk-UA"/>
              </w:rPr>
            </w:pPr>
            <w:r w:rsidRPr="001416ED">
              <w:t>(</w:t>
            </w:r>
            <w:r w:rsidRPr="001416ED">
              <w:rPr>
                <w:lang w:val="en-US"/>
              </w:rPr>
              <w:t>n</w:t>
            </w:r>
            <w:r w:rsidRPr="001416ED">
              <w:t>=</w:t>
            </w:r>
            <w:r w:rsidRPr="001416ED">
              <w:rPr>
                <w:lang w:val="uk-UA"/>
              </w:rPr>
              <w:t>11</w:t>
            </w:r>
            <w:r w:rsidRPr="001416ED">
              <w:t>)</w:t>
            </w:r>
          </w:p>
        </w:tc>
        <w:tc>
          <w:tcPr>
            <w:tcW w:w="1984" w:type="dxa"/>
          </w:tcPr>
          <w:p w:rsidR="00403FB9" w:rsidRPr="001416ED" w:rsidRDefault="00AF721A" w:rsidP="00AF721A">
            <w:pPr>
              <w:tabs>
                <w:tab w:val="left" w:pos="1766"/>
              </w:tabs>
              <w:spacing w:line="360" w:lineRule="auto"/>
              <w:ind w:right="140"/>
              <w:jc w:val="center"/>
              <w:rPr>
                <w:lang w:val="uk-UA"/>
              </w:rPr>
            </w:pPr>
            <w:r w:rsidRPr="001416ED">
              <w:rPr>
                <w:lang w:val="uk-UA"/>
              </w:rPr>
              <w:t>13,</w:t>
            </w:r>
            <w:r w:rsidR="00D12B8B" w:rsidRPr="001416ED">
              <w:rPr>
                <w:lang w:val="uk-UA"/>
              </w:rPr>
              <w:t>2</w:t>
            </w:r>
            <w:r w:rsidRPr="001416ED">
              <w:rPr>
                <w:lang w:val="uk-UA"/>
              </w:rPr>
              <w:t>1</w:t>
            </w:r>
            <w:r w:rsidR="007A07A9" w:rsidRPr="001416ED">
              <w:rPr>
                <w:lang w:val="uk-UA"/>
              </w:rPr>
              <w:t xml:space="preserve"> ± </w:t>
            </w:r>
            <w:r w:rsidRPr="001416ED">
              <w:rPr>
                <w:lang w:val="uk-UA"/>
              </w:rPr>
              <w:t>0,28</w:t>
            </w:r>
            <w:r w:rsidR="00403FB9" w:rsidRPr="001416ED">
              <w:rPr>
                <w:lang w:val="uk-UA"/>
              </w:rPr>
              <w:t xml:space="preserve"> </w:t>
            </w:r>
          </w:p>
          <w:p w:rsidR="00AF721A" w:rsidRPr="001416ED" w:rsidRDefault="00403FB9" w:rsidP="00403FB9">
            <w:pPr>
              <w:tabs>
                <w:tab w:val="left" w:pos="1766"/>
              </w:tabs>
              <w:spacing w:line="360" w:lineRule="auto"/>
              <w:ind w:right="140"/>
              <w:jc w:val="center"/>
            </w:pPr>
            <w:r w:rsidRPr="001416ED">
              <w:t>(</w:t>
            </w:r>
            <w:r w:rsidRPr="001416ED">
              <w:rPr>
                <w:lang w:val="en-US"/>
              </w:rPr>
              <w:t>n</w:t>
            </w:r>
            <w:r w:rsidRPr="001416ED">
              <w:t>=</w:t>
            </w:r>
            <w:r w:rsidRPr="001416ED">
              <w:rPr>
                <w:lang w:val="uk-UA"/>
              </w:rPr>
              <w:t>9</w:t>
            </w:r>
            <w:r w:rsidRPr="001416ED">
              <w:t>)</w:t>
            </w:r>
          </w:p>
        </w:tc>
        <w:tc>
          <w:tcPr>
            <w:tcW w:w="1418" w:type="dxa"/>
          </w:tcPr>
          <w:p w:rsidR="00AF721A" w:rsidRPr="001416ED" w:rsidRDefault="00AF721A" w:rsidP="00AF721A">
            <w:pPr>
              <w:tabs>
                <w:tab w:val="left" w:pos="1766"/>
              </w:tabs>
              <w:spacing w:line="360" w:lineRule="auto"/>
              <w:ind w:right="140"/>
              <w:jc w:val="center"/>
              <w:rPr>
                <w:lang w:val="uk-UA"/>
              </w:rPr>
            </w:pPr>
            <w:r w:rsidRPr="001416ED">
              <w:rPr>
                <w:lang w:val="uk-UA"/>
              </w:rPr>
              <w:t>р</w:t>
            </w:r>
            <w:r w:rsidR="00B81F09" w:rsidRPr="001416ED">
              <w:rPr>
                <w:lang w:val="uk-UA"/>
              </w:rPr>
              <w:t>˂</w:t>
            </w:r>
            <w:r w:rsidRPr="001416ED">
              <w:rPr>
                <w:lang w:val="uk-UA"/>
              </w:rPr>
              <w:t>0,001</w:t>
            </w:r>
          </w:p>
        </w:tc>
      </w:tr>
      <w:tr w:rsidR="00AF721A" w:rsidRPr="001416ED" w:rsidTr="00403FB9">
        <w:tc>
          <w:tcPr>
            <w:tcW w:w="4394" w:type="dxa"/>
          </w:tcPr>
          <w:p w:rsidR="0079340B" w:rsidRPr="001416ED" w:rsidRDefault="0079340B" w:rsidP="0079340B">
            <w:pPr>
              <w:spacing w:line="360" w:lineRule="auto"/>
              <w:ind w:right="140"/>
              <w:jc w:val="both"/>
              <w:rPr>
                <w:lang w:val="uk-UA"/>
              </w:rPr>
            </w:pPr>
            <w:r w:rsidRPr="001416ED">
              <w:rPr>
                <w:lang w:val="uk-UA"/>
              </w:rPr>
              <w:t xml:space="preserve">2. </w:t>
            </w:r>
            <w:r w:rsidR="00791E5D" w:rsidRPr="001416ED">
              <w:rPr>
                <w:lang w:val="uk-UA"/>
              </w:rPr>
              <w:t>Чоловіки</w:t>
            </w:r>
            <w:r w:rsidR="00B81F09" w:rsidRPr="001416ED">
              <w:rPr>
                <w:lang w:val="uk-UA"/>
              </w:rPr>
              <w:t xml:space="preserve"> з</w:t>
            </w:r>
            <w:r w:rsidR="00AF721A" w:rsidRPr="001416ED">
              <w:rPr>
                <w:lang w:val="uk-UA"/>
              </w:rPr>
              <w:t xml:space="preserve"> ГХ </w:t>
            </w:r>
            <w:r w:rsidR="00791E5D" w:rsidRPr="001416ED">
              <w:rPr>
                <w:lang w:val="uk-UA"/>
              </w:rPr>
              <w:t>І</w:t>
            </w:r>
            <w:r w:rsidR="004A4E68" w:rsidRPr="001416ED">
              <w:rPr>
                <w:lang w:val="uk-UA"/>
              </w:rPr>
              <w:t xml:space="preserve">ІІ </w:t>
            </w:r>
            <w:r w:rsidR="00AF721A" w:rsidRPr="001416ED">
              <w:rPr>
                <w:lang w:val="uk-UA"/>
              </w:rPr>
              <w:t xml:space="preserve">ст. та </w:t>
            </w:r>
          </w:p>
          <w:p w:rsidR="00AF721A" w:rsidRPr="001416ED" w:rsidRDefault="00AF721A" w:rsidP="0079340B">
            <w:pPr>
              <w:rPr>
                <w:lang w:val="uk-UA"/>
              </w:rPr>
            </w:pPr>
            <w:r w:rsidRPr="001416ED">
              <w:rPr>
                <w:lang w:val="uk-UA"/>
              </w:rPr>
              <w:t>ФВ</w:t>
            </w:r>
            <w:r w:rsidR="0079340B" w:rsidRPr="001416ED">
              <w:rPr>
                <w:lang w:val="uk-UA"/>
              </w:rPr>
              <w:t xml:space="preserve"> </w:t>
            </w:r>
            <w:r w:rsidRPr="001416ED">
              <w:rPr>
                <w:lang w:val="uk-UA"/>
              </w:rPr>
              <w:t>&lt;</w:t>
            </w:r>
            <w:r w:rsidR="0079340B" w:rsidRPr="001416ED">
              <w:rPr>
                <w:lang w:val="uk-UA"/>
              </w:rPr>
              <w:t xml:space="preserve"> </w:t>
            </w:r>
            <w:r w:rsidRPr="001416ED">
              <w:rPr>
                <w:lang w:val="uk-UA"/>
              </w:rPr>
              <w:t>45</w:t>
            </w:r>
            <w:r w:rsidR="00D4219F" w:rsidRPr="001416ED">
              <w:rPr>
                <w:lang w:val="uk-UA"/>
              </w:rPr>
              <w:t xml:space="preserve"> %</w:t>
            </w:r>
            <w:r w:rsidRPr="001416ED">
              <w:rPr>
                <w:lang w:val="uk-UA"/>
              </w:rPr>
              <w:t xml:space="preserve"> </w:t>
            </w:r>
            <w:r w:rsidRPr="001416ED">
              <w:t>(</w:t>
            </w:r>
            <w:r w:rsidRPr="001416ED">
              <w:rPr>
                <w:lang w:val="en-US"/>
              </w:rPr>
              <w:t>n</w:t>
            </w:r>
            <w:r w:rsidRPr="001416ED">
              <w:t>=</w:t>
            </w:r>
            <w:r w:rsidR="00403FB9" w:rsidRPr="001416ED">
              <w:rPr>
                <w:lang w:val="uk-UA"/>
              </w:rPr>
              <w:t>3</w:t>
            </w:r>
            <w:r w:rsidRPr="001416ED">
              <w:rPr>
                <w:lang w:val="uk-UA"/>
              </w:rPr>
              <w:t>0</w:t>
            </w:r>
            <w:r w:rsidRPr="001416ED">
              <w:t>)</w:t>
            </w:r>
          </w:p>
        </w:tc>
        <w:tc>
          <w:tcPr>
            <w:tcW w:w="1985" w:type="dxa"/>
          </w:tcPr>
          <w:p w:rsidR="00AF721A" w:rsidRPr="001416ED" w:rsidRDefault="00D12B8B" w:rsidP="00AF721A">
            <w:pPr>
              <w:tabs>
                <w:tab w:val="left" w:pos="1766"/>
              </w:tabs>
              <w:spacing w:line="360" w:lineRule="auto"/>
              <w:ind w:right="140"/>
              <w:jc w:val="center"/>
              <w:rPr>
                <w:lang w:val="uk-UA"/>
              </w:rPr>
            </w:pPr>
            <w:r w:rsidRPr="001416ED">
              <w:rPr>
                <w:lang w:val="uk-UA"/>
              </w:rPr>
              <w:t>13</w:t>
            </w:r>
            <w:r w:rsidR="00AF721A" w:rsidRPr="001416ED">
              <w:rPr>
                <w:lang w:val="uk-UA"/>
              </w:rPr>
              <w:t>,</w:t>
            </w:r>
            <w:r w:rsidRPr="001416ED">
              <w:rPr>
                <w:lang w:val="uk-UA"/>
              </w:rPr>
              <w:t>1</w:t>
            </w:r>
            <w:r w:rsidR="00AF721A" w:rsidRPr="001416ED">
              <w:rPr>
                <w:lang w:val="uk-UA"/>
              </w:rPr>
              <w:t>7</w:t>
            </w:r>
            <w:r w:rsidR="007A07A9" w:rsidRPr="001416ED">
              <w:rPr>
                <w:lang w:val="uk-UA"/>
              </w:rPr>
              <w:t xml:space="preserve"> ± </w:t>
            </w:r>
            <w:r w:rsidR="00AF721A" w:rsidRPr="001416ED">
              <w:rPr>
                <w:lang w:val="uk-UA"/>
              </w:rPr>
              <w:t>0,10</w:t>
            </w:r>
          </w:p>
          <w:p w:rsidR="00AF721A" w:rsidRPr="001416ED" w:rsidRDefault="00403FB9" w:rsidP="00403FB9">
            <w:pPr>
              <w:spacing w:line="360" w:lineRule="auto"/>
              <w:ind w:right="140"/>
              <w:jc w:val="center"/>
              <w:rPr>
                <w:lang w:val="uk-UA"/>
              </w:rPr>
            </w:pPr>
            <w:r w:rsidRPr="001416ED">
              <w:t>(</w:t>
            </w:r>
            <w:r w:rsidRPr="001416ED">
              <w:rPr>
                <w:lang w:val="en-US"/>
              </w:rPr>
              <w:t>n</w:t>
            </w:r>
            <w:r w:rsidRPr="001416ED">
              <w:t>=</w:t>
            </w:r>
            <w:r w:rsidRPr="001416ED">
              <w:rPr>
                <w:lang w:val="uk-UA"/>
              </w:rPr>
              <w:t>22</w:t>
            </w:r>
            <w:r w:rsidRPr="001416ED">
              <w:t xml:space="preserve">) </w:t>
            </w:r>
          </w:p>
        </w:tc>
        <w:tc>
          <w:tcPr>
            <w:tcW w:w="1984" w:type="dxa"/>
          </w:tcPr>
          <w:p w:rsidR="00AF721A" w:rsidRPr="001416ED" w:rsidRDefault="00AF721A" w:rsidP="00AF721A">
            <w:pPr>
              <w:tabs>
                <w:tab w:val="left" w:pos="1766"/>
              </w:tabs>
              <w:spacing w:line="360" w:lineRule="auto"/>
              <w:ind w:right="140"/>
              <w:jc w:val="center"/>
              <w:rPr>
                <w:lang w:val="uk-UA"/>
              </w:rPr>
            </w:pPr>
            <w:r w:rsidRPr="001416ED">
              <w:rPr>
                <w:lang w:val="uk-UA"/>
              </w:rPr>
              <w:t>14,</w:t>
            </w:r>
            <w:r w:rsidR="00D12B8B" w:rsidRPr="001416ED">
              <w:rPr>
                <w:lang w:val="uk-UA"/>
              </w:rPr>
              <w:t>4</w:t>
            </w:r>
            <w:r w:rsidRPr="001416ED">
              <w:rPr>
                <w:lang w:val="uk-UA"/>
              </w:rPr>
              <w:t>2</w:t>
            </w:r>
            <w:r w:rsidR="007A07A9" w:rsidRPr="001416ED">
              <w:rPr>
                <w:lang w:val="uk-UA"/>
              </w:rPr>
              <w:t xml:space="preserve"> ± </w:t>
            </w:r>
            <w:r w:rsidRPr="001416ED">
              <w:rPr>
                <w:lang w:val="uk-UA"/>
              </w:rPr>
              <w:t>0,22</w:t>
            </w:r>
          </w:p>
          <w:p w:rsidR="00AF721A" w:rsidRPr="001416ED" w:rsidRDefault="00403FB9" w:rsidP="00403FB9">
            <w:pPr>
              <w:spacing w:line="360" w:lineRule="auto"/>
              <w:ind w:right="140"/>
              <w:jc w:val="center"/>
              <w:rPr>
                <w:lang w:val="uk-UA"/>
              </w:rPr>
            </w:pPr>
            <w:r w:rsidRPr="001416ED">
              <w:t>(</w:t>
            </w:r>
            <w:r w:rsidRPr="001416ED">
              <w:rPr>
                <w:lang w:val="en-US"/>
              </w:rPr>
              <w:t>n</w:t>
            </w:r>
            <w:r w:rsidRPr="001416ED">
              <w:t>=</w:t>
            </w:r>
            <w:r w:rsidRPr="001416ED">
              <w:rPr>
                <w:lang w:val="uk-UA"/>
              </w:rPr>
              <w:t>8</w:t>
            </w:r>
            <w:r w:rsidRPr="001416ED">
              <w:t xml:space="preserve">) </w:t>
            </w:r>
          </w:p>
        </w:tc>
        <w:tc>
          <w:tcPr>
            <w:tcW w:w="1418" w:type="dxa"/>
          </w:tcPr>
          <w:p w:rsidR="00AF721A" w:rsidRPr="001416ED" w:rsidRDefault="00AF721A" w:rsidP="00AF721A">
            <w:pPr>
              <w:tabs>
                <w:tab w:val="left" w:pos="1766"/>
              </w:tabs>
              <w:spacing w:line="360" w:lineRule="auto"/>
              <w:ind w:right="140"/>
              <w:jc w:val="center"/>
              <w:rPr>
                <w:lang w:val="uk-UA"/>
              </w:rPr>
            </w:pPr>
            <w:r w:rsidRPr="001416ED">
              <w:rPr>
                <w:lang w:val="uk-UA"/>
              </w:rPr>
              <w:t>р</w:t>
            </w:r>
            <w:r w:rsidR="00B81F09" w:rsidRPr="001416ED">
              <w:rPr>
                <w:lang w:val="uk-UA"/>
              </w:rPr>
              <w:t>˂</w:t>
            </w:r>
            <w:r w:rsidRPr="001416ED">
              <w:rPr>
                <w:lang w:val="uk-UA"/>
              </w:rPr>
              <w:t>0,001</w:t>
            </w:r>
          </w:p>
        </w:tc>
      </w:tr>
      <w:tr w:rsidR="00AF721A" w:rsidRPr="001416ED" w:rsidTr="00403FB9">
        <w:tc>
          <w:tcPr>
            <w:tcW w:w="4394" w:type="dxa"/>
          </w:tcPr>
          <w:p w:rsidR="00AF721A" w:rsidRPr="001416ED" w:rsidRDefault="00AF721A" w:rsidP="00465148">
            <w:pPr>
              <w:spacing w:line="360" w:lineRule="auto"/>
              <w:ind w:right="140"/>
              <w:jc w:val="both"/>
            </w:pPr>
            <w:r w:rsidRPr="001416ED">
              <w:rPr>
                <w:lang w:val="en-US"/>
              </w:rPr>
              <w:t>p</w:t>
            </w:r>
          </w:p>
        </w:tc>
        <w:tc>
          <w:tcPr>
            <w:tcW w:w="1985" w:type="dxa"/>
          </w:tcPr>
          <w:p w:rsidR="00AF721A" w:rsidRPr="001416ED" w:rsidRDefault="00AF721A" w:rsidP="00362F9C">
            <w:pPr>
              <w:spacing w:line="360" w:lineRule="auto"/>
              <w:ind w:right="140"/>
              <w:jc w:val="center"/>
              <w:rPr>
                <w:lang w:val="uk-UA"/>
              </w:rPr>
            </w:pPr>
            <w:r w:rsidRPr="001416ED">
              <w:rPr>
                <w:lang w:val="uk-UA"/>
              </w:rPr>
              <w:t>р</w:t>
            </w:r>
            <w:r w:rsidR="00B81F09" w:rsidRPr="001416ED">
              <w:rPr>
                <w:lang w:val="uk-UA"/>
              </w:rPr>
              <w:t>˂</w:t>
            </w:r>
            <w:r w:rsidRPr="001416ED">
              <w:rPr>
                <w:lang w:val="uk-UA"/>
              </w:rPr>
              <w:t>0,0</w:t>
            </w:r>
            <w:r w:rsidR="00362F9C" w:rsidRPr="001416ED">
              <w:rPr>
                <w:lang w:val="uk-UA"/>
              </w:rPr>
              <w:t>1</w:t>
            </w:r>
          </w:p>
        </w:tc>
        <w:tc>
          <w:tcPr>
            <w:tcW w:w="1984" w:type="dxa"/>
          </w:tcPr>
          <w:p w:rsidR="00AF721A" w:rsidRPr="001416ED" w:rsidRDefault="00362F9C" w:rsidP="00AF721A">
            <w:pPr>
              <w:spacing w:line="360" w:lineRule="auto"/>
              <w:ind w:right="140"/>
              <w:jc w:val="center"/>
              <w:rPr>
                <w:lang w:val="uk-UA"/>
              </w:rPr>
            </w:pPr>
            <w:r w:rsidRPr="001416ED">
              <w:rPr>
                <w:lang w:val="uk-UA"/>
              </w:rPr>
              <w:t>р</w:t>
            </w:r>
            <w:r w:rsidR="00B81F09" w:rsidRPr="001416ED">
              <w:rPr>
                <w:lang w:val="uk-UA"/>
              </w:rPr>
              <w:t>˂</w:t>
            </w:r>
            <w:r w:rsidRPr="001416ED">
              <w:rPr>
                <w:lang w:val="uk-UA"/>
              </w:rPr>
              <w:t>0,01</w:t>
            </w:r>
          </w:p>
        </w:tc>
        <w:tc>
          <w:tcPr>
            <w:tcW w:w="1418" w:type="dxa"/>
          </w:tcPr>
          <w:p w:rsidR="00AF721A" w:rsidRPr="001416ED" w:rsidRDefault="00AF721A" w:rsidP="00465148">
            <w:pPr>
              <w:spacing w:line="360" w:lineRule="auto"/>
              <w:ind w:right="140"/>
              <w:jc w:val="both"/>
              <w:rPr>
                <w:lang w:val="uk-UA"/>
              </w:rPr>
            </w:pPr>
          </w:p>
        </w:tc>
      </w:tr>
    </w:tbl>
    <w:p w:rsidR="00C53C22" w:rsidRPr="001416ED" w:rsidRDefault="00AF721A" w:rsidP="00AF721A">
      <w:pPr>
        <w:spacing w:before="240" w:line="360" w:lineRule="auto"/>
        <w:ind w:firstLine="709"/>
        <w:jc w:val="both"/>
        <w:rPr>
          <w:rFonts w:eastAsiaTheme="minorHAnsi"/>
          <w:kern w:val="11"/>
          <w:lang w:val="uk-UA" w:eastAsia="en-US"/>
        </w:rPr>
      </w:pPr>
      <w:r w:rsidRPr="001416ED">
        <w:rPr>
          <w:rFonts w:eastAsiaTheme="minorHAnsi"/>
          <w:kern w:val="11"/>
          <w:lang w:val="uk-UA" w:eastAsia="en-US"/>
        </w:rPr>
        <w:t>Встановлено, що у чоловіків з ФВ</w:t>
      </w:r>
      <w:r w:rsidR="00B81F09" w:rsidRPr="001416ED">
        <w:rPr>
          <w:rFonts w:eastAsiaTheme="minorHAnsi"/>
          <w:kern w:val="11"/>
          <w:lang w:val="uk-UA" w:eastAsia="en-US"/>
        </w:rPr>
        <w:t xml:space="preserve"> </w:t>
      </w:r>
      <w:r w:rsidRPr="001416ED">
        <w:rPr>
          <w:lang w:val="uk-UA"/>
        </w:rPr>
        <w:t>&gt;</w:t>
      </w:r>
      <w:r w:rsidR="00B81F09" w:rsidRPr="001416ED">
        <w:rPr>
          <w:lang w:val="uk-UA"/>
        </w:rPr>
        <w:t xml:space="preserve"> </w:t>
      </w:r>
      <w:r w:rsidRPr="001416ED">
        <w:rPr>
          <w:lang w:val="uk-UA"/>
        </w:rPr>
        <w:t>45</w:t>
      </w:r>
      <w:r w:rsidR="00D4219F" w:rsidRPr="001416ED">
        <w:rPr>
          <w:lang w:val="uk-UA"/>
        </w:rPr>
        <w:t xml:space="preserve"> %</w:t>
      </w:r>
      <w:r w:rsidRPr="001416ED">
        <w:rPr>
          <w:lang w:val="uk-UA"/>
        </w:rPr>
        <w:t xml:space="preserve"> </w:t>
      </w:r>
      <w:r w:rsidR="00A7687B" w:rsidRPr="001416ED">
        <w:rPr>
          <w:lang w:val="uk-UA"/>
        </w:rPr>
        <w:t>та ФВ</w:t>
      </w:r>
      <w:r w:rsidR="00B81F09" w:rsidRPr="001416ED">
        <w:rPr>
          <w:lang w:val="uk-UA"/>
        </w:rPr>
        <w:t xml:space="preserve"> </w:t>
      </w:r>
      <w:r w:rsidRPr="001416ED">
        <w:rPr>
          <w:lang w:val="uk-UA"/>
        </w:rPr>
        <w:t>&lt;</w:t>
      </w:r>
      <w:r w:rsidR="00B81F09" w:rsidRPr="001416ED">
        <w:rPr>
          <w:lang w:val="uk-UA"/>
        </w:rPr>
        <w:t xml:space="preserve"> </w:t>
      </w:r>
      <w:r w:rsidRPr="001416ED">
        <w:rPr>
          <w:lang w:val="uk-UA"/>
        </w:rPr>
        <w:t>45</w:t>
      </w:r>
      <w:r w:rsidR="00D4219F" w:rsidRPr="001416ED">
        <w:rPr>
          <w:lang w:val="uk-UA"/>
        </w:rPr>
        <w:t xml:space="preserve"> %</w:t>
      </w:r>
      <w:r w:rsidRPr="001416ED">
        <w:rPr>
          <w:lang w:val="uk-UA"/>
        </w:rPr>
        <w:t xml:space="preserve"> </w:t>
      </w:r>
      <w:r w:rsidR="00BC0119" w:rsidRPr="001416ED">
        <w:rPr>
          <w:lang w:val="uk-UA"/>
        </w:rPr>
        <w:t>–</w:t>
      </w:r>
      <w:r w:rsidRPr="001416ED">
        <w:rPr>
          <w:lang w:val="uk-UA"/>
        </w:rPr>
        <w:t xml:space="preserve"> носіїв алелі </w:t>
      </w:r>
      <w:r w:rsidRPr="001416ED">
        <w:rPr>
          <w:rFonts w:eastAsiaTheme="minorHAnsi"/>
          <w:kern w:val="11"/>
          <w:lang w:val="en-US" w:eastAsia="en-US"/>
        </w:rPr>
        <w:t>Asn</w:t>
      </w:r>
      <w:r w:rsidR="00534FCD" w:rsidRPr="001416ED">
        <w:rPr>
          <w:rFonts w:eastAsiaTheme="minorHAnsi"/>
          <w:kern w:val="11"/>
          <w:lang w:val="uk-UA" w:eastAsia="en-US"/>
        </w:rPr>
        <w:t>,</w:t>
      </w:r>
      <w:r w:rsidRPr="001416ED">
        <w:rPr>
          <w:rFonts w:eastAsiaTheme="minorHAnsi"/>
          <w:kern w:val="11"/>
          <w:lang w:val="uk-UA" w:eastAsia="en-US"/>
        </w:rPr>
        <w:t xml:space="preserve"> показники плазмової концентрації ЕТ</w:t>
      </w:r>
      <w:r w:rsidR="00BC0119" w:rsidRPr="001416ED">
        <w:rPr>
          <w:rFonts w:eastAsiaTheme="minorHAnsi"/>
          <w:kern w:val="11"/>
          <w:lang w:val="uk-UA" w:eastAsia="en-US"/>
        </w:rPr>
        <w:t>–</w:t>
      </w:r>
      <w:r w:rsidRPr="001416ED">
        <w:rPr>
          <w:rFonts w:eastAsiaTheme="minorHAnsi"/>
          <w:kern w:val="11"/>
          <w:lang w:val="uk-UA" w:eastAsia="en-US"/>
        </w:rPr>
        <w:t xml:space="preserve">1 вірогідно вищі, ніж у пацієнтів з генотипом </w:t>
      </w:r>
      <w:r w:rsidRPr="001416ED">
        <w:rPr>
          <w:rFonts w:eastAsiaTheme="minorHAnsi"/>
          <w:kern w:val="11"/>
          <w:lang w:val="en-US" w:eastAsia="en-US"/>
        </w:rPr>
        <w:t>Lys</w:t>
      </w:r>
      <w:r w:rsidRPr="001416ED">
        <w:rPr>
          <w:rFonts w:eastAsiaTheme="minorHAnsi"/>
          <w:kern w:val="11"/>
          <w:lang w:val="uk-UA" w:eastAsia="en-US"/>
        </w:rPr>
        <w:t>/</w:t>
      </w:r>
      <w:r w:rsidRPr="001416ED">
        <w:rPr>
          <w:rFonts w:eastAsiaTheme="minorHAnsi"/>
          <w:kern w:val="11"/>
          <w:lang w:val="en-US" w:eastAsia="en-US"/>
        </w:rPr>
        <w:t>Lys</w:t>
      </w:r>
      <w:r w:rsidRPr="001416ED">
        <w:rPr>
          <w:rFonts w:eastAsiaTheme="minorHAnsi"/>
          <w:kern w:val="11"/>
          <w:lang w:val="uk-UA" w:eastAsia="en-US"/>
        </w:rPr>
        <w:t xml:space="preserve">. </w:t>
      </w:r>
      <w:r w:rsidR="00B81F09" w:rsidRPr="001416ED">
        <w:rPr>
          <w:rFonts w:eastAsiaTheme="minorHAnsi"/>
          <w:kern w:val="11"/>
          <w:lang w:val="uk-UA" w:eastAsia="en-US"/>
        </w:rPr>
        <w:t>У пацієнтів з</w:t>
      </w:r>
      <w:r w:rsidR="00362F9C" w:rsidRPr="001416ED">
        <w:rPr>
          <w:rFonts w:eastAsiaTheme="minorHAnsi"/>
          <w:kern w:val="11"/>
          <w:lang w:val="uk-UA" w:eastAsia="en-US"/>
        </w:rPr>
        <w:t xml:space="preserve"> ФВ ЛШ</w:t>
      </w:r>
      <w:r w:rsidR="00B81F09" w:rsidRPr="001416ED">
        <w:rPr>
          <w:rFonts w:eastAsiaTheme="minorHAnsi"/>
          <w:kern w:val="11"/>
          <w:lang w:val="uk-UA" w:eastAsia="en-US"/>
        </w:rPr>
        <w:t xml:space="preserve"> </w:t>
      </w:r>
      <w:r w:rsidR="00B81F09" w:rsidRPr="001416ED">
        <w:rPr>
          <w:lang w:val="uk-UA"/>
        </w:rPr>
        <w:t xml:space="preserve">&gt; 45 % </w:t>
      </w:r>
      <w:r w:rsidR="00362F9C" w:rsidRPr="001416ED">
        <w:rPr>
          <w:rFonts w:eastAsiaTheme="minorHAnsi"/>
          <w:kern w:val="11"/>
          <w:lang w:val="uk-UA" w:eastAsia="en-US"/>
        </w:rPr>
        <w:t xml:space="preserve"> при носійстві будь</w:t>
      </w:r>
      <w:r w:rsidR="00BC0119" w:rsidRPr="001416ED">
        <w:rPr>
          <w:rFonts w:eastAsiaTheme="minorHAnsi"/>
          <w:kern w:val="11"/>
          <w:lang w:val="uk-UA" w:eastAsia="en-US"/>
        </w:rPr>
        <w:t>–</w:t>
      </w:r>
      <w:r w:rsidR="00362F9C" w:rsidRPr="001416ED">
        <w:rPr>
          <w:rFonts w:eastAsiaTheme="minorHAnsi"/>
          <w:kern w:val="11"/>
          <w:lang w:val="uk-UA" w:eastAsia="en-US"/>
        </w:rPr>
        <w:t xml:space="preserve">якого </w:t>
      </w:r>
      <w:r w:rsidR="00E6164F">
        <w:rPr>
          <w:rFonts w:eastAsiaTheme="minorHAnsi"/>
          <w:kern w:val="11"/>
          <w:lang w:val="uk-UA" w:eastAsia="en-US"/>
        </w:rPr>
        <w:t>поліморфного варіанту гена</w:t>
      </w:r>
      <w:r w:rsidR="00362F9C" w:rsidRPr="001416ED">
        <w:rPr>
          <w:rFonts w:eastAsiaTheme="minorHAnsi"/>
          <w:kern w:val="11"/>
          <w:lang w:val="uk-UA" w:eastAsia="en-US"/>
        </w:rPr>
        <w:t xml:space="preserve"> ЕТ</w:t>
      </w:r>
      <w:r w:rsidR="00BC0119" w:rsidRPr="001416ED">
        <w:rPr>
          <w:rFonts w:eastAsiaTheme="minorHAnsi"/>
          <w:kern w:val="11"/>
          <w:lang w:val="uk-UA" w:eastAsia="en-US"/>
        </w:rPr>
        <w:t>–</w:t>
      </w:r>
      <w:r w:rsidR="00362F9C" w:rsidRPr="001416ED">
        <w:rPr>
          <w:rFonts w:eastAsiaTheme="minorHAnsi"/>
          <w:kern w:val="11"/>
          <w:lang w:val="uk-UA" w:eastAsia="en-US"/>
        </w:rPr>
        <w:t>1 рівень пептиду вірогідно нижчий ніж при</w:t>
      </w:r>
      <w:r w:rsidR="00B81F09" w:rsidRPr="001416ED">
        <w:rPr>
          <w:lang w:val="uk-UA"/>
        </w:rPr>
        <w:t xml:space="preserve"> ФВ &lt; 45 %</w:t>
      </w:r>
      <w:r w:rsidR="00362F9C" w:rsidRPr="001416ED">
        <w:rPr>
          <w:rFonts w:eastAsiaTheme="minorHAnsi"/>
          <w:kern w:val="11"/>
          <w:lang w:val="uk-UA" w:eastAsia="en-US"/>
        </w:rPr>
        <w:t>.</w:t>
      </w:r>
    </w:p>
    <w:p w:rsidR="004D7D90" w:rsidRPr="001416ED" w:rsidRDefault="00BF5B4B" w:rsidP="003E6766">
      <w:pPr>
        <w:spacing w:line="360" w:lineRule="auto"/>
        <w:ind w:firstLine="709"/>
        <w:jc w:val="both"/>
        <w:rPr>
          <w:rFonts w:eastAsiaTheme="minorHAnsi"/>
          <w:lang w:val="uk-UA" w:eastAsia="en-US"/>
        </w:rPr>
      </w:pPr>
      <w:r w:rsidRPr="001416ED">
        <w:rPr>
          <w:rFonts w:eastAsiaTheme="minorHAnsi"/>
          <w:lang w:val="uk-UA" w:eastAsia="en-US"/>
        </w:rPr>
        <w:t>У</w:t>
      </w:r>
      <w:r w:rsidR="008B512B" w:rsidRPr="001416ED">
        <w:rPr>
          <w:rFonts w:eastAsiaTheme="minorHAnsi"/>
          <w:lang w:val="uk-UA" w:eastAsia="en-US"/>
        </w:rPr>
        <w:t xml:space="preserve"> чоловіків з </w:t>
      </w:r>
      <w:r w:rsidR="00A63A7A" w:rsidRPr="001416ED">
        <w:rPr>
          <w:rFonts w:eastAsiaTheme="minorHAnsi"/>
          <w:lang w:val="uk-UA" w:eastAsia="en-US"/>
        </w:rPr>
        <w:t>ГХ ІІІ ст</w:t>
      </w:r>
      <w:r w:rsidR="00B81F09" w:rsidRPr="001416ED">
        <w:rPr>
          <w:rFonts w:eastAsiaTheme="minorHAnsi"/>
          <w:lang w:val="uk-UA" w:eastAsia="en-US"/>
        </w:rPr>
        <w:t>.</w:t>
      </w:r>
      <w:r w:rsidR="00CB2B45" w:rsidRPr="001416ED">
        <w:rPr>
          <w:rFonts w:eastAsiaTheme="minorHAnsi"/>
          <w:lang w:val="uk-UA" w:eastAsia="en-US"/>
        </w:rPr>
        <w:t xml:space="preserve"> </w:t>
      </w:r>
      <w:r w:rsidR="008B512B" w:rsidRPr="001416ED">
        <w:rPr>
          <w:rFonts w:eastAsiaTheme="minorHAnsi"/>
          <w:lang w:val="uk-UA" w:eastAsia="en-US"/>
        </w:rPr>
        <w:t>плазмові концентрації ЕТ</w:t>
      </w:r>
      <w:r w:rsidR="00BC0119" w:rsidRPr="001416ED">
        <w:rPr>
          <w:rFonts w:eastAsiaTheme="minorHAnsi"/>
          <w:lang w:val="uk-UA" w:eastAsia="en-US"/>
        </w:rPr>
        <w:t>–</w:t>
      </w:r>
      <w:r w:rsidR="008B512B" w:rsidRPr="001416ED">
        <w:rPr>
          <w:rFonts w:eastAsiaTheme="minorHAnsi"/>
          <w:lang w:val="uk-UA" w:eastAsia="en-US"/>
        </w:rPr>
        <w:t xml:space="preserve">1 при усіх варіантах ГЛШ вірогідно вищі, ніж у чоловіків з ГХ ІІ ст. Слід відмітити, що у </w:t>
      </w:r>
      <w:r w:rsidR="00401951" w:rsidRPr="001416ED">
        <w:rPr>
          <w:rFonts w:eastAsiaTheme="minorHAnsi"/>
          <w:lang w:val="uk-UA" w:eastAsia="en-US"/>
        </w:rPr>
        <w:t>осіб з ГХ ІІ ст. рівень пептиду виявився найвищим у осіб з ЕГЛШ та ВГЛШ (12,95</w:t>
      </w:r>
      <w:r w:rsidR="007A07A9" w:rsidRPr="001416ED">
        <w:rPr>
          <w:rFonts w:eastAsiaTheme="minorHAnsi"/>
          <w:lang w:val="uk-UA" w:eastAsia="en-US"/>
        </w:rPr>
        <w:t xml:space="preserve"> ± </w:t>
      </w:r>
      <w:r w:rsidR="00401951" w:rsidRPr="001416ED">
        <w:rPr>
          <w:rFonts w:eastAsiaTheme="minorHAnsi"/>
          <w:lang w:val="uk-UA" w:eastAsia="en-US"/>
        </w:rPr>
        <w:t>0,31</w:t>
      </w:r>
      <w:r w:rsidR="00D600DB" w:rsidRPr="001416ED">
        <w:rPr>
          <w:rFonts w:eastAsiaTheme="minorHAnsi"/>
          <w:lang w:val="uk-UA" w:eastAsia="en-US"/>
        </w:rPr>
        <w:t>)</w:t>
      </w:r>
      <w:r w:rsidR="00401951" w:rsidRPr="001416ED">
        <w:rPr>
          <w:b/>
          <w:lang w:val="uk-UA"/>
        </w:rPr>
        <w:t xml:space="preserve"> </w:t>
      </w:r>
      <w:r w:rsidR="00401951" w:rsidRPr="001416ED">
        <w:rPr>
          <w:rFonts w:eastAsiaTheme="minorHAnsi"/>
          <w:lang w:val="uk-UA" w:eastAsia="en-US"/>
        </w:rPr>
        <w:t>фмоль/мл</w:t>
      </w:r>
      <w:r w:rsidR="00401951" w:rsidRPr="001416ED">
        <w:rPr>
          <w:rFonts w:eastAsiaTheme="minorHAnsi"/>
          <w:b/>
          <w:lang w:val="uk-UA" w:eastAsia="en-US"/>
        </w:rPr>
        <w:t xml:space="preserve"> </w:t>
      </w:r>
      <w:r w:rsidR="00401951" w:rsidRPr="001416ED">
        <w:rPr>
          <w:rFonts w:eastAsiaTheme="minorHAnsi"/>
          <w:lang w:val="uk-UA" w:eastAsia="en-US"/>
        </w:rPr>
        <w:t xml:space="preserve">та </w:t>
      </w:r>
      <w:r w:rsidR="00D600DB" w:rsidRPr="001416ED">
        <w:rPr>
          <w:rFonts w:eastAsiaTheme="minorHAnsi"/>
          <w:lang w:val="uk-UA" w:eastAsia="en-US"/>
        </w:rPr>
        <w:t>(</w:t>
      </w:r>
      <w:r w:rsidR="00401951" w:rsidRPr="001416ED">
        <w:rPr>
          <w:rFonts w:eastAsiaTheme="minorHAnsi"/>
          <w:lang w:val="uk-UA" w:eastAsia="en-US"/>
        </w:rPr>
        <w:t>12,77</w:t>
      </w:r>
      <w:r w:rsidR="007A07A9" w:rsidRPr="001416ED">
        <w:rPr>
          <w:rFonts w:eastAsiaTheme="minorHAnsi"/>
          <w:lang w:val="uk-UA" w:eastAsia="en-US"/>
        </w:rPr>
        <w:t xml:space="preserve"> ± </w:t>
      </w:r>
      <w:r w:rsidR="00401951" w:rsidRPr="001416ED">
        <w:rPr>
          <w:rFonts w:eastAsiaTheme="minorHAnsi"/>
          <w:lang w:val="uk-UA" w:eastAsia="en-US"/>
        </w:rPr>
        <w:t>0,22</w:t>
      </w:r>
      <w:r w:rsidR="00D600DB" w:rsidRPr="001416ED">
        <w:rPr>
          <w:rFonts w:eastAsiaTheme="minorHAnsi"/>
          <w:lang w:val="uk-UA" w:eastAsia="en-US"/>
        </w:rPr>
        <w:t>)</w:t>
      </w:r>
      <w:r w:rsidR="00401951" w:rsidRPr="001416ED">
        <w:rPr>
          <w:rFonts w:eastAsiaTheme="minorHAnsi"/>
          <w:lang w:val="uk-UA" w:eastAsia="en-US"/>
        </w:rPr>
        <w:t xml:space="preserve"> фмоль/мл, відповідно) в порівнянні з КГЛШ та ПГЛШ (11,69</w:t>
      </w:r>
      <w:r w:rsidR="007A07A9" w:rsidRPr="001416ED">
        <w:rPr>
          <w:rFonts w:eastAsiaTheme="minorHAnsi"/>
          <w:lang w:val="uk-UA" w:eastAsia="en-US"/>
        </w:rPr>
        <w:t xml:space="preserve"> ± </w:t>
      </w:r>
      <w:r w:rsidR="00401951" w:rsidRPr="001416ED">
        <w:rPr>
          <w:rFonts w:eastAsiaTheme="minorHAnsi"/>
          <w:lang w:val="uk-UA" w:eastAsia="en-US"/>
        </w:rPr>
        <w:t>0,28</w:t>
      </w:r>
      <w:r w:rsidR="00D600DB" w:rsidRPr="001416ED">
        <w:rPr>
          <w:rFonts w:eastAsiaTheme="minorHAnsi"/>
          <w:lang w:val="uk-UA" w:eastAsia="en-US"/>
        </w:rPr>
        <w:t>)</w:t>
      </w:r>
      <w:r w:rsidR="00401951" w:rsidRPr="001416ED">
        <w:rPr>
          <w:rFonts w:eastAsiaTheme="minorHAnsi"/>
          <w:b/>
          <w:lang w:val="uk-UA" w:eastAsia="en-US"/>
        </w:rPr>
        <w:t xml:space="preserve"> </w:t>
      </w:r>
      <w:r w:rsidR="00401951" w:rsidRPr="001416ED">
        <w:rPr>
          <w:rFonts w:eastAsiaTheme="minorHAnsi"/>
          <w:lang w:val="uk-UA" w:eastAsia="en-US"/>
        </w:rPr>
        <w:t xml:space="preserve"> фмоль/мл та </w:t>
      </w:r>
      <w:r w:rsidR="00D600DB" w:rsidRPr="001416ED">
        <w:rPr>
          <w:rFonts w:eastAsiaTheme="minorHAnsi"/>
          <w:lang w:val="uk-UA" w:eastAsia="en-US"/>
        </w:rPr>
        <w:t>(</w:t>
      </w:r>
      <w:r w:rsidR="00401951" w:rsidRPr="001416ED">
        <w:rPr>
          <w:rFonts w:eastAsiaTheme="minorHAnsi"/>
          <w:lang w:val="uk-UA" w:eastAsia="en-US"/>
        </w:rPr>
        <w:t>11,54</w:t>
      </w:r>
      <w:r w:rsidR="007A07A9" w:rsidRPr="001416ED">
        <w:rPr>
          <w:rFonts w:eastAsiaTheme="minorHAnsi"/>
          <w:lang w:val="uk-UA" w:eastAsia="en-US"/>
        </w:rPr>
        <w:t xml:space="preserve"> ± </w:t>
      </w:r>
      <w:r w:rsidR="00401951" w:rsidRPr="001416ED">
        <w:rPr>
          <w:rFonts w:eastAsiaTheme="minorHAnsi"/>
          <w:lang w:val="uk-UA" w:eastAsia="en-US"/>
        </w:rPr>
        <w:t>0,65</w:t>
      </w:r>
      <w:r w:rsidR="00D600DB" w:rsidRPr="001416ED">
        <w:rPr>
          <w:rFonts w:eastAsiaTheme="minorHAnsi"/>
          <w:lang w:val="uk-UA" w:eastAsia="en-US"/>
        </w:rPr>
        <w:t>)</w:t>
      </w:r>
      <w:r w:rsidR="00401951" w:rsidRPr="001416ED">
        <w:rPr>
          <w:rFonts w:eastAsiaTheme="minorHAnsi"/>
          <w:lang w:val="uk-UA" w:eastAsia="en-US"/>
        </w:rPr>
        <w:t xml:space="preserve"> фмоль/мл, відповідно)</w:t>
      </w:r>
      <w:r w:rsidR="009730A2" w:rsidRPr="001416ED">
        <w:rPr>
          <w:rFonts w:eastAsiaTheme="minorHAnsi"/>
          <w:lang w:val="uk-UA" w:eastAsia="en-US"/>
        </w:rPr>
        <w:t xml:space="preserve"> (</w:t>
      </w:r>
      <w:r w:rsidR="009730A2" w:rsidRPr="001416ED">
        <w:rPr>
          <w:lang w:val="uk-UA"/>
        </w:rPr>
        <w:t>р</w:t>
      </w:r>
      <w:r w:rsidR="00D600DB" w:rsidRPr="001416ED">
        <w:rPr>
          <w:lang w:val="uk-UA"/>
        </w:rPr>
        <w:t>˂</w:t>
      </w:r>
      <w:r w:rsidR="009730A2" w:rsidRPr="001416ED">
        <w:rPr>
          <w:lang w:val="uk-UA"/>
        </w:rPr>
        <w:t xml:space="preserve">0,05). </w:t>
      </w:r>
      <w:r w:rsidR="00401951" w:rsidRPr="001416ED">
        <w:rPr>
          <w:rFonts w:eastAsiaTheme="minorHAnsi"/>
          <w:lang w:val="uk-UA" w:eastAsia="en-US"/>
        </w:rPr>
        <w:t xml:space="preserve">У пацієнтів </w:t>
      </w:r>
      <w:r w:rsidR="008B512B" w:rsidRPr="001416ED">
        <w:rPr>
          <w:rFonts w:eastAsiaTheme="minorHAnsi"/>
          <w:lang w:val="uk-UA" w:eastAsia="en-US"/>
        </w:rPr>
        <w:t xml:space="preserve">з </w:t>
      </w:r>
      <w:r w:rsidR="00CB2B45" w:rsidRPr="001416ED">
        <w:rPr>
          <w:rFonts w:eastAsiaTheme="minorHAnsi"/>
          <w:lang w:val="uk-UA" w:eastAsia="en-US"/>
        </w:rPr>
        <w:t xml:space="preserve">ГХ ІІІ </w:t>
      </w:r>
      <w:r w:rsidR="008B512B" w:rsidRPr="001416ED">
        <w:rPr>
          <w:rFonts w:eastAsiaTheme="minorHAnsi"/>
          <w:lang w:val="uk-UA" w:eastAsia="en-US"/>
        </w:rPr>
        <w:t>ст.</w:t>
      </w:r>
      <w:r w:rsidR="00B42011" w:rsidRPr="001416ED">
        <w:rPr>
          <w:rFonts w:eastAsiaTheme="minorHAnsi"/>
          <w:lang w:val="uk-UA" w:eastAsia="en-US"/>
        </w:rPr>
        <w:t xml:space="preserve"> </w:t>
      </w:r>
      <w:r w:rsidR="00401951" w:rsidRPr="001416ED">
        <w:rPr>
          <w:rFonts w:eastAsiaTheme="minorHAnsi"/>
          <w:lang w:val="uk-UA" w:eastAsia="en-US"/>
        </w:rPr>
        <w:t>подібна ситуація</w:t>
      </w:r>
      <w:r w:rsidR="008E5D18">
        <w:rPr>
          <w:rFonts w:eastAsiaTheme="minorHAnsi"/>
          <w:lang w:val="uk-UA" w:eastAsia="en-US"/>
        </w:rPr>
        <w:t xml:space="preserve"> </w:t>
      </w:r>
      <w:r w:rsidR="008E5D18" w:rsidRPr="001416ED">
        <w:rPr>
          <w:rFonts w:eastAsiaTheme="minorHAnsi"/>
          <w:lang w:val="uk-UA" w:eastAsia="en-US"/>
        </w:rPr>
        <w:t xml:space="preserve"> –</w:t>
      </w:r>
      <w:r w:rsidR="008E5D18">
        <w:rPr>
          <w:rFonts w:eastAsiaTheme="minorHAnsi"/>
          <w:lang w:val="uk-UA" w:eastAsia="en-US"/>
        </w:rPr>
        <w:t xml:space="preserve"> </w:t>
      </w:r>
      <w:r w:rsidR="00401951" w:rsidRPr="001416ED">
        <w:rPr>
          <w:rFonts w:eastAsiaTheme="minorHAnsi"/>
          <w:lang w:val="uk-UA" w:eastAsia="en-US"/>
        </w:rPr>
        <w:t>плазмова концентрація ЕТ</w:t>
      </w:r>
      <w:r w:rsidR="00BC0119" w:rsidRPr="001416ED">
        <w:rPr>
          <w:rFonts w:eastAsiaTheme="minorHAnsi"/>
          <w:lang w:val="uk-UA" w:eastAsia="en-US"/>
        </w:rPr>
        <w:t>–</w:t>
      </w:r>
      <w:r w:rsidR="00401951" w:rsidRPr="001416ED">
        <w:rPr>
          <w:rFonts w:eastAsiaTheme="minorHAnsi"/>
          <w:lang w:val="uk-UA" w:eastAsia="en-US"/>
        </w:rPr>
        <w:t xml:space="preserve">1 вірогідно </w:t>
      </w:r>
      <w:r w:rsidR="00B42011" w:rsidRPr="001416ED">
        <w:rPr>
          <w:rFonts w:eastAsiaTheme="minorHAnsi"/>
          <w:lang w:val="uk-UA" w:eastAsia="en-US"/>
        </w:rPr>
        <w:t>більша</w:t>
      </w:r>
      <w:r w:rsidR="00401951" w:rsidRPr="001416ED">
        <w:rPr>
          <w:rFonts w:eastAsiaTheme="minorHAnsi"/>
          <w:lang w:val="uk-UA" w:eastAsia="en-US"/>
        </w:rPr>
        <w:t xml:space="preserve"> при ЕГЛШ та ВГЛШ (13,99</w:t>
      </w:r>
      <w:r w:rsidR="007A07A9" w:rsidRPr="001416ED">
        <w:rPr>
          <w:rFonts w:eastAsiaTheme="minorHAnsi"/>
          <w:lang w:val="uk-UA" w:eastAsia="en-US"/>
        </w:rPr>
        <w:t xml:space="preserve"> ± </w:t>
      </w:r>
      <w:r w:rsidR="00401951" w:rsidRPr="001416ED">
        <w:rPr>
          <w:rFonts w:eastAsiaTheme="minorHAnsi"/>
          <w:lang w:val="uk-UA" w:eastAsia="en-US"/>
        </w:rPr>
        <w:t>0,16</w:t>
      </w:r>
      <w:r w:rsidR="00D600DB" w:rsidRPr="001416ED">
        <w:rPr>
          <w:rFonts w:eastAsiaTheme="minorHAnsi"/>
          <w:lang w:val="uk-UA" w:eastAsia="en-US"/>
        </w:rPr>
        <w:t>)</w:t>
      </w:r>
      <w:r w:rsidR="00401951" w:rsidRPr="001416ED">
        <w:rPr>
          <w:rFonts w:eastAsiaTheme="minorHAnsi"/>
          <w:lang w:val="uk-UA" w:eastAsia="en-US"/>
        </w:rPr>
        <w:t xml:space="preserve"> фмоль/мл та </w:t>
      </w:r>
      <w:r w:rsidR="00D600DB" w:rsidRPr="001416ED">
        <w:rPr>
          <w:rFonts w:eastAsiaTheme="minorHAnsi"/>
          <w:lang w:val="uk-UA" w:eastAsia="en-US"/>
        </w:rPr>
        <w:t>(</w:t>
      </w:r>
      <w:r w:rsidR="00401951" w:rsidRPr="001416ED">
        <w:rPr>
          <w:rFonts w:eastAsiaTheme="minorHAnsi"/>
          <w:lang w:val="uk-UA" w:eastAsia="en-US"/>
        </w:rPr>
        <w:t>13,79</w:t>
      </w:r>
      <w:r w:rsidR="007A07A9" w:rsidRPr="001416ED">
        <w:rPr>
          <w:rFonts w:eastAsiaTheme="minorHAnsi"/>
          <w:lang w:val="uk-UA" w:eastAsia="en-US"/>
        </w:rPr>
        <w:t xml:space="preserve"> ± </w:t>
      </w:r>
      <w:r w:rsidR="00401951" w:rsidRPr="001416ED">
        <w:rPr>
          <w:rFonts w:eastAsiaTheme="minorHAnsi"/>
          <w:lang w:val="uk-UA" w:eastAsia="en-US"/>
        </w:rPr>
        <w:t>0,15</w:t>
      </w:r>
      <w:r w:rsidR="00D600DB" w:rsidRPr="001416ED">
        <w:rPr>
          <w:rFonts w:eastAsiaTheme="minorHAnsi"/>
          <w:lang w:val="uk-UA" w:eastAsia="en-US"/>
        </w:rPr>
        <w:t>)</w:t>
      </w:r>
      <w:r w:rsidR="00401951" w:rsidRPr="001416ED">
        <w:rPr>
          <w:rFonts w:eastAsiaTheme="minorHAnsi"/>
          <w:lang w:val="uk-UA" w:eastAsia="en-US"/>
        </w:rPr>
        <w:t xml:space="preserve"> фмоль/мл, відповідно), ніж у пацієнтів з КГЛШ та ПГЛШ (12,43</w:t>
      </w:r>
      <w:r w:rsidR="007A07A9" w:rsidRPr="001416ED">
        <w:rPr>
          <w:rFonts w:eastAsiaTheme="minorHAnsi"/>
          <w:lang w:val="uk-UA" w:eastAsia="en-US"/>
        </w:rPr>
        <w:t xml:space="preserve"> ± </w:t>
      </w:r>
      <w:r w:rsidR="00401951" w:rsidRPr="001416ED">
        <w:rPr>
          <w:rFonts w:eastAsiaTheme="minorHAnsi"/>
          <w:lang w:val="uk-UA" w:eastAsia="en-US"/>
        </w:rPr>
        <w:t>0,12</w:t>
      </w:r>
      <w:r w:rsidR="00D600DB" w:rsidRPr="001416ED">
        <w:rPr>
          <w:rFonts w:eastAsiaTheme="minorHAnsi"/>
          <w:lang w:val="uk-UA" w:eastAsia="en-US"/>
        </w:rPr>
        <w:t>)</w:t>
      </w:r>
      <w:r w:rsidR="00401951" w:rsidRPr="001416ED">
        <w:rPr>
          <w:rFonts w:eastAsiaTheme="minorHAnsi"/>
          <w:lang w:val="uk-UA" w:eastAsia="en-US"/>
        </w:rPr>
        <w:t xml:space="preserve"> фмоль/мл та </w:t>
      </w:r>
      <w:r w:rsidR="00D600DB" w:rsidRPr="001416ED">
        <w:rPr>
          <w:rFonts w:eastAsiaTheme="minorHAnsi"/>
          <w:lang w:val="uk-UA" w:eastAsia="en-US"/>
        </w:rPr>
        <w:t>(</w:t>
      </w:r>
      <w:r w:rsidR="00401951" w:rsidRPr="001416ED">
        <w:rPr>
          <w:rFonts w:eastAsiaTheme="minorHAnsi"/>
          <w:lang w:val="uk-UA" w:eastAsia="en-US"/>
        </w:rPr>
        <w:t>12,83</w:t>
      </w:r>
      <w:r w:rsidR="007A07A9" w:rsidRPr="001416ED">
        <w:rPr>
          <w:rFonts w:eastAsiaTheme="minorHAnsi"/>
          <w:lang w:val="uk-UA" w:eastAsia="en-US"/>
        </w:rPr>
        <w:t xml:space="preserve"> ± </w:t>
      </w:r>
      <w:r w:rsidR="00401951" w:rsidRPr="001416ED">
        <w:rPr>
          <w:rFonts w:eastAsiaTheme="minorHAnsi"/>
          <w:lang w:val="uk-UA" w:eastAsia="en-US"/>
        </w:rPr>
        <w:t>0,13</w:t>
      </w:r>
      <w:r w:rsidR="00D600DB" w:rsidRPr="001416ED">
        <w:rPr>
          <w:rFonts w:eastAsiaTheme="minorHAnsi"/>
          <w:lang w:val="uk-UA" w:eastAsia="en-US"/>
        </w:rPr>
        <w:t>)</w:t>
      </w:r>
      <w:r w:rsidR="00401951" w:rsidRPr="001416ED">
        <w:rPr>
          <w:rFonts w:eastAsiaTheme="minorHAnsi"/>
          <w:lang w:val="uk-UA" w:eastAsia="en-US"/>
        </w:rPr>
        <w:t xml:space="preserve"> фмоль/мл, відповідно)</w:t>
      </w:r>
      <w:r w:rsidR="009730A2" w:rsidRPr="001416ED">
        <w:rPr>
          <w:rFonts w:eastAsiaTheme="minorHAnsi"/>
          <w:lang w:val="uk-UA" w:eastAsia="en-US"/>
        </w:rPr>
        <w:t xml:space="preserve"> (р</w:t>
      </w:r>
      <w:r w:rsidR="008E5D18">
        <w:rPr>
          <w:rFonts w:eastAsiaTheme="minorHAnsi"/>
          <w:lang w:val="uk-UA" w:eastAsia="en-US"/>
        </w:rPr>
        <w:t>˂</w:t>
      </w:r>
      <w:r w:rsidR="009730A2" w:rsidRPr="001416ED">
        <w:rPr>
          <w:rFonts w:eastAsiaTheme="minorHAnsi"/>
          <w:lang w:val="uk-UA" w:eastAsia="en-US"/>
        </w:rPr>
        <w:t>0,05)</w:t>
      </w:r>
      <w:r w:rsidR="00FD514E" w:rsidRPr="001416ED">
        <w:rPr>
          <w:rFonts w:eastAsiaTheme="minorHAnsi"/>
          <w:lang w:val="uk-UA" w:eastAsia="en-US"/>
        </w:rPr>
        <w:t>, проте немає різниці у концентрації ЕТ</w:t>
      </w:r>
      <w:r w:rsidR="00BC0119" w:rsidRPr="001416ED">
        <w:rPr>
          <w:rFonts w:eastAsiaTheme="minorHAnsi"/>
          <w:lang w:val="uk-UA" w:eastAsia="en-US"/>
        </w:rPr>
        <w:t>–</w:t>
      </w:r>
      <w:r w:rsidR="00FD514E" w:rsidRPr="001416ED">
        <w:rPr>
          <w:rFonts w:eastAsiaTheme="minorHAnsi"/>
          <w:lang w:val="uk-UA" w:eastAsia="en-US"/>
        </w:rPr>
        <w:t>1 між особами з різною ФВ</w:t>
      </w:r>
      <w:r w:rsidR="00401951" w:rsidRPr="001416ED">
        <w:rPr>
          <w:rFonts w:eastAsiaTheme="minorHAnsi"/>
          <w:lang w:val="uk-UA" w:eastAsia="en-US"/>
        </w:rPr>
        <w:t xml:space="preserve"> при варіантах ремоделювання ЛШ</w:t>
      </w:r>
      <w:r w:rsidR="00FD514E" w:rsidRPr="001416ED">
        <w:rPr>
          <w:rFonts w:eastAsiaTheme="minorHAnsi"/>
          <w:lang w:val="uk-UA" w:eastAsia="en-US"/>
        </w:rPr>
        <w:t>.</w:t>
      </w:r>
    </w:p>
    <w:p w:rsidR="008F306D" w:rsidRPr="001416ED" w:rsidRDefault="008F306D" w:rsidP="005F77DB">
      <w:pPr>
        <w:spacing w:line="360" w:lineRule="auto"/>
        <w:ind w:firstLine="709"/>
        <w:jc w:val="both"/>
        <w:rPr>
          <w:rFonts w:eastAsiaTheme="minorHAnsi"/>
          <w:lang w:val="uk-UA" w:eastAsia="en-US"/>
        </w:rPr>
      </w:pPr>
      <w:r w:rsidRPr="001416ED">
        <w:rPr>
          <w:rFonts w:eastAsiaTheme="minorHAnsi"/>
          <w:lang w:val="uk-UA" w:eastAsia="en-US"/>
        </w:rPr>
        <w:lastRenderedPageBreak/>
        <w:t xml:space="preserve">У </w:t>
      </w:r>
      <w:r w:rsidR="00534FCD" w:rsidRPr="001416ED">
        <w:rPr>
          <w:rFonts w:eastAsiaTheme="minorHAnsi"/>
          <w:lang w:val="uk-UA" w:eastAsia="en-US"/>
        </w:rPr>
        <w:t>осіб</w:t>
      </w:r>
      <w:r w:rsidRPr="001416ED">
        <w:rPr>
          <w:rFonts w:eastAsiaTheme="minorHAnsi"/>
          <w:lang w:val="uk-UA" w:eastAsia="en-US"/>
        </w:rPr>
        <w:t xml:space="preserve"> з ГХ ІІ ст. </w:t>
      </w:r>
      <w:r w:rsidR="00534FCD" w:rsidRPr="001416ED">
        <w:rPr>
          <w:rFonts w:eastAsiaTheme="minorHAnsi"/>
          <w:lang w:val="uk-UA" w:eastAsia="en-US"/>
        </w:rPr>
        <w:t xml:space="preserve">при наявності ДД </w:t>
      </w:r>
      <w:r w:rsidRPr="001416ED">
        <w:rPr>
          <w:rFonts w:eastAsiaTheme="minorHAnsi"/>
          <w:lang w:val="uk-UA" w:eastAsia="en-US"/>
        </w:rPr>
        <w:t>рівень ЕТ</w:t>
      </w:r>
      <w:r w:rsidR="00BC0119" w:rsidRPr="001416ED">
        <w:rPr>
          <w:rFonts w:eastAsiaTheme="minorHAnsi"/>
          <w:lang w:val="uk-UA" w:eastAsia="en-US"/>
        </w:rPr>
        <w:t>–</w:t>
      </w:r>
      <w:r w:rsidRPr="001416ED">
        <w:rPr>
          <w:rFonts w:eastAsiaTheme="minorHAnsi"/>
          <w:lang w:val="uk-UA" w:eastAsia="en-US"/>
        </w:rPr>
        <w:t>1 в плазмі крові виявився вірогідно вищим, ніж при її відсутності</w:t>
      </w:r>
      <w:r w:rsidR="00860278" w:rsidRPr="001416ED">
        <w:rPr>
          <w:rFonts w:eastAsiaTheme="minorHAnsi"/>
          <w:lang w:val="uk-UA" w:eastAsia="en-US"/>
        </w:rPr>
        <w:t>.</w:t>
      </w:r>
      <w:r w:rsidR="003A32B3" w:rsidRPr="001416ED">
        <w:rPr>
          <w:rFonts w:eastAsiaTheme="minorHAnsi"/>
          <w:lang w:val="uk-UA" w:eastAsia="en-US"/>
        </w:rPr>
        <w:t xml:space="preserve"> </w:t>
      </w:r>
      <w:r w:rsidRPr="001416ED">
        <w:rPr>
          <w:rFonts w:eastAsiaTheme="minorHAnsi"/>
          <w:lang w:val="uk-UA" w:eastAsia="en-US"/>
        </w:rPr>
        <w:t xml:space="preserve">У </w:t>
      </w:r>
      <w:r w:rsidR="00EB7653" w:rsidRPr="001416ED">
        <w:rPr>
          <w:rFonts w:eastAsiaTheme="minorHAnsi"/>
          <w:lang w:val="uk-UA" w:eastAsia="en-US"/>
        </w:rPr>
        <w:t xml:space="preserve">чоловіків з ГХ ІІІ ст. </w:t>
      </w:r>
      <w:r w:rsidRPr="001416ED">
        <w:rPr>
          <w:rFonts w:eastAsiaTheme="minorHAnsi"/>
          <w:lang w:val="uk-UA" w:eastAsia="en-US"/>
        </w:rPr>
        <w:t xml:space="preserve">плазмова концентрація пептиду </w:t>
      </w:r>
      <w:r w:rsidR="008C117F" w:rsidRPr="001416ED">
        <w:rPr>
          <w:rFonts w:eastAsiaTheme="minorHAnsi"/>
          <w:lang w:val="uk-UA" w:eastAsia="en-US"/>
        </w:rPr>
        <w:t>при ФВ &lt; 45 %</w:t>
      </w:r>
      <w:r w:rsidR="008C117F" w:rsidRPr="001416ED">
        <w:rPr>
          <w:rFonts w:eastAsiaTheme="minorHAnsi"/>
          <w:lang w:eastAsia="en-US"/>
        </w:rPr>
        <w:t xml:space="preserve"> </w:t>
      </w:r>
      <w:r w:rsidR="003A32B3" w:rsidRPr="001416ED">
        <w:rPr>
          <w:rFonts w:eastAsiaTheme="minorHAnsi"/>
          <w:lang w:val="uk-UA" w:eastAsia="en-US"/>
        </w:rPr>
        <w:t>достовірно вища</w:t>
      </w:r>
      <w:r w:rsidRPr="001416ED">
        <w:rPr>
          <w:rFonts w:eastAsiaTheme="minorHAnsi"/>
          <w:lang w:val="uk-UA" w:eastAsia="en-US"/>
        </w:rPr>
        <w:t xml:space="preserve"> ніж при </w:t>
      </w:r>
      <w:r w:rsidR="00B732FB" w:rsidRPr="001416ED">
        <w:rPr>
          <w:rFonts w:eastAsiaTheme="minorHAnsi"/>
          <w:lang w:val="uk-UA" w:eastAsia="en-US"/>
        </w:rPr>
        <w:t>ФВ &gt; 45 %</w:t>
      </w:r>
      <w:r w:rsidR="00C7629D">
        <w:rPr>
          <w:rFonts w:eastAsiaTheme="minorHAnsi"/>
          <w:lang w:val="uk-UA" w:eastAsia="en-US"/>
        </w:rPr>
        <w:t xml:space="preserve"> </w:t>
      </w:r>
      <w:r w:rsidR="00860278" w:rsidRPr="001416ED">
        <w:rPr>
          <w:rFonts w:eastAsiaTheme="minorHAnsi"/>
          <w:lang w:val="uk-UA" w:eastAsia="en-US"/>
        </w:rPr>
        <w:t>(рис. 5.4).</w:t>
      </w:r>
      <w:r w:rsidRPr="001416ED">
        <w:rPr>
          <w:rFonts w:eastAsiaTheme="minorHAnsi"/>
          <w:lang w:val="uk-UA" w:eastAsia="en-US"/>
        </w:rPr>
        <w:t xml:space="preserve">  </w:t>
      </w:r>
    </w:p>
    <w:p w:rsidR="004D7D90" w:rsidRPr="001416ED" w:rsidRDefault="00444275" w:rsidP="00716B20">
      <w:pPr>
        <w:spacing w:line="360" w:lineRule="auto"/>
        <w:ind w:firstLine="709"/>
        <w:jc w:val="both"/>
        <w:rPr>
          <w:rFonts w:eastAsiaTheme="minorHAnsi"/>
          <w:lang w:val="uk-UA" w:eastAsia="en-US"/>
        </w:rPr>
      </w:pPr>
      <w:r w:rsidRPr="001416ED">
        <w:rPr>
          <w:rFonts w:eastAsiaTheme="minorHAnsi"/>
          <w:noProof/>
          <w:lang w:val="uk-UA" w:eastAsia="uk-UA"/>
        </w:rPr>
        <w:drawing>
          <wp:inline distT="0" distB="0" distL="0" distR="0" wp14:anchorId="10F2518C" wp14:editId="3B2F247A">
            <wp:extent cx="5734050" cy="1600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602B5" w:rsidRPr="001416ED" w:rsidRDefault="00B602B5" w:rsidP="00B602B5">
      <w:pPr>
        <w:spacing w:before="100" w:line="360" w:lineRule="auto"/>
        <w:ind w:firstLine="708"/>
        <w:jc w:val="both"/>
        <w:rPr>
          <w:b/>
          <w:lang w:val="uk-UA"/>
        </w:rPr>
      </w:pPr>
      <w:r w:rsidRPr="001416ED">
        <w:rPr>
          <w:rFonts w:eastAsia="MS Mincho"/>
          <w:b/>
          <w:lang w:val="uk-UA" w:eastAsia="ja-JP"/>
        </w:rPr>
        <w:t>Рис. 5.</w:t>
      </w:r>
      <w:r w:rsidR="006A66E9" w:rsidRPr="001416ED">
        <w:rPr>
          <w:rFonts w:eastAsia="MS Mincho"/>
          <w:b/>
          <w:lang w:val="uk-UA" w:eastAsia="ja-JP"/>
        </w:rPr>
        <w:t>4</w:t>
      </w:r>
      <w:r w:rsidRPr="001416ED">
        <w:rPr>
          <w:rFonts w:eastAsia="MS Mincho"/>
          <w:b/>
          <w:lang w:val="uk-UA" w:eastAsia="ja-JP"/>
        </w:rPr>
        <w:t>.</w:t>
      </w:r>
      <w:r w:rsidRPr="001416ED">
        <w:rPr>
          <w:rFonts w:eastAsia="MS Mincho"/>
          <w:lang w:val="uk-UA" w:eastAsia="ja-JP"/>
        </w:rPr>
        <w:t xml:space="preserve"> </w:t>
      </w:r>
      <w:r w:rsidR="008F306D" w:rsidRPr="001416ED">
        <w:rPr>
          <w:rFonts w:eastAsia="MS Mincho"/>
          <w:b/>
          <w:lang w:val="uk-UA" w:eastAsia="ja-JP"/>
        </w:rPr>
        <w:t>Концентрація ЕТ</w:t>
      </w:r>
      <w:r w:rsidR="00BC0119" w:rsidRPr="001416ED">
        <w:rPr>
          <w:rFonts w:eastAsia="MS Mincho"/>
          <w:b/>
          <w:lang w:val="uk-UA" w:eastAsia="ja-JP"/>
        </w:rPr>
        <w:t>–</w:t>
      </w:r>
      <w:r w:rsidR="008F306D" w:rsidRPr="001416ED">
        <w:rPr>
          <w:rFonts w:eastAsia="MS Mincho"/>
          <w:b/>
          <w:lang w:val="uk-UA" w:eastAsia="ja-JP"/>
        </w:rPr>
        <w:t>1 в п</w:t>
      </w:r>
      <w:r w:rsidRPr="001416ED">
        <w:rPr>
          <w:rFonts w:eastAsia="MS Mincho"/>
          <w:b/>
          <w:lang w:val="uk-UA" w:eastAsia="ja-JP"/>
        </w:rPr>
        <w:t>л</w:t>
      </w:r>
      <w:r w:rsidR="008F306D" w:rsidRPr="001416ED">
        <w:rPr>
          <w:rFonts w:eastAsia="MS Mincho"/>
          <w:b/>
          <w:lang w:val="uk-UA" w:eastAsia="ja-JP"/>
        </w:rPr>
        <w:t>а</w:t>
      </w:r>
      <w:r w:rsidRPr="001416ED">
        <w:rPr>
          <w:rFonts w:eastAsia="MS Mincho"/>
          <w:b/>
          <w:lang w:val="uk-UA" w:eastAsia="ja-JP"/>
        </w:rPr>
        <w:t>змі крові</w:t>
      </w:r>
      <w:r w:rsidRPr="001416ED">
        <w:rPr>
          <w:b/>
          <w:lang w:val="uk-UA"/>
        </w:rPr>
        <w:t xml:space="preserve"> чоловіків з ГХ різної </w:t>
      </w:r>
      <w:r w:rsidR="00046A18" w:rsidRPr="001416ED">
        <w:rPr>
          <w:b/>
          <w:lang w:val="uk-UA"/>
        </w:rPr>
        <w:t>стадії</w:t>
      </w:r>
      <w:r w:rsidRPr="001416ED">
        <w:rPr>
          <w:b/>
          <w:lang w:val="uk-UA"/>
        </w:rPr>
        <w:t xml:space="preserve"> при </w:t>
      </w:r>
      <w:r w:rsidR="00884035" w:rsidRPr="001416ED">
        <w:rPr>
          <w:b/>
          <w:lang w:val="uk-UA"/>
        </w:rPr>
        <w:t>різній систолічній та діастолічн</w:t>
      </w:r>
      <w:r w:rsidRPr="001416ED">
        <w:rPr>
          <w:b/>
          <w:lang w:val="uk-UA"/>
        </w:rPr>
        <w:t>ій функції ЛШ, (фмоль/мл)</w:t>
      </w:r>
    </w:p>
    <w:p w:rsidR="00B602B5" w:rsidRPr="001416ED" w:rsidRDefault="00B602B5" w:rsidP="00B602B5">
      <w:pPr>
        <w:spacing w:before="100" w:line="360" w:lineRule="auto"/>
        <w:ind w:firstLine="708"/>
        <w:jc w:val="both"/>
        <w:rPr>
          <w:lang w:val="uk-UA"/>
        </w:rPr>
      </w:pPr>
      <w:r w:rsidRPr="001416ED">
        <w:rPr>
          <w:lang w:val="uk-UA"/>
        </w:rPr>
        <w:t>Примітка: різниця достовірна</w:t>
      </w:r>
      <w:r w:rsidR="002305E1" w:rsidRPr="001416ED">
        <w:rPr>
          <w:lang w:val="uk-UA"/>
        </w:rPr>
        <w:t xml:space="preserve">: </w:t>
      </w:r>
      <w:r w:rsidRPr="001416ED">
        <w:rPr>
          <w:lang w:val="uk-UA"/>
        </w:rPr>
        <w:t xml:space="preserve">* </w:t>
      </w:r>
      <w:r w:rsidR="00BC0119" w:rsidRPr="001416ED">
        <w:rPr>
          <w:lang w:val="uk-UA"/>
        </w:rPr>
        <w:t>–</w:t>
      </w:r>
      <w:r w:rsidRPr="001416ED">
        <w:rPr>
          <w:lang w:val="uk-UA"/>
        </w:rPr>
        <w:t xml:space="preserve"> при порівнянні з чоловіками з ГХ ІІ ст. без ДД</w:t>
      </w:r>
      <w:r w:rsidR="002305E1" w:rsidRPr="001416ED">
        <w:rPr>
          <w:lang w:val="uk-UA"/>
        </w:rPr>
        <w:t xml:space="preserve"> (р</w:t>
      </w:r>
      <w:r w:rsidR="00B732FB" w:rsidRPr="001416ED">
        <w:rPr>
          <w:lang w:val="uk-UA"/>
        </w:rPr>
        <w:t>˂</w:t>
      </w:r>
      <w:r w:rsidR="002305E1" w:rsidRPr="001416ED">
        <w:rPr>
          <w:lang w:val="uk-UA"/>
        </w:rPr>
        <w:t>0,05)</w:t>
      </w:r>
      <w:r w:rsidRPr="001416ED">
        <w:rPr>
          <w:lang w:val="uk-UA"/>
        </w:rPr>
        <w:t xml:space="preserve">; # </w:t>
      </w:r>
      <w:r w:rsidR="00BC0119" w:rsidRPr="001416ED">
        <w:rPr>
          <w:lang w:val="uk-UA"/>
        </w:rPr>
        <w:t>–</w:t>
      </w:r>
      <w:r w:rsidRPr="001416ED">
        <w:rPr>
          <w:lang w:val="uk-UA"/>
        </w:rPr>
        <w:t xml:space="preserve"> при порівнянні з особами з ГХ ІІ ст. </w:t>
      </w:r>
      <w:r w:rsidR="00B732FB" w:rsidRPr="001416ED">
        <w:rPr>
          <w:lang w:val="uk-UA"/>
        </w:rPr>
        <w:t>та</w:t>
      </w:r>
      <w:r w:rsidRPr="001416ED">
        <w:rPr>
          <w:lang w:val="uk-UA"/>
        </w:rPr>
        <w:t xml:space="preserve"> ДД</w:t>
      </w:r>
      <w:r w:rsidR="002305E1" w:rsidRPr="001416ED">
        <w:rPr>
          <w:lang w:val="uk-UA"/>
        </w:rPr>
        <w:t xml:space="preserve"> (р</w:t>
      </w:r>
      <w:r w:rsidR="00B732FB" w:rsidRPr="001416ED">
        <w:rPr>
          <w:lang w:val="uk-UA"/>
        </w:rPr>
        <w:t>˂</w:t>
      </w:r>
      <w:r w:rsidR="002305E1" w:rsidRPr="001416ED">
        <w:rPr>
          <w:lang w:val="uk-UA"/>
        </w:rPr>
        <w:t>0,05)</w:t>
      </w:r>
      <w:r w:rsidRPr="001416ED">
        <w:rPr>
          <w:lang w:val="uk-UA"/>
        </w:rPr>
        <w:t xml:space="preserve">; &amp; </w:t>
      </w:r>
      <w:r w:rsidR="00BC0119" w:rsidRPr="001416ED">
        <w:rPr>
          <w:lang w:val="uk-UA"/>
        </w:rPr>
        <w:t>–</w:t>
      </w:r>
      <w:r w:rsidRPr="001416ED">
        <w:rPr>
          <w:lang w:val="uk-UA"/>
        </w:rPr>
        <w:t xml:space="preserve"> при порівнянні з чоловіками з </w:t>
      </w:r>
      <w:r w:rsidR="00A63A7A" w:rsidRPr="001416ED">
        <w:rPr>
          <w:lang w:val="uk-UA"/>
        </w:rPr>
        <w:t>ГХ ІІІ ст</w:t>
      </w:r>
      <w:r w:rsidR="00B732FB" w:rsidRPr="001416ED">
        <w:rPr>
          <w:lang w:val="uk-UA"/>
        </w:rPr>
        <w:t xml:space="preserve">. </w:t>
      </w:r>
      <w:r w:rsidRPr="001416ED">
        <w:rPr>
          <w:lang w:val="uk-UA"/>
        </w:rPr>
        <w:t xml:space="preserve">з </w:t>
      </w:r>
      <w:r w:rsidR="00B732FB" w:rsidRPr="001416ED">
        <w:rPr>
          <w:lang w:val="uk-UA"/>
        </w:rPr>
        <w:t xml:space="preserve">ФВ </w:t>
      </w:r>
      <w:r w:rsidR="00B732FB" w:rsidRPr="001416ED">
        <w:rPr>
          <w:rFonts w:eastAsiaTheme="minorHAnsi"/>
          <w:lang w:val="uk-UA" w:eastAsia="en-US"/>
        </w:rPr>
        <w:t>&gt; 45 %</w:t>
      </w:r>
      <w:r w:rsidR="00B732FB" w:rsidRPr="001416ED">
        <w:rPr>
          <w:rFonts w:eastAsiaTheme="minorHAnsi"/>
          <w:lang w:eastAsia="en-US"/>
        </w:rPr>
        <w:t xml:space="preserve"> </w:t>
      </w:r>
      <w:r w:rsidR="002305E1" w:rsidRPr="001416ED">
        <w:rPr>
          <w:lang w:val="uk-UA"/>
        </w:rPr>
        <w:t xml:space="preserve"> (р</w:t>
      </w:r>
      <w:r w:rsidR="00B732FB" w:rsidRPr="001416ED">
        <w:rPr>
          <w:lang w:val="uk-UA"/>
        </w:rPr>
        <w:t>˂</w:t>
      </w:r>
      <w:r w:rsidR="002305E1" w:rsidRPr="001416ED">
        <w:rPr>
          <w:lang w:val="uk-UA"/>
        </w:rPr>
        <w:t>0,05)</w:t>
      </w:r>
      <w:r w:rsidRPr="001416ED">
        <w:rPr>
          <w:lang w:val="uk-UA"/>
        </w:rPr>
        <w:t xml:space="preserve"> </w:t>
      </w:r>
    </w:p>
    <w:p w:rsidR="00EA486A" w:rsidRPr="001416ED" w:rsidRDefault="00B732FB" w:rsidP="00B732FB">
      <w:pPr>
        <w:spacing w:before="100" w:line="360" w:lineRule="auto"/>
        <w:ind w:firstLine="708"/>
        <w:jc w:val="both"/>
        <w:rPr>
          <w:lang w:val="uk-UA"/>
        </w:rPr>
      </w:pPr>
      <w:r w:rsidRPr="001416ED">
        <w:rPr>
          <w:lang w:val="uk-UA"/>
        </w:rPr>
        <w:t>Далі</w:t>
      </w:r>
      <w:r w:rsidR="00534FCD" w:rsidRPr="001416ED">
        <w:rPr>
          <w:lang w:val="uk-UA"/>
        </w:rPr>
        <w:t xml:space="preserve"> вирішено проаналізувати концентрацію пептиду в плазмі</w:t>
      </w:r>
      <w:r w:rsidR="00B42011" w:rsidRPr="001416ED">
        <w:rPr>
          <w:lang w:val="uk-UA"/>
        </w:rPr>
        <w:t xml:space="preserve"> крові при різних варіантах ТМК.</w:t>
      </w:r>
      <w:r w:rsidRPr="001416ED">
        <w:rPr>
          <w:lang w:val="uk-UA"/>
        </w:rPr>
        <w:t xml:space="preserve"> </w:t>
      </w:r>
      <w:r w:rsidR="00534FCD" w:rsidRPr="001416ED">
        <w:rPr>
          <w:lang w:val="uk-UA"/>
        </w:rPr>
        <w:t xml:space="preserve">Встановлено, що у осіб з ГХ ІІ ст. при псевдонормальному </w:t>
      </w:r>
      <w:r w:rsidR="0007474D" w:rsidRPr="001416ED">
        <w:rPr>
          <w:lang w:val="uk-UA"/>
        </w:rPr>
        <w:t xml:space="preserve">і гіпертрофічному </w:t>
      </w:r>
      <w:r w:rsidR="00534FCD" w:rsidRPr="001416ED">
        <w:rPr>
          <w:lang w:val="uk-UA"/>
        </w:rPr>
        <w:t>тип</w:t>
      </w:r>
      <w:r w:rsidR="0007474D" w:rsidRPr="001416ED">
        <w:rPr>
          <w:lang w:val="uk-UA"/>
        </w:rPr>
        <w:t>ах</w:t>
      </w:r>
      <w:r w:rsidR="00534FCD" w:rsidRPr="001416ED">
        <w:rPr>
          <w:lang w:val="uk-UA"/>
        </w:rPr>
        <w:t xml:space="preserve"> ТМК</w:t>
      </w:r>
      <w:r w:rsidR="003E6766" w:rsidRPr="001416ED">
        <w:rPr>
          <w:lang w:val="uk-UA"/>
        </w:rPr>
        <w:t xml:space="preserve"> (</w:t>
      </w:r>
      <w:r w:rsidR="0007474D" w:rsidRPr="001416ED">
        <w:rPr>
          <w:lang w:val="uk-UA"/>
        </w:rPr>
        <w:t>12,71</w:t>
      </w:r>
      <w:r w:rsidR="007A07A9" w:rsidRPr="001416ED">
        <w:rPr>
          <w:lang w:val="uk-UA"/>
        </w:rPr>
        <w:t xml:space="preserve"> ± </w:t>
      </w:r>
      <w:r w:rsidR="0007474D" w:rsidRPr="001416ED">
        <w:rPr>
          <w:lang w:val="uk-UA"/>
        </w:rPr>
        <w:t>0,22</w:t>
      </w:r>
      <w:r w:rsidRPr="001416ED">
        <w:rPr>
          <w:lang w:val="uk-UA"/>
        </w:rPr>
        <w:t>)</w:t>
      </w:r>
      <w:r w:rsidR="0007474D" w:rsidRPr="001416ED">
        <w:rPr>
          <w:lang w:val="uk-UA"/>
        </w:rPr>
        <w:t xml:space="preserve"> фмоль/мл та </w:t>
      </w:r>
      <w:r w:rsidRPr="001416ED">
        <w:rPr>
          <w:lang w:val="uk-UA"/>
        </w:rPr>
        <w:t>(</w:t>
      </w:r>
      <w:r w:rsidR="0007474D" w:rsidRPr="001416ED">
        <w:rPr>
          <w:lang w:val="uk-UA"/>
        </w:rPr>
        <w:t>12,35</w:t>
      </w:r>
      <w:r w:rsidR="007A07A9" w:rsidRPr="001416ED">
        <w:rPr>
          <w:lang w:val="uk-UA"/>
        </w:rPr>
        <w:t xml:space="preserve"> ± </w:t>
      </w:r>
      <w:r w:rsidR="0007474D" w:rsidRPr="001416ED">
        <w:rPr>
          <w:lang w:val="uk-UA"/>
        </w:rPr>
        <w:t>0,25</w:t>
      </w:r>
      <w:r w:rsidRPr="001416ED">
        <w:rPr>
          <w:lang w:val="uk-UA"/>
        </w:rPr>
        <w:t>)</w:t>
      </w:r>
      <w:r w:rsidR="0007474D" w:rsidRPr="001416ED">
        <w:rPr>
          <w:lang w:val="uk-UA"/>
        </w:rPr>
        <w:t xml:space="preserve"> фмоль/мл, відповідно</w:t>
      </w:r>
      <w:r w:rsidR="003E6766" w:rsidRPr="001416ED">
        <w:rPr>
          <w:lang w:val="uk-UA"/>
        </w:rPr>
        <w:t>),</w:t>
      </w:r>
      <w:r w:rsidR="00534FCD" w:rsidRPr="001416ED">
        <w:rPr>
          <w:lang w:val="uk-UA"/>
        </w:rPr>
        <w:t xml:space="preserve"> рівень пептиду вірогідно вищий, ніж при нормальному ТМК</w:t>
      </w:r>
      <w:r w:rsidR="003E6766" w:rsidRPr="001416ED">
        <w:rPr>
          <w:lang w:val="uk-UA"/>
        </w:rPr>
        <w:t xml:space="preserve"> (</w:t>
      </w:r>
      <w:r w:rsidR="0007474D" w:rsidRPr="001416ED">
        <w:rPr>
          <w:lang w:val="uk-UA"/>
        </w:rPr>
        <w:t>11,40</w:t>
      </w:r>
      <w:r w:rsidR="007A07A9" w:rsidRPr="001416ED">
        <w:rPr>
          <w:lang w:val="uk-UA"/>
        </w:rPr>
        <w:t xml:space="preserve"> ± </w:t>
      </w:r>
      <w:r w:rsidR="0007474D" w:rsidRPr="001416ED">
        <w:rPr>
          <w:lang w:val="uk-UA"/>
        </w:rPr>
        <w:t>0,13</w:t>
      </w:r>
      <w:r w:rsidRPr="001416ED">
        <w:rPr>
          <w:lang w:val="uk-UA"/>
        </w:rPr>
        <w:t>)</w:t>
      </w:r>
      <w:r w:rsidR="0007474D" w:rsidRPr="001416ED">
        <w:rPr>
          <w:lang w:val="uk-UA"/>
        </w:rPr>
        <w:t xml:space="preserve"> фмоль/мл</w:t>
      </w:r>
      <w:r w:rsidR="003E6766" w:rsidRPr="001416ED">
        <w:rPr>
          <w:lang w:val="uk-UA"/>
        </w:rPr>
        <w:t>)</w:t>
      </w:r>
      <w:r w:rsidR="00742130" w:rsidRPr="001416ED">
        <w:rPr>
          <w:lang w:val="uk-UA"/>
        </w:rPr>
        <w:t xml:space="preserve">, проте відмінності між </w:t>
      </w:r>
      <w:r w:rsidR="0007474D" w:rsidRPr="001416ED">
        <w:rPr>
          <w:lang w:val="uk-UA"/>
        </w:rPr>
        <w:t>псевдонормальним</w:t>
      </w:r>
      <w:r w:rsidR="00742130" w:rsidRPr="001416ED">
        <w:rPr>
          <w:lang w:val="uk-UA"/>
        </w:rPr>
        <w:t xml:space="preserve"> і гіпертрофічним</w:t>
      </w:r>
      <w:r w:rsidR="0007474D" w:rsidRPr="001416ED">
        <w:rPr>
          <w:lang w:val="uk-UA"/>
        </w:rPr>
        <w:t xml:space="preserve"> </w:t>
      </w:r>
      <w:r w:rsidR="00742130" w:rsidRPr="001416ED">
        <w:rPr>
          <w:lang w:val="uk-UA"/>
        </w:rPr>
        <w:t>типами ТМК не виявлено</w:t>
      </w:r>
      <w:r w:rsidR="00534FCD" w:rsidRPr="001416ED">
        <w:rPr>
          <w:lang w:val="uk-UA"/>
        </w:rPr>
        <w:t xml:space="preserve">. У чоловіків з </w:t>
      </w:r>
      <w:r w:rsidR="00376DD5" w:rsidRPr="001416ED">
        <w:rPr>
          <w:lang w:val="uk-UA"/>
        </w:rPr>
        <w:t xml:space="preserve">ГХ ІІІ ст. </w:t>
      </w:r>
      <w:r w:rsidR="00534FCD" w:rsidRPr="001416ED">
        <w:rPr>
          <w:lang w:val="uk-UA"/>
        </w:rPr>
        <w:t xml:space="preserve">при </w:t>
      </w:r>
      <w:r w:rsidR="00372D18" w:rsidRPr="001416ED">
        <w:rPr>
          <w:lang w:val="uk-UA"/>
        </w:rPr>
        <w:t>ФВ &lt; 45 %</w:t>
      </w:r>
      <w:r w:rsidR="00372D18" w:rsidRPr="001416ED">
        <w:t xml:space="preserve"> </w:t>
      </w:r>
      <w:r w:rsidR="00372D18" w:rsidRPr="001416ED">
        <w:rPr>
          <w:lang w:val="uk-UA"/>
        </w:rPr>
        <w:t>та ФВ &gt; 45 %</w:t>
      </w:r>
      <w:r w:rsidR="00534FCD" w:rsidRPr="001416ED">
        <w:rPr>
          <w:lang w:val="uk-UA"/>
        </w:rPr>
        <w:t>, концентрація ЕТ</w:t>
      </w:r>
      <w:r w:rsidR="00BC0119" w:rsidRPr="001416ED">
        <w:rPr>
          <w:lang w:val="uk-UA"/>
        </w:rPr>
        <w:t>–</w:t>
      </w:r>
      <w:r w:rsidR="00534FCD" w:rsidRPr="001416ED">
        <w:rPr>
          <w:lang w:val="uk-UA"/>
        </w:rPr>
        <w:t>1 в плазмі крові більша</w:t>
      </w:r>
      <w:r w:rsidR="003E6766" w:rsidRPr="001416ED">
        <w:rPr>
          <w:lang w:val="uk-UA"/>
        </w:rPr>
        <w:t xml:space="preserve"> </w:t>
      </w:r>
      <w:r w:rsidR="00534FCD" w:rsidRPr="001416ED">
        <w:rPr>
          <w:lang w:val="uk-UA"/>
        </w:rPr>
        <w:t>при рес</w:t>
      </w:r>
      <w:r w:rsidR="00742130" w:rsidRPr="001416ED">
        <w:rPr>
          <w:lang w:val="uk-UA"/>
        </w:rPr>
        <w:t xml:space="preserve">триктивному </w:t>
      </w:r>
      <w:r w:rsidR="003E6766" w:rsidRPr="001416ED">
        <w:rPr>
          <w:lang w:val="uk-UA"/>
        </w:rPr>
        <w:t>(14,87</w:t>
      </w:r>
      <w:r w:rsidR="007A07A9" w:rsidRPr="001416ED">
        <w:rPr>
          <w:lang w:val="uk-UA"/>
        </w:rPr>
        <w:t xml:space="preserve"> ± </w:t>
      </w:r>
      <w:r w:rsidR="003E6766" w:rsidRPr="001416ED">
        <w:rPr>
          <w:lang w:val="uk-UA"/>
        </w:rPr>
        <w:t>0,21</w:t>
      </w:r>
      <w:r w:rsidR="00372D18" w:rsidRPr="001416ED">
        <w:rPr>
          <w:lang w:val="uk-UA"/>
        </w:rPr>
        <w:t>)</w:t>
      </w:r>
      <w:r w:rsidR="003E6766" w:rsidRPr="001416ED">
        <w:rPr>
          <w:lang w:val="uk-UA"/>
        </w:rPr>
        <w:t xml:space="preserve"> фмоль/мл та </w:t>
      </w:r>
      <w:r w:rsidR="00372D18" w:rsidRPr="001416ED">
        <w:rPr>
          <w:lang w:val="uk-UA"/>
        </w:rPr>
        <w:t>(</w:t>
      </w:r>
      <w:r w:rsidR="003E6766" w:rsidRPr="001416ED">
        <w:rPr>
          <w:lang w:val="uk-UA"/>
        </w:rPr>
        <w:t>14,26</w:t>
      </w:r>
      <w:r w:rsidR="007A07A9" w:rsidRPr="001416ED">
        <w:rPr>
          <w:lang w:val="uk-UA"/>
        </w:rPr>
        <w:t xml:space="preserve"> ± </w:t>
      </w:r>
      <w:r w:rsidR="003E6766" w:rsidRPr="001416ED">
        <w:rPr>
          <w:lang w:val="uk-UA"/>
        </w:rPr>
        <w:t>0,09</w:t>
      </w:r>
      <w:r w:rsidR="00372D18" w:rsidRPr="001416ED">
        <w:rPr>
          <w:lang w:val="uk-UA"/>
        </w:rPr>
        <w:t>)</w:t>
      </w:r>
      <w:r w:rsidR="003E6766" w:rsidRPr="001416ED">
        <w:rPr>
          <w:lang w:val="uk-UA"/>
        </w:rPr>
        <w:t xml:space="preserve"> фмоль/мл, відповідно) </w:t>
      </w:r>
      <w:r w:rsidR="00742130" w:rsidRPr="001416ED">
        <w:rPr>
          <w:lang w:val="uk-UA"/>
        </w:rPr>
        <w:t>ТМК ніж при гіпертрофічному типі</w:t>
      </w:r>
      <w:r w:rsidR="003E6766" w:rsidRPr="001416ED">
        <w:rPr>
          <w:lang w:val="uk-UA"/>
        </w:rPr>
        <w:t xml:space="preserve"> (13,91</w:t>
      </w:r>
      <w:r w:rsidR="007A07A9" w:rsidRPr="001416ED">
        <w:rPr>
          <w:lang w:val="uk-UA"/>
        </w:rPr>
        <w:t xml:space="preserve"> ± </w:t>
      </w:r>
      <w:r w:rsidR="003E6766" w:rsidRPr="001416ED">
        <w:rPr>
          <w:lang w:val="uk-UA"/>
        </w:rPr>
        <w:t>0,16</w:t>
      </w:r>
      <w:r w:rsidR="00372D18" w:rsidRPr="001416ED">
        <w:rPr>
          <w:lang w:val="uk-UA"/>
        </w:rPr>
        <w:t>)</w:t>
      </w:r>
      <w:r w:rsidR="003E6766" w:rsidRPr="001416ED">
        <w:rPr>
          <w:lang w:val="uk-UA"/>
        </w:rPr>
        <w:t xml:space="preserve"> фмоль/мл та </w:t>
      </w:r>
      <w:r w:rsidR="00372D18" w:rsidRPr="001416ED">
        <w:rPr>
          <w:lang w:val="uk-UA"/>
        </w:rPr>
        <w:t>(</w:t>
      </w:r>
      <w:r w:rsidR="003E6766" w:rsidRPr="001416ED">
        <w:rPr>
          <w:lang w:val="uk-UA"/>
        </w:rPr>
        <w:t>13,03</w:t>
      </w:r>
      <w:r w:rsidR="007A07A9" w:rsidRPr="001416ED">
        <w:rPr>
          <w:lang w:val="uk-UA"/>
        </w:rPr>
        <w:t xml:space="preserve"> ± </w:t>
      </w:r>
      <w:r w:rsidR="003E6766" w:rsidRPr="001416ED">
        <w:rPr>
          <w:lang w:val="uk-UA"/>
        </w:rPr>
        <w:t>0,21</w:t>
      </w:r>
      <w:r w:rsidR="00372D18" w:rsidRPr="001416ED">
        <w:rPr>
          <w:lang w:val="uk-UA"/>
        </w:rPr>
        <w:t>)</w:t>
      </w:r>
      <w:r w:rsidR="003E6766" w:rsidRPr="001416ED">
        <w:rPr>
          <w:lang w:val="uk-UA"/>
        </w:rPr>
        <w:t xml:space="preserve"> фмоль/мл</w:t>
      </w:r>
      <w:r w:rsidR="00742130" w:rsidRPr="001416ED">
        <w:rPr>
          <w:lang w:val="uk-UA"/>
        </w:rPr>
        <w:t xml:space="preserve">, </w:t>
      </w:r>
      <w:r w:rsidR="003E6766" w:rsidRPr="001416ED">
        <w:rPr>
          <w:lang w:val="uk-UA"/>
        </w:rPr>
        <w:t xml:space="preserve">відповідно), </w:t>
      </w:r>
      <w:r w:rsidR="00742130" w:rsidRPr="001416ED">
        <w:rPr>
          <w:lang w:val="uk-UA"/>
        </w:rPr>
        <w:t>однак</w:t>
      </w:r>
      <w:r w:rsidR="003E6766" w:rsidRPr="001416ED">
        <w:rPr>
          <w:lang w:val="uk-UA"/>
        </w:rPr>
        <w:t>,</w:t>
      </w:r>
      <w:r w:rsidR="00742130" w:rsidRPr="001416ED">
        <w:rPr>
          <w:lang w:val="uk-UA"/>
        </w:rPr>
        <w:t xml:space="preserve"> різниці між </w:t>
      </w:r>
      <w:r w:rsidR="00C57C19" w:rsidRPr="001416ED">
        <w:rPr>
          <w:lang w:val="uk-UA"/>
        </w:rPr>
        <w:t>гіпертрофічним</w:t>
      </w:r>
      <w:r w:rsidR="00742130" w:rsidRPr="001416ED">
        <w:rPr>
          <w:lang w:val="uk-UA"/>
        </w:rPr>
        <w:t xml:space="preserve"> та </w:t>
      </w:r>
      <w:r w:rsidR="00C57C19" w:rsidRPr="001416ED">
        <w:rPr>
          <w:lang w:val="uk-UA"/>
        </w:rPr>
        <w:t>псевдонормальним</w:t>
      </w:r>
      <w:r w:rsidR="00742130" w:rsidRPr="001416ED">
        <w:rPr>
          <w:lang w:val="uk-UA"/>
        </w:rPr>
        <w:t xml:space="preserve"> </w:t>
      </w:r>
      <w:r w:rsidR="00C57C19" w:rsidRPr="001416ED">
        <w:rPr>
          <w:lang w:val="uk-UA"/>
        </w:rPr>
        <w:t>(14,52</w:t>
      </w:r>
      <w:r w:rsidR="007A07A9" w:rsidRPr="001416ED">
        <w:rPr>
          <w:lang w:val="uk-UA"/>
        </w:rPr>
        <w:t xml:space="preserve"> ± </w:t>
      </w:r>
      <w:r w:rsidR="00C57C19" w:rsidRPr="001416ED">
        <w:rPr>
          <w:lang w:val="uk-UA"/>
        </w:rPr>
        <w:t>0,13</w:t>
      </w:r>
      <w:r w:rsidR="00372D18" w:rsidRPr="001416ED">
        <w:rPr>
          <w:lang w:val="uk-UA"/>
        </w:rPr>
        <w:t>)</w:t>
      </w:r>
      <w:r w:rsidR="00C57C19" w:rsidRPr="001416ED">
        <w:rPr>
          <w:lang w:val="uk-UA"/>
        </w:rPr>
        <w:t xml:space="preserve"> фмоль/мл та </w:t>
      </w:r>
      <w:r w:rsidR="00372D18" w:rsidRPr="001416ED">
        <w:rPr>
          <w:lang w:val="uk-UA"/>
        </w:rPr>
        <w:t>(</w:t>
      </w:r>
      <w:r w:rsidR="00C57C19" w:rsidRPr="001416ED">
        <w:rPr>
          <w:lang w:val="uk-UA"/>
        </w:rPr>
        <w:t>13,48</w:t>
      </w:r>
      <w:r w:rsidR="007A07A9" w:rsidRPr="001416ED">
        <w:rPr>
          <w:lang w:val="uk-UA"/>
        </w:rPr>
        <w:t xml:space="preserve"> ± </w:t>
      </w:r>
      <w:r w:rsidR="00C57C19" w:rsidRPr="001416ED">
        <w:rPr>
          <w:lang w:val="uk-UA"/>
        </w:rPr>
        <w:t>0,14</w:t>
      </w:r>
      <w:r w:rsidR="00372D18" w:rsidRPr="001416ED">
        <w:rPr>
          <w:lang w:val="uk-UA"/>
        </w:rPr>
        <w:t>)</w:t>
      </w:r>
      <w:r w:rsidR="00C57C19" w:rsidRPr="001416ED">
        <w:rPr>
          <w:lang w:val="uk-UA"/>
        </w:rPr>
        <w:t xml:space="preserve"> фмоль/м, відповідно) </w:t>
      </w:r>
      <w:r w:rsidR="00742130" w:rsidRPr="001416ED">
        <w:rPr>
          <w:lang w:val="uk-UA"/>
        </w:rPr>
        <w:t>типами</w:t>
      </w:r>
      <w:r w:rsidR="00C57C19" w:rsidRPr="001416ED">
        <w:rPr>
          <w:lang w:val="uk-UA"/>
        </w:rPr>
        <w:t xml:space="preserve"> </w:t>
      </w:r>
      <w:r w:rsidR="00D62C87" w:rsidRPr="001416ED">
        <w:rPr>
          <w:lang w:val="uk-UA"/>
        </w:rPr>
        <w:t>ТМК</w:t>
      </w:r>
      <w:r w:rsidR="00742130" w:rsidRPr="001416ED">
        <w:rPr>
          <w:lang w:val="uk-UA"/>
        </w:rPr>
        <w:t xml:space="preserve"> не виявлено. Рівень пептиду у чоловіків з ФВ</w:t>
      </w:r>
      <w:r w:rsidR="006C203C" w:rsidRPr="001416ED">
        <w:rPr>
          <w:lang w:val="uk-UA"/>
        </w:rPr>
        <w:t xml:space="preserve"> </w:t>
      </w:r>
      <w:r w:rsidR="00742130" w:rsidRPr="001416ED">
        <w:rPr>
          <w:lang w:val="uk-UA"/>
        </w:rPr>
        <w:t>&lt;</w:t>
      </w:r>
      <w:r w:rsidR="006C203C" w:rsidRPr="001416ED">
        <w:rPr>
          <w:lang w:val="uk-UA"/>
        </w:rPr>
        <w:t xml:space="preserve"> </w:t>
      </w:r>
      <w:r w:rsidR="00742130" w:rsidRPr="001416ED">
        <w:rPr>
          <w:lang w:val="uk-UA"/>
        </w:rPr>
        <w:t>45</w:t>
      </w:r>
      <w:r w:rsidR="00D4219F" w:rsidRPr="001416ED">
        <w:rPr>
          <w:lang w:val="uk-UA"/>
        </w:rPr>
        <w:t xml:space="preserve"> %</w:t>
      </w:r>
      <w:r w:rsidR="00742130" w:rsidRPr="001416ED">
        <w:rPr>
          <w:lang w:val="uk-UA"/>
        </w:rPr>
        <w:t xml:space="preserve"> при </w:t>
      </w:r>
      <w:r w:rsidR="009E40B2" w:rsidRPr="001416ED">
        <w:rPr>
          <w:lang w:val="uk-UA"/>
        </w:rPr>
        <w:t>гіпертрофічному</w:t>
      </w:r>
      <w:r w:rsidR="00742130" w:rsidRPr="001416ED">
        <w:rPr>
          <w:lang w:val="uk-UA"/>
        </w:rPr>
        <w:t xml:space="preserve"> та </w:t>
      </w:r>
      <w:r w:rsidR="009E40B2" w:rsidRPr="001416ED">
        <w:rPr>
          <w:lang w:val="uk-UA"/>
        </w:rPr>
        <w:t>псевдонормальному</w:t>
      </w:r>
      <w:r w:rsidR="00742130" w:rsidRPr="001416ED">
        <w:rPr>
          <w:lang w:val="uk-UA"/>
        </w:rPr>
        <w:t xml:space="preserve"> типах </w:t>
      </w:r>
      <w:r w:rsidR="009E40B2" w:rsidRPr="001416ED">
        <w:rPr>
          <w:lang w:val="uk-UA"/>
        </w:rPr>
        <w:t>ТМК</w:t>
      </w:r>
      <w:r w:rsidR="00742130" w:rsidRPr="001416ED">
        <w:rPr>
          <w:lang w:val="uk-UA"/>
        </w:rPr>
        <w:t xml:space="preserve"> вищий ніж при ФВ</w:t>
      </w:r>
      <w:r w:rsidR="006C203C" w:rsidRPr="001416ED">
        <w:rPr>
          <w:lang w:val="uk-UA"/>
        </w:rPr>
        <w:t xml:space="preserve"> </w:t>
      </w:r>
      <w:r w:rsidR="00742130" w:rsidRPr="001416ED">
        <w:rPr>
          <w:lang w:val="uk-UA"/>
        </w:rPr>
        <w:t>&gt;</w:t>
      </w:r>
      <w:r w:rsidR="006C203C" w:rsidRPr="001416ED">
        <w:rPr>
          <w:lang w:val="uk-UA"/>
        </w:rPr>
        <w:t xml:space="preserve"> </w:t>
      </w:r>
      <w:r w:rsidR="00742130" w:rsidRPr="001416ED">
        <w:rPr>
          <w:lang w:val="uk-UA"/>
        </w:rPr>
        <w:t>45</w:t>
      </w:r>
      <w:r w:rsidR="00D4219F" w:rsidRPr="001416ED">
        <w:rPr>
          <w:lang w:val="uk-UA"/>
        </w:rPr>
        <w:t xml:space="preserve"> %</w:t>
      </w:r>
      <w:r w:rsidR="00742130" w:rsidRPr="001416ED">
        <w:rPr>
          <w:lang w:val="uk-UA"/>
        </w:rPr>
        <w:t xml:space="preserve">, відмінності у </w:t>
      </w:r>
      <w:r w:rsidR="009E40B2" w:rsidRPr="001416ED">
        <w:rPr>
          <w:lang w:val="uk-UA"/>
        </w:rPr>
        <w:t>рестриктивному</w:t>
      </w:r>
      <w:r w:rsidR="00742130" w:rsidRPr="001416ED">
        <w:rPr>
          <w:lang w:val="uk-UA"/>
        </w:rPr>
        <w:t xml:space="preserve"> типі </w:t>
      </w:r>
      <w:r w:rsidR="00D62C87" w:rsidRPr="001416ED">
        <w:rPr>
          <w:lang w:val="uk-UA"/>
        </w:rPr>
        <w:t>ТМК</w:t>
      </w:r>
      <w:r w:rsidR="00742130" w:rsidRPr="001416ED">
        <w:rPr>
          <w:lang w:val="uk-UA"/>
        </w:rPr>
        <w:t xml:space="preserve"> не досліджено.</w:t>
      </w:r>
    </w:p>
    <w:p w:rsidR="00884035" w:rsidRPr="001416ED" w:rsidRDefault="00EA486A" w:rsidP="003A32B3">
      <w:pPr>
        <w:spacing w:line="360" w:lineRule="auto"/>
        <w:ind w:firstLine="708"/>
        <w:jc w:val="both"/>
        <w:rPr>
          <w:lang w:val="uk-UA"/>
        </w:rPr>
      </w:pPr>
      <w:r w:rsidRPr="001416ED">
        <w:rPr>
          <w:lang w:val="uk-UA"/>
        </w:rPr>
        <w:lastRenderedPageBreak/>
        <w:t xml:space="preserve">Отже, у чоловіків з ГХ різної </w:t>
      </w:r>
      <w:r w:rsidR="00046A18" w:rsidRPr="001416ED">
        <w:rPr>
          <w:lang w:val="uk-UA"/>
        </w:rPr>
        <w:t>стадії</w:t>
      </w:r>
      <w:r w:rsidRPr="001416ED">
        <w:rPr>
          <w:lang w:val="uk-UA"/>
        </w:rPr>
        <w:t xml:space="preserve"> </w:t>
      </w:r>
      <w:r w:rsidR="00910ABE" w:rsidRPr="001416ED">
        <w:rPr>
          <w:lang w:val="uk-UA"/>
        </w:rPr>
        <w:t>з високим</w:t>
      </w:r>
      <w:r w:rsidR="00742130" w:rsidRPr="001416ED">
        <w:rPr>
          <w:lang w:val="uk-UA"/>
        </w:rPr>
        <w:t xml:space="preserve"> </w:t>
      </w:r>
      <w:r w:rsidRPr="001416ED">
        <w:rPr>
          <w:lang w:val="uk-UA"/>
        </w:rPr>
        <w:t>рів</w:t>
      </w:r>
      <w:r w:rsidR="00910ABE" w:rsidRPr="001416ED">
        <w:rPr>
          <w:lang w:val="uk-UA"/>
        </w:rPr>
        <w:t xml:space="preserve">нем </w:t>
      </w:r>
      <w:r w:rsidRPr="001416ED">
        <w:rPr>
          <w:lang w:val="uk-UA"/>
        </w:rPr>
        <w:t>ЕТ</w:t>
      </w:r>
      <w:r w:rsidR="00BC0119" w:rsidRPr="001416ED">
        <w:rPr>
          <w:lang w:val="uk-UA"/>
        </w:rPr>
        <w:t>–</w:t>
      </w:r>
      <w:r w:rsidRPr="001416ED">
        <w:rPr>
          <w:lang w:val="uk-UA"/>
        </w:rPr>
        <w:t xml:space="preserve">1 </w:t>
      </w:r>
      <w:r w:rsidR="00910ABE" w:rsidRPr="001416ED">
        <w:rPr>
          <w:lang w:val="uk-UA"/>
        </w:rPr>
        <w:t xml:space="preserve">асоційовані </w:t>
      </w:r>
      <w:r w:rsidRPr="001416ED">
        <w:rPr>
          <w:lang w:val="uk-UA"/>
        </w:rPr>
        <w:t>біль</w:t>
      </w:r>
      <w:r w:rsidR="003A32B3" w:rsidRPr="001416ED">
        <w:rPr>
          <w:lang w:val="uk-UA"/>
        </w:rPr>
        <w:t>ш</w:t>
      </w:r>
      <w:r w:rsidRPr="001416ED">
        <w:rPr>
          <w:lang w:val="uk-UA"/>
        </w:rPr>
        <w:t xml:space="preserve"> виражен</w:t>
      </w:r>
      <w:r w:rsidR="00910ABE" w:rsidRPr="001416ED">
        <w:rPr>
          <w:lang w:val="uk-UA"/>
        </w:rPr>
        <w:t>і</w:t>
      </w:r>
      <w:r w:rsidRPr="001416ED">
        <w:rPr>
          <w:lang w:val="uk-UA"/>
        </w:rPr>
        <w:t xml:space="preserve"> структурн</w:t>
      </w:r>
      <w:r w:rsidR="00910ABE" w:rsidRPr="001416ED">
        <w:rPr>
          <w:lang w:val="uk-UA"/>
        </w:rPr>
        <w:t>і</w:t>
      </w:r>
      <w:r w:rsidRPr="001416ED">
        <w:rPr>
          <w:lang w:val="uk-UA"/>
        </w:rPr>
        <w:t xml:space="preserve"> змін</w:t>
      </w:r>
      <w:r w:rsidR="00910ABE" w:rsidRPr="001416ED">
        <w:rPr>
          <w:lang w:val="uk-UA"/>
        </w:rPr>
        <w:t>и</w:t>
      </w:r>
      <w:r w:rsidRPr="001416ED">
        <w:rPr>
          <w:lang w:val="uk-UA"/>
        </w:rPr>
        <w:t xml:space="preserve"> міокарда (ВГЛШ та ЕГЛШ) та </w:t>
      </w:r>
      <w:r w:rsidR="00910ABE" w:rsidRPr="001416ED">
        <w:rPr>
          <w:lang w:val="uk-UA"/>
        </w:rPr>
        <w:t xml:space="preserve">показники </w:t>
      </w:r>
      <w:r w:rsidRPr="001416ED">
        <w:rPr>
          <w:lang w:val="uk-UA"/>
        </w:rPr>
        <w:t>функціональної здатності ЛШ (</w:t>
      </w:r>
      <w:r w:rsidR="00620354" w:rsidRPr="001416ED">
        <w:rPr>
          <w:lang w:val="uk-UA"/>
        </w:rPr>
        <w:t>ФВ &lt; 45 %</w:t>
      </w:r>
      <w:r w:rsidRPr="001416ED">
        <w:rPr>
          <w:lang w:val="uk-UA"/>
        </w:rPr>
        <w:t>).</w:t>
      </w:r>
    </w:p>
    <w:p w:rsidR="00EA486A" w:rsidRPr="001416ED" w:rsidRDefault="0029275D" w:rsidP="0010435C">
      <w:pPr>
        <w:spacing w:before="100" w:after="240" w:line="360" w:lineRule="auto"/>
        <w:ind w:firstLine="708"/>
        <w:jc w:val="both"/>
        <w:rPr>
          <w:b/>
          <w:lang w:val="uk-UA"/>
        </w:rPr>
      </w:pPr>
      <w:r w:rsidRPr="001416ED">
        <w:rPr>
          <w:b/>
          <w:lang w:val="uk-UA"/>
        </w:rPr>
        <w:t>5.</w:t>
      </w:r>
      <w:r w:rsidR="006A66E9" w:rsidRPr="001416ED">
        <w:rPr>
          <w:b/>
          <w:lang w:val="uk-UA"/>
        </w:rPr>
        <w:t>4</w:t>
      </w:r>
      <w:r w:rsidR="007C775F">
        <w:rPr>
          <w:b/>
          <w:lang w:val="uk-UA"/>
        </w:rPr>
        <w:t>.</w:t>
      </w:r>
      <w:r w:rsidRPr="001416ED">
        <w:rPr>
          <w:b/>
          <w:lang w:val="uk-UA"/>
        </w:rPr>
        <w:t xml:space="preserve"> Рівень СНП у плазмі крові чоловіків з ГХ різної </w:t>
      </w:r>
      <w:r w:rsidR="00046A18" w:rsidRPr="001416ED">
        <w:rPr>
          <w:b/>
          <w:lang w:val="uk-UA"/>
        </w:rPr>
        <w:t>стадії</w:t>
      </w:r>
      <w:r w:rsidR="001D75DC" w:rsidRPr="001416ED">
        <w:rPr>
          <w:b/>
          <w:lang w:val="uk-UA"/>
        </w:rPr>
        <w:t xml:space="preserve"> при структурно</w:t>
      </w:r>
      <w:r w:rsidR="00BC0119" w:rsidRPr="001416ED">
        <w:rPr>
          <w:b/>
          <w:lang w:val="uk-UA"/>
        </w:rPr>
        <w:t>–</w:t>
      </w:r>
      <w:r w:rsidR="001D75DC" w:rsidRPr="001416ED">
        <w:rPr>
          <w:b/>
          <w:lang w:val="uk-UA"/>
        </w:rPr>
        <w:t>функціональних змінах міокарда та системної гемодинаміки</w:t>
      </w:r>
    </w:p>
    <w:p w:rsidR="005D26BA" w:rsidRPr="001416ED" w:rsidRDefault="0010435C" w:rsidP="00716B20">
      <w:pPr>
        <w:spacing w:line="360" w:lineRule="auto"/>
        <w:ind w:firstLine="708"/>
        <w:jc w:val="both"/>
        <w:rPr>
          <w:lang w:val="uk-UA"/>
        </w:rPr>
      </w:pPr>
      <w:r w:rsidRPr="001416ED">
        <w:rPr>
          <w:lang w:val="uk-UA"/>
        </w:rPr>
        <w:t xml:space="preserve">Аналіз </w:t>
      </w:r>
      <w:r w:rsidR="00CF6DE9" w:rsidRPr="001416ED">
        <w:rPr>
          <w:lang w:val="uk-UA"/>
        </w:rPr>
        <w:t>плазмової концентрації ЕТ</w:t>
      </w:r>
      <w:r w:rsidR="00BC0119" w:rsidRPr="001416ED">
        <w:rPr>
          <w:lang w:val="uk-UA"/>
        </w:rPr>
        <w:t>–</w:t>
      </w:r>
      <w:r w:rsidR="00CF6DE9" w:rsidRPr="001416ED">
        <w:rPr>
          <w:lang w:val="uk-UA"/>
        </w:rPr>
        <w:t>1 у чоловіків з ГХ показав зміни його рівня при різних типах ГЛ</w:t>
      </w:r>
      <w:r w:rsidR="001F4A9C" w:rsidRPr="001416ED">
        <w:rPr>
          <w:lang w:val="uk-UA"/>
        </w:rPr>
        <w:t>Ш, ФВ &gt; 45 %,</w:t>
      </w:r>
      <w:r w:rsidR="001F4A9C" w:rsidRPr="001416ED">
        <w:t xml:space="preserve"> </w:t>
      </w:r>
      <w:r w:rsidR="001F4A9C" w:rsidRPr="001416ED">
        <w:rPr>
          <w:lang w:val="uk-UA"/>
        </w:rPr>
        <w:t>ФВ &lt; 45 %</w:t>
      </w:r>
      <w:r w:rsidR="00CF6DE9" w:rsidRPr="001416ED">
        <w:rPr>
          <w:lang w:val="uk-UA"/>
        </w:rPr>
        <w:t>, типів ТМК. Тому</w:t>
      </w:r>
      <w:r w:rsidR="00B33561" w:rsidRPr="001416ED">
        <w:rPr>
          <w:lang w:val="uk-UA"/>
        </w:rPr>
        <w:t>,</w:t>
      </w:r>
      <w:r w:rsidR="00CF6DE9" w:rsidRPr="001416ED">
        <w:rPr>
          <w:lang w:val="uk-UA"/>
        </w:rPr>
        <w:t xml:space="preserve"> було вирішено дослідити </w:t>
      </w:r>
      <w:r w:rsidR="00BA5A93" w:rsidRPr="001416ED">
        <w:rPr>
          <w:lang w:val="uk-UA"/>
        </w:rPr>
        <w:t xml:space="preserve">рівень СНП в плазмі крові осіб з ГХ різної </w:t>
      </w:r>
      <w:r w:rsidR="00046A18" w:rsidRPr="001416ED">
        <w:rPr>
          <w:lang w:val="uk-UA"/>
        </w:rPr>
        <w:t>стадії</w:t>
      </w:r>
      <w:r w:rsidR="00AF28C5" w:rsidRPr="001416ED">
        <w:rPr>
          <w:lang w:val="uk-UA"/>
        </w:rPr>
        <w:t xml:space="preserve"> при аналогічних показниках.</w:t>
      </w:r>
      <w:r w:rsidR="00716B20">
        <w:rPr>
          <w:lang w:val="uk-UA"/>
        </w:rPr>
        <w:t xml:space="preserve"> </w:t>
      </w:r>
      <w:r w:rsidR="006A66E9" w:rsidRPr="001416ED">
        <w:rPr>
          <w:lang w:val="uk-UA"/>
        </w:rPr>
        <w:t>Р</w:t>
      </w:r>
      <w:r w:rsidR="005D26BA" w:rsidRPr="001416ED">
        <w:rPr>
          <w:lang w:val="uk-UA"/>
        </w:rPr>
        <w:t>ів</w:t>
      </w:r>
      <w:r w:rsidR="006A66E9" w:rsidRPr="001416ED">
        <w:rPr>
          <w:lang w:val="uk-UA"/>
        </w:rPr>
        <w:t xml:space="preserve">ень </w:t>
      </w:r>
      <w:r w:rsidR="005D26BA" w:rsidRPr="001416ED">
        <w:rPr>
          <w:lang w:val="uk-UA"/>
        </w:rPr>
        <w:t xml:space="preserve">СНП в плазмі крові хворих з </w:t>
      </w:r>
      <w:r w:rsidR="00C34030" w:rsidRPr="001416ED">
        <w:rPr>
          <w:lang w:val="uk-UA"/>
        </w:rPr>
        <w:t xml:space="preserve">ГХ ІІІ ст. </w:t>
      </w:r>
      <w:r w:rsidR="005D26BA" w:rsidRPr="001416ED">
        <w:rPr>
          <w:lang w:val="uk-UA"/>
        </w:rPr>
        <w:t xml:space="preserve">при </w:t>
      </w:r>
      <w:r w:rsidR="00A31024" w:rsidRPr="001416ED">
        <w:rPr>
          <w:lang w:val="uk-UA"/>
        </w:rPr>
        <w:t>ФВ &gt; 45 %,</w:t>
      </w:r>
      <w:r w:rsidR="00A31024" w:rsidRPr="001416ED">
        <w:t xml:space="preserve"> </w:t>
      </w:r>
      <w:r w:rsidR="00A31024" w:rsidRPr="001416ED">
        <w:rPr>
          <w:lang w:val="uk-UA"/>
        </w:rPr>
        <w:t xml:space="preserve">ФВ &lt; 45 %, </w:t>
      </w:r>
      <w:r w:rsidR="005D26BA" w:rsidRPr="001416ED">
        <w:rPr>
          <w:lang w:val="uk-UA"/>
        </w:rPr>
        <w:t xml:space="preserve"> при</w:t>
      </w:r>
      <w:r w:rsidR="00716B20">
        <w:rPr>
          <w:lang w:val="uk-UA"/>
        </w:rPr>
        <w:t xml:space="preserve"> </w:t>
      </w:r>
      <w:r w:rsidR="00E6164F">
        <w:rPr>
          <w:lang w:val="uk-UA"/>
        </w:rPr>
        <w:t>поліморфних варіант</w:t>
      </w:r>
      <w:r w:rsidR="00716B20">
        <w:rPr>
          <w:lang w:val="uk-UA"/>
        </w:rPr>
        <w:t>ах</w:t>
      </w:r>
      <w:r w:rsidR="00E6164F">
        <w:rPr>
          <w:lang w:val="uk-UA"/>
        </w:rPr>
        <w:t xml:space="preserve"> гена ЕТ–1</w:t>
      </w:r>
      <w:r w:rsidR="007B4954" w:rsidRPr="001416ED">
        <w:rPr>
          <w:lang w:val="uk-UA"/>
        </w:rPr>
        <w:t xml:space="preserve"> </w:t>
      </w:r>
      <w:r w:rsidR="006A66E9" w:rsidRPr="001416ED">
        <w:rPr>
          <w:lang w:val="uk-UA"/>
        </w:rPr>
        <w:t xml:space="preserve">представлені в </w:t>
      </w:r>
      <w:r w:rsidR="005D26BA" w:rsidRPr="001416ED">
        <w:rPr>
          <w:lang w:val="uk-UA"/>
        </w:rPr>
        <w:t>табл. 5.</w:t>
      </w:r>
      <w:r w:rsidR="006A66E9" w:rsidRPr="001416ED">
        <w:rPr>
          <w:lang w:val="uk-UA"/>
        </w:rPr>
        <w:t>9</w:t>
      </w:r>
      <w:r w:rsidR="005D26BA" w:rsidRPr="001416ED">
        <w:rPr>
          <w:lang w:val="uk-UA"/>
        </w:rPr>
        <w:t>.</w:t>
      </w:r>
    </w:p>
    <w:p w:rsidR="005D26BA" w:rsidRPr="001416ED" w:rsidRDefault="005D26BA" w:rsidP="005D26BA">
      <w:pPr>
        <w:spacing w:line="360" w:lineRule="auto"/>
        <w:ind w:right="140" w:firstLine="708"/>
        <w:jc w:val="right"/>
        <w:rPr>
          <w:b/>
          <w:lang w:val="uk-UA"/>
        </w:rPr>
      </w:pPr>
      <w:r w:rsidRPr="001416ED">
        <w:rPr>
          <w:b/>
          <w:lang w:val="uk-UA"/>
        </w:rPr>
        <w:t>Таблиця 5.</w:t>
      </w:r>
      <w:r w:rsidR="006A66E9" w:rsidRPr="001416ED">
        <w:rPr>
          <w:b/>
          <w:lang w:val="uk-UA"/>
        </w:rPr>
        <w:t>9</w:t>
      </w:r>
    </w:p>
    <w:p w:rsidR="005D26BA" w:rsidRPr="001416ED" w:rsidRDefault="005D26BA" w:rsidP="005D26BA">
      <w:pPr>
        <w:spacing w:line="360" w:lineRule="auto"/>
        <w:ind w:right="140"/>
        <w:jc w:val="center"/>
        <w:outlineLvl w:val="0"/>
        <w:rPr>
          <w:b/>
          <w:lang w:val="uk-UA"/>
        </w:rPr>
      </w:pPr>
      <w:r w:rsidRPr="001416ED">
        <w:rPr>
          <w:b/>
          <w:lang w:val="uk-UA"/>
        </w:rPr>
        <w:t xml:space="preserve">Рівні СНП </w:t>
      </w:r>
      <w:r w:rsidR="00AF28C5" w:rsidRPr="001416ED">
        <w:rPr>
          <w:b/>
          <w:lang w:val="uk-UA"/>
        </w:rPr>
        <w:t>та СНП/ЕТ</w:t>
      </w:r>
      <w:r w:rsidR="00BC0119" w:rsidRPr="001416ED">
        <w:rPr>
          <w:b/>
          <w:lang w:val="uk-UA"/>
        </w:rPr>
        <w:t>–</w:t>
      </w:r>
      <w:r w:rsidR="00AF28C5" w:rsidRPr="001416ED">
        <w:rPr>
          <w:b/>
          <w:lang w:val="uk-UA"/>
        </w:rPr>
        <w:t xml:space="preserve">1 </w:t>
      </w:r>
      <w:r w:rsidRPr="001416ED">
        <w:rPr>
          <w:b/>
          <w:lang w:val="uk-UA"/>
        </w:rPr>
        <w:t>у плазмі крові чоловіків</w:t>
      </w:r>
      <w:r w:rsidR="00AF28C5" w:rsidRPr="001416ED">
        <w:rPr>
          <w:b/>
          <w:lang w:val="uk-UA"/>
        </w:rPr>
        <w:t xml:space="preserve"> з</w:t>
      </w:r>
      <w:r w:rsidRPr="001416ED">
        <w:rPr>
          <w:b/>
          <w:lang w:val="uk-UA"/>
        </w:rPr>
        <w:t xml:space="preserve"> ГХ </w:t>
      </w:r>
      <w:r w:rsidR="00AF28C5" w:rsidRPr="001416ED">
        <w:rPr>
          <w:b/>
          <w:lang w:val="uk-UA"/>
        </w:rPr>
        <w:t>та</w:t>
      </w:r>
      <w:r w:rsidRPr="001416ED">
        <w:rPr>
          <w:b/>
          <w:lang w:val="uk-UA"/>
        </w:rPr>
        <w:t xml:space="preserve"> ознаками ХСН </w:t>
      </w:r>
      <w:r w:rsidR="004A4E68" w:rsidRPr="001416ED">
        <w:rPr>
          <w:b/>
          <w:lang w:val="uk-UA"/>
        </w:rPr>
        <w:t>ІІ А</w:t>
      </w:r>
      <w:r w:rsidRPr="001416ED">
        <w:rPr>
          <w:b/>
          <w:lang w:val="uk-UA"/>
        </w:rPr>
        <w:t xml:space="preserve"> ст., при різній систолічній функції ЛШ та носійстві варіантів </w:t>
      </w:r>
      <w:r w:rsidR="00F40216">
        <w:rPr>
          <w:b/>
          <w:lang w:val="uk-UA"/>
        </w:rPr>
        <w:t>гена</w:t>
      </w:r>
      <w:r w:rsidRPr="001416ED">
        <w:rPr>
          <w:b/>
          <w:lang w:val="uk-UA"/>
        </w:rPr>
        <w:t xml:space="preserve"> ЕТ</w:t>
      </w:r>
      <w:r w:rsidR="00BC0119" w:rsidRPr="001416ED">
        <w:rPr>
          <w:b/>
          <w:lang w:val="uk-UA"/>
        </w:rPr>
        <w:t>–</w:t>
      </w:r>
      <w:r w:rsidRPr="001416ED">
        <w:rPr>
          <w:b/>
          <w:lang w:val="uk-UA"/>
        </w:rPr>
        <w:t>1, (</w:t>
      </w:r>
      <w:r w:rsidRPr="001416ED">
        <w:rPr>
          <w:b/>
          <w:lang w:val="en-US"/>
        </w:rPr>
        <w:t>M</w:t>
      </w:r>
      <w:r w:rsidR="007A07A9" w:rsidRPr="001416ED">
        <w:rPr>
          <w:b/>
          <w:lang w:val="uk-UA"/>
        </w:rPr>
        <w:t xml:space="preserve"> ± </w:t>
      </w:r>
      <w:r w:rsidRPr="001416ED">
        <w:rPr>
          <w:b/>
          <w:lang w:val="en-US"/>
        </w:rPr>
        <w:t>m</w:t>
      </w:r>
      <w:r w:rsidRPr="001416ED">
        <w:rPr>
          <w:b/>
          <w:lang w:val="uk-UA"/>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559"/>
        <w:gridCol w:w="1701"/>
        <w:gridCol w:w="1560"/>
      </w:tblGrid>
      <w:tr w:rsidR="001222EA" w:rsidRPr="001416ED" w:rsidTr="00AD0D1C">
        <w:tc>
          <w:tcPr>
            <w:tcW w:w="1701" w:type="dxa"/>
            <w:vMerge w:val="restart"/>
          </w:tcPr>
          <w:p w:rsidR="001222EA" w:rsidRPr="001416ED" w:rsidRDefault="001222EA" w:rsidP="00D058DE">
            <w:pPr>
              <w:spacing w:line="360" w:lineRule="auto"/>
              <w:ind w:right="142"/>
              <w:jc w:val="center"/>
              <w:rPr>
                <w:b/>
                <w:lang w:val="uk-UA"/>
              </w:rPr>
            </w:pPr>
            <w:r w:rsidRPr="001416ED">
              <w:rPr>
                <w:b/>
                <w:lang w:val="uk-UA"/>
              </w:rPr>
              <w:t>Групи</w:t>
            </w:r>
          </w:p>
        </w:tc>
        <w:tc>
          <w:tcPr>
            <w:tcW w:w="3402" w:type="dxa"/>
            <w:gridSpan w:val="2"/>
          </w:tcPr>
          <w:p w:rsidR="001222EA" w:rsidRPr="001416ED" w:rsidRDefault="001222EA" w:rsidP="00AE59E0">
            <w:pPr>
              <w:spacing w:line="360" w:lineRule="auto"/>
              <w:jc w:val="center"/>
              <w:rPr>
                <w:rFonts w:eastAsiaTheme="minorHAnsi"/>
                <w:b/>
                <w:kern w:val="11"/>
                <w:lang w:val="uk-UA" w:eastAsia="en-US"/>
              </w:rPr>
            </w:pPr>
            <w:r w:rsidRPr="001416ED">
              <w:rPr>
                <w:rFonts w:eastAsiaTheme="minorHAnsi"/>
                <w:b/>
                <w:kern w:val="11"/>
                <w:lang w:val="uk-UA" w:eastAsia="en-US"/>
              </w:rPr>
              <w:t xml:space="preserve">Рівень СНП, пмоль/мл </w:t>
            </w:r>
          </w:p>
        </w:tc>
        <w:tc>
          <w:tcPr>
            <w:tcW w:w="3260" w:type="dxa"/>
            <w:gridSpan w:val="2"/>
          </w:tcPr>
          <w:p w:rsidR="001222EA" w:rsidRPr="001416ED" w:rsidRDefault="001222EA" w:rsidP="008B7446">
            <w:pPr>
              <w:spacing w:line="360" w:lineRule="auto"/>
              <w:jc w:val="center"/>
              <w:rPr>
                <w:rFonts w:eastAsiaTheme="minorHAnsi"/>
                <w:b/>
                <w:kern w:val="11"/>
                <w:lang w:val="uk-UA" w:eastAsia="en-US"/>
              </w:rPr>
            </w:pPr>
            <w:r w:rsidRPr="001416ED">
              <w:rPr>
                <w:rFonts w:eastAsiaTheme="minorHAnsi"/>
                <w:b/>
                <w:kern w:val="11"/>
                <w:lang w:val="uk-UA" w:eastAsia="en-US"/>
              </w:rPr>
              <w:t>СНП/ЕТ</w:t>
            </w:r>
            <w:r w:rsidR="00BC0119" w:rsidRPr="001416ED">
              <w:rPr>
                <w:rFonts w:eastAsiaTheme="minorHAnsi"/>
                <w:b/>
                <w:kern w:val="11"/>
                <w:lang w:val="uk-UA" w:eastAsia="en-US"/>
              </w:rPr>
              <w:t>–</w:t>
            </w:r>
            <w:r w:rsidRPr="001416ED">
              <w:rPr>
                <w:rFonts w:eastAsiaTheme="minorHAnsi"/>
                <w:b/>
                <w:kern w:val="11"/>
                <w:lang w:val="uk-UA" w:eastAsia="en-US"/>
              </w:rPr>
              <w:t>1 ум.од.</w:t>
            </w:r>
          </w:p>
        </w:tc>
        <w:tc>
          <w:tcPr>
            <w:tcW w:w="1560" w:type="dxa"/>
          </w:tcPr>
          <w:p w:rsidR="001222EA" w:rsidRPr="001416ED" w:rsidRDefault="001222EA" w:rsidP="008B7446">
            <w:pPr>
              <w:spacing w:line="360" w:lineRule="auto"/>
              <w:jc w:val="center"/>
              <w:rPr>
                <w:rFonts w:eastAsiaTheme="minorHAnsi"/>
                <w:b/>
                <w:kern w:val="11"/>
                <w:lang w:val="uk-UA" w:eastAsia="en-US"/>
              </w:rPr>
            </w:pPr>
            <w:r w:rsidRPr="001416ED">
              <w:rPr>
                <w:rFonts w:eastAsiaTheme="minorHAnsi"/>
                <w:b/>
                <w:kern w:val="11"/>
                <w:lang w:val="uk-UA" w:eastAsia="en-US"/>
              </w:rPr>
              <w:t>р</w:t>
            </w:r>
          </w:p>
        </w:tc>
      </w:tr>
      <w:tr w:rsidR="001222EA" w:rsidRPr="001416ED" w:rsidTr="00AD0D1C">
        <w:tc>
          <w:tcPr>
            <w:tcW w:w="1701" w:type="dxa"/>
            <w:vMerge/>
          </w:tcPr>
          <w:p w:rsidR="001222EA" w:rsidRPr="001416ED" w:rsidRDefault="001222EA" w:rsidP="00AE59E0">
            <w:pPr>
              <w:spacing w:line="360" w:lineRule="auto"/>
              <w:ind w:right="140" w:firstLine="708"/>
              <w:jc w:val="center"/>
              <w:rPr>
                <w:b/>
                <w:lang w:val="uk-UA"/>
              </w:rPr>
            </w:pPr>
          </w:p>
        </w:tc>
        <w:tc>
          <w:tcPr>
            <w:tcW w:w="1701" w:type="dxa"/>
          </w:tcPr>
          <w:p w:rsidR="001222EA" w:rsidRPr="001416ED" w:rsidRDefault="001222EA" w:rsidP="00A24CC3">
            <w:pPr>
              <w:spacing w:line="360" w:lineRule="auto"/>
              <w:jc w:val="center"/>
              <w:rPr>
                <w:rFonts w:eastAsiaTheme="minorHAnsi"/>
                <w:b/>
                <w:kern w:val="11"/>
                <w:lang w:val="uk-UA" w:eastAsia="en-US"/>
              </w:rPr>
            </w:pPr>
            <w:r w:rsidRPr="001416ED">
              <w:rPr>
                <w:rFonts w:eastAsiaTheme="minorHAnsi"/>
                <w:b/>
                <w:kern w:val="11"/>
                <w:lang w:val="uk-UA" w:eastAsia="en-US"/>
              </w:rPr>
              <w:t xml:space="preserve">1. </w:t>
            </w:r>
            <w:r w:rsidR="00A24CC3" w:rsidRPr="001416ED">
              <w:rPr>
                <w:rFonts w:eastAsiaTheme="minorHAnsi"/>
                <w:b/>
                <w:kern w:val="11"/>
                <w:lang w:val="uk-UA" w:eastAsia="en-US"/>
              </w:rPr>
              <w:t>Г</w:t>
            </w:r>
            <w:r w:rsidRPr="001416ED">
              <w:rPr>
                <w:rFonts w:eastAsiaTheme="minorHAnsi"/>
                <w:b/>
                <w:kern w:val="11"/>
                <w:lang w:val="uk-UA" w:eastAsia="en-US"/>
              </w:rPr>
              <w:t xml:space="preserve">енотип </w:t>
            </w:r>
            <w:r w:rsidRPr="001416ED">
              <w:rPr>
                <w:rFonts w:eastAsiaTheme="minorHAnsi"/>
                <w:b/>
                <w:kern w:val="11"/>
                <w:lang w:val="en-US" w:eastAsia="en-US"/>
              </w:rPr>
              <w:t>Lys</w:t>
            </w:r>
            <w:r w:rsidRPr="001416ED">
              <w:rPr>
                <w:rFonts w:eastAsiaTheme="minorHAnsi"/>
                <w:b/>
                <w:kern w:val="11"/>
                <w:lang w:val="uk-UA" w:eastAsia="en-US"/>
              </w:rPr>
              <w:t>/</w:t>
            </w:r>
            <w:r w:rsidRPr="001416ED">
              <w:rPr>
                <w:rFonts w:eastAsiaTheme="minorHAnsi"/>
                <w:b/>
                <w:kern w:val="11"/>
                <w:lang w:val="en-US" w:eastAsia="en-US"/>
              </w:rPr>
              <w:t>Lys</w:t>
            </w:r>
          </w:p>
        </w:tc>
        <w:tc>
          <w:tcPr>
            <w:tcW w:w="1701" w:type="dxa"/>
          </w:tcPr>
          <w:p w:rsidR="001222EA" w:rsidRPr="001416ED" w:rsidRDefault="001222EA" w:rsidP="00AE59E0">
            <w:pPr>
              <w:spacing w:line="360" w:lineRule="auto"/>
              <w:jc w:val="center"/>
              <w:rPr>
                <w:rFonts w:eastAsiaTheme="minorHAnsi"/>
                <w:b/>
                <w:kern w:val="11"/>
                <w:lang w:val="uk-UA" w:eastAsia="en-US"/>
              </w:rPr>
            </w:pPr>
            <w:r w:rsidRPr="001416ED">
              <w:rPr>
                <w:rFonts w:eastAsiaTheme="minorHAnsi"/>
                <w:b/>
                <w:kern w:val="11"/>
                <w:lang w:val="uk-UA" w:eastAsia="en-US"/>
              </w:rPr>
              <w:t>2.</w:t>
            </w:r>
            <w:r w:rsidR="00710ADC">
              <w:rPr>
                <w:rFonts w:eastAsiaTheme="minorHAnsi"/>
                <w:b/>
                <w:kern w:val="11"/>
                <w:lang w:val="uk-UA" w:eastAsia="en-US"/>
              </w:rPr>
              <w:t xml:space="preserve"> </w:t>
            </w:r>
            <w:r w:rsidRPr="001416ED">
              <w:rPr>
                <w:rFonts w:eastAsiaTheme="minorHAnsi"/>
                <w:b/>
                <w:kern w:val="11"/>
                <w:lang w:val="uk-UA" w:eastAsia="en-US"/>
              </w:rPr>
              <w:t xml:space="preserve">Носії алелі </w:t>
            </w:r>
            <w:r w:rsidRPr="001416ED">
              <w:rPr>
                <w:rFonts w:eastAsiaTheme="minorHAnsi"/>
                <w:b/>
                <w:kern w:val="11"/>
                <w:lang w:val="en-US" w:eastAsia="en-US"/>
              </w:rPr>
              <w:t>Asn</w:t>
            </w:r>
          </w:p>
        </w:tc>
        <w:tc>
          <w:tcPr>
            <w:tcW w:w="1559" w:type="dxa"/>
          </w:tcPr>
          <w:p w:rsidR="001222EA" w:rsidRPr="001416ED" w:rsidRDefault="001222EA" w:rsidP="00A24CC3">
            <w:pPr>
              <w:spacing w:line="360" w:lineRule="auto"/>
              <w:jc w:val="center"/>
              <w:rPr>
                <w:rFonts w:eastAsiaTheme="minorHAnsi"/>
                <w:b/>
                <w:kern w:val="11"/>
                <w:lang w:val="uk-UA" w:eastAsia="en-US"/>
              </w:rPr>
            </w:pPr>
            <w:r w:rsidRPr="001416ED">
              <w:rPr>
                <w:rFonts w:eastAsiaTheme="minorHAnsi"/>
                <w:b/>
                <w:kern w:val="11"/>
                <w:lang w:val="uk-UA" w:eastAsia="en-US"/>
              </w:rPr>
              <w:t>3.</w:t>
            </w:r>
            <w:r w:rsidR="00A24CC3" w:rsidRPr="001416ED">
              <w:rPr>
                <w:rFonts w:eastAsiaTheme="minorHAnsi"/>
                <w:b/>
                <w:kern w:val="11"/>
                <w:lang w:val="uk-UA" w:eastAsia="en-US"/>
              </w:rPr>
              <w:t xml:space="preserve"> Генотип</w:t>
            </w:r>
            <w:r w:rsidRPr="001416ED">
              <w:rPr>
                <w:rFonts w:eastAsiaTheme="minorHAnsi"/>
                <w:b/>
                <w:kern w:val="11"/>
                <w:lang w:val="uk-UA" w:eastAsia="en-US"/>
              </w:rPr>
              <w:t xml:space="preserve"> </w:t>
            </w:r>
            <w:r w:rsidRPr="001416ED">
              <w:rPr>
                <w:rFonts w:eastAsiaTheme="minorHAnsi"/>
                <w:b/>
                <w:kern w:val="11"/>
                <w:lang w:val="en-US" w:eastAsia="en-US"/>
              </w:rPr>
              <w:t>Lys</w:t>
            </w:r>
            <w:r w:rsidRPr="001416ED">
              <w:rPr>
                <w:rFonts w:eastAsiaTheme="minorHAnsi"/>
                <w:b/>
                <w:kern w:val="11"/>
                <w:lang w:val="uk-UA" w:eastAsia="en-US"/>
              </w:rPr>
              <w:t>/</w:t>
            </w:r>
            <w:r w:rsidRPr="001416ED">
              <w:rPr>
                <w:rFonts w:eastAsiaTheme="minorHAnsi"/>
                <w:b/>
                <w:kern w:val="11"/>
                <w:lang w:val="en-US" w:eastAsia="en-US"/>
              </w:rPr>
              <w:t>Lys</w:t>
            </w:r>
          </w:p>
        </w:tc>
        <w:tc>
          <w:tcPr>
            <w:tcW w:w="1701" w:type="dxa"/>
          </w:tcPr>
          <w:p w:rsidR="001222EA" w:rsidRPr="001416ED" w:rsidRDefault="001222EA" w:rsidP="00797D00">
            <w:pPr>
              <w:spacing w:line="360" w:lineRule="auto"/>
              <w:jc w:val="center"/>
              <w:rPr>
                <w:rFonts w:eastAsiaTheme="minorHAnsi"/>
                <w:b/>
                <w:kern w:val="11"/>
                <w:lang w:val="en-US" w:eastAsia="en-US"/>
              </w:rPr>
            </w:pPr>
            <w:r w:rsidRPr="001416ED">
              <w:rPr>
                <w:rFonts w:eastAsiaTheme="minorHAnsi"/>
                <w:b/>
                <w:kern w:val="11"/>
                <w:lang w:val="uk-UA" w:eastAsia="en-US"/>
              </w:rPr>
              <w:t>4.</w:t>
            </w:r>
            <w:r w:rsidR="00710ADC">
              <w:rPr>
                <w:rFonts w:eastAsiaTheme="minorHAnsi"/>
                <w:b/>
                <w:kern w:val="11"/>
                <w:lang w:val="uk-UA" w:eastAsia="en-US"/>
              </w:rPr>
              <w:t xml:space="preserve"> </w:t>
            </w:r>
            <w:r w:rsidRPr="001416ED">
              <w:rPr>
                <w:rFonts w:eastAsiaTheme="minorHAnsi"/>
                <w:b/>
                <w:kern w:val="11"/>
                <w:lang w:val="uk-UA" w:eastAsia="en-US"/>
              </w:rPr>
              <w:t xml:space="preserve">Носії алелі </w:t>
            </w:r>
            <w:r w:rsidR="00A24CC3" w:rsidRPr="001416ED">
              <w:rPr>
                <w:rFonts w:eastAsiaTheme="minorHAnsi"/>
                <w:b/>
                <w:kern w:val="11"/>
                <w:lang w:val="en-US" w:eastAsia="en-US"/>
              </w:rPr>
              <w:t>Asn</w:t>
            </w:r>
          </w:p>
        </w:tc>
        <w:tc>
          <w:tcPr>
            <w:tcW w:w="1560" w:type="dxa"/>
          </w:tcPr>
          <w:p w:rsidR="001222EA" w:rsidRPr="001416ED" w:rsidRDefault="001222EA" w:rsidP="00AE59E0">
            <w:pPr>
              <w:spacing w:line="360" w:lineRule="auto"/>
              <w:jc w:val="center"/>
              <w:rPr>
                <w:rFonts w:eastAsiaTheme="minorHAnsi"/>
                <w:b/>
                <w:kern w:val="11"/>
                <w:lang w:val="uk-UA" w:eastAsia="en-US"/>
              </w:rPr>
            </w:pPr>
          </w:p>
        </w:tc>
      </w:tr>
      <w:tr w:rsidR="001222EA" w:rsidRPr="001416ED" w:rsidTr="00AD0D1C">
        <w:tc>
          <w:tcPr>
            <w:tcW w:w="1701" w:type="dxa"/>
          </w:tcPr>
          <w:p w:rsidR="001222EA" w:rsidRPr="001416ED" w:rsidRDefault="00D62C87" w:rsidP="00403FB9">
            <w:pPr>
              <w:spacing w:line="360" w:lineRule="auto"/>
              <w:ind w:right="140"/>
              <w:rPr>
                <w:lang w:val="uk-UA"/>
              </w:rPr>
            </w:pPr>
            <w:r w:rsidRPr="001416ED">
              <w:rPr>
                <w:lang w:val="uk-UA"/>
              </w:rPr>
              <w:t>Чоловіки</w:t>
            </w:r>
            <w:r w:rsidR="001222EA" w:rsidRPr="001416ED">
              <w:rPr>
                <w:lang w:val="uk-UA"/>
              </w:rPr>
              <w:t xml:space="preserve"> </w:t>
            </w:r>
            <w:r w:rsidR="00D058DE" w:rsidRPr="001416ED">
              <w:rPr>
                <w:lang w:val="uk-UA"/>
              </w:rPr>
              <w:t xml:space="preserve">з </w:t>
            </w:r>
            <w:r w:rsidR="00376DD5" w:rsidRPr="001416ED">
              <w:rPr>
                <w:lang w:val="uk-UA"/>
              </w:rPr>
              <w:t xml:space="preserve">ГХ ІІІ ст. </w:t>
            </w:r>
            <w:r w:rsidR="001222EA" w:rsidRPr="001416ED">
              <w:rPr>
                <w:lang w:val="uk-UA"/>
              </w:rPr>
              <w:t xml:space="preserve"> ФВ</w:t>
            </w:r>
            <w:r w:rsidR="00A31024" w:rsidRPr="001416ED">
              <w:rPr>
                <w:lang w:val="uk-UA"/>
              </w:rPr>
              <w:t xml:space="preserve"> </w:t>
            </w:r>
            <w:r w:rsidR="001222EA" w:rsidRPr="001416ED">
              <w:rPr>
                <w:lang w:val="uk-UA"/>
              </w:rPr>
              <w:t>&gt;</w:t>
            </w:r>
            <w:r w:rsidR="00A31024" w:rsidRPr="001416ED">
              <w:rPr>
                <w:lang w:val="uk-UA"/>
              </w:rPr>
              <w:t xml:space="preserve"> </w:t>
            </w:r>
            <w:r w:rsidR="001222EA" w:rsidRPr="001416ED">
              <w:rPr>
                <w:lang w:val="uk-UA"/>
              </w:rPr>
              <w:t>45</w:t>
            </w:r>
            <w:r w:rsidR="00D4219F" w:rsidRPr="001416ED">
              <w:rPr>
                <w:lang w:val="uk-UA"/>
              </w:rPr>
              <w:t xml:space="preserve"> %</w:t>
            </w:r>
            <w:r w:rsidR="001222EA" w:rsidRPr="001416ED">
              <w:rPr>
                <w:lang w:val="uk-UA"/>
              </w:rPr>
              <w:t xml:space="preserve"> </w:t>
            </w:r>
            <w:r w:rsidR="001222EA" w:rsidRPr="001416ED">
              <w:t>(</w:t>
            </w:r>
            <w:r w:rsidR="001222EA" w:rsidRPr="001416ED">
              <w:rPr>
                <w:lang w:val="en-US"/>
              </w:rPr>
              <w:t>n</w:t>
            </w:r>
            <w:r w:rsidR="001222EA" w:rsidRPr="001416ED">
              <w:t>=</w:t>
            </w:r>
            <w:r w:rsidR="00403FB9" w:rsidRPr="001416ED">
              <w:rPr>
                <w:lang w:val="uk-UA"/>
              </w:rPr>
              <w:t>20</w:t>
            </w:r>
            <w:r w:rsidR="001222EA" w:rsidRPr="001416ED">
              <w:t>)</w:t>
            </w:r>
          </w:p>
        </w:tc>
        <w:tc>
          <w:tcPr>
            <w:tcW w:w="1701" w:type="dxa"/>
          </w:tcPr>
          <w:p w:rsidR="00403FB9" w:rsidRPr="001416ED" w:rsidRDefault="001222EA" w:rsidP="00295AEF">
            <w:pPr>
              <w:tabs>
                <w:tab w:val="left" w:pos="1766"/>
              </w:tabs>
              <w:spacing w:line="360" w:lineRule="auto"/>
              <w:ind w:right="140"/>
              <w:jc w:val="center"/>
              <w:rPr>
                <w:lang w:val="uk-UA"/>
              </w:rPr>
            </w:pPr>
            <w:r w:rsidRPr="001416ED">
              <w:rPr>
                <w:lang w:val="uk-UA"/>
              </w:rPr>
              <w:t>4,93</w:t>
            </w:r>
            <w:r w:rsidR="007A07A9" w:rsidRPr="001416ED">
              <w:rPr>
                <w:lang w:val="uk-UA"/>
              </w:rPr>
              <w:t xml:space="preserve"> ± </w:t>
            </w:r>
            <w:r w:rsidRPr="001416ED">
              <w:rPr>
                <w:lang w:val="uk-UA"/>
              </w:rPr>
              <w:t>0,17</w:t>
            </w:r>
          </w:p>
          <w:p w:rsidR="001222EA" w:rsidRPr="001416ED" w:rsidRDefault="00403FB9" w:rsidP="00403FB9">
            <w:pPr>
              <w:tabs>
                <w:tab w:val="left" w:pos="1766"/>
              </w:tabs>
              <w:spacing w:line="360" w:lineRule="auto"/>
              <w:ind w:right="140"/>
              <w:jc w:val="center"/>
              <w:rPr>
                <w:lang w:val="uk-UA"/>
              </w:rPr>
            </w:pPr>
            <w:r w:rsidRPr="001416ED">
              <w:t>(</w:t>
            </w:r>
            <w:r w:rsidRPr="001416ED">
              <w:rPr>
                <w:lang w:val="en-US"/>
              </w:rPr>
              <w:t>n</w:t>
            </w:r>
            <w:r w:rsidRPr="001416ED">
              <w:t>=</w:t>
            </w:r>
            <w:r w:rsidRPr="001416ED">
              <w:rPr>
                <w:lang w:val="uk-UA"/>
              </w:rPr>
              <w:t>11</w:t>
            </w:r>
            <w:r w:rsidRPr="001416ED">
              <w:t xml:space="preserve">) </w:t>
            </w:r>
          </w:p>
        </w:tc>
        <w:tc>
          <w:tcPr>
            <w:tcW w:w="1701" w:type="dxa"/>
          </w:tcPr>
          <w:p w:rsidR="00403FB9" w:rsidRPr="001416ED" w:rsidRDefault="001222EA" w:rsidP="00295AEF">
            <w:pPr>
              <w:tabs>
                <w:tab w:val="left" w:pos="1766"/>
              </w:tabs>
              <w:spacing w:line="360" w:lineRule="auto"/>
              <w:ind w:right="140"/>
              <w:jc w:val="center"/>
              <w:rPr>
                <w:lang w:val="uk-UA"/>
              </w:rPr>
            </w:pPr>
            <w:r w:rsidRPr="001416ED">
              <w:rPr>
                <w:lang w:val="uk-UA"/>
              </w:rPr>
              <w:t>5,73</w:t>
            </w:r>
            <w:r w:rsidR="007A07A9" w:rsidRPr="001416ED">
              <w:rPr>
                <w:lang w:val="uk-UA"/>
              </w:rPr>
              <w:t xml:space="preserve"> ± </w:t>
            </w:r>
            <w:r w:rsidRPr="001416ED">
              <w:rPr>
                <w:lang w:val="uk-UA"/>
              </w:rPr>
              <w:t>0,26</w:t>
            </w:r>
          </w:p>
          <w:p w:rsidR="001222EA" w:rsidRPr="001416ED" w:rsidRDefault="00403FB9" w:rsidP="00295AEF">
            <w:pPr>
              <w:tabs>
                <w:tab w:val="left" w:pos="1766"/>
              </w:tabs>
              <w:spacing w:line="360" w:lineRule="auto"/>
              <w:ind w:right="140"/>
              <w:jc w:val="center"/>
              <w:rPr>
                <w:lang w:val="uk-UA"/>
              </w:rPr>
            </w:pPr>
            <w:r w:rsidRPr="001416ED">
              <w:t>(</w:t>
            </w:r>
            <w:r w:rsidRPr="001416ED">
              <w:rPr>
                <w:lang w:val="en-US"/>
              </w:rPr>
              <w:t>n</w:t>
            </w:r>
            <w:r w:rsidRPr="001416ED">
              <w:t>=</w:t>
            </w:r>
            <w:r w:rsidRPr="001416ED">
              <w:rPr>
                <w:lang w:val="uk-UA"/>
              </w:rPr>
              <w:t>9</w:t>
            </w:r>
            <w:r w:rsidRPr="001416ED">
              <w:t>)</w:t>
            </w:r>
          </w:p>
        </w:tc>
        <w:tc>
          <w:tcPr>
            <w:tcW w:w="1559" w:type="dxa"/>
          </w:tcPr>
          <w:p w:rsidR="001222EA" w:rsidRPr="001416ED" w:rsidRDefault="001222EA" w:rsidP="00403FB9">
            <w:pPr>
              <w:tabs>
                <w:tab w:val="left" w:pos="1766"/>
              </w:tabs>
              <w:spacing w:line="360" w:lineRule="auto"/>
              <w:ind w:right="140"/>
              <w:jc w:val="center"/>
              <w:rPr>
                <w:lang w:val="uk-UA"/>
              </w:rPr>
            </w:pPr>
            <w:r w:rsidRPr="001416ED">
              <w:rPr>
                <w:lang w:val="uk-UA"/>
              </w:rPr>
              <w:t>0,38</w:t>
            </w:r>
            <w:r w:rsidR="007A07A9" w:rsidRPr="001416ED">
              <w:rPr>
                <w:lang w:val="uk-UA"/>
              </w:rPr>
              <w:t xml:space="preserve"> ± </w:t>
            </w:r>
            <w:r w:rsidRPr="001416ED">
              <w:rPr>
                <w:lang w:val="uk-UA"/>
              </w:rPr>
              <w:t>0,01</w:t>
            </w:r>
            <w:r w:rsidR="00295AEF" w:rsidRPr="001416ED">
              <w:rPr>
                <w:lang w:val="uk-UA"/>
              </w:rPr>
              <w:t xml:space="preserve"> </w:t>
            </w:r>
            <w:r w:rsidR="00403FB9" w:rsidRPr="001416ED">
              <w:t>(</w:t>
            </w:r>
            <w:r w:rsidR="00403FB9" w:rsidRPr="001416ED">
              <w:rPr>
                <w:lang w:val="en-US"/>
              </w:rPr>
              <w:t>n</w:t>
            </w:r>
            <w:r w:rsidR="00403FB9" w:rsidRPr="001416ED">
              <w:t>=</w:t>
            </w:r>
            <w:r w:rsidR="00403FB9" w:rsidRPr="001416ED">
              <w:rPr>
                <w:lang w:val="uk-UA"/>
              </w:rPr>
              <w:t>11</w:t>
            </w:r>
            <w:r w:rsidR="00403FB9" w:rsidRPr="001416ED">
              <w:t xml:space="preserve">) </w:t>
            </w:r>
          </w:p>
        </w:tc>
        <w:tc>
          <w:tcPr>
            <w:tcW w:w="1701" w:type="dxa"/>
          </w:tcPr>
          <w:p w:rsidR="001222EA" w:rsidRPr="001416ED" w:rsidRDefault="001222EA" w:rsidP="00403FB9">
            <w:pPr>
              <w:tabs>
                <w:tab w:val="left" w:pos="1766"/>
              </w:tabs>
              <w:spacing w:line="360" w:lineRule="auto"/>
              <w:ind w:right="140"/>
              <w:jc w:val="center"/>
              <w:rPr>
                <w:lang w:val="uk-UA"/>
              </w:rPr>
            </w:pPr>
            <w:r w:rsidRPr="001416ED">
              <w:rPr>
                <w:lang w:val="uk-UA"/>
              </w:rPr>
              <w:t>0,41</w:t>
            </w:r>
            <w:r w:rsidR="007A07A9" w:rsidRPr="001416ED">
              <w:rPr>
                <w:lang w:val="uk-UA"/>
              </w:rPr>
              <w:t xml:space="preserve"> ± </w:t>
            </w:r>
            <w:r w:rsidRPr="001416ED">
              <w:rPr>
                <w:lang w:val="uk-UA"/>
              </w:rPr>
              <w:t>0,01</w:t>
            </w:r>
            <w:r w:rsidR="00403FB9" w:rsidRPr="001416ED">
              <w:rPr>
                <w:lang w:val="uk-UA"/>
              </w:rPr>
              <w:t xml:space="preserve"> </w:t>
            </w:r>
            <w:r w:rsidR="00403FB9" w:rsidRPr="001416ED">
              <w:t>(</w:t>
            </w:r>
            <w:r w:rsidR="00403FB9" w:rsidRPr="001416ED">
              <w:rPr>
                <w:lang w:val="en-US"/>
              </w:rPr>
              <w:t>n</w:t>
            </w:r>
            <w:r w:rsidR="00403FB9" w:rsidRPr="001416ED">
              <w:t>=</w:t>
            </w:r>
            <w:r w:rsidR="00403FB9" w:rsidRPr="001416ED">
              <w:rPr>
                <w:lang w:val="uk-UA"/>
              </w:rPr>
              <w:t>9</w:t>
            </w:r>
            <w:r w:rsidR="00403FB9" w:rsidRPr="001416ED">
              <w:t>)</w:t>
            </w:r>
            <w:r w:rsidR="00295AEF" w:rsidRPr="001416ED">
              <w:rPr>
                <w:lang w:val="uk-UA"/>
              </w:rPr>
              <w:t xml:space="preserve"> </w:t>
            </w:r>
          </w:p>
        </w:tc>
        <w:tc>
          <w:tcPr>
            <w:tcW w:w="1560" w:type="dxa"/>
          </w:tcPr>
          <w:p w:rsidR="001222EA" w:rsidRPr="001416ED" w:rsidRDefault="001222EA" w:rsidP="00710ADC">
            <w:pPr>
              <w:tabs>
                <w:tab w:val="left" w:pos="1766"/>
              </w:tabs>
              <w:spacing w:line="360" w:lineRule="auto"/>
              <w:ind w:right="140"/>
              <w:rPr>
                <w:lang w:val="uk-UA"/>
              </w:rPr>
            </w:pPr>
            <w:r w:rsidRPr="001416ED">
              <w:rPr>
                <w:lang w:val="uk-UA"/>
              </w:rPr>
              <w:t>р</w:t>
            </w:r>
            <w:r w:rsidRPr="001416ED">
              <w:rPr>
                <w:vertAlign w:val="subscript"/>
                <w:lang w:val="uk-UA"/>
              </w:rPr>
              <w:t>2</w:t>
            </w:r>
            <w:r w:rsidR="00BC0119" w:rsidRPr="001416ED">
              <w:rPr>
                <w:vertAlign w:val="subscript"/>
                <w:lang w:val="uk-UA"/>
              </w:rPr>
              <w:t>–</w:t>
            </w:r>
            <w:r w:rsidRPr="001416ED">
              <w:rPr>
                <w:vertAlign w:val="subscript"/>
                <w:lang w:val="uk-UA"/>
              </w:rPr>
              <w:t>1</w:t>
            </w:r>
            <w:r w:rsidR="00A31024" w:rsidRPr="001416ED">
              <w:rPr>
                <w:lang w:val="uk-UA"/>
              </w:rPr>
              <w:t>˂</w:t>
            </w:r>
            <w:r w:rsidRPr="001416ED">
              <w:rPr>
                <w:lang w:val="uk-UA"/>
              </w:rPr>
              <w:t>0,01</w:t>
            </w:r>
          </w:p>
          <w:p w:rsidR="001222EA" w:rsidRPr="001416ED" w:rsidRDefault="001222EA" w:rsidP="00710ADC">
            <w:pPr>
              <w:tabs>
                <w:tab w:val="left" w:pos="1766"/>
              </w:tabs>
              <w:spacing w:line="360" w:lineRule="auto"/>
              <w:ind w:right="140"/>
              <w:rPr>
                <w:lang w:val="uk-UA"/>
              </w:rPr>
            </w:pPr>
            <w:r w:rsidRPr="001416ED">
              <w:rPr>
                <w:lang w:val="uk-UA"/>
              </w:rPr>
              <w:t>р</w:t>
            </w:r>
            <w:r w:rsidRPr="001416ED">
              <w:rPr>
                <w:vertAlign w:val="subscript"/>
                <w:lang w:val="uk-UA"/>
              </w:rPr>
              <w:t>4</w:t>
            </w:r>
            <w:r w:rsidR="00BC0119" w:rsidRPr="001416ED">
              <w:rPr>
                <w:vertAlign w:val="subscript"/>
                <w:lang w:val="uk-UA"/>
              </w:rPr>
              <w:t>–</w:t>
            </w:r>
            <w:r w:rsidRPr="001416ED">
              <w:rPr>
                <w:vertAlign w:val="subscript"/>
                <w:lang w:val="uk-UA"/>
              </w:rPr>
              <w:t>3</w:t>
            </w:r>
            <w:r w:rsidR="00A31024" w:rsidRPr="001416ED">
              <w:rPr>
                <w:lang w:val="uk-UA"/>
              </w:rPr>
              <w:t>˂</w:t>
            </w:r>
            <w:r w:rsidRPr="001416ED">
              <w:rPr>
                <w:lang w:val="uk-UA"/>
              </w:rPr>
              <w:t>0,05</w:t>
            </w:r>
          </w:p>
          <w:p w:rsidR="004A79EF" w:rsidRPr="001416ED" w:rsidRDefault="004A79EF" w:rsidP="00AE59E0">
            <w:pPr>
              <w:tabs>
                <w:tab w:val="left" w:pos="1766"/>
              </w:tabs>
              <w:spacing w:line="360" w:lineRule="auto"/>
              <w:ind w:right="140"/>
              <w:jc w:val="center"/>
              <w:rPr>
                <w:lang w:val="uk-UA"/>
              </w:rPr>
            </w:pPr>
          </w:p>
          <w:p w:rsidR="004A79EF" w:rsidRPr="001416ED" w:rsidRDefault="004A79EF" w:rsidP="00AE59E0">
            <w:pPr>
              <w:tabs>
                <w:tab w:val="left" w:pos="1766"/>
              </w:tabs>
              <w:spacing w:line="360" w:lineRule="auto"/>
              <w:ind w:right="140"/>
              <w:jc w:val="center"/>
              <w:rPr>
                <w:lang w:val="uk-UA"/>
              </w:rPr>
            </w:pPr>
          </w:p>
        </w:tc>
      </w:tr>
      <w:tr w:rsidR="006C203C" w:rsidRPr="001416ED" w:rsidTr="00AD0D1C">
        <w:tc>
          <w:tcPr>
            <w:tcW w:w="1701" w:type="dxa"/>
          </w:tcPr>
          <w:p w:rsidR="006C203C" w:rsidRPr="001416ED" w:rsidRDefault="006C203C" w:rsidP="006C203C">
            <w:pPr>
              <w:spacing w:line="360" w:lineRule="auto"/>
              <w:ind w:right="140"/>
              <w:rPr>
                <w:lang w:val="uk-UA"/>
              </w:rPr>
            </w:pPr>
            <w:r w:rsidRPr="001416ED">
              <w:rPr>
                <w:lang w:val="uk-UA"/>
              </w:rPr>
              <w:t>Чоловіки з ГХ ІІІ ст.</w:t>
            </w:r>
          </w:p>
          <w:p w:rsidR="006C203C" w:rsidRPr="001416ED" w:rsidRDefault="006C203C" w:rsidP="006C203C">
            <w:pPr>
              <w:spacing w:line="360" w:lineRule="auto"/>
              <w:rPr>
                <w:lang w:val="uk-UA"/>
              </w:rPr>
            </w:pPr>
            <w:r w:rsidRPr="001416ED">
              <w:rPr>
                <w:lang w:val="uk-UA"/>
              </w:rPr>
              <w:t>ФВ &lt; 45 % (</w:t>
            </w:r>
            <w:r w:rsidRPr="001416ED">
              <w:rPr>
                <w:lang w:val="en-US"/>
              </w:rPr>
              <w:t>n</w:t>
            </w:r>
            <w:r w:rsidRPr="001416ED">
              <w:rPr>
                <w:lang w:val="uk-UA"/>
              </w:rPr>
              <w:t>=30)</w:t>
            </w:r>
          </w:p>
        </w:tc>
        <w:tc>
          <w:tcPr>
            <w:tcW w:w="1701" w:type="dxa"/>
          </w:tcPr>
          <w:p w:rsidR="006C203C" w:rsidRPr="001416ED" w:rsidRDefault="006C203C" w:rsidP="006C203C">
            <w:pPr>
              <w:spacing w:line="360" w:lineRule="auto"/>
              <w:ind w:right="140"/>
              <w:jc w:val="center"/>
              <w:rPr>
                <w:lang w:val="uk-UA"/>
              </w:rPr>
            </w:pPr>
            <w:r w:rsidRPr="001416ED">
              <w:rPr>
                <w:lang w:val="uk-UA"/>
              </w:rPr>
              <w:t xml:space="preserve">4,81 ± 0,17 </w:t>
            </w:r>
            <w:r w:rsidRPr="001416ED">
              <w:t>(</w:t>
            </w:r>
            <w:r w:rsidRPr="001416ED">
              <w:rPr>
                <w:lang w:val="en-US"/>
              </w:rPr>
              <w:t>n</w:t>
            </w:r>
            <w:r w:rsidRPr="001416ED">
              <w:t>=</w:t>
            </w:r>
            <w:r w:rsidRPr="001416ED">
              <w:rPr>
                <w:lang w:val="uk-UA"/>
              </w:rPr>
              <w:t>22</w:t>
            </w:r>
            <w:r w:rsidRPr="001416ED">
              <w:t>)</w:t>
            </w:r>
          </w:p>
        </w:tc>
        <w:tc>
          <w:tcPr>
            <w:tcW w:w="1701" w:type="dxa"/>
          </w:tcPr>
          <w:p w:rsidR="006C203C" w:rsidRPr="001416ED" w:rsidRDefault="006C203C" w:rsidP="006C203C">
            <w:pPr>
              <w:spacing w:line="360" w:lineRule="auto"/>
              <w:ind w:right="140"/>
              <w:jc w:val="center"/>
              <w:rPr>
                <w:lang w:val="uk-UA"/>
              </w:rPr>
            </w:pPr>
            <w:r w:rsidRPr="001416ED">
              <w:rPr>
                <w:lang w:val="uk-UA"/>
              </w:rPr>
              <w:t xml:space="preserve">6,12 ± 0,22 </w:t>
            </w:r>
            <w:r w:rsidRPr="001416ED">
              <w:t>(</w:t>
            </w:r>
            <w:r w:rsidRPr="001416ED">
              <w:rPr>
                <w:lang w:val="en-US"/>
              </w:rPr>
              <w:t>n</w:t>
            </w:r>
            <w:r w:rsidRPr="001416ED">
              <w:t>=</w:t>
            </w:r>
            <w:r w:rsidRPr="001416ED">
              <w:rPr>
                <w:lang w:val="uk-UA"/>
              </w:rPr>
              <w:t>8</w:t>
            </w:r>
            <w:r w:rsidRPr="001416ED">
              <w:t xml:space="preserve">) </w:t>
            </w:r>
          </w:p>
        </w:tc>
        <w:tc>
          <w:tcPr>
            <w:tcW w:w="1559" w:type="dxa"/>
          </w:tcPr>
          <w:p w:rsidR="006C203C" w:rsidRPr="001416ED" w:rsidRDefault="006C203C" w:rsidP="006C203C">
            <w:pPr>
              <w:spacing w:line="360" w:lineRule="auto"/>
              <w:ind w:right="140"/>
              <w:jc w:val="center"/>
              <w:rPr>
                <w:lang w:val="uk-UA"/>
              </w:rPr>
            </w:pPr>
            <w:r w:rsidRPr="001416ED">
              <w:rPr>
                <w:lang w:val="uk-UA"/>
              </w:rPr>
              <w:t xml:space="preserve">0,37 ± 0,007 </w:t>
            </w:r>
            <w:r w:rsidRPr="001416ED">
              <w:t>(</w:t>
            </w:r>
            <w:r w:rsidRPr="001416ED">
              <w:rPr>
                <w:lang w:val="en-US"/>
              </w:rPr>
              <w:t>n</w:t>
            </w:r>
            <w:r w:rsidRPr="001416ED">
              <w:t>=</w:t>
            </w:r>
            <w:r w:rsidRPr="001416ED">
              <w:rPr>
                <w:lang w:val="uk-UA"/>
              </w:rPr>
              <w:t>22</w:t>
            </w:r>
            <w:r w:rsidRPr="001416ED">
              <w:t>)</w:t>
            </w:r>
          </w:p>
        </w:tc>
        <w:tc>
          <w:tcPr>
            <w:tcW w:w="1701" w:type="dxa"/>
          </w:tcPr>
          <w:p w:rsidR="006C203C" w:rsidRPr="001416ED" w:rsidRDefault="006C203C" w:rsidP="006C203C">
            <w:pPr>
              <w:spacing w:line="360" w:lineRule="auto"/>
              <w:ind w:right="140"/>
              <w:jc w:val="center"/>
              <w:rPr>
                <w:lang w:val="uk-UA"/>
              </w:rPr>
            </w:pPr>
            <w:r w:rsidRPr="001416ED">
              <w:rPr>
                <w:lang w:val="uk-UA"/>
              </w:rPr>
              <w:t xml:space="preserve">0,43 ± 0,01 </w:t>
            </w:r>
            <w:r w:rsidRPr="001416ED">
              <w:t>(</w:t>
            </w:r>
            <w:r w:rsidRPr="001416ED">
              <w:rPr>
                <w:lang w:val="en-US"/>
              </w:rPr>
              <w:t>n</w:t>
            </w:r>
            <w:r w:rsidRPr="001416ED">
              <w:t>=</w:t>
            </w:r>
            <w:r w:rsidRPr="001416ED">
              <w:rPr>
                <w:lang w:val="uk-UA"/>
              </w:rPr>
              <w:t>8</w:t>
            </w:r>
            <w:r w:rsidRPr="001416ED">
              <w:t>)</w:t>
            </w:r>
          </w:p>
        </w:tc>
        <w:tc>
          <w:tcPr>
            <w:tcW w:w="1560" w:type="dxa"/>
          </w:tcPr>
          <w:p w:rsidR="006C203C" w:rsidRPr="001416ED" w:rsidRDefault="006C203C" w:rsidP="00710ADC">
            <w:pPr>
              <w:tabs>
                <w:tab w:val="left" w:pos="1766"/>
              </w:tabs>
              <w:spacing w:line="360" w:lineRule="auto"/>
              <w:ind w:right="140"/>
              <w:rPr>
                <w:lang w:val="uk-UA"/>
              </w:rPr>
            </w:pPr>
            <w:r w:rsidRPr="001416ED">
              <w:rPr>
                <w:lang w:val="uk-UA"/>
              </w:rPr>
              <w:t>р</w:t>
            </w:r>
            <w:r w:rsidRPr="001416ED">
              <w:rPr>
                <w:vertAlign w:val="subscript"/>
                <w:lang w:val="uk-UA"/>
              </w:rPr>
              <w:t>2–1</w:t>
            </w:r>
            <w:r w:rsidRPr="001416ED">
              <w:rPr>
                <w:lang w:val="uk-UA"/>
              </w:rPr>
              <w:t xml:space="preserve"> 0,001</w:t>
            </w:r>
          </w:p>
          <w:p w:rsidR="006C203C" w:rsidRPr="001416ED" w:rsidRDefault="006C203C" w:rsidP="006C203C">
            <w:pPr>
              <w:tabs>
                <w:tab w:val="left" w:pos="1766"/>
              </w:tabs>
              <w:spacing w:line="360" w:lineRule="auto"/>
              <w:ind w:right="140"/>
              <w:jc w:val="center"/>
              <w:rPr>
                <w:lang w:val="uk-UA"/>
              </w:rPr>
            </w:pPr>
            <w:r w:rsidRPr="001416ED">
              <w:rPr>
                <w:lang w:val="uk-UA"/>
              </w:rPr>
              <w:t>р</w:t>
            </w:r>
            <w:r w:rsidRPr="001416ED">
              <w:rPr>
                <w:vertAlign w:val="subscript"/>
                <w:lang w:val="uk-UA"/>
              </w:rPr>
              <w:t>4–3</w:t>
            </w:r>
            <w:r w:rsidRPr="001416ED">
              <w:rPr>
                <w:lang w:val="uk-UA"/>
              </w:rPr>
              <w:t>˂0,001</w:t>
            </w:r>
          </w:p>
          <w:p w:rsidR="006C203C" w:rsidRPr="001416ED" w:rsidRDefault="006C203C" w:rsidP="006C203C">
            <w:pPr>
              <w:spacing w:line="360" w:lineRule="auto"/>
              <w:ind w:right="140"/>
              <w:jc w:val="center"/>
              <w:rPr>
                <w:lang w:val="uk-UA"/>
              </w:rPr>
            </w:pPr>
          </w:p>
        </w:tc>
      </w:tr>
      <w:tr w:rsidR="006C203C" w:rsidRPr="001416ED" w:rsidTr="00716B20">
        <w:trPr>
          <w:trHeight w:val="332"/>
        </w:trPr>
        <w:tc>
          <w:tcPr>
            <w:tcW w:w="1701" w:type="dxa"/>
          </w:tcPr>
          <w:p w:rsidR="006C203C" w:rsidRPr="001416ED" w:rsidRDefault="006C203C" w:rsidP="006C203C">
            <w:pPr>
              <w:spacing w:line="360" w:lineRule="auto"/>
              <w:ind w:right="140"/>
              <w:jc w:val="both"/>
            </w:pPr>
            <w:r w:rsidRPr="001416ED">
              <w:rPr>
                <w:lang w:val="en-US"/>
              </w:rPr>
              <w:t>p</w:t>
            </w:r>
          </w:p>
        </w:tc>
        <w:tc>
          <w:tcPr>
            <w:tcW w:w="1701" w:type="dxa"/>
          </w:tcPr>
          <w:p w:rsidR="006C203C" w:rsidRPr="001416ED" w:rsidRDefault="006C203C" w:rsidP="006C203C">
            <w:pPr>
              <w:spacing w:line="360" w:lineRule="auto"/>
              <w:ind w:right="140"/>
              <w:jc w:val="center"/>
              <w:rPr>
                <w:lang w:val="uk-UA"/>
              </w:rPr>
            </w:pPr>
            <w:r w:rsidRPr="001416ED">
              <w:rPr>
                <w:lang w:val="en-US"/>
              </w:rPr>
              <w:t>p˃</w:t>
            </w:r>
            <w:r w:rsidRPr="001416ED">
              <w:rPr>
                <w:lang w:val="uk-UA"/>
              </w:rPr>
              <w:t>0,05</w:t>
            </w:r>
          </w:p>
        </w:tc>
        <w:tc>
          <w:tcPr>
            <w:tcW w:w="1701" w:type="dxa"/>
          </w:tcPr>
          <w:p w:rsidR="006C203C" w:rsidRPr="001416ED" w:rsidRDefault="006C203C" w:rsidP="006C203C">
            <w:pPr>
              <w:spacing w:line="360" w:lineRule="auto"/>
              <w:ind w:right="140"/>
              <w:jc w:val="center"/>
              <w:rPr>
                <w:lang w:val="uk-UA"/>
              </w:rPr>
            </w:pPr>
            <w:r w:rsidRPr="001416ED">
              <w:rPr>
                <w:lang w:val="en-US"/>
              </w:rPr>
              <w:t>p˃</w:t>
            </w:r>
            <w:r w:rsidRPr="001416ED">
              <w:rPr>
                <w:lang w:val="uk-UA"/>
              </w:rPr>
              <w:t>0,05</w:t>
            </w:r>
          </w:p>
        </w:tc>
        <w:tc>
          <w:tcPr>
            <w:tcW w:w="1559" w:type="dxa"/>
          </w:tcPr>
          <w:p w:rsidR="006C203C" w:rsidRPr="001416ED" w:rsidRDefault="006C203C" w:rsidP="006C203C">
            <w:pPr>
              <w:spacing w:line="360" w:lineRule="auto"/>
              <w:ind w:right="140"/>
              <w:jc w:val="center"/>
              <w:rPr>
                <w:lang w:val="uk-UA"/>
              </w:rPr>
            </w:pPr>
            <w:r w:rsidRPr="001416ED">
              <w:rPr>
                <w:lang w:val="en-US"/>
              </w:rPr>
              <w:t>p˃</w:t>
            </w:r>
            <w:r w:rsidRPr="001416ED">
              <w:rPr>
                <w:lang w:val="uk-UA"/>
              </w:rPr>
              <w:t>0,05</w:t>
            </w:r>
          </w:p>
        </w:tc>
        <w:tc>
          <w:tcPr>
            <w:tcW w:w="1701" w:type="dxa"/>
          </w:tcPr>
          <w:p w:rsidR="006C203C" w:rsidRPr="001416ED" w:rsidRDefault="006C203C" w:rsidP="006C203C">
            <w:pPr>
              <w:spacing w:line="360" w:lineRule="auto"/>
              <w:ind w:right="140"/>
              <w:jc w:val="center"/>
              <w:rPr>
                <w:lang w:val="uk-UA"/>
              </w:rPr>
            </w:pPr>
            <w:r w:rsidRPr="001416ED">
              <w:rPr>
                <w:lang w:val="en-US"/>
              </w:rPr>
              <w:t>p˃</w:t>
            </w:r>
            <w:r w:rsidRPr="001416ED">
              <w:rPr>
                <w:lang w:val="uk-UA"/>
              </w:rPr>
              <w:t>0,05</w:t>
            </w:r>
          </w:p>
        </w:tc>
        <w:tc>
          <w:tcPr>
            <w:tcW w:w="1560" w:type="dxa"/>
          </w:tcPr>
          <w:p w:rsidR="006C203C" w:rsidRPr="001416ED" w:rsidRDefault="006C203C" w:rsidP="006C203C">
            <w:pPr>
              <w:spacing w:line="360" w:lineRule="auto"/>
              <w:ind w:right="140"/>
              <w:jc w:val="both"/>
              <w:rPr>
                <w:lang w:val="uk-UA"/>
              </w:rPr>
            </w:pPr>
          </w:p>
        </w:tc>
      </w:tr>
    </w:tbl>
    <w:p w:rsidR="005D26BA" w:rsidRPr="001416ED" w:rsidRDefault="005D4DD9" w:rsidP="00AF28C5">
      <w:pPr>
        <w:spacing w:before="240" w:line="360" w:lineRule="auto"/>
        <w:ind w:firstLine="709"/>
        <w:jc w:val="both"/>
        <w:rPr>
          <w:rFonts w:eastAsiaTheme="minorHAnsi"/>
          <w:lang w:val="uk-UA" w:eastAsia="en-US"/>
        </w:rPr>
      </w:pPr>
      <w:r w:rsidRPr="001416ED">
        <w:rPr>
          <w:rFonts w:eastAsiaTheme="minorHAnsi"/>
          <w:lang w:val="uk-UA" w:eastAsia="en-US"/>
        </w:rPr>
        <w:t>Досліджено, що у чоловіків з</w:t>
      </w:r>
      <w:r w:rsidR="00797D00" w:rsidRPr="001416ED">
        <w:rPr>
          <w:rFonts w:eastAsiaTheme="minorHAnsi"/>
          <w:lang w:val="uk-UA" w:eastAsia="en-US"/>
        </w:rPr>
        <w:t xml:space="preserve"> </w:t>
      </w:r>
      <w:r w:rsidRPr="001416ED">
        <w:rPr>
          <w:rFonts w:eastAsiaTheme="minorHAnsi"/>
          <w:lang w:val="uk-UA" w:eastAsia="en-US"/>
        </w:rPr>
        <w:t>ФВ</w:t>
      </w:r>
      <w:r w:rsidR="00797D00" w:rsidRPr="001416ED">
        <w:rPr>
          <w:rFonts w:eastAsiaTheme="minorHAnsi"/>
          <w:lang w:val="uk-UA" w:eastAsia="en-US"/>
        </w:rPr>
        <w:t xml:space="preserve"> </w:t>
      </w:r>
      <w:r w:rsidRPr="001416ED">
        <w:rPr>
          <w:lang w:val="uk-UA"/>
        </w:rPr>
        <w:t xml:space="preserve">˂ 45 % та ФВ </w:t>
      </w:r>
      <w:r w:rsidRPr="001416ED">
        <w:rPr>
          <w:lang w:val="en-US"/>
        </w:rPr>
        <w:t>˃</w:t>
      </w:r>
      <w:r w:rsidRPr="001416ED">
        <w:rPr>
          <w:lang w:val="uk-UA"/>
        </w:rPr>
        <w:t xml:space="preserve"> 45 % </w:t>
      </w:r>
      <w:r w:rsidR="00797D00" w:rsidRPr="001416ED">
        <w:rPr>
          <w:rFonts w:eastAsiaTheme="minorHAnsi"/>
          <w:lang w:val="uk-UA" w:eastAsia="en-US"/>
        </w:rPr>
        <w:t>високий рівень СНП та СНП/ЕТ</w:t>
      </w:r>
      <w:r w:rsidR="00BC0119" w:rsidRPr="001416ED">
        <w:rPr>
          <w:rFonts w:eastAsiaTheme="minorHAnsi"/>
          <w:lang w:val="uk-UA" w:eastAsia="en-US"/>
        </w:rPr>
        <w:t>–</w:t>
      </w:r>
      <w:r w:rsidR="00797D00" w:rsidRPr="001416ED">
        <w:rPr>
          <w:rFonts w:eastAsiaTheme="minorHAnsi"/>
          <w:lang w:val="uk-UA" w:eastAsia="en-US"/>
        </w:rPr>
        <w:t xml:space="preserve">1 асоціюється з носійством алелі </w:t>
      </w:r>
      <w:r w:rsidR="00797D00" w:rsidRPr="001416ED">
        <w:rPr>
          <w:rFonts w:eastAsiaTheme="minorHAnsi"/>
          <w:kern w:val="11"/>
          <w:lang w:val="en-US" w:eastAsia="en-US"/>
        </w:rPr>
        <w:t>Asn</w:t>
      </w:r>
      <w:r w:rsidR="00797D00" w:rsidRPr="001416ED">
        <w:rPr>
          <w:rFonts w:eastAsiaTheme="minorHAnsi"/>
          <w:kern w:val="11"/>
          <w:lang w:val="uk-UA" w:eastAsia="en-US"/>
        </w:rPr>
        <w:t xml:space="preserve">. Однак, різниці у даних </w:t>
      </w:r>
      <w:r w:rsidR="00797D00" w:rsidRPr="001416ED">
        <w:rPr>
          <w:rFonts w:eastAsiaTheme="minorHAnsi"/>
          <w:kern w:val="11"/>
          <w:lang w:val="uk-UA" w:eastAsia="en-US"/>
        </w:rPr>
        <w:lastRenderedPageBreak/>
        <w:t xml:space="preserve">показниках між пацієнтами з різною ФВ ЛШ при носійстві генотипу </w:t>
      </w:r>
      <w:r w:rsidR="00797D00" w:rsidRPr="001416ED">
        <w:rPr>
          <w:rFonts w:eastAsiaTheme="minorHAnsi"/>
          <w:kern w:val="11"/>
          <w:lang w:val="en-US" w:eastAsia="en-US"/>
        </w:rPr>
        <w:t>Lys</w:t>
      </w:r>
      <w:r w:rsidR="00797D00" w:rsidRPr="001416ED">
        <w:rPr>
          <w:rFonts w:eastAsiaTheme="minorHAnsi"/>
          <w:kern w:val="11"/>
          <w:lang w:val="uk-UA" w:eastAsia="en-US"/>
        </w:rPr>
        <w:t>/</w:t>
      </w:r>
      <w:r w:rsidR="00797D00" w:rsidRPr="001416ED">
        <w:rPr>
          <w:rFonts w:eastAsiaTheme="minorHAnsi"/>
          <w:kern w:val="11"/>
          <w:lang w:val="en-US" w:eastAsia="en-US"/>
        </w:rPr>
        <w:t>Lys</w:t>
      </w:r>
      <w:r w:rsidR="00797D00" w:rsidRPr="001416ED">
        <w:rPr>
          <w:rFonts w:eastAsiaTheme="minorHAnsi"/>
          <w:kern w:val="11"/>
          <w:lang w:val="uk-UA" w:eastAsia="en-US"/>
        </w:rPr>
        <w:t xml:space="preserve"> та алелі </w:t>
      </w:r>
      <w:r w:rsidR="00797D00" w:rsidRPr="001416ED">
        <w:rPr>
          <w:rFonts w:eastAsiaTheme="minorHAnsi"/>
          <w:kern w:val="11"/>
          <w:lang w:val="en-US" w:eastAsia="en-US"/>
        </w:rPr>
        <w:t>Asn</w:t>
      </w:r>
      <w:r w:rsidR="00797D00" w:rsidRPr="001416ED">
        <w:rPr>
          <w:rFonts w:eastAsiaTheme="minorHAnsi"/>
          <w:kern w:val="11"/>
          <w:lang w:val="uk-UA" w:eastAsia="en-US"/>
        </w:rPr>
        <w:t xml:space="preserve"> гена ЕТ</w:t>
      </w:r>
      <w:r w:rsidR="00BC0119" w:rsidRPr="001416ED">
        <w:rPr>
          <w:rFonts w:eastAsiaTheme="minorHAnsi"/>
          <w:kern w:val="11"/>
          <w:lang w:val="uk-UA" w:eastAsia="en-US"/>
        </w:rPr>
        <w:t>–</w:t>
      </w:r>
      <w:r w:rsidR="00797D00" w:rsidRPr="001416ED">
        <w:rPr>
          <w:rFonts w:eastAsiaTheme="minorHAnsi"/>
          <w:kern w:val="11"/>
          <w:lang w:val="uk-UA" w:eastAsia="en-US"/>
        </w:rPr>
        <w:t>1 не виявлено.</w:t>
      </w:r>
    </w:p>
    <w:p w:rsidR="000F5C0D" w:rsidRPr="001416ED" w:rsidRDefault="00846078" w:rsidP="00846078">
      <w:pPr>
        <w:spacing w:line="360" w:lineRule="auto"/>
        <w:ind w:firstLine="709"/>
        <w:jc w:val="both"/>
        <w:rPr>
          <w:rFonts w:eastAsiaTheme="minorHAnsi"/>
          <w:lang w:val="uk-UA" w:eastAsia="en-US"/>
        </w:rPr>
      </w:pPr>
      <w:r w:rsidRPr="001416ED">
        <w:rPr>
          <w:rFonts w:eastAsiaTheme="minorHAnsi"/>
          <w:lang w:val="uk-UA" w:eastAsia="en-US"/>
        </w:rPr>
        <w:t>Встановивши різницю у плазмових концентраціях ЕТ</w:t>
      </w:r>
      <w:r w:rsidR="00BC0119" w:rsidRPr="001416ED">
        <w:rPr>
          <w:rFonts w:eastAsiaTheme="minorHAnsi"/>
          <w:lang w:val="uk-UA" w:eastAsia="en-US"/>
        </w:rPr>
        <w:t>–</w:t>
      </w:r>
      <w:r w:rsidRPr="001416ED">
        <w:rPr>
          <w:rFonts w:eastAsiaTheme="minorHAnsi"/>
          <w:lang w:val="uk-UA" w:eastAsia="en-US"/>
        </w:rPr>
        <w:t xml:space="preserve">1 у чоловіків з ГХ ІІ ст. та з </w:t>
      </w:r>
      <w:r w:rsidR="00EA7C60" w:rsidRPr="001416ED">
        <w:rPr>
          <w:rFonts w:eastAsiaTheme="minorHAnsi"/>
          <w:lang w:val="uk-UA" w:eastAsia="en-US"/>
        </w:rPr>
        <w:t xml:space="preserve">ГХ ІІІ ст. </w:t>
      </w:r>
      <w:r w:rsidRPr="001416ED">
        <w:rPr>
          <w:rFonts w:eastAsiaTheme="minorHAnsi"/>
          <w:lang w:val="uk-UA" w:eastAsia="en-US"/>
        </w:rPr>
        <w:t>при різних варіантах ГЛШ, було вирішено дослідити рівні СНП та коефіцієнта СНП/ЕТ</w:t>
      </w:r>
      <w:r w:rsidR="00BC0119" w:rsidRPr="001416ED">
        <w:rPr>
          <w:rFonts w:eastAsiaTheme="minorHAnsi"/>
          <w:lang w:val="uk-UA" w:eastAsia="en-US"/>
        </w:rPr>
        <w:t>–</w:t>
      </w:r>
      <w:r w:rsidR="006558AA" w:rsidRPr="001416ED">
        <w:rPr>
          <w:rFonts w:eastAsiaTheme="minorHAnsi"/>
          <w:lang w:val="uk-UA" w:eastAsia="en-US"/>
        </w:rPr>
        <w:t>1 при ЕГЛШ, КГЛШ, ВГЛШ та ПГЛШ.</w:t>
      </w:r>
    </w:p>
    <w:p w:rsidR="006C3E49" w:rsidRPr="001416ED" w:rsidRDefault="00846078" w:rsidP="00B04C45">
      <w:pPr>
        <w:spacing w:line="360" w:lineRule="auto"/>
        <w:ind w:firstLine="709"/>
        <w:jc w:val="both"/>
        <w:rPr>
          <w:rFonts w:eastAsiaTheme="minorHAnsi"/>
          <w:lang w:val="uk-UA" w:eastAsia="en-US"/>
        </w:rPr>
      </w:pPr>
      <w:r w:rsidRPr="001416ED">
        <w:rPr>
          <w:rFonts w:eastAsiaTheme="minorHAnsi"/>
          <w:lang w:val="uk-UA" w:eastAsia="en-US"/>
        </w:rPr>
        <w:t xml:space="preserve">Визначено, що у чоловіків з ГХ </w:t>
      </w:r>
      <w:r w:rsidR="006558AA" w:rsidRPr="001416ED">
        <w:rPr>
          <w:rFonts w:eastAsiaTheme="minorHAnsi"/>
          <w:lang w:val="uk-UA" w:eastAsia="en-US"/>
        </w:rPr>
        <w:t xml:space="preserve">ІІ ст. </w:t>
      </w:r>
      <w:r w:rsidRPr="001416ED">
        <w:rPr>
          <w:rFonts w:eastAsiaTheme="minorHAnsi"/>
          <w:lang w:val="uk-UA" w:eastAsia="en-US"/>
        </w:rPr>
        <w:t>рівень СНП та СНП/ЕТ</w:t>
      </w:r>
      <w:r w:rsidR="00BC0119" w:rsidRPr="001416ED">
        <w:rPr>
          <w:rFonts w:eastAsiaTheme="minorHAnsi"/>
          <w:lang w:val="uk-UA" w:eastAsia="en-US"/>
        </w:rPr>
        <w:t>–</w:t>
      </w:r>
      <w:r w:rsidRPr="001416ED">
        <w:rPr>
          <w:rFonts w:eastAsiaTheme="minorHAnsi"/>
          <w:lang w:val="uk-UA" w:eastAsia="en-US"/>
        </w:rPr>
        <w:t>1 в плазмі крові як і ЕТ</w:t>
      </w:r>
      <w:r w:rsidR="00BC0119" w:rsidRPr="001416ED">
        <w:rPr>
          <w:rFonts w:eastAsiaTheme="minorHAnsi"/>
          <w:lang w:val="uk-UA" w:eastAsia="en-US"/>
        </w:rPr>
        <w:t>–</w:t>
      </w:r>
      <w:r w:rsidRPr="001416ED">
        <w:rPr>
          <w:rFonts w:eastAsiaTheme="minorHAnsi"/>
          <w:lang w:val="uk-UA" w:eastAsia="en-US"/>
        </w:rPr>
        <w:t>1 вірогідно вищі при ЕГЛШ</w:t>
      </w:r>
      <w:r w:rsidR="006558AA" w:rsidRPr="001416ED">
        <w:rPr>
          <w:rFonts w:eastAsiaTheme="minorHAnsi"/>
          <w:lang w:val="uk-UA" w:eastAsia="en-US"/>
        </w:rPr>
        <w:t xml:space="preserve"> (5,28</w:t>
      </w:r>
      <w:r w:rsidR="007A07A9" w:rsidRPr="001416ED">
        <w:rPr>
          <w:rFonts w:eastAsiaTheme="minorHAnsi"/>
          <w:lang w:val="uk-UA" w:eastAsia="en-US"/>
        </w:rPr>
        <w:t xml:space="preserve"> ± </w:t>
      </w:r>
      <w:r w:rsidR="006558AA" w:rsidRPr="001416ED">
        <w:rPr>
          <w:rFonts w:eastAsiaTheme="minorHAnsi"/>
          <w:lang w:val="uk-UA" w:eastAsia="en-US"/>
        </w:rPr>
        <w:t>0,12</w:t>
      </w:r>
      <w:r w:rsidR="000A0963" w:rsidRPr="001416ED">
        <w:rPr>
          <w:rFonts w:eastAsiaTheme="minorHAnsi"/>
          <w:lang w:val="uk-UA" w:eastAsia="en-US"/>
        </w:rPr>
        <w:t>)</w:t>
      </w:r>
      <w:r w:rsidR="006558AA" w:rsidRPr="001416ED">
        <w:rPr>
          <w:rFonts w:eastAsiaTheme="minorHAnsi"/>
          <w:lang w:val="uk-UA" w:eastAsia="en-US"/>
        </w:rPr>
        <w:t xml:space="preserve"> пмоль/мл</w:t>
      </w:r>
      <w:r w:rsidRPr="001416ED">
        <w:rPr>
          <w:rFonts w:eastAsiaTheme="minorHAnsi"/>
          <w:lang w:val="uk-UA" w:eastAsia="en-US"/>
        </w:rPr>
        <w:t xml:space="preserve"> та</w:t>
      </w:r>
      <w:r w:rsidR="006558AA" w:rsidRPr="001416ED">
        <w:rPr>
          <w:rFonts w:eastAsiaTheme="minorHAnsi"/>
          <w:lang w:val="uk-UA" w:eastAsia="en-US"/>
        </w:rPr>
        <w:t xml:space="preserve"> </w:t>
      </w:r>
      <w:r w:rsidR="000A0963" w:rsidRPr="001416ED">
        <w:rPr>
          <w:rFonts w:eastAsiaTheme="minorHAnsi"/>
          <w:lang w:val="uk-UA" w:eastAsia="en-US"/>
        </w:rPr>
        <w:t>(</w:t>
      </w:r>
      <w:r w:rsidR="006558AA" w:rsidRPr="001416ED">
        <w:rPr>
          <w:rFonts w:eastAsiaTheme="minorHAnsi"/>
          <w:lang w:val="uk-UA" w:eastAsia="en-US"/>
        </w:rPr>
        <w:t>0,41</w:t>
      </w:r>
      <w:r w:rsidR="007A07A9" w:rsidRPr="001416ED">
        <w:rPr>
          <w:rFonts w:eastAsiaTheme="minorHAnsi"/>
          <w:lang w:val="uk-UA" w:eastAsia="en-US"/>
        </w:rPr>
        <w:t xml:space="preserve"> ± </w:t>
      </w:r>
      <w:r w:rsidR="006558AA" w:rsidRPr="001416ED">
        <w:rPr>
          <w:rFonts w:eastAsiaTheme="minorHAnsi"/>
          <w:lang w:val="uk-UA" w:eastAsia="en-US"/>
        </w:rPr>
        <w:t>0,01</w:t>
      </w:r>
      <w:r w:rsidR="000A0963" w:rsidRPr="001416ED">
        <w:rPr>
          <w:rFonts w:eastAsiaTheme="minorHAnsi"/>
          <w:lang w:val="uk-UA" w:eastAsia="en-US"/>
        </w:rPr>
        <w:t>)</w:t>
      </w:r>
      <w:r w:rsidR="006558AA" w:rsidRPr="001416ED">
        <w:rPr>
          <w:rFonts w:eastAsiaTheme="minorHAnsi"/>
          <w:lang w:val="uk-UA" w:eastAsia="en-US"/>
        </w:rPr>
        <w:t xml:space="preserve"> ум.од., відповідно) та</w:t>
      </w:r>
      <w:r w:rsidRPr="001416ED">
        <w:rPr>
          <w:rFonts w:eastAsiaTheme="minorHAnsi"/>
          <w:lang w:val="uk-UA" w:eastAsia="en-US"/>
        </w:rPr>
        <w:t xml:space="preserve"> ВГЛШ</w:t>
      </w:r>
      <w:r w:rsidR="006558AA" w:rsidRPr="001416ED">
        <w:rPr>
          <w:rFonts w:eastAsiaTheme="minorHAnsi"/>
          <w:lang w:val="uk-UA" w:eastAsia="en-US"/>
        </w:rPr>
        <w:t xml:space="preserve"> (5,52</w:t>
      </w:r>
      <w:r w:rsidR="007A07A9" w:rsidRPr="001416ED">
        <w:rPr>
          <w:rFonts w:eastAsiaTheme="minorHAnsi"/>
          <w:lang w:val="uk-UA" w:eastAsia="en-US"/>
        </w:rPr>
        <w:t xml:space="preserve"> ± </w:t>
      </w:r>
      <w:r w:rsidR="006558AA" w:rsidRPr="001416ED">
        <w:rPr>
          <w:rFonts w:eastAsiaTheme="minorHAnsi"/>
          <w:lang w:val="uk-UA" w:eastAsia="en-US"/>
        </w:rPr>
        <w:t>0,17</w:t>
      </w:r>
      <w:r w:rsidR="00403FB9" w:rsidRPr="001416ED">
        <w:rPr>
          <w:rFonts w:eastAsiaTheme="minorHAnsi"/>
          <w:lang w:val="uk-UA" w:eastAsia="en-US"/>
        </w:rPr>
        <w:t>)</w:t>
      </w:r>
      <w:r w:rsidR="006558AA" w:rsidRPr="001416ED">
        <w:rPr>
          <w:rFonts w:eastAsiaTheme="minorHAnsi"/>
          <w:lang w:val="uk-UA" w:eastAsia="en-US"/>
        </w:rPr>
        <w:t xml:space="preserve"> пмоль/мл та </w:t>
      </w:r>
      <w:r w:rsidR="000A0963" w:rsidRPr="001416ED">
        <w:rPr>
          <w:rFonts w:eastAsiaTheme="minorHAnsi"/>
          <w:lang w:val="uk-UA" w:eastAsia="en-US"/>
        </w:rPr>
        <w:t>(</w:t>
      </w:r>
      <w:r w:rsidR="006558AA" w:rsidRPr="001416ED">
        <w:rPr>
          <w:rFonts w:eastAsiaTheme="minorHAnsi"/>
          <w:lang w:val="uk-UA" w:eastAsia="en-US"/>
        </w:rPr>
        <w:t>0,42</w:t>
      </w:r>
      <w:r w:rsidR="007A07A9" w:rsidRPr="001416ED">
        <w:rPr>
          <w:rFonts w:eastAsiaTheme="minorHAnsi"/>
          <w:lang w:val="uk-UA" w:eastAsia="en-US"/>
        </w:rPr>
        <w:t xml:space="preserve"> ± </w:t>
      </w:r>
      <w:r w:rsidR="006558AA" w:rsidRPr="001416ED">
        <w:rPr>
          <w:rFonts w:eastAsiaTheme="minorHAnsi"/>
          <w:lang w:val="uk-UA" w:eastAsia="en-US"/>
        </w:rPr>
        <w:t>0,02</w:t>
      </w:r>
      <w:r w:rsidR="000A0963" w:rsidRPr="001416ED">
        <w:rPr>
          <w:rFonts w:eastAsiaTheme="minorHAnsi"/>
          <w:lang w:val="uk-UA" w:eastAsia="en-US"/>
        </w:rPr>
        <w:t>)</w:t>
      </w:r>
      <w:r w:rsidR="006558AA" w:rsidRPr="001416ED">
        <w:rPr>
          <w:rFonts w:eastAsiaTheme="minorHAnsi"/>
          <w:lang w:val="uk-UA" w:eastAsia="en-US"/>
        </w:rPr>
        <w:t xml:space="preserve"> ум.од.</w:t>
      </w:r>
      <w:r w:rsidRPr="001416ED">
        <w:rPr>
          <w:rFonts w:eastAsiaTheme="minorHAnsi"/>
          <w:lang w:val="uk-UA" w:eastAsia="en-US"/>
        </w:rPr>
        <w:t>,</w:t>
      </w:r>
      <w:r w:rsidR="006558AA" w:rsidRPr="001416ED">
        <w:rPr>
          <w:rFonts w:eastAsiaTheme="minorHAnsi"/>
          <w:lang w:val="uk-UA" w:eastAsia="en-US"/>
        </w:rPr>
        <w:t xml:space="preserve"> відповідно)</w:t>
      </w:r>
      <w:r w:rsidR="0011440D" w:rsidRPr="001416ED">
        <w:rPr>
          <w:rFonts w:eastAsiaTheme="minorHAnsi"/>
          <w:lang w:val="uk-UA" w:eastAsia="en-US"/>
        </w:rPr>
        <w:t>,</w:t>
      </w:r>
      <w:r w:rsidRPr="001416ED">
        <w:rPr>
          <w:rFonts w:eastAsiaTheme="minorHAnsi"/>
          <w:lang w:val="uk-UA" w:eastAsia="en-US"/>
        </w:rPr>
        <w:t xml:space="preserve"> ніж при КГЛШ </w:t>
      </w:r>
      <w:r w:rsidR="006558AA" w:rsidRPr="001416ED">
        <w:rPr>
          <w:rFonts w:eastAsiaTheme="minorHAnsi"/>
          <w:lang w:val="uk-UA" w:eastAsia="en-US"/>
        </w:rPr>
        <w:t>(4,60</w:t>
      </w:r>
      <w:r w:rsidR="007A07A9" w:rsidRPr="001416ED">
        <w:rPr>
          <w:rFonts w:eastAsiaTheme="minorHAnsi"/>
          <w:lang w:val="uk-UA" w:eastAsia="en-US"/>
        </w:rPr>
        <w:t xml:space="preserve"> ± </w:t>
      </w:r>
      <w:r w:rsidR="006558AA" w:rsidRPr="001416ED">
        <w:rPr>
          <w:rFonts w:eastAsiaTheme="minorHAnsi"/>
          <w:lang w:val="uk-UA" w:eastAsia="en-US"/>
        </w:rPr>
        <w:t>0,08</w:t>
      </w:r>
      <w:r w:rsidR="000A0963" w:rsidRPr="001416ED">
        <w:rPr>
          <w:rFonts w:eastAsiaTheme="minorHAnsi"/>
          <w:lang w:val="uk-UA" w:eastAsia="en-US"/>
        </w:rPr>
        <w:t>)</w:t>
      </w:r>
      <w:r w:rsidR="006558AA" w:rsidRPr="001416ED">
        <w:rPr>
          <w:rFonts w:eastAsiaTheme="minorHAnsi"/>
          <w:lang w:val="uk-UA" w:eastAsia="en-US"/>
        </w:rPr>
        <w:t xml:space="preserve"> пмоль/мл </w:t>
      </w:r>
      <w:r w:rsidRPr="001416ED">
        <w:rPr>
          <w:rFonts w:eastAsiaTheme="minorHAnsi"/>
          <w:lang w:val="uk-UA" w:eastAsia="en-US"/>
        </w:rPr>
        <w:t>та</w:t>
      </w:r>
      <w:r w:rsidR="006558AA" w:rsidRPr="001416ED">
        <w:rPr>
          <w:rFonts w:eastAsiaTheme="minorHAnsi"/>
          <w:lang w:val="uk-UA" w:eastAsia="en-US"/>
        </w:rPr>
        <w:t xml:space="preserve"> </w:t>
      </w:r>
      <w:r w:rsidR="000A0963" w:rsidRPr="001416ED">
        <w:rPr>
          <w:rFonts w:eastAsiaTheme="minorHAnsi"/>
          <w:lang w:val="uk-UA" w:eastAsia="en-US"/>
        </w:rPr>
        <w:t>(</w:t>
      </w:r>
      <w:r w:rsidR="006558AA" w:rsidRPr="001416ED">
        <w:rPr>
          <w:rFonts w:eastAsiaTheme="minorHAnsi"/>
          <w:lang w:val="uk-UA" w:eastAsia="en-US"/>
        </w:rPr>
        <w:t>0,36</w:t>
      </w:r>
      <w:r w:rsidR="007A07A9" w:rsidRPr="001416ED">
        <w:rPr>
          <w:rFonts w:eastAsiaTheme="minorHAnsi"/>
          <w:lang w:val="uk-UA" w:eastAsia="en-US"/>
        </w:rPr>
        <w:t xml:space="preserve"> ± </w:t>
      </w:r>
      <w:r w:rsidR="006558AA" w:rsidRPr="001416ED">
        <w:rPr>
          <w:rFonts w:eastAsiaTheme="minorHAnsi"/>
          <w:lang w:val="uk-UA" w:eastAsia="en-US"/>
        </w:rPr>
        <w:t>0,05</w:t>
      </w:r>
      <w:r w:rsidR="000A0963" w:rsidRPr="001416ED">
        <w:rPr>
          <w:rFonts w:eastAsiaTheme="minorHAnsi"/>
          <w:lang w:val="uk-UA" w:eastAsia="en-US"/>
        </w:rPr>
        <w:t>)</w:t>
      </w:r>
      <w:r w:rsidR="006558AA" w:rsidRPr="001416ED">
        <w:rPr>
          <w:rFonts w:eastAsiaTheme="minorHAnsi"/>
          <w:lang w:val="uk-UA" w:eastAsia="en-US"/>
        </w:rPr>
        <w:t xml:space="preserve"> ум.од., відповідно)</w:t>
      </w:r>
      <w:r w:rsidR="00646B89" w:rsidRPr="001416ED">
        <w:rPr>
          <w:rFonts w:eastAsiaTheme="minorHAnsi"/>
          <w:lang w:val="uk-UA" w:eastAsia="en-US"/>
        </w:rPr>
        <w:t xml:space="preserve"> (р</w:t>
      </w:r>
      <w:r w:rsidR="000A0963" w:rsidRPr="001416ED">
        <w:rPr>
          <w:rFonts w:eastAsiaTheme="minorHAnsi"/>
          <w:lang w:val="uk-UA" w:eastAsia="en-US"/>
        </w:rPr>
        <w:t>˂</w:t>
      </w:r>
      <w:r w:rsidR="00646B89" w:rsidRPr="001416ED">
        <w:rPr>
          <w:rFonts w:eastAsiaTheme="minorHAnsi"/>
          <w:lang w:val="uk-UA" w:eastAsia="en-US"/>
        </w:rPr>
        <w:t>0,05)</w:t>
      </w:r>
      <w:r w:rsidR="006558AA" w:rsidRPr="001416ED">
        <w:rPr>
          <w:rFonts w:eastAsiaTheme="minorHAnsi"/>
          <w:lang w:val="uk-UA" w:eastAsia="en-US"/>
        </w:rPr>
        <w:t xml:space="preserve"> та </w:t>
      </w:r>
      <w:r w:rsidRPr="001416ED">
        <w:rPr>
          <w:rFonts w:eastAsiaTheme="minorHAnsi"/>
          <w:lang w:val="uk-UA" w:eastAsia="en-US"/>
        </w:rPr>
        <w:t>ПГЛШ</w:t>
      </w:r>
      <w:r w:rsidR="006558AA" w:rsidRPr="001416ED">
        <w:rPr>
          <w:rFonts w:eastAsiaTheme="minorHAnsi"/>
          <w:lang w:val="uk-UA" w:eastAsia="en-US"/>
        </w:rPr>
        <w:t xml:space="preserve"> (4,56</w:t>
      </w:r>
      <w:r w:rsidR="007A07A9" w:rsidRPr="001416ED">
        <w:rPr>
          <w:rFonts w:eastAsiaTheme="minorHAnsi"/>
          <w:lang w:val="uk-UA" w:eastAsia="en-US"/>
        </w:rPr>
        <w:t xml:space="preserve"> ± </w:t>
      </w:r>
      <w:r w:rsidR="006558AA" w:rsidRPr="001416ED">
        <w:rPr>
          <w:rFonts w:eastAsiaTheme="minorHAnsi"/>
          <w:lang w:val="uk-UA" w:eastAsia="en-US"/>
        </w:rPr>
        <w:t>0,14 пмоль/мл та 0,37</w:t>
      </w:r>
      <w:r w:rsidR="007A07A9" w:rsidRPr="001416ED">
        <w:rPr>
          <w:rFonts w:eastAsiaTheme="minorHAnsi"/>
          <w:lang w:val="uk-UA" w:eastAsia="en-US"/>
        </w:rPr>
        <w:t xml:space="preserve"> ± </w:t>
      </w:r>
      <w:r w:rsidR="006558AA" w:rsidRPr="001416ED">
        <w:rPr>
          <w:rFonts w:eastAsiaTheme="minorHAnsi"/>
          <w:lang w:val="uk-UA" w:eastAsia="en-US"/>
        </w:rPr>
        <w:t>0,04 ум.од., відповідно)</w:t>
      </w:r>
      <w:r w:rsidR="00646B89" w:rsidRPr="001416ED">
        <w:rPr>
          <w:rFonts w:eastAsiaTheme="minorHAnsi"/>
          <w:lang w:val="uk-UA" w:eastAsia="en-US"/>
        </w:rPr>
        <w:t xml:space="preserve"> (р</w:t>
      </w:r>
      <w:r w:rsidR="000A0963" w:rsidRPr="001416ED">
        <w:rPr>
          <w:rFonts w:eastAsiaTheme="minorHAnsi"/>
          <w:lang w:val="uk-UA" w:eastAsia="en-US"/>
        </w:rPr>
        <w:t>˂</w:t>
      </w:r>
      <w:r w:rsidR="00646B89" w:rsidRPr="001416ED">
        <w:rPr>
          <w:rFonts w:eastAsiaTheme="minorHAnsi"/>
          <w:lang w:val="uk-UA" w:eastAsia="en-US"/>
        </w:rPr>
        <w:t xml:space="preserve">0,05). </w:t>
      </w:r>
      <w:r w:rsidRPr="001416ED">
        <w:rPr>
          <w:rFonts w:eastAsiaTheme="minorHAnsi"/>
          <w:lang w:val="uk-UA" w:eastAsia="en-US"/>
        </w:rPr>
        <w:t xml:space="preserve"> </w:t>
      </w:r>
      <w:r w:rsidR="002904C0" w:rsidRPr="001416ED">
        <w:rPr>
          <w:rFonts w:eastAsiaTheme="minorHAnsi"/>
          <w:lang w:val="uk-UA" w:eastAsia="en-US"/>
        </w:rPr>
        <w:t xml:space="preserve">Встановлено, що у чоловіків з </w:t>
      </w:r>
      <w:r w:rsidR="00A63A7A" w:rsidRPr="001416ED">
        <w:rPr>
          <w:rFonts w:eastAsiaTheme="minorHAnsi"/>
          <w:lang w:val="uk-UA" w:eastAsia="en-US"/>
        </w:rPr>
        <w:t>ГХ ІІІ ст</w:t>
      </w:r>
      <w:r w:rsidR="00A07F0E" w:rsidRPr="001416ED">
        <w:rPr>
          <w:rFonts w:eastAsiaTheme="minorHAnsi"/>
          <w:lang w:val="uk-UA" w:eastAsia="en-US"/>
        </w:rPr>
        <w:t>.</w:t>
      </w:r>
      <w:r w:rsidR="0011440D" w:rsidRPr="001416ED">
        <w:rPr>
          <w:rFonts w:eastAsiaTheme="minorHAnsi"/>
          <w:lang w:val="uk-UA" w:eastAsia="en-US"/>
        </w:rPr>
        <w:t xml:space="preserve"> </w:t>
      </w:r>
      <w:r w:rsidR="002904C0" w:rsidRPr="001416ED">
        <w:rPr>
          <w:rFonts w:eastAsiaTheme="minorHAnsi"/>
          <w:lang w:val="uk-UA" w:eastAsia="en-US"/>
        </w:rPr>
        <w:t xml:space="preserve">подібна ситуація </w:t>
      </w:r>
      <w:r w:rsidR="00D10B13" w:rsidRPr="001416ED">
        <w:rPr>
          <w:rFonts w:eastAsiaTheme="minorHAnsi"/>
          <w:lang w:val="uk-UA" w:eastAsia="en-US"/>
        </w:rPr>
        <w:t>–</w:t>
      </w:r>
      <w:r w:rsidR="002904C0" w:rsidRPr="001416ED">
        <w:rPr>
          <w:rFonts w:eastAsiaTheme="minorHAnsi"/>
          <w:lang w:val="uk-UA" w:eastAsia="en-US"/>
        </w:rPr>
        <w:t xml:space="preserve"> </w:t>
      </w:r>
      <w:r w:rsidR="00D10B13" w:rsidRPr="001416ED">
        <w:rPr>
          <w:rFonts w:eastAsiaTheme="minorHAnsi"/>
          <w:lang w:val="uk-UA" w:eastAsia="en-US"/>
        </w:rPr>
        <w:t>плазмова концентрація СНП та коефіцієнта СНП/ЕТ</w:t>
      </w:r>
      <w:r w:rsidR="00BC0119" w:rsidRPr="001416ED">
        <w:rPr>
          <w:rFonts w:eastAsiaTheme="minorHAnsi"/>
          <w:lang w:val="uk-UA" w:eastAsia="en-US"/>
        </w:rPr>
        <w:t>–</w:t>
      </w:r>
      <w:r w:rsidR="00D10B13" w:rsidRPr="001416ED">
        <w:rPr>
          <w:rFonts w:eastAsiaTheme="minorHAnsi"/>
          <w:lang w:val="uk-UA" w:eastAsia="en-US"/>
        </w:rPr>
        <w:t>1 вірогідно більші при ЕГЛШ (5,84</w:t>
      </w:r>
      <w:r w:rsidR="007A07A9" w:rsidRPr="001416ED">
        <w:rPr>
          <w:rFonts w:eastAsiaTheme="minorHAnsi"/>
          <w:lang w:val="uk-UA" w:eastAsia="en-US"/>
        </w:rPr>
        <w:t xml:space="preserve"> ± </w:t>
      </w:r>
      <w:r w:rsidR="00D10B13" w:rsidRPr="001416ED">
        <w:rPr>
          <w:rFonts w:eastAsiaTheme="minorHAnsi"/>
          <w:lang w:val="uk-UA" w:eastAsia="en-US"/>
        </w:rPr>
        <w:t>0,20</w:t>
      </w:r>
      <w:r w:rsidR="000A0963" w:rsidRPr="001416ED">
        <w:rPr>
          <w:rFonts w:eastAsiaTheme="minorHAnsi"/>
          <w:lang w:val="uk-UA" w:eastAsia="en-US"/>
        </w:rPr>
        <w:t>)</w:t>
      </w:r>
      <w:r w:rsidR="00D10B13" w:rsidRPr="001416ED">
        <w:rPr>
          <w:rFonts w:eastAsiaTheme="minorHAnsi"/>
          <w:lang w:val="uk-UA" w:eastAsia="en-US"/>
        </w:rPr>
        <w:t xml:space="preserve"> пмоль/мл та </w:t>
      </w:r>
      <w:r w:rsidR="000A0963" w:rsidRPr="001416ED">
        <w:rPr>
          <w:rFonts w:eastAsiaTheme="minorHAnsi"/>
          <w:lang w:val="uk-UA" w:eastAsia="en-US"/>
        </w:rPr>
        <w:t>(</w:t>
      </w:r>
      <w:r w:rsidR="00D10B13" w:rsidRPr="001416ED">
        <w:rPr>
          <w:rFonts w:eastAsiaTheme="minorHAnsi"/>
          <w:lang w:val="uk-UA" w:eastAsia="en-US"/>
        </w:rPr>
        <w:t>0,42</w:t>
      </w:r>
      <w:r w:rsidR="007A07A9" w:rsidRPr="001416ED">
        <w:rPr>
          <w:rFonts w:eastAsiaTheme="minorHAnsi"/>
          <w:lang w:val="uk-UA" w:eastAsia="en-US"/>
        </w:rPr>
        <w:t xml:space="preserve"> ± </w:t>
      </w:r>
      <w:r w:rsidR="00D10B13" w:rsidRPr="001416ED">
        <w:rPr>
          <w:rFonts w:eastAsiaTheme="minorHAnsi"/>
          <w:lang w:val="uk-UA" w:eastAsia="en-US"/>
        </w:rPr>
        <w:t>0,01</w:t>
      </w:r>
      <w:r w:rsidR="000A0963" w:rsidRPr="001416ED">
        <w:rPr>
          <w:rFonts w:eastAsiaTheme="minorHAnsi"/>
          <w:lang w:val="uk-UA" w:eastAsia="en-US"/>
        </w:rPr>
        <w:t>)</w:t>
      </w:r>
      <w:r w:rsidR="00D10B13" w:rsidRPr="001416ED">
        <w:rPr>
          <w:rFonts w:eastAsiaTheme="minorHAnsi"/>
          <w:lang w:val="uk-UA" w:eastAsia="en-US"/>
        </w:rPr>
        <w:t xml:space="preserve"> ум.од., відповідно) та ВГЛШ (6,04</w:t>
      </w:r>
      <w:r w:rsidR="007A07A9" w:rsidRPr="001416ED">
        <w:rPr>
          <w:rFonts w:eastAsiaTheme="minorHAnsi"/>
          <w:lang w:val="uk-UA" w:eastAsia="en-US"/>
        </w:rPr>
        <w:t xml:space="preserve"> ± </w:t>
      </w:r>
      <w:r w:rsidR="00D10B13" w:rsidRPr="001416ED">
        <w:rPr>
          <w:rFonts w:eastAsiaTheme="minorHAnsi"/>
          <w:lang w:val="uk-UA" w:eastAsia="en-US"/>
        </w:rPr>
        <w:t>0,73</w:t>
      </w:r>
      <w:r w:rsidR="000A0963" w:rsidRPr="001416ED">
        <w:rPr>
          <w:rFonts w:eastAsiaTheme="minorHAnsi"/>
          <w:lang w:val="uk-UA" w:eastAsia="en-US"/>
        </w:rPr>
        <w:t>)</w:t>
      </w:r>
      <w:r w:rsidR="00D10B13" w:rsidRPr="001416ED">
        <w:rPr>
          <w:rFonts w:eastAsiaTheme="minorHAnsi"/>
          <w:lang w:val="uk-UA" w:eastAsia="en-US"/>
        </w:rPr>
        <w:t xml:space="preserve"> пмоль/мл та 0,42</w:t>
      </w:r>
      <w:r w:rsidR="007A07A9" w:rsidRPr="001416ED">
        <w:rPr>
          <w:rFonts w:eastAsiaTheme="minorHAnsi"/>
          <w:lang w:val="uk-UA" w:eastAsia="en-US"/>
        </w:rPr>
        <w:t xml:space="preserve"> ± </w:t>
      </w:r>
      <w:r w:rsidR="00D10B13" w:rsidRPr="001416ED">
        <w:rPr>
          <w:rFonts w:eastAsiaTheme="minorHAnsi"/>
          <w:lang w:val="uk-UA" w:eastAsia="en-US"/>
        </w:rPr>
        <w:t>0,01 ум.од., відповідно)</w:t>
      </w:r>
      <w:r w:rsidR="00646B89" w:rsidRPr="001416ED">
        <w:rPr>
          <w:rFonts w:eastAsiaTheme="minorHAnsi"/>
          <w:lang w:val="uk-UA" w:eastAsia="en-US"/>
        </w:rPr>
        <w:t>,</w:t>
      </w:r>
      <w:r w:rsidR="00D10B13" w:rsidRPr="001416ED">
        <w:rPr>
          <w:rFonts w:eastAsiaTheme="minorHAnsi"/>
          <w:lang w:val="uk-UA" w:eastAsia="en-US"/>
        </w:rPr>
        <w:t xml:space="preserve"> ніж при КГЛШ (5,13</w:t>
      </w:r>
      <w:r w:rsidR="007A07A9" w:rsidRPr="001416ED">
        <w:rPr>
          <w:rFonts w:eastAsiaTheme="minorHAnsi"/>
          <w:lang w:val="uk-UA" w:eastAsia="en-US"/>
        </w:rPr>
        <w:t xml:space="preserve"> ± </w:t>
      </w:r>
      <w:r w:rsidR="00D10B13" w:rsidRPr="001416ED">
        <w:rPr>
          <w:rFonts w:eastAsiaTheme="minorHAnsi"/>
          <w:lang w:val="uk-UA" w:eastAsia="en-US"/>
        </w:rPr>
        <w:t>0,35</w:t>
      </w:r>
      <w:r w:rsidR="000A0963" w:rsidRPr="001416ED">
        <w:rPr>
          <w:rFonts w:eastAsiaTheme="minorHAnsi"/>
          <w:lang w:val="uk-UA" w:eastAsia="en-US"/>
        </w:rPr>
        <w:t>)</w:t>
      </w:r>
      <w:r w:rsidR="00D10B13" w:rsidRPr="001416ED">
        <w:rPr>
          <w:rFonts w:eastAsiaTheme="minorHAnsi"/>
          <w:lang w:val="uk-UA" w:eastAsia="en-US"/>
        </w:rPr>
        <w:t xml:space="preserve"> пмоль/мл та </w:t>
      </w:r>
      <w:r w:rsidR="000A0963" w:rsidRPr="001416ED">
        <w:rPr>
          <w:rFonts w:eastAsiaTheme="minorHAnsi"/>
          <w:lang w:val="uk-UA" w:eastAsia="en-US"/>
        </w:rPr>
        <w:t>(</w:t>
      </w:r>
      <w:r w:rsidR="00D10B13" w:rsidRPr="001416ED">
        <w:rPr>
          <w:rFonts w:eastAsiaTheme="minorHAnsi"/>
          <w:lang w:val="uk-UA" w:eastAsia="en-US"/>
        </w:rPr>
        <w:t>0,37</w:t>
      </w:r>
      <w:r w:rsidR="007A07A9" w:rsidRPr="001416ED">
        <w:rPr>
          <w:rFonts w:eastAsiaTheme="minorHAnsi"/>
          <w:lang w:val="uk-UA" w:eastAsia="en-US"/>
        </w:rPr>
        <w:t xml:space="preserve"> ± </w:t>
      </w:r>
      <w:r w:rsidR="00D10B13" w:rsidRPr="001416ED">
        <w:rPr>
          <w:rFonts w:eastAsiaTheme="minorHAnsi"/>
          <w:lang w:val="uk-UA" w:eastAsia="en-US"/>
        </w:rPr>
        <w:t>0,01</w:t>
      </w:r>
      <w:r w:rsidR="000A0963" w:rsidRPr="001416ED">
        <w:rPr>
          <w:rFonts w:eastAsiaTheme="minorHAnsi"/>
          <w:lang w:val="uk-UA" w:eastAsia="en-US"/>
        </w:rPr>
        <w:t>)</w:t>
      </w:r>
      <w:r w:rsidR="00D10B13" w:rsidRPr="001416ED">
        <w:rPr>
          <w:rFonts w:eastAsiaTheme="minorHAnsi"/>
          <w:lang w:val="uk-UA" w:eastAsia="en-US"/>
        </w:rPr>
        <w:t xml:space="preserve"> ум.од., відповідно)</w:t>
      </w:r>
      <w:r w:rsidR="00646B89" w:rsidRPr="001416ED">
        <w:rPr>
          <w:rFonts w:eastAsiaTheme="minorHAnsi"/>
          <w:lang w:val="uk-UA" w:eastAsia="en-US"/>
        </w:rPr>
        <w:t xml:space="preserve"> (р</w:t>
      </w:r>
      <w:r w:rsidR="000A0963" w:rsidRPr="001416ED">
        <w:rPr>
          <w:rFonts w:eastAsiaTheme="minorHAnsi"/>
          <w:lang w:val="uk-UA" w:eastAsia="en-US"/>
        </w:rPr>
        <w:t>˂</w:t>
      </w:r>
      <w:r w:rsidR="00646B89" w:rsidRPr="001416ED">
        <w:rPr>
          <w:rFonts w:eastAsiaTheme="minorHAnsi"/>
          <w:lang w:val="uk-UA" w:eastAsia="en-US"/>
        </w:rPr>
        <w:t xml:space="preserve">0,05) </w:t>
      </w:r>
      <w:r w:rsidR="00D10B13" w:rsidRPr="001416ED">
        <w:rPr>
          <w:rFonts w:eastAsiaTheme="minorHAnsi"/>
          <w:lang w:val="uk-UA" w:eastAsia="en-US"/>
        </w:rPr>
        <w:t xml:space="preserve">та ПГЛШ </w:t>
      </w:r>
      <w:r w:rsidR="00B04C45" w:rsidRPr="001416ED">
        <w:rPr>
          <w:rFonts w:eastAsiaTheme="minorHAnsi"/>
          <w:lang w:val="uk-UA" w:eastAsia="en-US"/>
        </w:rPr>
        <w:t>(5,09</w:t>
      </w:r>
      <w:r w:rsidR="007A07A9" w:rsidRPr="001416ED">
        <w:rPr>
          <w:rFonts w:eastAsiaTheme="minorHAnsi"/>
          <w:lang w:val="uk-UA" w:eastAsia="en-US"/>
        </w:rPr>
        <w:t xml:space="preserve"> ± </w:t>
      </w:r>
      <w:r w:rsidR="00B04C45" w:rsidRPr="001416ED">
        <w:rPr>
          <w:rFonts w:eastAsiaTheme="minorHAnsi"/>
          <w:lang w:val="uk-UA" w:eastAsia="en-US"/>
        </w:rPr>
        <w:t>0,42</w:t>
      </w:r>
      <w:r w:rsidR="000A0963" w:rsidRPr="001416ED">
        <w:rPr>
          <w:rFonts w:eastAsiaTheme="minorHAnsi"/>
          <w:lang w:val="uk-UA" w:eastAsia="en-US"/>
        </w:rPr>
        <w:t>)</w:t>
      </w:r>
      <w:r w:rsidR="00B04C45" w:rsidRPr="001416ED">
        <w:rPr>
          <w:rFonts w:eastAsiaTheme="minorHAnsi"/>
          <w:lang w:val="uk-UA" w:eastAsia="en-US"/>
        </w:rPr>
        <w:t xml:space="preserve"> пмоль/мл та </w:t>
      </w:r>
      <w:r w:rsidR="000A0963" w:rsidRPr="001416ED">
        <w:rPr>
          <w:rFonts w:eastAsiaTheme="minorHAnsi"/>
          <w:lang w:val="uk-UA" w:eastAsia="en-US"/>
        </w:rPr>
        <w:t>(</w:t>
      </w:r>
      <w:r w:rsidR="00B04C45" w:rsidRPr="001416ED">
        <w:rPr>
          <w:rFonts w:eastAsiaTheme="minorHAnsi"/>
          <w:lang w:val="uk-UA" w:eastAsia="en-US"/>
        </w:rPr>
        <w:t>0,37</w:t>
      </w:r>
      <w:r w:rsidR="007A07A9" w:rsidRPr="001416ED">
        <w:rPr>
          <w:rFonts w:eastAsiaTheme="minorHAnsi"/>
          <w:lang w:val="uk-UA" w:eastAsia="en-US"/>
        </w:rPr>
        <w:t xml:space="preserve"> ± </w:t>
      </w:r>
      <w:r w:rsidR="00B04C45" w:rsidRPr="001416ED">
        <w:rPr>
          <w:rFonts w:eastAsiaTheme="minorHAnsi"/>
          <w:lang w:val="uk-UA" w:eastAsia="en-US"/>
        </w:rPr>
        <w:t>0,01</w:t>
      </w:r>
      <w:r w:rsidR="000A0963" w:rsidRPr="001416ED">
        <w:rPr>
          <w:rFonts w:eastAsiaTheme="minorHAnsi"/>
          <w:lang w:val="uk-UA" w:eastAsia="en-US"/>
        </w:rPr>
        <w:t>)</w:t>
      </w:r>
      <w:r w:rsidR="00B04C45" w:rsidRPr="001416ED">
        <w:rPr>
          <w:rFonts w:eastAsiaTheme="minorHAnsi"/>
          <w:lang w:val="uk-UA" w:eastAsia="en-US"/>
        </w:rPr>
        <w:t xml:space="preserve"> ум.од., відповідно)</w:t>
      </w:r>
      <w:r w:rsidR="00646B89" w:rsidRPr="001416ED">
        <w:rPr>
          <w:rFonts w:eastAsiaTheme="minorHAnsi"/>
          <w:lang w:val="uk-UA" w:eastAsia="en-US"/>
        </w:rPr>
        <w:t xml:space="preserve"> (р</w:t>
      </w:r>
      <w:r w:rsidR="000A0963" w:rsidRPr="001416ED">
        <w:rPr>
          <w:rFonts w:eastAsiaTheme="minorHAnsi"/>
          <w:lang w:val="uk-UA" w:eastAsia="en-US"/>
        </w:rPr>
        <w:t>˂</w:t>
      </w:r>
      <w:r w:rsidR="00646B89" w:rsidRPr="001416ED">
        <w:rPr>
          <w:rFonts w:eastAsiaTheme="minorHAnsi"/>
          <w:lang w:val="uk-UA" w:eastAsia="en-US"/>
        </w:rPr>
        <w:t>0,05)</w:t>
      </w:r>
      <w:r w:rsidR="00B04C45" w:rsidRPr="001416ED">
        <w:rPr>
          <w:rFonts w:eastAsiaTheme="minorHAnsi"/>
          <w:lang w:val="uk-UA" w:eastAsia="en-US"/>
        </w:rPr>
        <w:t xml:space="preserve">. </w:t>
      </w:r>
      <w:r w:rsidRPr="001416ED">
        <w:rPr>
          <w:rFonts w:eastAsiaTheme="minorHAnsi"/>
          <w:lang w:val="uk-UA" w:eastAsia="en-US"/>
        </w:rPr>
        <w:t xml:space="preserve">У чоловіків з </w:t>
      </w:r>
      <w:r w:rsidR="00EA7C60" w:rsidRPr="001416ED">
        <w:rPr>
          <w:rFonts w:eastAsiaTheme="minorHAnsi"/>
          <w:lang w:val="uk-UA" w:eastAsia="en-US"/>
        </w:rPr>
        <w:t xml:space="preserve">ГХ ІІІ ст.  </w:t>
      </w:r>
      <w:r w:rsidRPr="001416ED">
        <w:rPr>
          <w:rFonts w:eastAsiaTheme="minorHAnsi"/>
          <w:lang w:val="uk-UA" w:eastAsia="en-US"/>
        </w:rPr>
        <w:t>концентрація СНП вища, ніж у осіб з ГХ ІІ ст., при всіх типах ГЛШ, однак в коефіцієнті СНП/ЕТ</w:t>
      </w:r>
      <w:r w:rsidR="00BC0119" w:rsidRPr="001416ED">
        <w:rPr>
          <w:rFonts w:eastAsiaTheme="minorHAnsi"/>
          <w:lang w:val="uk-UA" w:eastAsia="en-US"/>
        </w:rPr>
        <w:t>–</w:t>
      </w:r>
      <w:r w:rsidRPr="001416ED">
        <w:rPr>
          <w:rFonts w:eastAsiaTheme="minorHAnsi"/>
          <w:lang w:val="uk-UA" w:eastAsia="en-US"/>
        </w:rPr>
        <w:t xml:space="preserve">1 такої різниці не виявлено. </w:t>
      </w:r>
      <w:r w:rsidR="007A2AE0" w:rsidRPr="001416ED">
        <w:rPr>
          <w:rFonts w:eastAsiaTheme="minorHAnsi"/>
          <w:lang w:val="uk-UA" w:eastAsia="en-US"/>
        </w:rPr>
        <w:t>П</w:t>
      </w:r>
      <w:r w:rsidRPr="001416ED">
        <w:rPr>
          <w:rFonts w:eastAsiaTheme="minorHAnsi"/>
          <w:lang w:val="uk-UA" w:eastAsia="en-US"/>
        </w:rPr>
        <w:t>оказник</w:t>
      </w:r>
      <w:r w:rsidR="007A2AE0" w:rsidRPr="001416ED">
        <w:rPr>
          <w:rFonts w:eastAsiaTheme="minorHAnsi"/>
          <w:lang w:val="uk-UA" w:eastAsia="en-US"/>
        </w:rPr>
        <w:t>и</w:t>
      </w:r>
      <w:r w:rsidRPr="001416ED">
        <w:rPr>
          <w:rFonts w:eastAsiaTheme="minorHAnsi"/>
          <w:lang w:val="uk-UA" w:eastAsia="en-US"/>
        </w:rPr>
        <w:t xml:space="preserve"> </w:t>
      </w:r>
      <w:r w:rsidR="007A2AE0" w:rsidRPr="001416ED">
        <w:rPr>
          <w:rFonts w:eastAsiaTheme="minorHAnsi"/>
          <w:lang w:val="uk-UA" w:eastAsia="en-US"/>
        </w:rPr>
        <w:t>СНП та СНП/ЕТ</w:t>
      </w:r>
      <w:r w:rsidR="00BC0119" w:rsidRPr="001416ED">
        <w:rPr>
          <w:rFonts w:eastAsiaTheme="minorHAnsi"/>
          <w:lang w:val="uk-UA" w:eastAsia="en-US"/>
        </w:rPr>
        <w:t>–</w:t>
      </w:r>
      <w:r w:rsidR="007A2AE0" w:rsidRPr="001416ED">
        <w:rPr>
          <w:rFonts w:eastAsiaTheme="minorHAnsi"/>
          <w:lang w:val="uk-UA" w:eastAsia="en-US"/>
        </w:rPr>
        <w:t>1, як і ЕТ</w:t>
      </w:r>
      <w:r w:rsidR="00BC0119" w:rsidRPr="001416ED">
        <w:rPr>
          <w:rFonts w:eastAsiaTheme="minorHAnsi"/>
          <w:lang w:val="uk-UA" w:eastAsia="en-US"/>
        </w:rPr>
        <w:t>–</w:t>
      </w:r>
      <w:r w:rsidR="007A2AE0" w:rsidRPr="001416ED">
        <w:rPr>
          <w:rFonts w:eastAsiaTheme="minorHAnsi"/>
          <w:lang w:val="uk-UA" w:eastAsia="en-US"/>
        </w:rPr>
        <w:t xml:space="preserve">1 </w:t>
      </w:r>
      <w:r w:rsidRPr="001416ED">
        <w:rPr>
          <w:rFonts w:eastAsiaTheme="minorHAnsi"/>
          <w:lang w:val="uk-UA" w:eastAsia="en-US"/>
        </w:rPr>
        <w:t xml:space="preserve">між чоловіками з різною ФВ </w:t>
      </w:r>
      <w:r w:rsidR="007A2AE0" w:rsidRPr="001416ED">
        <w:rPr>
          <w:rFonts w:eastAsiaTheme="minorHAnsi"/>
          <w:lang w:val="uk-UA" w:eastAsia="en-US"/>
        </w:rPr>
        <w:t>не відрізняються.</w:t>
      </w:r>
    </w:p>
    <w:p w:rsidR="005D26BA" w:rsidRPr="001416ED" w:rsidRDefault="005D26BA" w:rsidP="005D26BA">
      <w:pPr>
        <w:spacing w:line="360" w:lineRule="auto"/>
        <w:ind w:firstLine="709"/>
        <w:jc w:val="both"/>
        <w:rPr>
          <w:rFonts w:eastAsiaTheme="minorHAnsi"/>
          <w:lang w:val="uk-UA" w:eastAsia="en-US"/>
        </w:rPr>
      </w:pPr>
      <w:r w:rsidRPr="001416ED">
        <w:rPr>
          <w:rFonts w:eastAsiaTheme="minorHAnsi"/>
          <w:lang w:val="uk-UA" w:eastAsia="en-US"/>
        </w:rPr>
        <w:t xml:space="preserve">Результати змін рівня СНП в плазмі крові чоловіків з ГХ різної </w:t>
      </w:r>
      <w:r w:rsidR="00046A18" w:rsidRPr="001416ED">
        <w:rPr>
          <w:rFonts w:eastAsiaTheme="minorHAnsi"/>
          <w:lang w:val="uk-UA" w:eastAsia="en-US"/>
        </w:rPr>
        <w:t>стадії</w:t>
      </w:r>
      <w:r w:rsidRPr="001416ED">
        <w:rPr>
          <w:rFonts w:eastAsiaTheme="minorHAnsi"/>
          <w:lang w:val="uk-UA" w:eastAsia="en-US"/>
        </w:rPr>
        <w:t xml:space="preserve"> </w:t>
      </w:r>
      <w:r w:rsidR="00AF28C5" w:rsidRPr="001416ED">
        <w:rPr>
          <w:rFonts w:eastAsiaTheme="minorHAnsi"/>
          <w:lang w:val="uk-UA" w:eastAsia="en-US"/>
        </w:rPr>
        <w:t xml:space="preserve">при </w:t>
      </w:r>
      <w:r w:rsidR="00B33561" w:rsidRPr="001416ED">
        <w:rPr>
          <w:rFonts w:eastAsiaTheme="minorHAnsi"/>
          <w:lang w:val="uk-UA" w:eastAsia="en-US"/>
        </w:rPr>
        <w:t>ФВ &gt; 45 %</w:t>
      </w:r>
      <w:r w:rsidR="00B33561" w:rsidRPr="001416ED">
        <w:rPr>
          <w:rFonts w:eastAsiaTheme="minorHAnsi"/>
          <w:lang w:eastAsia="en-US"/>
        </w:rPr>
        <w:t xml:space="preserve"> </w:t>
      </w:r>
      <w:r w:rsidR="00B33561" w:rsidRPr="001416ED">
        <w:rPr>
          <w:rFonts w:eastAsiaTheme="minorHAnsi"/>
          <w:lang w:val="uk-UA" w:eastAsia="en-US"/>
        </w:rPr>
        <w:t>та ФВ &lt; 45 %</w:t>
      </w:r>
      <w:r w:rsidR="00B33561" w:rsidRPr="001416ED">
        <w:rPr>
          <w:rFonts w:eastAsiaTheme="minorHAnsi"/>
          <w:lang w:eastAsia="en-US"/>
        </w:rPr>
        <w:t xml:space="preserve"> </w:t>
      </w:r>
      <w:r w:rsidRPr="001416ED">
        <w:rPr>
          <w:rFonts w:eastAsiaTheme="minorHAnsi"/>
          <w:lang w:val="uk-UA" w:eastAsia="en-US"/>
        </w:rPr>
        <w:t>представлені на рис. 5.6.</w:t>
      </w:r>
    </w:p>
    <w:p w:rsidR="007A2AE0" w:rsidRPr="001416ED" w:rsidRDefault="007A2AE0" w:rsidP="006C3E49">
      <w:pPr>
        <w:spacing w:line="360" w:lineRule="auto"/>
        <w:ind w:firstLine="708"/>
        <w:jc w:val="right"/>
        <w:rPr>
          <w:b/>
          <w:lang w:val="uk-UA"/>
        </w:rPr>
      </w:pPr>
      <w:r w:rsidRPr="001416ED">
        <w:rPr>
          <w:b/>
          <w:noProof/>
          <w:lang w:val="uk-UA" w:eastAsia="uk-UA"/>
        </w:rPr>
        <w:drawing>
          <wp:inline distT="0" distB="0" distL="0" distR="0" wp14:anchorId="1A973424" wp14:editId="35B7F80F">
            <wp:extent cx="5998191" cy="1351128"/>
            <wp:effectExtent l="0" t="0" r="3175" b="19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F5306" w:rsidRPr="001416ED" w:rsidRDefault="00A07F0E" w:rsidP="00A07F0E">
      <w:pPr>
        <w:spacing w:line="360" w:lineRule="auto"/>
        <w:ind w:firstLine="708"/>
        <w:jc w:val="both"/>
        <w:rPr>
          <w:b/>
          <w:lang w:val="uk-UA"/>
        </w:rPr>
      </w:pPr>
      <w:r w:rsidRPr="001416ED">
        <w:rPr>
          <w:b/>
          <w:lang w:val="uk-UA"/>
        </w:rPr>
        <w:t>Рис. 5.6</w:t>
      </w:r>
      <w:r w:rsidR="00081EBD" w:rsidRPr="001416ED">
        <w:rPr>
          <w:b/>
          <w:lang w:val="uk-UA"/>
        </w:rPr>
        <w:t xml:space="preserve"> </w:t>
      </w:r>
      <w:r w:rsidR="008F5306" w:rsidRPr="001416ED">
        <w:rPr>
          <w:b/>
          <w:lang w:val="uk-UA"/>
        </w:rPr>
        <w:t xml:space="preserve">Плазмові концентрації СНП у хворих на ГХ із різним станом діастолічної та систолічної функцій ЛШ, </w:t>
      </w:r>
      <w:r w:rsidR="00081EBD" w:rsidRPr="001416ED">
        <w:rPr>
          <w:b/>
          <w:lang w:val="uk-UA"/>
        </w:rPr>
        <w:t>пмоль/мл</w:t>
      </w:r>
    </w:p>
    <w:p w:rsidR="007B7966" w:rsidRPr="001416ED" w:rsidRDefault="007B7966" w:rsidP="00AF28C5">
      <w:pPr>
        <w:spacing w:after="240" w:line="360" w:lineRule="auto"/>
        <w:ind w:firstLine="708"/>
        <w:jc w:val="both"/>
        <w:rPr>
          <w:lang w:val="uk-UA"/>
        </w:rPr>
      </w:pPr>
      <w:r w:rsidRPr="001416ED">
        <w:rPr>
          <w:lang w:val="uk-UA"/>
        </w:rPr>
        <w:lastRenderedPageBreak/>
        <w:t>Примітка: різниця достовірна</w:t>
      </w:r>
      <w:r w:rsidR="00192E14" w:rsidRPr="001416ED">
        <w:rPr>
          <w:lang w:val="uk-UA"/>
        </w:rPr>
        <w:t xml:space="preserve">: </w:t>
      </w:r>
      <w:r w:rsidRPr="001416ED">
        <w:rPr>
          <w:lang w:val="uk-UA"/>
        </w:rPr>
        <w:t xml:space="preserve">* </w:t>
      </w:r>
      <w:r w:rsidR="00BC0119" w:rsidRPr="001416ED">
        <w:rPr>
          <w:lang w:val="uk-UA"/>
        </w:rPr>
        <w:t>–</w:t>
      </w:r>
      <w:r w:rsidRPr="001416ED">
        <w:rPr>
          <w:lang w:val="uk-UA"/>
        </w:rPr>
        <w:t xml:space="preserve"> при порівнянні з чоловіками з ГХ ІІ ст. без ДД</w:t>
      </w:r>
      <w:r w:rsidR="00192E14" w:rsidRPr="001416ED">
        <w:rPr>
          <w:lang w:val="uk-UA"/>
        </w:rPr>
        <w:t xml:space="preserve"> (р</w:t>
      </w:r>
      <w:r w:rsidR="00A07F0E" w:rsidRPr="001416ED">
        <w:rPr>
          <w:lang w:val="uk-UA"/>
        </w:rPr>
        <w:t>˂</w:t>
      </w:r>
      <w:r w:rsidR="00192E14" w:rsidRPr="001416ED">
        <w:rPr>
          <w:lang w:val="uk-UA"/>
        </w:rPr>
        <w:t>0,05)</w:t>
      </w:r>
      <w:r w:rsidRPr="001416ED">
        <w:rPr>
          <w:lang w:val="uk-UA"/>
        </w:rPr>
        <w:t xml:space="preserve">; # </w:t>
      </w:r>
      <w:r w:rsidR="00BC0119" w:rsidRPr="001416ED">
        <w:rPr>
          <w:lang w:val="uk-UA"/>
        </w:rPr>
        <w:t>–</w:t>
      </w:r>
      <w:r w:rsidRPr="001416ED">
        <w:rPr>
          <w:lang w:val="uk-UA"/>
        </w:rPr>
        <w:t xml:space="preserve"> при порівнянні з особами з ГХ ІІ ст. </w:t>
      </w:r>
      <w:r w:rsidR="00A07F0E" w:rsidRPr="001416ED">
        <w:rPr>
          <w:lang w:val="uk-UA"/>
        </w:rPr>
        <w:t>та</w:t>
      </w:r>
      <w:r w:rsidRPr="001416ED">
        <w:rPr>
          <w:lang w:val="uk-UA"/>
        </w:rPr>
        <w:t xml:space="preserve"> ДД</w:t>
      </w:r>
      <w:r w:rsidR="00192E14" w:rsidRPr="001416ED">
        <w:rPr>
          <w:lang w:val="uk-UA"/>
        </w:rPr>
        <w:t xml:space="preserve"> (р</w:t>
      </w:r>
      <w:r w:rsidR="00A07F0E" w:rsidRPr="001416ED">
        <w:rPr>
          <w:lang w:val="uk-UA"/>
        </w:rPr>
        <w:t>˂</w:t>
      </w:r>
      <w:r w:rsidR="00192E14" w:rsidRPr="001416ED">
        <w:rPr>
          <w:lang w:val="uk-UA"/>
        </w:rPr>
        <w:t>0,05)</w:t>
      </w:r>
      <w:r w:rsidRPr="001416ED">
        <w:rPr>
          <w:lang w:val="uk-UA"/>
        </w:rPr>
        <w:t xml:space="preserve">; &amp; </w:t>
      </w:r>
      <w:r w:rsidR="00BC0119" w:rsidRPr="001416ED">
        <w:rPr>
          <w:lang w:val="uk-UA"/>
        </w:rPr>
        <w:t>–</w:t>
      </w:r>
      <w:r w:rsidRPr="001416ED">
        <w:rPr>
          <w:lang w:val="uk-UA"/>
        </w:rPr>
        <w:t xml:space="preserve"> при порівнянні з чоловіками з </w:t>
      </w:r>
      <w:r w:rsidR="00A63A7A" w:rsidRPr="001416ED">
        <w:rPr>
          <w:lang w:val="uk-UA"/>
        </w:rPr>
        <w:t>ГХ ІІІ ст</w:t>
      </w:r>
      <w:r w:rsidR="00A07F0E" w:rsidRPr="001416ED">
        <w:rPr>
          <w:lang w:val="uk-UA"/>
        </w:rPr>
        <w:t>. та ФВ &gt; 45 %</w:t>
      </w:r>
      <w:r w:rsidR="00192E14" w:rsidRPr="001416ED">
        <w:rPr>
          <w:lang w:val="uk-UA"/>
        </w:rPr>
        <w:t xml:space="preserve"> (р</w:t>
      </w:r>
      <w:r w:rsidR="000C04AA" w:rsidRPr="001416ED">
        <w:rPr>
          <w:lang w:val="uk-UA"/>
        </w:rPr>
        <w:t xml:space="preserve"> ˂ </w:t>
      </w:r>
      <w:r w:rsidR="00192E14" w:rsidRPr="001416ED">
        <w:rPr>
          <w:lang w:val="uk-UA"/>
        </w:rPr>
        <w:t>0,05)</w:t>
      </w:r>
    </w:p>
    <w:p w:rsidR="00AF28C5" w:rsidRPr="001416ED" w:rsidRDefault="00DD5489" w:rsidP="00DD5489">
      <w:pPr>
        <w:spacing w:line="360" w:lineRule="auto"/>
        <w:ind w:firstLine="708"/>
        <w:jc w:val="both"/>
        <w:rPr>
          <w:lang w:val="uk-UA"/>
        </w:rPr>
      </w:pPr>
      <w:r w:rsidRPr="001416ED">
        <w:rPr>
          <w:lang w:val="uk-UA"/>
        </w:rPr>
        <w:t xml:space="preserve">Досліджено, що у хворих з </w:t>
      </w:r>
      <w:r w:rsidR="00376DD5" w:rsidRPr="001416ED">
        <w:rPr>
          <w:lang w:val="uk-UA"/>
        </w:rPr>
        <w:t xml:space="preserve">ГХ ІІІ ст. </w:t>
      </w:r>
      <w:r w:rsidRPr="001416ED">
        <w:rPr>
          <w:lang w:val="uk-UA"/>
        </w:rPr>
        <w:t xml:space="preserve">при наявності </w:t>
      </w:r>
      <w:r w:rsidR="00B33561" w:rsidRPr="001416ED">
        <w:rPr>
          <w:lang w:val="uk-UA"/>
        </w:rPr>
        <w:t>ФВ &lt; 45 %</w:t>
      </w:r>
      <w:r w:rsidR="00B33561" w:rsidRPr="001416ED">
        <w:t xml:space="preserve"> </w:t>
      </w:r>
      <w:r w:rsidRPr="001416ED">
        <w:rPr>
          <w:lang w:val="uk-UA"/>
        </w:rPr>
        <w:t xml:space="preserve">рівень СНП в плазмі крові вищий, ніж </w:t>
      </w:r>
      <w:r w:rsidR="00DE302A" w:rsidRPr="001416ED">
        <w:rPr>
          <w:lang w:val="uk-UA"/>
        </w:rPr>
        <w:t xml:space="preserve">у чоловіків з ГХ </w:t>
      </w:r>
      <w:r w:rsidR="00EC134D" w:rsidRPr="001416ED">
        <w:rPr>
          <w:lang w:val="uk-UA"/>
        </w:rPr>
        <w:t>з</w:t>
      </w:r>
      <w:r w:rsidR="00DE302A" w:rsidRPr="001416ED">
        <w:rPr>
          <w:lang w:val="uk-UA"/>
        </w:rPr>
        <w:t xml:space="preserve"> та без ДД та у пацієнтів з </w:t>
      </w:r>
      <w:r w:rsidR="00A63A7A" w:rsidRPr="001416ED">
        <w:rPr>
          <w:lang w:val="uk-UA"/>
        </w:rPr>
        <w:t>ГХ ІІІ ст</w:t>
      </w:r>
      <w:r w:rsidR="00A07F0E" w:rsidRPr="001416ED">
        <w:rPr>
          <w:lang w:val="uk-UA"/>
        </w:rPr>
        <w:t>.</w:t>
      </w:r>
      <w:r w:rsidR="0011440D" w:rsidRPr="001416ED">
        <w:rPr>
          <w:lang w:val="uk-UA"/>
        </w:rPr>
        <w:t xml:space="preserve"> </w:t>
      </w:r>
      <w:r w:rsidR="00A07F0E" w:rsidRPr="001416ED">
        <w:rPr>
          <w:lang w:val="uk-UA"/>
        </w:rPr>
        <w:t>та ФВ &gt; 45 %</w:t>
      </w:r>
      <w:r w:rsidR="00DE302A" w:rsidRPr="001416ED">
        <w:rPr>
          <w:lang w:val="uk-UA"/>
        </w:rPr>
        <w:t>. Однак</w:t>
      </w:r>
      <w:r w:rsidR="005D26BA" w:rsidRPr="001416ED">
        <w:rPr>
          <w:lang w:val="uk-UA"/>
        </w:rPr>
        <w:t xml:space="preserve">, </w:t>
      </w:r>
      <w:r w:rsidR="00DE302A" w:rsidRPr="001416ED">
        <w:rPr>
          <w:lang w:val="uk-UA"/>
        </w:rPr>
        <w:t xml:space="preserve">між пацієнтами з ГХ ІІ ст. </w:t>
      </w:r>
      <w:r w:rsidR="005D26BA" w:rsidRPr="001416ED">
        <w:rPr>
          <w:lang w:val="uk-UA"/>
        </w:rPr>
        <w:t xml:space="preserve">концентрація </w:t>
      </w:r>
      <w:r w:rsidR="00DE302A" w:rsidRPr="001416ED">
        <w:rPr>
          <w:lang w:val="uk-UA"/>
        </w:rPr>
        <w:t xml:space="preserve">СНП </w:t>
      </w:r>
      <w:r w:rsidR="005D26BA" w:rsidRPr="001416ED">
        <w:rPr>
          <w:lang w:val="uk-UA"/>
        </w:rPr>
        <w:t xml:space="preserve">в плазмі крові </w:t>
      </w:r>
      <w:r w:rsidR="00BF6D95" w:rsidRPr="001416ED">
        <w:rPr>
          <w:lang w:val="uk-UA"/>
        </w:rPr>
        <w:t xml:space="preserve">достовірно </w:t>
      </w:r>
      <w:r w:rsidR="00DE302A" w:rsidRPr="001416ED">
        <w:rPr>
          <w:lang w:val="uk-UA"/>
        </w:rPr>
        <w:t xml:space="preserve">не відрізняється. </w:t>
      </w:r>
    </w:p>
    <w:p w:rsidR="006C3E49" w:rsidRPr="001416ED" w:rsidRDefault="005D26BA" w:rsidP="00B04C45">
      <w:pPr>
        <w:spacing w:line="360" w:lineRule="auto"/>
        <w:ind w:firstLine="708"/>
        <w:jc w:val="both"/>
        <w:rPr>
          <w:szCs w:val="24"/>
          <w:lang w:val="uk-UA"/>
        </w:rPr>
      </w:pPr>
      <w:r w:rsidRPr="001416ED">
        <w:rPr>
          <w:lang w:val="uk-UA"/>
        </w:rPr>
        <w:t>Оскільки</w:t>
      </w:r>
      <w:r w:rsidR="00120DD5" w:rsidRPr="001416ED">
        <w:rPr>
          <w:lang w:val="uk-UA"/>
        </w:rPr>
        <w:t>,</w:t>
      </w:r>
      <w:r w:rsidRPr="001416ED">
        <w:rPr>
          <w:lang w:val="uk-UA"/>
        </w:rPr>
        <w:t xml:space="preserve"> рівень ЕТ</w:t>
      </w:r>
      <w:r w:rsidR="00BC0119" w:rsidRPr="001416ED">
        <w:rPr>
          <w:lang w:val="uk-UA"/>
        </w:rPr>
        <w:t>–</w:t>
      </w:r>
      <w:r w:rsidRPr="001416ED">
        <w:rPr>
          <w:lang w:val="uk-UA"/>
        </w:rPr>
        <w:t>1 зміню</w:t>
      </w:r>
      <w:r w:rsidR="00A94302" w:rsidRPr="001416ED">
        <w:rPr>
          <w:lang w:val="uk-UA"/>
        </w:rPr>
        <w:t>ю</w:t>
      </w:r>
      <w:r w:rsidRPr="001416ED">
        <w:rPr>
          <w:lang w:val="uk-UA"/>
        </w:rPr>
        <w:t>ться при різних типах ТМК, було вирішено проаналізувати плазмову концентрацію СНП при різних варіантах ТМК.</w:t>
      </w:r>
      <w:r w:rsidR="00B04C45" w:rsidRPr="001416ED">
        <w:rPr>
          <w:lang w:val="uk-UA"/>
        </w:rPr>
        <w:t xml:space="preserve"> </w:t>
      </w:r>
      <w:r w:rsidR="007B0947" w:rsidRPr="001416ED">
        <w:rPr>
          <w:lang w:val="uk-UA"/>
        </w:rPr>
        <w:t xml:space="preserve">Встановлено, що у чоловіків з ГХ ІІ ст. та з </w:t>
      </w:r>
      <w:r w:rsidR="00C34030" w:rsidRPr="001416ED">
        <w:rPr>
          <w:lang w:val="uk-UA"/>
        </w:rPr>
        <w:t xml:space="preserve">ГХ ІІІ ст. </w:t>
      </w:r>
      <w:r w:rsidR="007B0947" w:rsidRPr="001416ED">
        <w:rPr>
          <w:lang w:val="uk-UA"/>
        </w:rPr>
        <w:t>при ФВ</w:t>
      </w:r>
      <w:r w:rsidR="00A07F0E" w:rsidRPr="001416ED">
        <w:rPr>
          <w:lang w:val="uk-UA"/>
        </w:rPr>
        <w:t xml:space="preserve"> &gt; 45 %</w:t>
      </w:r>
      <w:r w:rsidR="007B0947" w:rsidRPr="001416ED">
        <w:rPr>
          <w:lang w:val="uk-UA"/>
        </w:rPr>
        <w:t>, рівень СНП при різних типах ТМК не відрізняється. У осіб з ФВ</w:t>
      </w:r>
      <w:r w:rsidR="000A0963" w:rsidRPr="001416ED">
        <w:rPr>
          <w:lang w:val="uk-UA"/>
        </w:rPr>
        <w:t xml:space="preserve"> </w:t>
      </w:r>
      <w:r w:rsidR="007B0947" w:rsidRPr="001416ED">
        <w:rPr>
          <w:szCs w:val="24"/>
          <w:lang w:val="uk-UA"/>
        </w:rPr>
        <w:t>&lt;</w:t>
      </w:r>
      <w:r w:rsidR="000A0963" w:rsidRPr="001416ED">
        <w:rPr>
          <w:szCs w:val="24"/>
          <w:lang w:val="uk-UA"/>
        </w:rPr>
        <w:t xml:space="preserve"> </w:t>
      </w:r>
      <w:r w:rsidR="007B0947" w:rsidRPr="001416ED">
        <w:rPr>
          <w:szCs w:val="24"/>
          <w:lang w:val="uk-UA"/>
        </w:rPr>
        <w:t>45</w:t>
      </w:r>
      <w:r w:rsidR="00D4219F" w:rsidRPr="001416ED">
        <w:rPr>
          <w:szCs w:val="24"/>
          <w:lang w:val="uk-UA"/>
        </w:rPr>
        <w:t xml:space="preserve"> %</w:t>
      </w:r>
      <w:r w:rsidR="007B0947" w:rsidRPr="001416ED">
        <w:rPr>
          <w:szCs w:val="24"/>
          <w:lang w:val="uk-UA"/>
        </w:rPr>
        <w:t xml:space="preserve"> плазмова концентрація пептиду вірогідно вища при рестриктивному типі ТМК ніж при гіпертрофічному, проте різниці з псевдонормальним типом не виявлено. У чоловіків з ФВ </w:t>
      </w:r>
      <w:r w:rsidR="006B5F3F" w:rsidRPr="001416ED">
        <w:rPr>
          <w:szCs w:val="24"/>
          <w:lang w:val="uk-UA"/>
        </w:rPr>
        <w:t xml:space="preserve">&lt; 45 % </w:t>
      </w:r>
      <w:r w:rsidR="007B0947" w:rsidRPr="001416ED">
        <w:rPr>
          <w:szCs w:val="24"/>
          <w:lang w:val="uk-UA"/>
        </w:rPr>
        <w:t>та гіпертрофічному варіанті ТМК рівен</w:t>
      </w:r>
      <w:r w:rsidR="00A07F0E" w:rsidRPr="001416ED">
        <w:rPr>
          <w:szCs w:val="24"/>
          <w:lang w:val="uk-UA"/>
        </w:rPr>
        <w:t>ь пептиду більший, ніж у осіб з</w:t>
      </w:r>
      <w:r w:rsidR="00A07F0E" w:rsidRPr="001416ED">
        <w:rPr>
          <w:lang w:val="uk-UA"/>
        </w:rPr>
        <w:t xml:space="preserve"> ФВ &gt; 45 %</w:t>
      </w:r>
      <w:r w:rsidR="00A870B3" w:rsidRPr="001416ED">
        <w:rPr>
          <w:szCs w:val="24"/>
          <w:lang w:val="uk-UA"/>
        </w:rPr>
        <w:t xml:space="preserve">. У осіб з </w:t>
      </w:r>
      <w:r w:rsidR="00A870B3" w:rsidRPr="001416ED">
        <w:rPr>
          <w:lang w:val="uk-UA"/>
        </w:rPr>
        <w:t>ФВ</w:t>
      </w:r>
      <w:r w:rsidR="000A0963" w:rsidRPr="001416ED">
        <w:rPr>
          <w:lang w:val="uk-UA"/>
        </w:rPr>
        <w:t xml:space="preserve"> </w:t>
      </w:r>
      <w:r w:rsidR="00A870B3" w:rsidRPr="001416ED">
        <w:rPr>
          <w:szCs w:val="24"/>
          <w:lang w:val="uk-UA"/>
        </w:rPr>
        <w:t>&lt;</w:t>
      </w:r>
      <w:r w:rsidR="000A0963" w:rsidRPr="001416ED">
        <w:rPr>
          <w:szCs w:val="24"/>
          <w:lang w:val="uk-UA"/>
        </w:rPr>
        <w:t xml:space="preserve"> </w:t>
      </w:r>
      <w:r w:rsidR="00A870B3" w:rsidRPr="001416ED">
        <w:rPr>
          <w:szCs w:val="24"/>
          <w:lang w:val="uk-UA"/>
        </w:rPr>
        <w:t>45</w:t>
      </w:r>
      <w:r w:rsidR="00D4219F" w:rsidRPr="001416ED">
        <w:rPr>
          <w:szCs w:val="24"/>
          <w:lang w:val="uk-UA"/>
        </w:rPr>
        <w:t xml:space="preserve"> %</w:t>
      </w:r>
      <w:r w:rsidR="00A870B3" w:rsidRPr="001416ED">
        <w:rPr>
          <w:szCs w:val="24"/>
          <w:lang w:val="uk-UA"/>
        </w:rPr>
        <w:t xml:space="preserve"> при псевдонормальному типі ТМК концентрація СНП в плазмі крові вища, ніж при ФВ</w:t>
      </w:r>
      <w:r w:rsidR="000A0963" w:rsidRPr="001416ED">
        <w:rPr>
          <w:szCs w:val="24"/>
          <w:lang w:val="uk-UA"/>
        </w:rPr>
        <w:t xml:space="preserve"> </w:t>
      </w:r>
      <w:r w:rsidR="00A870B3" w:rsidRPr="001416ED">
        <w:rPr>
          <w:szCs w:val="24"/>
          <w:lang w:val="uk-UA"/>
        </w:rPr>
        <w:t>&gt;</w:t>
      </w:r>
      <w:r w:rsidR="000A0963" w:rsidRPr="001416ED">
        <w:rPr>
          <w:szCs w:val="24"/>
          <w:lang w:val="uk-UA"/>
        </w:rPr>
        <w:t xml:space="preserve"> </w:t>
      </w:r>
      <w:r w:rsidR="00A870B3" w:rsidRPr="001416ED">
        <w:rPr>
          <w:szCs w:val="24"/>
          <w:lang w:val="uk-UA"/>
        </w:rPr>
        <w:t>45</w:t>
      </w:r>
      <w:r w:rsidR="00D4219F" w:rsidRPr="001416ED">
        <w:rPr>
          <w:szCs w:val="24"/>
          <w:lang w:val="uk-UA"/>
        </w:rPr>
        <w:t xml:space="preserve"> %</w:t>
      </w:r>
      <w:r w:rsidR="00A870B3" w:rsidRPr="001416ED">
        <w:rPr>
          <w:szCs w:val="24"/>
          <w:lang w:val="uk-UA"/>
        </w:rPr>
        <w:t>, та в порівнянні з пацієнтами з ГХ ІІ ст. В інших показниках різниці не досліджено.</w:t>
      </w:r>
    </w:p>
    <w:p w:rsidR="00B9375E" w:rsidRPr="001416ED" w:rsidRDefault="000547EA" w:rsidP="006C31EC">
      <w:pPr>
        <w:spacing w:line="360" w:lineRule="auto"/>
        <w:ind w:firstLine="709"/>
        <w:jc w:val="both"/>
        <w:rPr>
          <w:lang w:val="uk-UA"/>
        </w:rPr>
      </w:pPr>
      <w:r w:rsidRPr="001416ED">
        <w:rPr>
          <w:szCs w:val="24"/>
          <w:lang w:val="uk-UA"/>
        </w:rPr>
        <w:t>Підводячи підсумок отриманих даних</w:t>
      </w:r>
      <w:r w:rsidRPr="001416ED">
        <w:rPr>
          <w:lang w:val="uk-UA"/>
        </w:rPr>
        <w:t xml:space="preserve"> можна </w:t>
      </w:r>
      <w:r w:rsidR="00120DD5" w:rsidRPr="001416ED">
        <w:rPr>
          <w:lang w:val="uk-UA"/>
        </w:rPr>
        <w:t>зробити</w:t>
      </w:r>
      <w:r w:rsidRPr="001416ED">
        <w:rPr>
          <w:lang w:val="uk-UA"/>
        </w:rPr>
        <w:t xml:space="preserve"> висновки</w:t>
      </w:r>
      <w:r w:rsidR="0039460C" w:rsidRPr="001416ED">
        <w:rPr>
          <w:lang w:val="uk-UA"/>
        </w:rPr>
        <w:t>, що</w:t>
      </w:r>
      <w:r w:rsidRPr="001416ED">
        <w:rPr>
          <w:lang w:val="uk-UA"/>
        </w:rPr>
        <w:t xml:space="preserve"> </w:t>
      </w:r>
      <w:r w:rsidR="0039460C" w:rsidRPr="001416ED">
        <w:rPr>
          <w:lang w:val="uk-UA"/>
        </w:rPr>
        <w:t>у</w:t>
      </w:r>
      <w:r w:rsidR="00B9375E" w:rsidRPr="001416ED">
        <w:rPr>
          <w:lang w:val="uk-UA"/>
        </w:rPr>
        <w:t xml:space="preserve"> пацієнтів з ГХ ІІ ст. </w:t>
      </w:r>
      <w:r w:rsidR="00BC0119" w:rsidRPr="001416ED">
        <w:rPr>
          <w:lang w:val="uk-UA"/>
        </w:rPr>
        <w:t>–</w:t>
      </w:r>
      <w:r w:rsidR="00B9375E" w:rsidRPr="001416ED">
        <w:rPr>
          <w:lang w:val="uk-UA"/>
        </w:rPr>
        <w:t xml:space="preserve"> носіїв генотипу </w:t>
      </w:r>
      <w:r w:rsidR="00B9375E" w:rsidRPr="001416ED">
        <w:rPr>
          <w:lang w:val="en-US"/>
        </w:rPr>
        <w:t>Lys</w:t>
      </w:r>
      <w:r w:rsidR="00B9375E" w:rsidRPr="001416ED">
        <w:rPr>
          <w:lang w:val="uk-UA"/>
        </w:rPr>
        <w:t>/</w:t>
      </w:r>
      <w:r w:rsidR="00B9375E" w:rsidRPr="001416ED">
        <w:rPr>
          <w:lang w:val="en-US"/>
        </w:rPr>
        <w:t>Lys</w:t>
      </w:r>
      <w:r w:rsidR="00B9375E" w:rsidRPr="001416ED">
        <w:rPr>
          <w:lang w:val="uk-UA"/>
        </w:rPr>
        <w:t xml:space="preserve">, майже усі показники серцевої та системної гемодинаміки </w:t>
      </w:r>
      <w:r w:rsidR="00120DD5" w:rsidRPr="001416ED">
        <w:rPr>
          <w:lang w:val="uk-UA"/>
        </w:rPr>
        <w:t xml:space="preserve">значно </w:t>
      </w:r>
      <w:r w:rsidR="00B9375E" w:rsidRPr="001416ED">
        <w:rPr>
          <w:lang w:val="uk-UA"/>
        </w:rPr>
        <w:t xml:space="preserve">вищі, а ФВ ЛШ, </w:t>
      </w:r>
      <w:r w:rsidR="00B9375E" w:rsidRPr="001416ED">
        <w:rPr>
          <w:lang w:val="en-US"/>
        </w:rPr>
        <w:t>S</w:t>
      </w:r>
      <w:r w:rsidR="00B9375E" w:rsidRPr="001416ED">
        <w:rPr>
          <w:lang w:val="uk-UA"/>
        </w:rPr>
        <w:t xml:space="preserve"> та Е/А нижчі, ніж в чоловіків контрольної групи. Носійство алелі </w:t>
      </w:r>
      <w:r w:rsidR="00B9375E" w:rsidRPr="001416ED">
        <w:rPr>
          <w:lang w:val="en-US"/>
        </w:rPr>
        <w:t>Asn</w:t>
      </w:r>
      <w:r w:rsidR="00B9375E" w:rsidRPr="001416ED">
        <w:rPr>
          <w:lang w:val="uk-UA"/>
        </w:rPr>
        <w:t xml:space="preserve"> у чоловіків з ГХ ІІ ст. асоціювалось з </w:t>
      </w:r>
      <w:r w:rsidR="00120DD5" w:rsidRPr="001416ED">
        <w:rPr>
          <w:lang w:val="uk-UA"/>
        </w:rPr>
        <w:t xml:space="preserve">суттєво </w:t>
      </w:r>
      <w:r w:rsidR="00B9375E" w:rsidRPr="001416ED">
        <w:rPr>
          <w:lang w:val="uk-UA"/>
        </w:rPr>
        <w:t>вищи</w:t>
      </w:r>
      <w:r w:rsidR="0039460C" w:rsidRPr="001416ED">
        <w:rPr>
          <w:lang w:val="uk-UA"/>
        </w:rPr>
        <w:t>м</w:t>
      </w:r>
      <w:r w:rsidR="00B9375E" w:rsidRPr="001416ED">
        <w:rPr>
          <w:lang w:val="uk-UA"/>
        </w:rPr>
        <w:t>и значеннями практично усіх показників серцевої та системної гемодинаміки, а ФВ та Е/А нижчі, ніж в осіб без серцево</w:t>
      </w:r>
      <w:r w:rsidR="00BC0119" w:rsidRPr="001416ED">
        <w:rPr>
          <w:lang w:val="uk-UA"/>
        </w:rPr>
        <w:t>–</w:t>
      </w:r>
      <w:r w:rsidR="00B9375E" w:rsidRPr="001416ED">
        <w:rPr>
          <w:lang w:val="uk-UA"/>
        </w:rPr>
        <w:t>судинної патології.</w:t>
      </w:r>
    </w:p>
    <w:p w:rsidR="00B9375E" w:rsidRPr="001416ED" w:rsidRDefault="00B9375E" w:rsidP="00B9375E">
      <w:pPr>
        <w:spacing w:line="360" w:lineRule="auto"/>
        <w:ind w:firstLine="709"/>
        <w:jc w:val="both"/>
        <w:rPr>
          <w:lang w:val="uk-UA"/>
        </w:rPr>
      </w:pPr>
      <w:r w:rsidRPr="001416ED">
        <w:rPr>
          <w:lang w:val="uk-UA"/>
        </w:rPr>
        <w:t xml:space="preserve">У чоловіків з ГХ ІІ ст. майже усі показники внутрішньосерцевої та системної гемодинаміки вірогідно більші, а ФВ та Е/А менші у володарів алелі </w:t>
      </w:r>
      <w:r w:rsidRPr="001416ED">
        <w:rPr>
          <w:lang w:val="en-US"/>
        </w:rPr>
        <w:t>Asn</w:t>
      </w:r>
      <w:r w:rsidRPr="001416ED">
        <w:rPr>
          <w:lang w:val="uk-UA"/>
        </w:rPr>
        <w:t xml:space="preserve">, ніж в носіїв гомозигот </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що вказує на гіршу гемодинамічну ситуацію у носіїв алелі </w:t>
      </w:r>
      <w:r w:rsidRPr="001416ED">
        <w:rPr>
          <w:lang w:val="en-US"/>
        </w:rPr>
        <w:t>Asn</w:t>
      </w:r>
      <w:r w:rsidRPr="001416ED">
        <w:rPr>
          <w:lang w:val="uk-UA"/>
        </w:rPr>
        <w:t xml:space="preserve">. </w:t>
      </w:r>
    </w:p>
    <w:p w:rsidR="00A94906" w:rsidRPr="001416ED" w:rsidRDefault="00D23094" w:rsidP="00D23094">
      <w:pPr>
        <w:spacing w:line="360" w:lineRule="auto"/>
        <w:ind w:firstLine="709"/>
        <w:jc w:val="both"/>
        <w:rPr>
          <w:lang w:val="uk-UA"/>
        </w:rPr>
      </w:pPr>
      <w:r w:rsidRPr="001416ED">
        <w:rPr>
          <w:lang w:val="uk-UA"/>
        </w:rPr>
        <w:t xml:space="preserve">Аналіз варіантів розподілу типів ГЛШ у носіїв </w:t>
      </w:r>
      <w:r w:rsidR="00E6164F">
        <w:rPr>
          <w:lang w:val="uk-UA"/>
        </w:rPr>
        <w:t>поліморфних варіантів гена ЕТ–1</w:t>
      </w:r>
      <w:r w:rsidRPr="001416ED">
        <w:rPr>
          <w:lang w:val="uk-UA"/>
        </w:rPr>
        <w:t xml:space="preserve"> встановив, що у чоловіків з ГХ ІІ ст. домінує ПГЛШ та КГЛШ при носійс</w:t>
      </w:r>
      <w:r w:rsidR="0039460C" w:rsidRPr="001416ED">
        <w:rPr>
          <w:lang w:val="uk-UA"/>
        </w:rPr>
        <w:t xml:space="preserve">тві </w:t>
      </w:r>
      <w:r w:rsidR="0039460C" w:rsidRPr="001416ED">
        <w:rPr>
          <w:lang w:val="uk-UA"/>
        </w:rPr>
        <w:lastRenderedPageBreak/>
        <w:t>будь</w:t>
      </w:r>
      <w:r w:rsidR="00BC0119" w:rsidRPr="001416ED">
        <w:rPr>
          <w:lang w:val="uk-UA"/>
        </w:rPr>
        <w:t>–</w:t>
      </w:r>
      <w:r w:rsidR="0039460C" w:rsidRPr="001416ED">
        <w:rPr>
          <w:lang w:val="uk-UA"/>
        </w:rPr>
        <w:t xml:space="preserve">якого </w:t>
      </w:r>
      <w:r w:rsidR="00E6164F">
        <w:rPr>
          <w:lang w:val="uk-UA"/>
        </w:rPr>
        <w:t>поліморфного варіанту гена</w:t>
      </w:r>
      <w:r w:rsidR="0039460C" w:rsidRPr="001416ED">
        <w:rPr>
          <w:lang w:val="uk-UA"/>
        </w:rPr>
        <w:t xml:space="preserve"> ЕТ</w:t>
      </w:r>
      <w:r w:rsidR="00BC0119" w:rsidRPr="001416ED">
        <w:rPr>
          <w:lang w:val="uk-UA"/>
        </w:rPr>
        <w:t>–</w:t>
      </w:r>
      <w:r w:rsidRPr="001416ED">
        <w:rPr>
          <w:lang w:val="uk-UA"/>
        </w:rPr>
        <w:t xml:space="preserve">1. Як у носіїв генотипу </w:t>
      </w:r>
      <w:r w:rsidRPr="001416ED">
        <w:rPr>
          <w:lang w:val="en-US"/>
        </w:rPr>
        <w:t>Lys</w:t>
      </w:r>
      <w:r w:rsidRPr="001416ED">
        <w:rPr>
          <w:lang w:val="uk-UA"/>
        </w:rPr>
        <w:t>/</w:t>
      </w:r>
      <w:r w:rsidRPr="001416ED">
        <w:rPr>
          <w:lang w:val="en-US"/>
        </w:rPr>
        <w:t>Lys</w:t>
      </w:r>
      <w:r w:rsidRPr="001416ED">
        <w:rPr>
          <w:lang w:val="uk-UA"/>
        </w:rPr>
        <w:t xml:space="preserve"> так і алелі </w:t>
      </w:r>
      <w:r w:rsidRPr="001416ED">
        <w:rPr>
          <w:lang w:val="en-US"/>
        </w:rPr>
        <w:t>Asn</w:t>
      </w:r>
      <w:r w:rsidRPr="001416ED">
        <w:rPr>
          <w:lang w:val="uk-UA"/>
        </w:rPr>
        <w:t xml:space="preserve"> гена ЕТ</w:t>
      </w:r>
      <w:r w:rsidR="00BC0119" w:rsidRPr="001416ED">
        <w:rPr>
          <w:lang w:val="uk-UA"/>
        </w:rPr>
        <w:t>–</w:t>
      </w:r>
      <w:r w:rsidRPr="001416ED">
        <w:rPr>
          <w:lang w:val="uk-UA"/>
        </w:rPr>
        <w:t xml:space="preserve">1 вірогідно частіше зустрічається нормальний тип ТМК. </w:t>
      </w:r>
    </w:p>
    <w:p w:rsidR="00D23094" w:rsidRPr="001416ED" w:rsidRDefault="00D23094" w:rsidP="00BE5F56">
      <w:pPr>
        <w:spacing w:line="360" w:lineRule="auto"/>
        <w:ind w:firstLine="709"/>
        <w:jc w:val="both"/>
        <w:rPr>
          <w:lang w:val="uk-UA"/>
        </w:rPr>
      </w:pPr>
      <w:r w:rsidRPr="001416ED">
        <w:rPr>
          <w:lang w:val="uk-UA"/>
        </w:rPr>
        <w:t>Далі досліджувались структурно</w:t>
      </w:r>
      <w:r w:rsidR="00BC0119" w:rsidRPr="001416ED">
        <w:rPr>
          <w:lang w:val="uk-UA"/>
        </w:rPr>
        <w:t>–</w:t>
      </w:r>
      <w:r w:rsidRPr="001416ED">
        <w:rPr>
          <w:lang w:val="uk-UA"/>
        </w:rPr>
        <w:t xml:space="preserve">функціональні зміни міокарда та системної гемодинаміки у чоловіків з </w:t>
      </w:r>
      <w:r w:rsidR="00820C89" w:rsidRPr="001416ED">
        <w:rPr>
          <w:lang w:val="uk-UA"/>
        </w:rPr>
        <w:t>ГХ ІІІ ст</w:t>
      </w:r>
      <w:r w:rsidR="00BE5F56" w:rsidRPr="001416ED">
        <w:rPr>
          <w:lang w:val="uk-UA"/>
        </w:rPr>
        <w:t xml:space="preserve">. </w:t>
      </w:r>
      <w:r w:rsidRPr="001416ED">
        <w:rPr>
          <w:lang w:val="uk-UA"/>
        </w:rPr>
        <w:t xml:space="preserve">Першим кроком став аналіз частоти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у чоловіків з ГХ ФВ</w:t>
      </w:r>
      <w:r w:rsidR="00820C89" w:rsidRPr="001416ED">
        <w:rPr>
          <w:lang w:val="uk-UA"/>
        </w:rPr>
        <w:t xml:space="preserve"> &lt; 45 % та ФВ</w:t>
      </w:r>
      <w:r w:rsidR="006B5F3F" w:rsidRPr="001416ED">
        <w:rPr>
          <w:lang w:val="uk-UA"/>
        </w:rPr>
        <w:t xml:space="preserve"> &gt; 45 %</w:t>
      </w:r>
      <w:r w:rsidRPr="001416ED">
        <w:rPr>
          <w:lang w:val="uk-UA"/>
        </w:rPr>
        <w:t>. Встановлено, що у чоловіків</w:t>
      </w:r>
      <w:r w:rsidR="00BE5F56" w:rsidRPr="001416ED">
        <w:rPr>
          <w:lang w:val="uk-UA"/>
        </w:rPr>
        <w:t xml:space="preserve"> з ГХ </w:t>
      </w:r>
      <w:r w:rsidR="00984224" w:rsidRPr="001416ED">
        <w:rPr>
          <w:lang w:val="uk-UA"/>
        </w:rPr>
        <w:t>І</w:t>
      </w:r>
      <w:r w:rsidR="00BE5F56" w:rsidRPr="001416ED">
        <w:rPr>
          <w:lang w:val="uk-UA"/>
        </w:rPr>
        <w:t>ІІ ст. та</w:t>
      </w:r>
      <w:r w:rsidRPr="001416ED">
        <w:rPr>
          <w:lang w:val="uk-UA"/>
        </w:rPr>
        <w:t xml:space="preserve"> </w:t>
      </w:r>
      <w:r w:rsidR="00BE5F56" w:rsidRPr="001416ED">
        <w:rPr>
          <w:lang w:val="uk-UA"/>
        </w:rPr>
        <w:t xml:space="preserve">генотипом </w:t>
      </w:r>
      <w:r w:rsidR="00BE5F56" w:rsidRPr="001416ED">
        <w:rPr>
          <w:lang w:val="en-US"/>
        </w:rPr>
        <w:t>Lys</w:t>
      </w:r>
      <w:r w:rsidR="00BE5F56" w:rsidRPr="001416ED">
        <w:rPr>
          <w:lang w:val="uk-UA"/>
        </w:rPr>
        <w:t>/</w:t>
      </w:r>
      <w:r w:rsidR="00BE5F56" w:rsidRPr="001416ED">
        <w:rPr>
          <w:lang w:val="en-US"/>
        </w:rPr>
        <w:t>Lys</w:t>
      </w:r>
      <w:r w:rsidR="00BE5F56" w:rsidRPr="001416ED">
        <w:rPr>
          <w:lang w:val="uk-UA"/>
        </w:rPr>
        <w:t xml:space="preserve"> достовірно частіше зустрічається</w:t>
      </w:r>
      <w:r w:rsidRPr="001416ED">
        <w:rPr>
          <w:lang w:val="uk-UA"/>
        </w:rPr>
        <w:t xml:space="preserve"> </w:t>
      </w:r>
      <w:r w:rsidR="00BE5F56" w:rsidRPr="001416ED">
        <w:rPr>
          <w:lang w:val="uk-UA"/>
        </w:rPr>
        <w:t xml:space="preserve"> ФВ ЛШ</w:t>
      </w:r>
      <w:r w:rsidR="00984224" w:rsidRPr="001416ED">
        <w:rPr>
          <w:lang w:val="uk-UA"/>
        </w:rPr>
        <w:t xml:space="preserve"> &lt; 45 %</w:t>
      </w:r>
      <w:r w:rsidR="00BE5F56" w:rsidRPr="001416ED">
        <w:rPr>
          <w:lang w:val="uk-UA"/>
        </w:rPr>
        <w:t>,</w:t>
      </w:r>
      <w:r w:rsidRPr="001416ED">
        <w:rPr>
          <w:lang w:val="uk-UA"/>
        </w:rPr>
        <w:t xml:space="preserve"> проте</w:t>
      </w:r>
      <w:r w:rsidR="00BE5F56" w:rsidRPr="001416ED">
        <w:rPr>
          <w:lang w:val="uk-UA"/>
        </w:rPr>
        <w:t>,</w:t>
      </w:r>
      <w:r w:rsidRPr="001416ED">
        <w:rPr>
          <w:lang w:val="uk-UA"/>
        </w:rPr>
        <w:t xml:space="preserve"> такої різниці у пацієнтів </w:t>
      </w:r>
      <w:r w:rsidR="00BE5F56" w:rsidRPr="001416ED">
        <w:rPr>
          <w:lang w:val="uk-UA"/>
        </w:rPr>
        <w:t xml:space="preserve">– володарів алелі </w:t>
      </w:r>
      <w:r w:rsidR="00BE5F56" w:rsidRPr="001416ED">
        <w:rPr>
          <w:lang w:val="en-US"/>
        </w:rPr>
        <w:t xml:space="preserve">Asn </w:t>
      </w:r>
      <w:r w:rsidRPr="001416ED">
        <w:rPr>
          <w:lang w:val="uk-UA"/>
        </w:rPr>
        <w:t>не виявлено.</w:t>
      </w:r>
    </w:p>
    <w:p w:rsidR="00D23094" w:rsidRPr="001416ED" w:rsidRDefault="00D23094" w:rsidP="00D23094">
      <w:pPr>
        <w:spacing w:line="360" w:lineRule="auto"/>
        <w:ind w:firstLine="709"/>
        <w:jc w:val="both"/>
        <w:rPr>
          <w:lang w:val="uk-UA"/>
        </w:rPr>
      </w:pPr>
      <w:r w:rsidRPr="001416ED">
        <w:rPr>
          <w:lang w:val="uk-UA"/>
        </w:rPr>
        <w:t xml:space="preserve">Встановлено, що майже усі показники структури та функції серця </w:t>
      </w:r>
      <w:r w:rsidR="00A94906" w:rsidRPr="001416ED">
        <w:rPr>
          <w:lang w:val="uk-UA"/>
        </w:rPr>
        <w:t>і</w:t>
      </w:r>
      <w:r w:rsidRPr="001416ED">
        <w:rPr>
          <w:lang w:val="uk-UA"/>
        </w:rPr>
        <w:t xml:space="preserve"> системної гемодинаміки у чоловіків з </w:t>
      </w:r>
      <w:r w:rsidR="00EA7C60" w:rsidRPr="001416ED">
        <w:rPr>
          <w:lang w:val="uk-UA"/>
        </w:rPr>
        <w:t xml:space="preserve">ГХ ІІІ ст. </w:t>
      </w:r>
      <w:r w:rsidRPr="001416ED">
        <w:rPr>
          <w:lang w:val="uk-UA"/>
        </w:rPr>
        <w:t xml:space="preserve">– носіїв генотипу </w:t>
      </w:r>
      <w:r w:rsidRPr="001416ED">
        <w:rPr>
          <w:lang w:val="en-US"/>
        </w:rPr>
        <w:t>Lys</w:t>
      </w:r>
      <w:r w:rsidRPr="001416ED">
        <w:rPr>
          <w:lang w:val="uk-UA"/>
        </w:rPr>
        <w:t>/</w:t>
      </w:r>
      <w:r w:rsidRPr="001416ED">
        <w:rPr>
          <w:lang w:val="en-US"/>
        </w:rPr>
        <w:t>Lys</w:t>
      </w:r>
      <w:r w:rsidRPr="001416ED">
        <w:rPr>
          <w:lang w:val="uk-UA"/>
        </w:rPr>
        <w:t xml:space="preserve"> та алелі </w:t>
      </w:r>
      <w:r w:rsidRPr="001416ED">
        <w:rPr>
          <w:lang w:val="en-US"/>
        </w:rPr>
        <w:t>Asn</w:t>
      </w:r>
      <w:r w:rsidRPr="001416ED">
        <w:rPr>
          <w:lang w:val="uk-UA"/>
        </w:rPr>
        <w:t xml:space="preserve"> гена ЕТ</w:t>
      </w:r>
      <w:r w:rsidR="00BC0119" w:rsidRPr="001416ED">
        <w:rPr>
          <w:lang w:val="uk-UA"/>
        </w:rPr>
        <w:t>–</w:t>
      </w:r>
      <w:r w:rsidRPr="001416ED">
        <w:rPr>
          <w:lang w:val="uk-UA"/>
        </w:rPr>
        <w:t xml:space="preserve">1 вищі, а ФВ, УІ, </w:t>
      </w:r>
      <w:r w:rsidRPr="001416ED">
        <w:rPr>
          <w:lang w:val="en-US"/>
        </w:rPr>
        <w:t>S</w:t>
      </w:r>
      <w:r w:rsidRPr="001416ED">
        <w:rPr>
          <w:lang w:val="uk-UA"/>
        </w:rPr>
        <w:t xml:space="preserve">, </w:t>
      </w:r>
      <w:r w:rsidRPr="001416ED">
        <w:rPr>
          <w:lang w:val="en-US"/>
        </w:rPr>
        <w:t>DT</w:t>
      </w:r>
      <w:r w:rsidRPr="001416ED">
        <w:rPr>
          <w:lang w:val="uk-UA"/>
        </w:rPr>
        <w:t xml:space="preserve"> нижчі</w:t>
      </w:r>
      <w:r w:rsidR="00F32245" w:rsidRPr="001416ED">
        <w:rPr>
          <w:lang w:val="uk-UA"/>
        </w:rPr>
        <w:t xml:space="preserve"> ніж</w:t>
      </w:r>
      <w:r w:rsidRPr="001416ED">
        <w:rPr>
          <w:lang w:val="uk-UA"/>
        </w:rPr>
        <w:t xml:space="preserve"> у осіб з ГХ ІІ ст. У чоловіків з </w:t>
      </w:r>
      <w:r w:rsidR="00081C6E" w:rsidRPr="001416ED">
        <w:rPr>
          <w:lang w:val="uk-UA"/>
        </w:rPr>
        <w:t>ГХ ІІІ ст.</w:t>
      </w:r>
      <w:r w:rsidRPr="001416ED">
        <w:rPr>
          <w:lang w:val="uk-UA"/>
        </w:rPr>
        <w:t xml:space="preserve"> що є носіями алелі </w:t>
      </w:r>
      <w:r w:rsidRPr="001416ED">
        <w:rPr>
          <w:lang w:val="en-US"/>
        </w:rPr>
        <w:t>Asn</w:t>
      </w:r>
      <w:r w:rsidRPr="001416ED">
        <w:rPr>
          <w:lang w:val="uk-UA"/>
        </w:rPr>
        <w:t xml:space="preserve"> практич</w:t>
      </w:r>
      <w:r w:rsidR="0039460C" w:rsidRPr="001416ED">
        <w:rPr>
          <w:lang w:val="uk-UA"/>
        </w:rPr>
        <w:t>н</w:t>
      </w:r>
      <w:r w:rsidRPr="001416ED">
        <w:rPr>
          <w:lang w:val="uk-UA"/>
        </w:rPr>
        <w:t xml:space="preserve">о усі ехокардіографічні дані достовірно вищі, а ФВ, УІ, </w:t>
      </w:r>
      <w:r w:rsidRPr="001416ED">
        <w:rPr>
          <w:lang w:val="en-US"/>
        </w:rPr>
        <w:t>DT</w:t>
      </w:r>
      <w:r w:rsidRPr="001416ED">
        <w:rPr>
          <w:lang w:val="uk-UA"/>
        </w:rPr>
        <w:t xml:space="preserve"> та </w:t>
      </w:r>
      <w:r w:rsidRPr="001416ED">
        <w:rPr>
          <w:lang w:val="en-US"/>
        </w:rPr>
        <w:t>IVRT</w:t>
      </w:r>
      <w:r w:rsidRPr="001416ED">
        <w:rPr>
          <w:lang w:val="uk-UA"/>
        </w:rPr>
        <w:t xml:space="preserve"> нижчі ніж у володарів генотипу </w:t>
      </w:r>
      <w:r w:rsidRPr="001416ED">
        <w:rPr>
          <w:lang w:val="en-US"/>
        </w:rPr>
        <w:t>Lys</w:t>
      </w:r>
      <w:r w:rsidRPr="001416ED">
        <w:rPr>
          <w:lang w:val="uk-UA"/>
        </w:rPr>
        <w:t>/</w:t>
      </w:r>
      <w:r w:rsidRPr="001416ED">
        <w:rPr>
          <w:lang w:val="en-US"/>
        </w:rPr>
        <w:t>Lys</w:t>
      </w:r>
      <w:r w:rsidRPr="001416ED">
        <w:rPr>
          <w:lang w:val="uk-UA"/>
        </w:rPr>
        <w:t>.</w:t>
      </w:r>
    </w:p>
    <w:p w:rsidR="00D23094" w:rsidRPr="001416ED" w:rsidRDefault="00D23094" w:rsidP="00D23094">
      <w:pPr>
        <w:spacing w:line="360" w:lineRule="auto"/>
        <w:ind w:firstLine="709"/>
        <w:jc w:val="both"/>
        <w:rPr>
          <w:lang w:val="uk-UA"/>
        </w:rPr>
      </w:pPr>
      <w:r w:rsidRPr="001416ED">
        <w:rPr>
          <w:lang w:val="uk-UA"/>
        </w:rPr>
        <w:t xml:space="preserve">Як видно з результатів дослідження, у чоловіків з ГХ різної </w:t>
      </w:r>
      <w:r w:rsidR="00046A18" w:rsidRPr="001416ED">
        <w:rPr>
          <w:lang w:val="uk-UA"/>
        </w:rPr>
        <w:t>стадії</w:t>
      </w:r>
      <w:r w:rsidRPr="001416ED">
        <w:rPr>
          <w:lang w:val="uk-UA"/>
        </w:rPr>
        <w:t xml:space="preserve">, що є носіями алелі </w:t>
      </w:r>
      <w:r w:rsidRPr="001416ED">
        <w:rPr>
          <w:lang w:val="en-US"/>
        </w:rPr>
        <w:t>Asn</w:t>
      </w:r>
      <w:r w:rsidRPr="001416ED">
        <w:rPr>
          <w:lang w:val="uk-UA"/>
        </w:rPr>
        <w:t xml:space="preserve"> майже усі показники гемодинаміки гірші ніж в представників генотипу </w:t>
      </w:r>
      <w:r w:rsidRPr="001416ED">
        <w:rPr>
          <w:lang w:val="en-US"/>
        </w:rPr>
        <w:t>Lys</w:t>
      </w:r>
      <w:r w:rsidRPr="001416ED">
        <w:rPr>
          <w:lang w:val="uk-UA"/>
        </w:rPr>
        <w:t>/</w:t>
      </w:r>
      <w:r w:rsidRPr="001416ED">
        <w:rPr>
          <w:lang w:val="en-US"/>
        </w:rPr>
        <w:t>Lys</w:t>
      </w:r>
      <w:r w:rsidRPr="001416ED">
        <w:rPr>
          <w:lang w:val="uk-UA"/>
        </w:rPr>
        <w:t>, що може вка</w:t>
      </w:r>
      <w:r w:rsidR="0039460C" w:rsidRPr="001416ED">
        <w:rPr>
          <w:lang w:val="uk-UA"/>
        </w:rPr>
        <w:t>з</w:t>
      </w:r>
      <w:r w:rsidRPr="001416ED">
        <w:rPr>
          <w:lang w:val="uk-UA"/>
        </w:rPr>
        <w:t>увати на негативни</w:t>
      </w:r>
      <w:r w:rsidR="004950D6" w:rsidRPr="001416ED">
        <w:rPr>
          <w:lang w:val="uk-UA"/>
        </w:rPr>
        <w:t>й</w:t>
      </w:r>
      <w:r w:rsidRPr="001416ED">
        <w:rPr>
          <w:lang w:val="uk-UA"/>
        </w:rPr>
        <w:t xml:space="preserve"> прогноз стосовно розвитку и прогресування ХСН в носії</w:t>
      </w:r>
      <w:r w:rsidR="0039460C" w:rsidRPr="001416ED">
        <w:rPr>
          <w:lang w:val="uk-UA"/>
        </w:rPr>
        <w:t>в</w:t>
      </w:r>
      <w:r w:rsidRPr="001416ED">
        <w:rPr>
          <w:lang w:val="uk-UA"/>
        </w:rPr>
        <w:t xml:space="preserve"> алелі </w:t>
      </w:r>
      <w:r w:rsidRPr="001416ED">
        <w:rPr>
          <w:lang w:val="en-US"/>
        </w:rPr>
        <w:t>Asn</w:t>
      </w:r>
      <w:r w:rsidRPr="001416ED">
        <w:rPr>
          <w:lang w:val="uk-UA"/>
        </w:rPr>
        <w:t>.</w:t>
      </w:r>
    </w:p>
    <w:p w:rsidR="00A94906" w:rsidRPr="001416ED" w:rsidRDefault="004950D6" w:rsidP="00A14841">
      <w:pPr>
        <w:spacing w:line="360" w:lineRule="auto"/>
        <w:ind w:firstLine="709"/>
        <w:jc w:val="both"/>
        <w:rPr>
          <w:lang w:val="uk-UA"/>
        </w:rPr>
      </w:pPr>
      <w:r w:rsidRPr="001416ED">
        <w:rPr>
          <w:lang w:val="uk-UA"/>
        </w:rPr>
        <w:t xml:space="preserve">Визначення показників структури і функції міокарду у чоловіків з </w:t>
      </w:r>
      <w:r w:rsidR="000A0963" w:rsidRPr="001416ED">
        <w:rPr>
          <w:lang w:val="uk-UA"/>
        </w:rPr>
        <w:t xml:space="preserve">              </w:t>
      </w:r>
      <w:r w:rsidRPr="001416ED">
        <w:rPr>
          <w:lang w:val="uk-UA"/>
        </w:rPr>
        <w:t>ФВ</w:t>
      </w:r>
      <w:r w:rsidR="000C04AA" w:rsidRPr="001416ED">
        <w:rPr>
          <w:lang w:val="uk-UA"/>
        </w:rPr>
        <w:t xml:space="preserve"> ˂ </w:t>
      </w:r>
      <w:r w:rsidRPr="001416ED">
        <w:rPr>
          <w:lang w:val="uk-UA"/>
        </w:rPr>
        <w:t>45</w:t>
      </w:r>
      <w:r w:rsidR="00D4219F" w:rsidRPr="001416ED">
        <w:rPr>
          <w:lang w:val="uk-UA"/>
        </w:rPr>
        <w:t xml:space="preserve"> %</w:t>
      </w:r>
      <w:r w:rsidRPr="001416ED">
        <w:rPr>
          <w:lang w:val="uk-UA"/>
        </w:rPr>
        <w:t xml:space="preserve"> при носійстві будь</w:t>
      </w:r>
      <w:r w:rsidR="00BC0119" w:rsidRPr="001416ED">
        <w:rPr>
          <w:lang w:val="uk-UA"/>
        </w:rPr>
        <w:t>–</w:t>
      </w:r>
      <w:r w:rsidRPr="001416ED">
        <w:rPr>
          <w:lang w:val="uk-UA"/>
        </w:rPr>
        <w:t xml:space="preserve">якого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показало, що іММЛШ, іКДО, іКСО, СІ, розмір ЛП, </w:t>
      </w:r>
      <w:r w:rsidRPr="001416ED">
        <w:rPr>
          <w:lang w:val="en-US"/>
        </w:rPr>
        <w:t>DT</w:t>
      </w:r>
      <w:r w:rsidRPr="001416ED">
        <w:rPr>
          <w:lang w:val="uk-UA"/>
        </w:rPr>
        <w:t>, вірогідно вищі, а ФВ нижча, ніж у осіб з ФВ</w:t>
      </w:r>
      <w:r w:rsidR="000C04AA" w:rsidRPr="001416ED">
        <w:rPr>
          <w:lang w:val="uk-UA"/>
        </w:rPr>
        <w:t xml:space="preserve"> ˃ </w:t>
      </w:r>
      <w:r w:rsidRPr="001416ED">
        <w:rPr>
          <w:lang w:val="uk-UA"/>
        </w:rPr>
        <w:t>45</w:t>
      </w:r>
      <w:r w:rsidR="00D4219F" w:rsidRPr="001416ED">
        <w:rPr>
          <w:lang w:val="uk-UA"/>
        </w:rPr>
        <w:t xml:space="preserve"> %</w:t>
      </w:r>
      <w:r w:rsidRPr="001416ED">
        <w:rPr>
          <w:lang w:val="uk-UA"/>
        </w:rPr>
        <w:t xml:space="preserve">. Слід відмітити, що у носіїв алелі </w:t>
      </w:r>
      <w:r w:rsidRPr="001416ED">
        <w:rPr>
          <w:lang w:val="en-US"/>
        </w:rPr>
        <w:t>Asn</w:t>
      </w:r>
      <w:r w:rsidRPr="001416ED">
        <w:rPr>
          <w:lang w:val="uk-UA"/>
        </w:rPr>
        <w:t xml:space="preserve"> усі вищезгадані показники бул</w:t>
      </w:r>
      <w:r w:rsidR="00820C89" w:rsidRPr="001416ED">
        <w:rPr>
          <w:lang w:val="uk-UA"/>
        </w:rPr>
        <w:t>и більш вираженими</w:t>
      </w:r>
      <w:r w:rsidRPr="001416ED">
        <w:rPr>
          <w:lang w:val="uk-UA"/>
        </w:rPr>
        <w:t xml:space="preserve">, ніж при носійстві генотипу </w:t>
      </w:r>
      <w:r w:rsidRPr="001416ED">
        <w:rPr>
          <w:lang w:val="en-US"/>
        </w:rPr>
        <w:t>Lys</w:t>
      </w:r>
      <w:r w:rsidRPr="001416ED">
        <w:rPr>
          <w:lang w:val="uk-UA"/>
        </w:rPr>
        <w:t>/</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як при </w:t>
      </w:r>
      <w:r w:rsidR="00820C89" w:rsidRPr="001416ED">
        <w:rPr>
          <w:lang w:val="uk-UA"/>
        </w:rPr>
        <w:t>ФВ ˃ 45 %</w:t>
      </w:r>
      <w:r w:rsidRPr="001416ED">
        <w:rPr>
          <w:lang w:val="uk-UA"/>
        </w:rPr>
        <w:t xml:space="preserve"> так і при ФВ </w:t>
      </w:r>
      <w:r w:rsidR="00820C89" w:rsidRPr="001416ED">
        <w:rPr>
          <w:lang w:val="uk-UA"/>
        </w:rPr>
        <w:t>˂ 45 %</w:t>
      </w:r>
      <w:r w:rsidRPr="001416ED">
        <w:rPr>
          <w:lang w:val="uk-UA"/>
        </w:rPr>
        <w:t xml:space="preserve">. </w:t>
      </w:r>
    </w:p>
    <w:p w:rsidR="00A94906" w:rsidRPr="001416ED" w:rsidRDefault="00D23094" w:rsidP="00A14841">
      <w:pPr>
        <w:spacing w:line="360" w:lineRule="auto"/>
        <w:ind w:firstLine="709"/>
        <w:jc w:val="both"/>
        <w:rPr>
          <w:lang w:val="uk-UA"/>
        </w:rPr>
      </w:pPr>
      <w:r w:rsidRPr="001416ED">
        <w:rPr>
          <w:lang w:val="uk-UA"/>
        </w:rPr>
        <w:t>Рівень САТ та ЧСС</w:t>
      </w:r>
      <w:r w:rsidR="004950D6" w:rsidRPr="001416ED">
        <w:rPr>
          <w:lang w:val="uk-UA"/>
        </w:rPr>
        <w:t xml:space="preserve"> вияви</w:t>
      </w:r>
      <w:r w:rsidR="00F32245" w:rsidRPr="001416ED">
        <w:rPr>
          <w:lang w:val="uk-UA"/>
        </w:rPr>
        <w:t>лися</w:t>
      </w:r>
      <w:r w:rsidRPr="001416ED">
        <w:rPr>
          <w:lang w:val="uk-UA"/>
        </w:rPr>
        <w:t xml:space="preserve"> вірогідно вищи</w:t>
      </w:r>
      <w:r w:rsidR="00F32245" w:rsidRPr="001416ED">
        <w:rPr>
          <w:lang w:val="uk-UA"/>
        </w:rPr>
        <w:t xml:space="preserve">ми </w:t>
      </w:r>
      <w:r w:rsidRPr="001416ED">
        <w:rPr>
          <w:lang w:val="uk-UA"/>
        </w:rPr>
        <w:t xml:space="preserve">у </w:t>
      </w:r>
      <w:r w:rsidR="004950D6" w:rsidRPr="001416ED">
        <w:rPr>
          <w:lang w:val="uk-UA"/>
        </w:rPr>
        <w:t>володарів</w:t>
      </w:r>
      <w:r w:rsidRPr="001416ED">
        <w:rPr>
          <w:lang w:val="uk-UA"/>
        </w:rPr>
        <w:t xml:space="preserve"> алелі </w:t>
      </w:r>
      <w:r w:rsidRPr="001416ED">
        <w:rPr>
          <w:lang w:val="en-US"/>
        </w:rPr>
        <w:t>Asn</w:t>
      </w:r>
      <w:r w:rsidRPr="001416ED">
        <w:rPr>
          <w:lang w:val="uk-UA"/>
        </w:rPr>
        <w:t xml:space="preserve">, ніж генотипу </w:t>
      </w:r>
      <w:r w:rsidRPr="001416ED">
        <w:rPr>
          <w:lang w:val="en-US"/>
        </w:rPr>
        <w:t>Lys</w:t>
      </w:r>
      <w:r w:rsidRPr="001416ED">
        <w:rPr>
          <w:lang w:val="uk-UA"/>
        </w:rPr>
        <w:t>/</w:t>
      </w:r>
      <w:r w:rsidRPr="001416ED">
        <w:rPr>
          <w:lang w:val="en-US"/>
        </w:rPr>
        <w:t>Lys</w:t>
      </w:r>
      <w:r w:rsidRPr="001416ED">
        <w:rPr>
          <w:lang w:val="uk-UA"/>
        </w:rPr>
        <w:t xml:space="preserve"> в кожній групі дослідження, проте немає різниці у цих показниках при різній систолічній функції ЛШ. </w:t>
      </w:r>
    </w:p>
    <w:p w:rsidR="00D23094" w:rsidRPr="001416ED" w:rsidRDefault="004950D6" w:rsidP="00A14841">
      <w:pPr>
        <w:spacing w:line="360" w:lineRule="auto"/>
        <w:ind w:firstLine="709"/>
        <w:jc w:val="both"/>
        <w:rPr>
          <w:lang w:val="uk-UA"/>
        </w:rPr>
      </w:pPr>
      <w:r w:rsidRPr="001416ED">
        <w:rPr>
          <w:lang w:val="uk-UA"/>
        </w:rPr>
        <w:t>Тобто, переважна</w:t>
      </w:r>
      <w:r w:rsidR="00D23094" w:rsidRPr="001416ED">
        <w:rPr>
          <w:lang w:val="uk-UA"/>
        </w:rPr>
        <w:t xml:space="preserve"> більшість показників </w:t>
      </w:r>
      <w:r w:rsidRPr="001416ED">
        <w:rPr>
          <w:lang w:val="uk-UA"/>
        </w:rPr>
        <w:t xml:space="preserve">ехокардіографії </w:t>
      </w:r>
      <w:r w:rsidR="00820C89" w:rsidRPr="001416ED">
        <w:rPr>
          <w:lang w:val="uk-UA"/>
        </w:rPr>
        <w:t>змінена у пацієнтів з ФВ ˂ 45 %.</w:t>
      </w:r>
      <w:r w:rsidR="00D23094" w:rsidRPr="001416ED">
        <w:rPr>
          <w:lang w:val="uk-UA"/>
        </w:rPr>
        <w:t xml:space="preserve"> </w:t>
      </w:r>
      <w:r w:rsidR="00820C89" w:rsidRPr="001416ED">
        <w:rPr>
          <w:lang w:val="uk-UA"/>
        </w:rPr>
        <w:t>Найвираженіші зрушення</w:t>
      </w:r>
      <w:r w:rsidR="00D23094" w:rsidRPr="001416ED">
        <w:rPr>
          <w:lang w:val="uk-UA"/>
        </w:rPr>
        <w:t xml:space="preserve"> показали </w:t>
      </w:r>
      <w:r w:rsidRPr="001416ED">
        <w:rPr>
          <w:lang w:val="uk-UA"/>
        </w:rPr>
        <w:t>но</w:t>
      </w:r>
      <w:r w:rsidR="00F32245" w:rsidRPr="001416ED">
        <w:rPr>
          <w:lang w:val="uk-UA"/>
        </w:rPr>
        <w:t>с</w:t>
      </w:r>
      <w:r w:rsidRPr="001416ED">
        <w:rPr>
          <w:lang w:val="uk-UA"/>
        </w:rPr>
        <w:t>ії</w:t>
      </w:r>
      <w:r w:rsidR="00D23094" w:rsidRPr="001416ED">
        <w:rPr>
          <w:lang w:val="uk-UA"/>
        </w:rPr>
        <w:t xml:space="preserve"> алелі </w:t>
      </w:r>
      <w:r w:rsidR="00D23094" w:rsidRPr="001416ED">
        <w:rPr>
          <w:lang w:val="en-US"/>
        </w:rPr>
        <w:t>Asn</w:t>
      </w:r>
      <w:r w:rsidR="00D23094" w:rsidRPr="001416ED">
        <w:rPr>
          <w:lang w:val="uk-UA"/>
        </w:rPr>
        <w:t xml:space="preserve"> з даної групи дослідження, що може вказувати на негативний прогноз носійства алелі </w:t>
      </w:r>
      <w:r w:rsidR="00D23094" w:rsidRPr="001416ED">
        <w:rPr>
          <w:lang w:val="en-US"/>
        </w:rPr>
        <w:t>Asn</w:t>
      </w:r>
      <w:r w:rsidR="00D23094" w:rsidRPr="001416ED">
        <w:rPr>
          <w:lang w:val="uk-UA"/>
        </w:rPr>
        <w:t xml:space="preserve"> у чоловіків з ХСН </w:t>
      </w:r>
      <w:r w:rsidR="004A4E68" w:rsidRPr="001416ED">
        <w:rPr>
          <w:lang w:val="uk-UA"/>
        </w:rPr>
        <w:t>ІІ А</w:t>
      </w:r>
      <w:r w:rsidR="00D23094" w:rsidRPr="001416ED">
        <w:rPr>
          <w:lang w:val="uk-UA"/>
        </w:rPr>
        <w:t xml:space="preserve"> ст., що розвинулась на тлі ЕГ.</w:t>
      </w:r>
    </w:p>
    <w:p w:rsidR="00073EC6" w:rsidRPr="001416ED" w:rsidRDefault="005E70AF" w:rsidP="00F32245">
      <w:pPr>
        <w:spacing w:line="360" w:lineRule="auto"/>
        <w:ind w:firstLine="708"/>
        <w:jc w:val="both"/>
        <w:rPr>
          <w:lang w:val="uk-UA"/>
        </w:rPr>
      </w:pPr>
      <w:r w:rsidRPr="001416ED">
        <w:rPr>
          <w:lang w:val="uk-UA"/>
        </w:rPr>
        <w:lastRenderedPageBreak/>
        <w:t>У</w:t>
      </w:r>
      <w:r w:rsidR="00073EC6" w:rsidRPr="001416ED">
        <w:rPr>
          <w:lang w:val="uk-UA"/>
        </w:rPr>
        <w:t xml:space="preserve"> пацієнтів з </w:t>
      </w:r>
      <w:r w:rsidR="00A63A7A" w:rsidRPr="001416ED">
        <w:rPr>
          <w:lang w:val="uk-UA"/>
        </w:rPr>
        <w:t>ГХ ІІІ ст</w:t>
      </w:r>
      <w:r w:rsidR="00820C89" w:rsidRPr="001416ED">
        <w:rPr>
          <w:lang w:val="uk-UA"/>
        </w:rPr>
        <w:t>.</w:t>
      </w:r>
      <w:r w:rsidR="00A9385F" w:rsidRPr="001416ED">
        <w:rPr>
          <w:lang w:val="en-US"/>
        </w:rPr>
        <w:t xml:space="preserve"> </w:t>
      </w:r>
      <w:r w:rsidRPr="001416ED">
        <w:rPr>
          <w:lang w:val="uk-UA"/>
        </w:rPr>
        <w:t>вірогідно</w:t>
      </w:r>
      <w:r w:rsidR="00073EC6" w:rsidRPr="001416ED">
        <w:rPr>
          <w:lang w:val="uk-UA"/>
        </w:rPr>
        <w:t xml:space="preserve"> частіше </w:t>
      </w:r>
      <w:r w:rsidR="00820C89" w:rsidRPr="001416ED">
        <w:rPr>
          <w:lang w:val="uk-UA"/>
        </w:rPr>
        <w:t>фікс</w:t>
      </w:r>
      <w:r w:rsidR="004E1F0B">
        <w:rPr>
          <w:lang w:val="uk-UA"/>
        </w:rPr>
        <w:t>у</w:t>
      </w:r>
      <w:r w:rsidR="00820C89" w:rsidRPr="001416ED">
        <w:rPr>
          <w:lang w:val="uk-UA"/>
        </w:rPr>
        <w:t xml:space="preserve">вали </w:t>
      </w:r>
      <w:r w:rsidR="00073EC6" w:rsidRPr="001416ED">
        <w:rPr>
          <w:lang w:val="uk-UA"/>
        </w:rPr>
        <w:t>ВГЛШ т</w:t>
      </w:r>
      <w:r w:rsidR="004E1F0B">
        <w:rPr>
          <w:lang w:val="uk-UA"/>
        </w:rPr>
        <w:t xml:space="preserve">а ЕГЛШ при носійстві будь–якого </w:t>
      </w:r>
      <w:r w:rsidR="00E6164F">
        <w:rPr>
          <w:lang w:val="uk-UA"/>
        </w:rPr>
        <w:t>поліморфного варіанту гена</w:t>
      </w:r>
      <w:r w:rsidR="00073EC6" w:rsidRPr="001416ED">
        <w:rPr>
          <w:lang w:val="uk-UA"/>
        </w:rPr>
        <w:t xml:space="preserve"> ЕТ</w:t>
      </w:r>
      <w:r w:rsidR="00BC0119" w:rsidRPr="001416ED">
        <w:rPr>
          <w:lang w:val="uk-UA"/>
        </w:rPr>
        <w:t>–</w:t>
      </w:r>
      <w:r w:rsidR="00073EC6" w:rsidRPr="001416ED">
        <w:rPr>
          <w:lang w:val="uk-UA"/>
        </w:rPr>
        <w:t>1</w:t>
      </w:r>
      <w:r w:rsidRPr="001416ED">
        <w:rPr>
          <w:lang w:val="uk-UA"/>
        </w:rPr>
        <w:t>, проте р</w:t>
      </w:r>
      <w:r w:rsidR="00F32245" w:rsidRPr="001416ED">
        <w:rPr>
          <w:lang w:val="uk-UA"/>
        </w:rPr>
        <w:t>ізниці</w:t>
      </w:r>
      <w:r w:rsidR="00073EC6" w:rsidRPr="001416ED">
        <w:rPr>
          <w:lang w:val="uk-UA"/>
        </w:rPr>
        <w:t xml:space="preserve"> між володарями </w:t>
      </w:r>
      <w:r w:rsidR="004E1F0B">
        <w:rPr>
          <w:lang w:val="uk-UA"/>
        </w:rPr>
        <w:t xml:space="preserve">різних </w:t>
      </w:r>
      <w:r w:rsidR="00FF5C21">
        <w:rPr>
          <w:lang w:val="uk-UA"/>
        </w:rPr>
        <w:t>варіантів гена</w:t>
      </w:r>
      <w:r w:rsidR="00073EC6" w:rsidRPr="001416ED">
        <w:rPr>
          <w:lang w:val="uk-UA"/>
        </w:rPr>
        <w:t xml:space="preserve"> ЕТ</w:t>
      </w:r>
      <w:r w:rsidR="00BC0119" w:rsidRPr="001416ED">
        <w:rPr>
          <w:lang w:val="uk-UA"/>
        </w:rPr>
        <w:t>–</w:t>
      </w:r>
      <w:r w:rsidR="00073EC6" w:rsidRPr="001416ED">
        <w:rPr>
          <w:lang w:val="uk-UA"/>
        </w:rPr>
        <w:t xml:space="preserve">1 не встановлено. </w:t>
      </w:r>
    </w:p>
    <w:p w:rsidR="007C5652" w:rsidRPr="001416ED" w:rsidRDefault="004E1F0B" w:rsidP="007C5652">
      <w:pPr>
        <w:spacing w:line="360" w:lineRule="auto"/>
        <w:ind w:firstLine="709"/>
        <w:jc w:val="both"/>
        <w:rPr>
          <w:rFonts w:eastAsiaTheme="minorHAnsi"/>
          <w:lang w:val="uk-UA" w:eastAsia="en-US"/>
        </w:rPr>
      </w:pPr>
      <w:r>
        <w:rPr>
          <w:lang w:val="uk-UA"/>
        </w:rPr>
        <w:t>Досліджено</w:t>
      </w:r>
      <w:r w:rsidR="00D235D4" w:rsidRPr="001416ED">
        <w:rPr>
          <w:lang w:val="uk-UA"/>
        </w:rPr>
        <w:t xml:space="preserve">, що у осіб з </w:t>
      </w:r>
      <w:r w:rsidR="00EB7653" w:rsidRPr="001416ED">
        <w:rPr>
          <w:lang w:val="uk-UA"/>
        </w:rPr>
        <w:t>ГХ І</w:t>
      </w:r>
      <w:r w:rsidR="004A4E68" w:rsidRPr="001416ED">
        <w:rPr>
          <w:lang w:val="uk-UA"/>
        </w:rPr>
        <w:t xml:space="preserve">ІІ </w:t>
      </w:r>
      <w:r w:rsidR="00D235D4" w:rsidRPr="001416ED">
        <w:rPr>
          <w:lang w:val="uk-UA"/>
        </w:rPr>
        <w:t xml:space="preserve">ст. – носіїв генотипу </w:t>
      </w:r>
      <w:r w:rsidR="00D235D4" w:rsidRPr="001416ED">
        <w:rPr>
          <w:rFonts w:eastAsiaTheme="minorHAnsi"/>
          <w:lang w:val="en-US" w:eastAsia="en-US"/>
        </w:rPr>
        <w:t>Lys</w:t>
      </w:r>
      <w:r w:rsidR="00D235D4" w:rsidRPr="001416ED">
        <w:rPr>
          <w:rFonts w:eastAsiaTheme="minorHAnsi"/>
          <w:lang w:val="uk-UA" w:eastAsia="en-US"/>
        </w:rPr>
        <w:t>/</w:t>
      </w:r>
      <w:r w:rsidR="00D235D4" w:rsidRPr="001416ED">
        <w:rPr>
          <w:rFonts w:eastAsiaTheme="minorHAnsi"/>
          <w:lang w:val="en-US" w:eastAsia="en-US"/>
        </w:rPr>
        <w:t>Lys</w:t>
      </w:r>
      <w:r w:rsidR="00D235D4" w:rsidRPr="001416ED">
        <w:rPr>
          <w:rFonts w:eastAsiaTheme="minorHAnsi"/>
          <w:lang w:val="uk-UA" w:eastAsia="en-US"/>
        </w:rPr>
        <w:t xml:space="preserve"> та алелі  </w:t>
      </w:r>
      <w:r w:rsidR="00D235D4" w:rsidRPr="001416ED">
        <w:rPr>
          <w:rFonts w:eastAsiaTheme="minorHAnsi"/>
          <w:lang w:val="en-US" w:eastAsia="en-US"/>
        </w:rPr>
        <w:t>Asn</w:t>
      </w:r>
      <w:r w:rsidR="00D235D4" w:rsidRPr="001416ED">
        <w:rPr>
          <w:rFonts w:eastAsiaTheme="minorHAnsi"/>
          <w:lang w:val="uk-UA" w:eastAsia="en-US"/>
        </w:rPr>
        <w:t xml:space="preserve"> вірогідно частіше виявляється </w:t>
      </w:r>
      <w:r w:rsidR="007C5652" w:rsidRPr="001416ED">
        <w:rPr>
          <w:rFonts w:eastAsiaTheme="minorHAnsi"/>
          <w:lang w:val="uk-UA" w:eastAsia="en-US"/>
        </w:rPr>
        <w:t>псевдонормальний</w:t>
      </w:r>
      <w:r w:rsidR="00D235D4" w:rsidRPr="001416ED">
        <w:rPr>
          <w:rFonts w:eastAsiaTheme="minorHAnsi"/>
          <w:lang w:val="uk-UA" w:eastAsia="en-US"/>
        </w:rPr>
        <w:t xml:space="preserve"> тип ТМК, проте різниці між носіями </w:t>
      </w:r>
      <w:r w:rsidR="00E6164F">
        <w:rPr>
          <w:rFonts w:eastAsiaTheme="minorHAnsi"/>
          <w:lang w:val="uk-UA" w:eastAsia="en-US"/>
        </w:rPr>
        <w:t>поліморфних варіантів гена ЕТ–1</w:t>
      </w:r>
      <w:r w:rsidR="00D235D4" w:rsidRPr="001416ED">
        <w:rPr>
          <w:rFonts w:eastAsiaTheme="minorHAnsi"/>
          <w:lang w:val="uk-UA" w:eastAsia="en-US"/>
        </w:rPr>
        <w:t xml:space="preserve"> не вия</w:t>
      </w:r>
      <w:r w:rsidR="00002482" w:rsidRPr="001416ED">
        <w:rPr>
          <w:rFonts w:eastAsiaTheme="minorHAnsi"/>
          <w:lang w:val="uk-UA" w:eastAsia="en-US"/>
        </w:rPr>
        <w:t>в</w:t>
      </w:r>
      <w:r w:rsidR="00D235D4" w:rsidRPr="001416ED">
        <w:rPr>
          <w:rFonts w:eastAsiaTheme="minorHAnsi"/>
          <w:lang w:val="uk-UA" w:eastAsia="en-US"/>
        </w:rPr>
        <w:t xml:space="preserve">лено. </w:t>
      </w:r>
    </w:p>
    <w:p w:rsidR="006C4EFF" w:rsidRPr="001416ED" w:rsidRDefault="006C4EFF" w:rsidP="006C4EFF">
      <w:pPr>
        <w:spacing w:line="360" w:lineRule="auto"/>
        <w:ind w:firstLine="709"/>
        <w:jc w:val="both"/>
        <w:rPr>
          <w:rFonts w:eastAsiaTheme="minorHAnsi"/>
          <w:kern w:val="11"/>
          <w:lang w:val="uk-UA" w:eastAsia="en-US"/>
        </w:rPr>
      </w:pPr>
      <w:r w:rsidRPr="001416ED">
        <w:rPr>
          <w:rFonts w:eastAsiaTheme="minorHAnsi"/>
          <w:kern w:val="11"/>
          <w:lang w:val="uk-UA" w:eastAsia="en-US"/>
        </w:rPr>
        <w:t>Наступним кроком стало визначення плазмової концентрації ЕТ</w:t>
      </w:r>
      <w:r w:rsidR="00BC0119" w:rsidRPr="001416ED">
        <w:rPr>
          <w:rFonts w:eastAsiaTheme="minorHAnsi"/>
          <w:kern w:val="11"/>
          <w:lang w:val="uk-UA" w:eastAsia="en-US"/>
        </w:rPr>
        <w:t>–</w:t>
      </w:r>
      <w:r w:rsidRPr="001416ED">
        <w:rPr>
          <w:rFonts w:eastAsiaTheme="minorHAnsi"/>
          <w:kern w:val="11"/>
          <w:lang w:val="uk-UA" w:eastAsia="en-US"/>
        </w:rPr>
        <w:t>1 у чоловік</w:t>
      </w:r>
      <w:r w:rsidR="002B5077" w:rsidRPr="001416ED">
        <w:rPr>
          <w:rFonts w:eastAsiaTheme="minorHAnsi"/>
          <w:kern w:val="11"/>
          <w:lang w:val="uk-UA" w:eastAsia="en-US"/>
        </w:rPr>
        <w:t>і</w:t>
      </w:r>
      <w:r w:rsidRPr="001416ED">
        <w:rPr>
          <w:rFonts w:eastAsiaTheme="minorHAnsi"/>
          <w:kern w:val="11"/>
          <w:lang w:val="uk-UA" w:eastAsia="en-US"/>
        </w:rPr>
        <w:t xml:space="preserve">в з ГХ різної </w:t>
      </w:r>
      <w:r w:rsidR="00046A18" w:rsidRPr="001416ED">
        <w:rPr>
          <w:rFonts w:eastAsiaTheme="minorHAnsi"/>
          <w:kern w:val="11"/>
          <w:lang w:val="uk-UA" w:eastAsia="en-US"/>
        </w:rPr>
        <w:t>стадії</w:t>
      </w:r>
      <w:r w:rsidRPr="001416ED">
        <w:rPr>
          <w:rFonts w:eastAsiaTheme="minorHAnsi"/>
          <w:kern w:val="11"/>
          <w:lang w:val="uk-UA" w:eastAsia="en-US"/>
        </w:rPr>
        <w:t xml:space="preserve"> при дослідженні структурно</w:t>
      </w:r>
      <w:r w:rsidR="00BC0119" w:rsidRPr="001416ED">
        <w:rPr>
          <w:rFonts w:eastAsiaTheme="minorHAnsi"/>
          <w:kern w:val="11"/>
          <w:lang w:val="uk-UA" w:eastAsia="en-US"/>
        </w:rPr>
        <w:t>–</w:t>
      </w:r>
      <w:r w:rsidRPr="001416ED">
        <w:rPr>
          <w:rFonts w:eastAsiaTheme="minorHAnsi"/>
          <w:kern w:val="11"/>
          <w:lang w:val="uk-UA" w:eastAsia="en-US"/>
        </w:rPr>
        <w:t>функціональних змін міокарда та системної гемодинаміки.</w:t>
      </w:r>
    </w:p>
    <w:p w:rsidR="006C4EFF" w:rsidRPr="001416ED" w:rsidRDefault="006C4EFF" w:rsidP="006C4EFF">
      <w:pPr>
        <w:spacing w:line="360" w:lineRule="auto"/>
        <w:ind w:firstLine="709"/>
        <w:jc w:val="both"/>
        <w:rPr>
          <w:rFonts w:eastAsiaTheme="minorHAnsi"/>
          <w:kern w:val="11"/>
          <w:lang w:val="uk-UA" w:eastAsia="en-US"/>
        </w:rPr>
      </w:pPr>
      <w:r w:rsidRPr="001416ED">
        <w:rPr>
          <w:rFonts w:eastAsiaTheme="minorHAnsi"/>
          <w:kern w:val="11"/>
          <w:lang w:val="uk-UA" w:eastAsia="en-US"/>
        </w:rPr>
        <w:t xml:space="preserve">Визначено, що у </w:t>
      </w:r>
      <w:r w:rsidR="00EB7653" w:rsidRPr="001416ED">
        <w:rPr>
          <w:rFonts w:eastAsiaTheme="minorHAnsi"/>
          <w:kern w:val="11"/>
          <w:lang w:val="uk-UA" w:eastAsia="en-US"/>
        </w:rPr>
        <w:t xml:space="preserve">чоловіків з ГХ ІІІ ст. </w:t>
      </w:r>
      <w:r w:rsidRPr="001416ED">
        <w:rPr>
          <w:rFonts w:eastAsiaTheme="minorHAnsi"/>
          <w:kern w:val="11"/>
          <w:lang w:val="uk-UA" w:eastAsia="en-US"/>
        </w:rPr>
        <w:t>при будь</w:t>
      </w:r>
      <w:r w:rsidR="00BC0119" w:rsidRPr="001416ED">
        <w:rPr>
          <w:rFonts w:eastAsiaTheme="minorHAnsi"/>
          <w:kern w:val="11"/>
          <w:lang w:val="uk-UA" w:eastAsia="en-US"/>
        </w:rPr>
        <w:t>–</w:t>
      </w:r>
      <w:r w:rsidRPr="001416ED">
        <w:rPr>
          <w:rFonts w:eastAsiaTheme="minorHAnsi"/>
          <w:kern w:val="11"/>
          <w:lang w:val="uk-UA" w:eastAsia="en-US"/>
        </w:rPr>
        <w:t>якій ФВ ЛШ та</w:t>
      </w:r>
      <w:r w:rsidRPr="001416ED">
        <w:rPr>
          <w:lang w:val="uk-UA"/>
        </w:rPr>
        <w:t xml:space="preserve"> носійстві алелі </w:t>
      </w:r>
      <w:r w:rsidRPr="001416ED">
        <w:rPr>
          <w:rFonts w:eastAsiaTheme="minorHAnsi"/>
          <w:kern w:val="11"/>
          <w:lang w:val="en-US" w:eastAsia="en-US"/>
        </w:rPr>
        <w:t>Asn</w:t>
      </w:r>
      <w:r w:rsidRPr="001416ED">
        <w:rPr>
          <w:rFonts w:eastAsiaTheme="minorHAnsi"/>
          <w:kern w:val="11"/>
          <w:lang w:val="uk-UA" w:eastAsia="en-US"/>
        </w:rPr>
        <w:t>, рівень ЕТ</w:t>
      </w:r>
      <w:r w:rsidR="00BC0119" w:rsidRPr="001416ED">
        <w:rPr>
          <w:rFonts w:eastAsiaTheme="minorHAnsi"/>
          <w:kern w:val="11"/>
          <w:lang w:val="uk-UA" w:eastAsia="en-US"/>
        </w:rPr>
        <w:t>–</w:t>
      </w:r>
      <w:r w:rsidRPr="001416ED">
        <w:rPr>
          <w:rFonts w:eastAsiaTheme="minorHAnsi"/>
          <w:kern w:val="11"/>
          <w:lang w:val="uk-UA" w:eastAsia="en-US"/>
        </w:rPr>
        <w:t>1 в плазмі крові вірогідно вищ</w:t>
      </w:r>
      <w:r w:rsidR="00EB7653" w:rsidRPr="001416ED">
        <w:rPr>
          <w:rFonts w:eastAsiaTheme="minorHAnsi"/>
          <w:kern w:val="11"/>
          <w:lang w:val="uk-UA" w:eastAsia="en-US"/>
        </w:rPr>
        <w:t>ий</w:t>
      </w:r>
      <w:r w:rsidRPr="001416ED">
        <w:rPr>
          <w:rFonts w:eastAsiaTheme="minorHAnsi"/>
          <w:kern w:val="11"/>
          <w:lang w:val="uk-UA" w:eastAsia="en-US"/>
        </w:rPr>
        <w:t xml:space="preserve">, ніж у пацієнтів з генотипом </w:t>
      </w:r>
      <w:r w:rsidRPr="001416ED">
        <w:rPr>
          <w:rFonts w:eastAsiaTheme="minorHAnsi"/>
          <w:kern w:val="11"/>
          <w:lang w:val="en-US" w:eastAsia="en-US"/>
        </w:rPr>
        <w:t>Lys</w:t>
      </w:r>
      <w:r w:rsidRPr="001416ED">
        <w:rPr>
          <w:rFonts w:eastAsiaTheme="minorHAnsi"/>
          <w:kern w:val="11"/>
          <w:lang w:val="uk-UA" w:eastAsia="en-US"/>
        </w:rPr>
        <w:t>/</w:t>
      </w:r>
      <w:r w:rsidRPr="001416ED">
        <w:rPr>
          <w:rFonts w:eastAsiaTheme="minorHAnsi"/>
          <w:kern w:val="11"/>
          <w:lang w:val="en-US" w:eastAsia="en-US"/>
        </w:rPr>
        <w:t>Lys</w:t>
      </w:r>
      <w:r w:rsidRPr="001416ED">
        <w:rPr>
          <w:rFonts w:eastAsiaTheme="minorHAnsi"/>
          <w:kern w:val="11"/>
          <w:lang w:val="uk-UA" w:eastAsia="en-US"/>
        </w:rPr>
        <w:t xml:space="preserve">. </w:t>
      </w:r>
      <w:r w:rsidR="00820C89" w:rsidRPr="001416ED">
        <w:rPr>
          <w:rFonts w:eastAsiaTheme="minorHAnsi"/>
          <w:kern w:val="11"/>
          <w:lang w:val="uk-UA" w:eastAsia="en-US"/>
        </w:rPr>
        <w:t>ФВ ˃ 45 %</w:t>
      </w:r>
      <w:r w:rsidRPr="001416ED">
        <w:rPr>
          <w:rFonts w:eastAsiaTheme="minorHAnsi"/>
          <w:kern w:val="11"/>
          <w:lang w:val="uk-UA" w:eastAsia="en-US"/>
        </w:rPr>
        <w:t xml:space="preserve"> при носійстві будь</w:t>
      </w:r>
      <w:r w:rsidR="00BC0119" w:rsidRPr="001416ED">
        <w:rPr>
          <w:rFonts w:eastAsiaTheme="minorHAnsi"/>
          <w:kern w:val="11"/>
          <w:lang w:val="uk-UA" w:eastAsia="en-US"/>
        </w:rPr>
        <w:t>–</w:t>
      </w:r>
      <w:r w:rsidRPr="001416ED">
        <w:rPr>
          <w:rFonts w:eastAsiaTheme="minorHAnsi"/>
          <w:kern w:val="11"/>
          <w:lang w:val="uk-UA" w:eastAsia="en-US"/>
        </w:rPr>
        <w:t xml:space="preserve">якого </w:t>
      </w:r>
      <w:r w:rsidR="00E6164F">
        <w:rPr>
          <w:rFonts w:eastAsiaTheme="minorHAnsi"/>
          <w:kern w:val="11"/>
          <w:lang w:val="uk-UA" w:eastAsia="en-US"/>
        </w:rPr>
        <w:t>поліморфного варіанту гена</w:t>
      </w:r>
      <w:r w:rsidRPr="001416ED">
        <w:rPr>
          <w:rFonts w:eastAsiaTheme="minorHAnsi"/>
          <w:kern w:val="11"/>
          <w:lang w:val="uk-UA" w:eastAsia="en-US"/>
        </w:rPr>
        <w:t xml:space="preserve"> ЕТ</w:t>
      </w:r>
      <w:r w:rsidR="00BC0119" w:rsidRPr="001416ED">
        <w:rPr>
          <w:rFonts w:eastAsiaTheme="minorHAnsi"/>
          <w:kern w:val="11"/>
          <w:lang w:val="uk-UA" w:eastAsia="en-US"/>
        </w:rPr>
        <w:t>–</w:t>
      </w:r>
      <w:r w:rsidRPr="001416ED">
        <w:rPr>
          <w:rFonts w:eastAsiaTheme="minorHAnsi"/>
          <w:kern w:val="11"/>
          <w:lang w:val="uk-UA" w:eastAsia="en-US"/>
        </w:rPr>
        <w:t xml:space="preserve">1 асоціюється з нижчим рівнем пептиду ніж при </w:t>
      </w:r>
      <w:r w:rsidR="00820C89" w:rsidRPr="001416ED">
        <w:rPr>
          <w:rFonts w:eastAsiaTheme="minorHAnsi"/>
          <w:kern w:val="11"/>
          <w:lang w:val="uk-UA" w:eastAsia="en-US"/>
        </w:rPr>
        <w:t>ФВ ˂ 45 %.</w:t>
      </w:r>
    </w:p>
    <w:p w:rsidR="00F32245" w:rsidRPr="001416ED" w:rsidRDefault="00884038" w:rsidP="007C228F">
      <w:pPr>
        <w:spacing w:line="360" w:lineRule="auto"/>
        <w:ind w:firstLine="709"/>
        <w:jc w:val="both"/>
        <w:rPr>
          <w:rFonts w:eastAsiaTheme="minorHAnsi"/>
          <w:lang w:val="uk-UA" w:eastAsia="en-US"/>
        </w:rPr>
      </w:pPr>
      <w:r w:rsidRPr="001416ED">
        <w:rPr>
          <w:rFonts w:eastAsiaTheme="minorHAnsi"/>
          <w:lang w:val="uk-UA" w:eastAsia="en-US"/>
        </w:rPr>
        <w:t>Плазмові концентрації ЕТ</w:t>
      </w:r>
      <w:r w:rsidR="00BC0119" w:rsidRPr="001416ED">
        <w:rPr>
          <w:rFonts w:eastAsiaTheme="minorHAnsi"/>
          <w:lang w:val="uk-UA" w:eastAsia="en-US"/>
        </w:rPr>
        <w:t>–</w:t>
      </w:r>
      <w:r w:rsidRPr="001416ED">
        <w:rPr>
          <w:rFonts w:eastAsiaTheme="minorHAnsi"/>
          <w:lang w:val="uk-UA" w:eastAsia="en-US"/>
        </w:rPr>
        <w:t>1 у</w:t>
      </w:r>
      <w:r w:rsidR="007C228F" w:rsidRPr="001416ED">
        <w:rPr>
          <w:rFonts w:eastAsiaTheme="minorHAnsi"/>
          <w:lang w:val="uk-UA" w:eastAsia="en-US"/>
        </w:rPr>
        <w:t xml:space="preserve"> чоловіків з </w:t>
      </w:r>
      <w:r w:rsidR="00A63A7A" w:rsidRPr="001416ED">
        <w:rPr>
          <w:rFonts w:eastAsiaTheme="minorHAnsi"/>
          <w:lang w:val="uk-UA" w:eastAsia="en-US"/>
        </w:rPr>
        <w:t>ГХ ІІІ ст</w:t>
      </w:r>
      <w:r w:rsidR="00820C89" w:rsidRPr="001416ED">
        <w:rPr>
          <w:rFonts w:eastAsiaTheme="minorHAnsi"/>
          <w:lang w:val="uk-UA" w:eastAsia="en-US"/>
        </w:rPr>
        <w:t>.</w:t>
      </w:r>
      <w:r w:rsidR="00EB7653" w:rsidRPr="001416ED">
        <w:rPr>
          <w:rFonts w:eastAsiaTheme="minorHAnsi"/>
          <w:lang w:val="uk-UA" w:eastAsia="en-US"/>
        </w:rPr>
        <w:t xml:space="preserve"> </w:t>
      </w:r>
      <w:r w:rsidR="007C228F" w:rsidRPr="001416ED">
        <w:rPr>
          <w:rFonts w:eastAsiaTheme="minorHAnsi"/>
          <w:lang w:val="uk-UA" w:eastAsia="en-US"/>
        </w:rPr>
        <w:t xml:space="preserve">при усіх варіантах ГЛШ вірогідно вищі, ніж у чоловіків з ГХ ІІ ст. </w:t>
      </w:r>
    </w:p>
    <w:p w:rsidR="007C228F" w:rsidRPr="001416ED" w:rsidRDefault="007C228F" w:rsidP="007C228F">
      <w:pPr>
        <w:spacing w:line="360" w:lineRule="auto"/>
        <w:ind w:firstLine="709"/>
        <w:jc w:val="both"/>
        <w:rPr>
          <w:rFonts w:eastAsiaTheme="minorHAnsi"/>
          <w:lang w:val="uk-UA" w:eastAsia="en-US"/>
        </w:rPr>
      </w:pPr>
      <w:r w:rsidRPr="001416ED">
        <w:rPr>
          <w:rFonts w:eastAsiaTheme="minorHAnsi"/>
          <w:lang w:val="uk-UA" w:eastAsia="en-US"/>
        </w:rPr>
        <w:t xml:space="preserve">У осіб з ГХ ІІ ст. </w:t>
      </w:r>
      <w:r w:rsidR="00381E32" w:rsidRPr="001416ED">
        <w:rPr>
          <w:rFonts w:eastAsiaTheme="minorHAnsi"/>
          <w:lang w:val="uk-UA" w:eastAsia="en-US"/>
        </w:rPr>
        <w:t>ДД асоцію</w:t>
      </w:r>
      <w:r w:rsidR="002B5077" w:rsidRPr="001416ED">
        <w:rPr>
          <w:rFonts w:eastAsiaTheme="minorHAnsi"/>
          <w:lang w:val="uk-UA" w:eastAsia="en-US"/>
        </w:rPr>
        <w:t>ю</w:t>
      </w:r>
      <w:r w:rsidR="00381E32" w:rsidRPr="001416ED">
        <w:rPr>
          <w:rFonts w:eastAsiaTheme="minorHAnsi"/>
          <w:lang w:val="uk-UA" w:eastAsia="en-US"/>
        </w:rPr>
        <w:t>ться з підвищеним</w:t>
      </w:r>
      <w:r w:rsidRPr="001416ED">
        <w:rPr>
          <w:rFonts w:eastAsiaTheme="minorHAnsi"/>
          <w:lang w:val="uk-UA" w:eastAsia="en-US"/>
        </w:rPr>
        <w:t xml:space="preserve"> рів</w:t>
      </w:r>
      <w:r w:rsidR="00381E32" w:rsidRPr="001416ED">
        <w:rPr>
          <w:rFonts w:eastAsiaTheme="minorHAnsi"/>
          <w:lang w:val="uk-UA" w:eastAsia="en-US"/>
        </w:rPr>
        <w:t>нем ЕТ</w:t>
      </w:r>
      <w:r w:rsidR="00BC0119" w:rsidRPr="001416ED">
        <w:rPr>
          <w:rFonts w:eastAsiaTheme="minorHAnsi"/>
          <w:lang w:val="uk-UA" w:eastAsia="en-US"/>
        </w:rPr>
        <w:t>–</w:t>
      </w:r>
      <w:r w:rsidR="00381E32" w:rsidRPr="001416ED">
        <w:rPr>
          <w:rFonts w:eastAsiaTheme="minorHAnsi"/>
          <w:lang w:val="uk-UA" w:eastAsia="en-US"/>
        </w:rPr>
        <w:t xml:space="preserve">1 в плазмі крові. </w:t>
      </w:r>
      <w:r w:rsidRPr="001416ED">
        <w:rPr>
          <w:rFonts w:eastAsiaTheme="minorHAnsi"/>
          <w:lang w:val="uk-UA" w:eastAsia="en-US"/>
        </w:rPr>
        <w:t xml:space="preserve">У </w:t>
      </w:r>
      <w:r w:rsidR="00EB7653" w:rsidRPr="001416ED">
        <w:rPr>
          <w:rFonts w:eastAsiaTheme="minorHAnsi"/>
          <w:lang w:val="uk-UA" w:eastAsia="en-US"/>
        </w:rPr>
        <w:t xml:space="preserve">чоловіків з ГХ ІІІ ст. </w:t>
      </w:r>
      <w:r w:rsidRPr="001416ED">
        <w:rPr>
          <w:rFonts w:eastAsiaTheme="minorHAnsi"/>
          <w:lang w:val="uk-UA" w:eastAsia="en-US"/>
        </w:rPr>
        <w:t xml:space="preserve">плазмова концентрація пептиду, при наявності як </w:t>
      </w:r>
      <w:r w:rsidR="000A0963" w:rsidRPr="001416ED">
        <w:rPr>
          <w:rFonts w:eastAsiaTheme="minorHAnsi"/>
          <w:lang w:val="uk-UA" w:eastAsia="en-US"/>
        </w:rPr>
        <w:t xml:space="preserve">           </w:t>
      </w:r>
      <w:r w:rsidR="00B33561" w:rsidRPr="001416ED">
        <w:rPr>
          <w:rFonts w:eastAsiaTheme="minorHAnsi"/>
          <w:lang w:val="uk-UA" w:eastAsia="en-US"/>
        </w:rPr>
        <w:t>ФВ &gt; 45 %</w:t>
      </w:r>
      <w:r w:rsidR="00B33561" w:rsidRPr="001416ED">
        <w:rPr>
          <w:rFonts w:eastAsiaTheme="minorHAnsi"/>
          <w:lang w:eastAsia="en-US"/>
        </w:rPr>
        <w:t xml:space="preserve"> </w:t>
      </w:r>
      <w:r w:rsidRPr="001416ED">
        <w:rPr>
          <w:rFonts w:eastAsiaTheme="minorHAnsi"/>
          <w:lang w:val="uk-UA" w:eastAsia="en-US"/>
        </w:rPr>
        <w:t xml:space="preserve">так </w:t>
      </w:r>
      <w:r w:rsidR="00B33561" w:rsidRPr="001416ED">
        <w:rPr>
          <w:rFonts w:eastAsiaTheme="minorHAnsi"/>
          <w:lang w:val="uk-UA" w:eastAsia="en-US"/>
        </w:rPr>
        <w:t>і ФВ &lt; 45 %</w:t>
      </w:r>
      <w:r w:rsidRPr="001416ED">
        <w:rPr>
          <w:rFonts w:eastAsiaTheme="minorHAnsi"/>
          <w:lang w:val="uk-UA" w:eastAsia="en-US"/>
        </w:rPr>
        <w:t xml:space="preserve">, достовірно вища, ніж при </w:t>
      </w:r>
      <w:r w:rsidR="00820C89" w:rsidRPr="001416ED">
        <w:rPr>
          <w:rFonts w:eastAsiaTheme="minorHAnsi"/>
          <w:lang w:val="uk-UA" w:eastAsia="en-US"/>
        </w:rPr>
        <w:t xml:space="preserve">ГХ ІІ ст. з наявністю </w:t>
      </w:r>
      <w:r w:rsidRPr="001416ED">
        <w:rPr>
          <w:rFonts w:eastAsiaTheme="minorHAnsi"/>
          <w:lang w:val="uk-UA" w:eastAsia="en-US"/>
        </w:rPr>
        <w:t>ДД. При цьому найвищий рівень ЕТ</w:t>
      </w:r>
      <w:r w:rsidR="00BC0119" w:rsidRPr="001416ED">
        <w:rPr>
          <w:rFonts w:eastAsiaTheme="minorHAnsi"/>
          <w:lang w:val="uk-UA" w:eastAsia="en-US"/>
        </w:rPr>
        <w:t>–</w:t>
      </w:r>
      <w:r w:rsidRPr="001416ED">
        <w:rPr>
          <w:rFonts w:eastAsiaTheme="minorHAnsi"/>
          <w:lang w:val="uk-UA" w:eastAsia="en-US"/>
        </w:rPr>
        <w:t xml:space="preserve">1 </w:t>
      </w:r>
      <w:r w:rsidR="00381E32" w:rsidRPr="001416ED">
        <w:rPr>
          <w:rFonts w:eastAsiaTheme="minorHAnsi"/>
          <w:lang w:val="uk-UA" w:eastAsia="en-US"/>
        </w:rPr>
        <w:t>виявлений</w:t>
      </w:r>
      <w:r w:rsidRPr="001416ED">
        <w:rPr>
          <w:rFonts w:eastAsiaTheme="minorHAnsi"/>
          <w:lang w:val="uk-UA" w:eastAsia="en-US"/>
        </w:rPr>
        <w:t xml:space="preserve"> саме у чоловіків з</w:t>
      </w:r>
      <w:r w:rsidR="00085D86" w:rsidRPr="001416ED">
        <w:rPr>
          <w:rFonts w:eastAsiaTheme="minorHAnsi"/>
          <w:lang w:val="uk-UA" w:eastAsia="en-US"/>
        </w:rPr>
        <w:t xml:space="preserve"> ФВ &lt; 45 %</w:t>
      </w:r>
      <w:r w:rsidRPr="001416ED">
        <w:rPr>
          <w:rFonts w:eastAsiaTheme="minorHAnsi"/>
          <w:lang w:val="uk-UA" w:eastAsia="en-US"/>
        </w:rPr>
        <w:t xml:space="preserve">.  </w:t>
      </w:r>
    </w:p>
    <w:p w:rsidR="002909FF" w:rsidRPr="001416ED" w:rsidRDefault="009B72B2" w:rsidP="009B72B2">
      <w:pPr>
        <w:spacing w:line="360" w:lineRule="auto"/>
        <w:ind w:firstLine="708"/>
        <w:jc w:val="both"/>
        <w:rPr>
          <w:lang w:val="uk-UA"/>
        </w:rPr>
      </w:pPr>
      <w:r w:rsidRPr="001416ED">
        <w:rPr>
          <w:lang w:val="uk-UA"/>
        </w:rPr>
        <w:t>Ан</w:t>
      </w:r>
      <w:r w:rsidR="002B5077" w:rsidRPr="001416ED">
        <w:rPr>
          <w:lang w:val="uk-UA"/>
        </w:rPr>
        <w:t>а</w:t>
      </w:r>
      <w:r w:rsidRPr="001416ED">
        <w:rPr>
          <w:lang w:val="uk-UA"/>
        </w:rPr>
        <w:t>ліз рівня ЕТ</w:t>
      </w:r>
      <w:r w:rsidR="00BC0119" w:rsidRPr="001416ED">
        <w:rPr>
          <w:lang w:val="uk-UA"/>
        </w:rPr>
        <w:t>–</w:t>
      </w:r>
      <w:r w:rsidRPr="001416ED">
        <w:rPr>
          <w:lang w:val="uk-UA"/>
        </w:rPr>
        <w:t xml:space="preserve">1 при різному ТМК показав, що у осіб з ГХ ІІ ст. при </w:t>
      </w:r>
      <w:r w:rsidR="00EB7653" w:rsidRPr="001416ED">
        <w:rPr>
          <w:lang w:val="uk-UA"/>
        </w:rPr>
        <w:t>гіпертрофічному типі ТМК</w:t>
      </w:r>
      <w:r w:rsidRPr="001416ED">
        <w:rPr>
          <w:lang w:val="uk-UA"/>
        </w:rPr>
        <w:t>, плазмова концентрація ЕТ</w:t>
      </w:r>
      <w:r w:rsidR="00BC0119" w:rsidRPr="001416ED">
        <w:rPr>
          <w:lang w:val="uk-UA"/>
        </w:rPr>
        <w:t>–</w:t>
      </w:r>
      <w:r w:rsidRPr="001416ED">
        <w:rPr>
          <w:lang w:val="uk-UA"/>
        </w:rPr>
        <w:t xml:space="preserve">1 вірогідно вища, ніж при нормальному ТМК, проте відмінності між нормальним і гіпертрофічним типами ТМК не встановлено. У чоловіків з </w:t>
      </w:r>
      <w:r w:rsidR="00376DD5" w:rsidRPr="001416ED">
        <w:rPr>
          <w:lang w:val="uk-UA"/>
        </w:rPr>
        <w:t xml:space="preserve">ГХ ІІІ ст. </w:t>
      </w:r>
      <w:r w:rsidRPr="001416ED">
        <w:rPr>
          <w:lang w:val="uk-UA"/>
        </w:rPr>
        <w:t xml:space="preserve">при </w:t>
      </w:r>
      <w:r w:rsidR="00820C89" w:rsidRPr="001416ED">
        <w:rPr>
          <w:lang w:val="uk-UA"/>
        </w:rPr>
        <w:t>ФВ &gt; 45 %</w:t>
      </w:r>
      <w:r w:rsidR="00820C89" w:rsidRPr="001416ED">
        <w:t xml:space="preserve"> </w:t>
      </w:r>
      <w:r w:rsidR="00820C89" w:rsidRPr="001416ED">
        <w:rPr>
          <w:lang w:val="uk-UA"/>
        </w:rPr>
        <w:t>так і ФВ &lt; 45 %</w:t>
      </w:r>
      <w:r w:rsidRPr="001416ED">
        <w:rPr>
          <w:lang w:val="uk-UA"/>
        </w:rPr>
        <w:t>, концентрація ЕТ</w:t>
      </w:r>
      <w:r w:rsidR="00BC0119" w:rsidRPr="001416ED">
        <w:rPr>
          <w:lang w:val="uk-UA"/>
        </w:rPr>
        <w:t>–</w:t>
      </w:r>
      <w:r w:rsidRPr="001416ED">
        <w:rPr>
          <w:lang w:val="uk-UA"/>
        </w:rPr>
        <w:t xml:space="preserve">1 в плазмі крові більша при </w:t>
      </w:r>
      <w:r w:rsidR="00EB7653" w:rsidRPr="001416ED">
        <w:rPr>
          <w:lang w:val="uk-UA"/>
        </w:rPr>
        <w:t>рестриктивному</w:t>
      </w:r>
      <w:r w:rsidRPr="001416ED">
        <w:rPr>
          <w:lang w:val="uk-UA"/>
        </w:rPr>
        <w:t xml:space="preserve"> типі </w:t>
      </w:r>
      <w:r w:rsidR="00EB7653" w:rsidRPr="001416ED">
        <w:rPr>
          <w:lang w:val="uk-UA"/>
        </w:rPr>
        <w:t>ТМК</w:t>
      </w:r>
      <w:r w:rsidR="00EC37D5" w:rsidRPr="001416ED">
        <w:rPr>
          <w:lang w:val="uk-UA"/>
        </w:rPr>
        <w:t>,</w:t>
      </w:r>
      <w:r w:rsidRPr="001416ED">
        <w:rPr>
          <w:lang w:val="uk-UA"/>
        </w:rPr>
        <w:t xml:space="preserve"> ніж при </w:t>
      </w:r>
      <w:r w:rsidR="00EB7653" w:rsidRPr="001416ED">
        <w:rPr>
          <w:lang w:val="uk-UA"/>
        </w:rPr>
        <w:t>гіпертрофічному</w:t>
      </w:r>
      <w:r w:rsidRPr="001416ED">
        <w:rPr>
          <w:lang w:val="uk-UA"/>
        </w:rPr>
        <w:t>, однак</w:t>
      </w:r>
      <w:r w:rsidR="00EC37D5" w:rsidRPr="001416ED">
        <w:rPr>
          <w:lang w:val="uk-UA"/>
        </w:rPr>
        <w:t>,</w:t>
      </w:r>
      <w:r w:rsidRPr="001416ED">
        <w:rPr>
          <w:lang w:val="uk-UA"/>
        </w:rPr>
        <w:t xml:space="preserve"> різниці між </w:t>
      </w:r>
      <w:r w:rsidR="00EB7653" w:rsidRPr="001416ED">
        <w:rPr>
          <w:lang w:val="uk-UA"/>
        </w:rPr>
        <w:t xml:space="preserve">гіпертрофічним та псевдонрмальним </w:t>
      </w:r>
      <w:r w:rsidRPr="001416ED">
        <w:rPr>
          <w:lang w:val="uk-UA"/>
        </w:rPr>
        <w:t xml:space="preserve">типами </w:t>
      </w:r>
      <w:r w:rsidR="00EB7653" w:rsidRPr="001416ED">
        <w:rPr>
          <w:lang w:val="uk-UA"/>
        </w:rPr>
        <w:t>ТМК</w:t>
      </w:r>
      <w:r w:rsidRPr="001416ED">
        <w:rPr>
          <w:lang w:val="uk-UA"/>
        </w:rPr>
        <w:t xml:space="preserve"> не виявлено. </w:t>
      </w:r>
    </w:p>
    <w:p w:rsidR="009B72B2" w:rsidRPr="001416ED" w:rsidRDefault="009F25C4" w:rsidP="009B72B2">
      <w:pPr>
        <w:spacing w:line="360" w:lineRule="auto"/>
        <w:ind w:firstLine="708"/>
        <w:jc w:val="both"/>
        <w:rPr>
          <w:lang w:val="uk-UA"/>
        </w:rPr>
      </w:pPr>
      <w:r w:rsidRPr="001416ED">
        <w:rPr>
          <w:lang w:val="uk-UA"/>
        </w:rPr>
        <w:t>Згідно отриманих даних,</w:t>
      </w:r>
      <w:r w:rsidR="009B72B2" w:rsidRPr="001416ED">
        <w:rPr>
          <w:lang w:val="uk-UA"/>
        </w:rPr>
        <w:t xml:space="preserve"> у чоловіків з ГХ </w:t>
      </w:r>
      <w:r w:rsidR="00381333" w:rsidRPr="001416ED">
        <w:rPr>
          <w:lang w:val="uk-UA"/>
        </w:rPr>
        <w:t>ІІ та ІІІ ст.</w:t>
      </w:r>
      <w:r w:rsidR="009B72B2" w:rsidRPr="001416ED">
        <w:rPr>
          <w:lang w:val="uk-UA"/>
        </w:rPr>
        <w:t xml:space="preserve"> рівень ЕТ</w:t>
      </w:r>
      <w:r w:rsidR="00BC0119" w:rsidRPr="001416ED">
        <w:rPr>
          <w:lang w:val="uk-UA"/>
        </w:rPr>
        <w:t>–</w:t>
      </w:r>
      <w:r w:rsidR="009B72B2" w:rsidRPr="001416ED">
        <w:rPr>
          <w:lang w:val="uk-UA"/>
        </w:rPr>
        <w:t xml:space="preserve">1 зростає при більш </w:t>
      </w:r>
      <w:r w:rsidRPr="001416ED">
        <w:rPr>
          <w:lang w:val="uk-UA"/>
        </w:rPr>
        <w:t>вираженому ремоделюванні ЛШ</w:t>
      </w:r>
      <w:r w:rsidR="009B72B2" w:rsidRPr="001416ED">
        <w:rPr>
          <w:lang w:val="uk-UA"/>
        </w:rPr>
        <w:t xml:space="preserve"> (ВГЛШ та ЕГЛШ) та </w:t>
      </w:r>
      <w:r w:rsidRPr="001416ED">
        <w:rPr>
          <w:lang w:val="uk-UA"/>
        </w:rPr>
        <w:t>зниженні насосної функції</w:t>
      </w:r>
      <w:r w:rsidR="00917326" w:rsidRPr="001416ED">
        <w:rPr>
          <w:lang w:val="uk-UA"/>
        </w:rPr>
        <w:t xml:space="preserve"> ЛШ</w:t>
      </w:r>
      <w:r w:rsidR="009B72B2" w:rsidRPr="001416ED">
        <w:rPr>
          <w:lang w:val="uk-UA"/>
        </w:rPr>
        <w:t>.</w:t>
      </w:r>
    </w:p>
    <w:p w:rsidR="00416D58" w:rsidRPr="001416ED" w:rsidRDefault="00416D58" w:rsidP="001F5D9E">
      <w:pPr>
        <w:spacing w:line="360" w:lineRule="auto"/>
        <w:ind w:firstLine="709"/>
        <w:jc w:val="both"/>
        <w:rPr>
          <w:rFonts w:eastAsiaTheme="minorHAnsi"/>
          <w:lang w:val="uk-UA" w:eastAsia="en-US"/>
        </w:rPr>
      </w:pPr>
      <w:r w:rsidRPr="001416ED">
        <w:rPr>
          <w:rFonts w:eastAsiaTheme="minorHAnsi"/>
          <w:lang w:val="uk-UA" w:eastAsia="en-US"/>
        </w:rPr>
        <w:lastRenderedPageBreak/>
        <w:t>Далі визначились зміни плазмової концентрації фізіологічного антагоніста ЕТ</w:t>
      </w:r>
      <w:r w:rsidR="00BC0119" w:rsidRPr="001416ED">
        <w:rPr>
          <w:rFonts w:eastAsiaTheme="minorHAnsi"/>
          <w:lang w:val="uk-UA" w:eastAsia="en-US"/>
        </w:rPr>
        <w:t>–</w:t>
      </w:r>
      <w:r w:rsidR="00381333" w:rsidRPr="001416ED">
        <w:rPr>
          <w:rFonts w:eastAsiaTheme="minorHAnsi"/>
          <w:lang w:val="uk-UA" w:eastAsia="en-US"/>
        </w:rPr>
        <w:t xml:space="preserve">1 – </w:t>
      </w:r>
      <w:r w:rsidRPr="001416ED">
        <w:rPr>
          <w:rFonts w:eastAsiaTheme="minorHAnsi"/>
          <w:lang w:val="uk-UA" w:eastAsia="en-US"/>
        </w:rPr>
        <w:t>СНП, та ко</w:t>
      </w:r>
      <w:r w:rsidR="00F472AF" w:rsidRPr="001416ED">
        <w:rPr>
          <w:rFonts w:eastAsiaTheme="minorHAnsi"/>
          <w:lang w:val="uk-UA" w:eastAsia="en-US"/>
        </w:rPr>
        <w:t>е</w:t>
      </w:r>
      <w:r w:rsidRPr="001416ED">
        <w:rPr>
          <w:rFonts w:eastAsiaTheme="minorHAnsi"/>
          <w:lang w:val="uk-UA" w:eastAsia="en-US"/>
        </w:rPr>
        <w:t>ф</w:t>
      </w:r>
      <w:r w:rsidR="00F472AF" w:rsidRPr="001416ED">
        <w:rPr>
          <w:rFonts w:eastAsiaTheme="minorHAnsi"/>
          <w:lang w:val="uk-UA" w:eastAsia="en-US"/>
        </w:rPr>
        <w:t>і</w:t>
      </w:r>
      <w:r w:rsidRPr="001416ED">
        <w:rPr>
          <w:rFonts w:eastAsiaTheme="minorHAnsi"/>
          <w:lang w:val="uk-UA" w:eastAsia="en-US"/>
        </w:rPr>
        <w:t>цієнта СНП/ЕТ</w:t>
      </w:r>
      <w:r w:rsidR="00BC0119" w:rsidRPr="001416ED">
        <w:rPr>
          <w:rFonts w:eastAsiaTheme="minorHAnsi"/>
          <w:lang w:val="uk-UA" w:eastAsia="en-US"/>
        </w:rPr>
        <w:t>–</w:t>
      </w:r>
      <w:r w:rsidRPr="001416ED">
        <w:rPr>
          <w:rFonts w:eastAsiaTheme="minorHAnsi"/>
          <w:lang w:val="uk-UA" w:eastAsia="en-US"/>
        </w:rPr>
        <w:t>1, що відображає дисбаланс між вазодилят</w:t>
      </w:r>
      <w:r w:rsidR="00F472AF" w:rsidRPr="001416ED">
        <w:rPr>
          <w:rFonts w:eastAsiaTheme="minorHAnsi"/>
          <w:lang w:val="uk-UA" w:eastAsia="en-US"/>
        </w:rPr>
        <w:t>ат</w:t>
      </w:r>
      <w:r w:rsidRPr="001416ED">
        <w:rPr>
          <w:rFonts w:eastAsiaTheme="minorHAnsi"/>
          <w:lang w:val="uk-UA" w:eastAsia="en-US"/>
        </w:rPr>
        <w:t>ор</w:t>
      </w:r>
      <w:r w:rsidR="00F472AF" w:rsidRPr="001416ED">
        <w:rPr>
          <w:rFonts w:eastAsiaTheme="minorHAnsi"/>
          <w:lang w:val="uk-UA" w:eastAsia="en-US"/>
        </w:rPr>
        <w:t>о</w:t>
      </w:r>
      <w:r w:rsidRPr="001416ED">
        <w:rPr>
          <w:rFonts w:eastAsiaTheme="minorHAnsi"/>
          <w:lang w:val="uk-UA" w:eastAsia="en-US"/>
        </w:rPr>
        <w:t xml:space="preserve">м/вазоконстриктором у пацієнтів з ГХ різної </w:t>
      </w:r>
      <w:r w:rsidR="00046A18" w:rsidRPr="001416ED">
        <w:rPr>
          <w:rFonts w:eastAsiaTheme="minorHAnsi"/>
          <w:lang w:val="uk-UA" w:eastAsia="en-US"/>
        </w:rPr>
        <w:t>стадії</w:t>
      </w:r>
      <w:r w:rsidRPr="001416ED">
        <w:rPr>
          <w:rFonts w:eastAsiaTheme="minorHAnsi"/>
          <w:lang w:val="uk-UA" w:eastAsia="en-US"/>
        </w:rPr>
        <w:t>.</w:t>
      </w:r>
    </w:p>
    <w:p w:rsidR="00416D58" w:rsidRPr="001416ED" w:rsidRDefault="00416D58" w:rsidP="00416D58">
      <w:pPr>
        <w:spacing w:line="360" w:lineRule="auto"/>
        <w:ind w:firstLine="709"/>
        <w:jc w:val="both"/>
        <w:rPr>
          <w:rFonts w:eastAsiaTheme="minorHAnsi"/>
          <w:lang w:val="uk-UA" w:eastAsia="en-US"/>
        </w:rPr>
      </w:pPr>
      <w:r w:rsidRPr="001416ED">
        <w:rPr>
          <w:rFonts w:eastAsiaTheme="minorHAnsi"/>
          <w:lang w:val="uk-UA" w:eastAsia="en-US"/>
        </w:rPr>
        <w:t>Встановлено, що у чоловіків зі ФВ</w:t>
      </w:r>
      <w:r w:rsidR="000C04AA" w:rsidRPr="001416ED">
        <w:rPr>
          <w:rFonts w:eastAsiaTheme="minorHAnsi"/>
          <w:lang w:val="uk-UA" w:eastAsia="en-US"/>
        </w:rPr>
        <w:t xml:space="preserve"> ˃ </w:t>
      </w:r>
      <w:r w:rsidRPr="001416ED">
        <w:rPr>
          <w:rFonts w:eastAsiaTheme="minorHAnsi"/>
          <w:lang w:val="uk-UA" w:eastAsia="en-US"/>
        </w:rPr>
        <w:t>45</w:t>
      </w:r>
      <w:r w:rsidR="00D4219F" w:rsidRPr="001416ED">
        <w:rPr>
          <w:rFonts w:eastAsiaTheme="minorHAnsi"/>
          <w:lang w:val="uk-UA" w:eastAsia="en-US"/>
        </w:rPr>
        <w:t xml:space="preserve"> %</w:t>
      </w:r>
      <w:r w:rsidRPr="001416ED">
        <w:rPr>
          <w:rFonts w:eastAsiaTheme="minorHAnsi"/>
          <w:lang w:val="uk-UA" w:eastAsia="en-US"/>
        </w:rPr>
        <w:t xml:space="preserve"> та ФВ</w:t>
      </w:r>
      <w:r w:rsidR="000C04AA" w:rsidRPr="001416ED">
        <w:rPr>
          <w:rFonts w:eastAsiaTheme="minorHAnsi"/>
          <w:lang w:val="uk-UA" w:eastAsia="en-US"/>
        </w:rPr>
        <w:t xml:space="preserve"> ˂ </w:t>
      </w:r>
      <w:r w:rsidRPr="001416ED">
        <w:rPr>
          <w:rFonts w:eastAsiaTheme="minorHAnsi"/>
          <w:lang w:val="uk-UA" w:eastAsia="en-US"/>
        </w:rPr>
        <w:t>45</w:t>
      </w:r>
      <w:r w:rsidR="00D4219F" w:rsidRPr="001416ED">
        <w:rPr>
          <w:rFonts w:eastAsiaTheme="minorHAnsi"/>
          <w:lang w:val="uk-UA" w:eastAsia="en-US"/>
        </w:rPr>
        <w:t xml:space="preserve"> %</w:t>
      </w:r>
      <w:r w:rsidRPr="001416ED">
        <w:rPr>
          <w:rFonts w:eastAsiaTheme="minorHAnsi"/>
          <w:lang w:val="uk-UA" w:eastAsia="en-US"/>
        </w:rPr>
        <w:t xml:space="preserve"> рівень СНП та СНП/ЕТ</w:t>
      </w:r>
      <w:r w:rsidR="00BC0119" w:rsidRPr="001416ED">
        <w:rPr>
          <w:rFonts w:eastAsiaTheme="minorHAnsi"/>
          <w:lang w:val="uk-UA" w:eastAsia="en-US"/>
        </w:rPr>
        <w:t>–</w:t>
      </w:r>
      <w:r w:rsidRPr="001416ED">
        <w:rPr>
          <w:rFonts w:eastAsiaTheme="minorHAnsi"/>
          <w:lang w:val="uk-UA" w:eastAsia="en-US"/>
        </w:rPr>
        <w:t xml:space="preserve">1 достовірно вищий у носіїв алелі </w:t>
      </w:r>
      <w:r w:rsidRPr="001416ED">
        <w:rPr>
          <w:rFonts w:eastAsiaTheme="minorHAnsi"/>
          <w:kern w:val="11"/>
          <w:lang w:val="en-US" w:eastAsia="en-US"/>
        </w:rPr>
        <w:t>Asn</w:t>
      </w:r>
      <w:r w:rsidRPr="001416ED">
        <w:rPr>
          <w:rFonts w:eastAsiaTheme="minorHAnsi"/>
          <w:kern w:val="11"/>
          <w:lang w:val="uk-UA" w:eastAsia="en-US"/>
        </w:rPr>
        <w:t xml:space="preserve"> ніж</w:t>
      </w:r>
      <w:r w:rsidR="00381333" w:rsidRPr="001416ED">
        <w:rPr>
          <w:rFonts w:eastAsiaTheme="minorHAnsi"/>
          <w:kern w:val="11"/>
          <w:lang w:val="uk-UA" w:eastAsia="en-US"/>
        </w:rPr>
        <w:t xml:space="preserve"> у володарів</w:t>
      </w:r>
      <w:r w:rsidRPr="001416ED">
        <w:rPr>
          <w:rFonts w:eastAsiaTheme="minorHAnsi"/>
          <w:kern w:val="11"/>
          <w:lang w:val="uk-UA" w:eastAsia="en-US"/>
        </w:rPr>
        <w:t xml:space="preserve"> генотипу </w:t>
      </w:r>
      <w:r w:rsidRPr="001416ED">
        <w:rPr>
          <w:rFonts w:eastAsiaTheme="minorHAnsi"/>
          <w:kern w:val="11"/>
          <w:lang w:val="en-US" w:eastAsia="en-US"/>
        </w:rPr>
        <w:t>Lys</w:t>
      </w:r>
      <w:r w:rsidRPr="001416ED">
        <w:rPr>
          <w:rFonts w:eastAsiaTheme="minorHAnsi"/>
          <w:kern w:val="11"/>
          <w:lang w:val="uk-UA" w:eastAsia="en-US"/>
        </w:rPr>
        <w:t>/</w:t>
      </w:r>
      <w:r w:rsidRPr="001416ED">
        <w:rPr>
          <w:rFonts w:eastAsiaTheme="minorHAnsi"/>
          <w:kern w:val="11"/>
          <w:lang w:val="en-US" w:eastAsia="en-US"/>
        </w:rPr>
        <w:t>Lys</w:t>
      </w:r>
      <w:r w:rsidRPr="001416ED">
        <w:rPr>
          <w:rFonts w:eastAsiaTheme="minorHAnsi"/>
          <w:kern w:val="11"/>
          <w:lang w:val="uk-UA" w:eastAsia="en-US"/>
        </w:rPr>
        <w:t xml:space="preserve"> гена ЕТ</w:t>
      </w:r>
      <w:r w:rsidR="00BC0119" w:rsidRPr="001416ED">
        <w:rPr>
          <w:rFonts w:eastAsiaTheme="minorHAnsi"/>
          <w:kern w:val="11"/>
          <w:lang w:val="uk-UA" w:eastAsia="en-US"/>
        </w:rPr>
        <w:t>–</w:t>
      </w:r>
      <w:r w:rsidRPr="001416ED">
        <w:rPr>
          <w:rFonts w:eastAsiaTheme="minorHAnsi"/>
          <w:kern w:val="11"/>
          <w:lang w:val="uk-UA" w:eastAsia="en-US"/>
        </w:rPr>
        <w:t xml:space="preserve">1. Проте, відмінності у даних показниках між пацієнтами з різною ФВ ЛШ при поліморфних </w:t>
      </w:r>
      <w:r w:rsidR="004E1F0B">
        <w:rPr>
          <w:rFonts w:eastAsiaTheme="minorHAnsi"/>
          <w:kern w:val="11"/>
          <w:lang w:val="uk-UA" w:eastAsia="en-US"/>
        </w:rPr>
        <w:t>варіантах</w:t>
      </w:r>
      <w:r w:rsidRPr="001416ED">
        <w:rPr>
          <w:rFonts w:eastAsiaTheme="minorHAnsi"/>
          <w:kern w:val="11"/>
          <w:lang w:val="uk-UA" w:eastAsia="en-US"/>
        </w:rPr>
        <w:t xml:space="preserve"> гена ЕТ</w:t>
      </w:r>
      <w:r w:rsidR="00BC0119" w:rsidRPr="001416ED">
        <w:rPr>
          <w:rFonts w:eastAsiaTheme="minorHAnsi"/>
          <w:kern w:val="11"/>
          <w:lang w:val="uk-UA" w:eastAsia="en-US"/>
        </w:rPr>
        <w:t>–</w:t>
      </w:r>
      <w:r w:rsidRPr="001416ED">
        <w:rPr>
          <w:rFonts w:eastAsiaTheme="minorHAnsi"/>
          <w:kern w:val="11"/>
          <w:lang w:val="uk-UA" w:eastAsia="en-US"/>
        </w:rPr>
        <w:t>1 не досліджено.</w:t>
      </w:r>
    </w:p>
    <w:p w:rsidR="00416D58" w:rsidRPr="001416ED" w:rsidRDefault="00384B7C" w:rsidP="00416D58">
      <w:pPr>
        <w:spacing w:line="360" w:lineRule="auto"/>
        <w:ind w:firstLine="709"/>
        <w:jc w:val="both"/>
        <w:rPr>
          <w:rFonts w:eastAsiaTheme="minorHAnsi"/>
          <w:lang w:val="uk-UA" w:eastAsia="en-US"/>
        </w:rPr>
      </w:pPr>
      <w:r w:rsidRPr="001416ED">
        <w:rPr>
          <w:rFonts w:eastAsiaTheme="minorHAnsi"/>
          <w:lang w:val="uk-UA" w:eastAsia="en-US"/>
        </w:rPr>
        <w:t>У</w:t>
      </w:r>
      <w:r w:rsidR="00416D58" w:rsidRPr="001416ED">
        <w:rPr>
          <w:rFonts w:eastAsiaTheme="minorHAnsi"/>
          <w:lang w:val="uk-UA" w:eastAsia="en-US"/>
        </w:rPr>
        <w:t xml:space="preserve"> </w:t>
      </w:r>
      <w:r w:rsidRPr="001416ED">
        <w:rPr>
          <w:rFonts w:eastAsiaTheme="minorHAnsi"/>
          <w:lang w:val="uk-UA" w:eastAsia="en-US"/>
        </w:rPr>
        <w:t>осіб</w:t>
      </w:r>
      <w:r w:rsidR="00416D58" w:rsidRPr="001416ED">
        <w:rPr>
          <w:rFonts w:eastAsiaTheme="minorHAnsi"/>
          <w:lang w:val="uk-UA" w:eastAsia="en-US"/>
        </w:rPr>
        <w:t xml:space="preserve"> з ГХ</w:t>
      </w:r>
      <w:r w:rsidRPr="001416ED">
        <w:rPr>
          <w:rFonts w:eastAsiaTheme="minorHAnsi"/>
          <w:lang w:val="uk-UA" w:eastAsia="en-US"/>
        </w:rPr>
        <w:t xml:space="preserve"> </w:t>
      </w:r>
      <w:r w:rsidR="00381333" w:rsidRPr="001416ED">
        <w:rPr>
          <w:rFonts w:eastAsiaTheme="minorHAnsi"/>
          <w:lang w:val="uk-UA" w:eastAsia="en-US"/>
        </w:rPr>
        <w:t>різної</w:t>
      </w:r>
      <w:r w:rsidRPr="001416ED">
        <w:rPr>
          <w:rFonts w:eastAsiaTheme="minorHAnsi"/>
          <w:lang w:val="uk-UA" w:eastAsia="en-US"/>
        </w:rPr>
        <w:t xml:space="preserve"> ст</w:t>
      </w:r>
      <w:r w:rsidR="00381333" w:rsidRPr="001416ED">
        <w:rPr>
          <w:rFonts w:eastAsiaTheme="minorHAnsi"/>
          <w:lang w:val="uk-UA" w:eastAsia="en-US"/>
        </w:rPr>
        <w:t>адії</w:t>
      </w:r>
      <w:r w:rsidR="00416D58" w:rsidRPr="001416ED">
        <w:rPr>
          <w:rFonts w:eastAsiaTheme="minorHAnsi"/>
          <w:lang w:val="uk-UA" w:eastAsia="en-US"/>
        </w:rPr>
        <w:t xml:space="preserve"> </w:t>
      </w:r>
      <w:r w:rsidRPr="001416ED">
        <w:rPr>
          <w:rFonts w:eastAsiaTheme="minorHAnsi"/>
          <w:lang w:val="uk-UA" w:eastAsia="en-US"/>
        </w:rPr>
        <w:t>плазмова концентрація</w:t>
      </w:r>
      <w:r w:rsidR="00416D58" w:rsidRPr="001416ED">
        <w:rPr>
          <w:rFonts w:eastAsiaTheme="minorHAnsi"/>
          <w:lang w:val="uk-UA" w:eastAsia="en-US"/>
        </w:rPr>
        <w:t xml:space="preserve"> СНП та СНП/ЕТ</w:t>
      </w:r>
      <w:r w:rsidR="00BC0119" w:rsidRPr="001416ED">
        <w:rPr>
          <w:rFonts w:eastAsiaTheme="minorHAnsi"/>
          <w:lang w:val="uk-UA" w:eastAsia="en-US"/>
        </w:rPr>
        <w:t>–</w:t>
      </w:r>
      <w:r w:rsidR="00416D58" w:rsidRPr="001416ED">
        <w:rPr>
          <w:rFonts w:eastAsiaTheme="minorHAnsi"/>
          <w:lang w:val="uk-UA" w:eastAsia="en-US"/>
        </w:rPr>
        <w:t xml:space="preserve">1, </w:t>
      </w:r>
      <w:r w:rsidRPr="001416ED">
        <w:rPr>
          <w:rFonts w:eastAsiaTheme="minorHAnsi"/>
          <w:lang w:val="uk-UA" w:eastAsia="en-US"/>
        </w:rPr>
        <w:t>як і ЕТ</w:t>
      </w:r>
      <w:r w:rsidR="00BC0119" w:rsidRPr="001416ED">
        <w:rPr>
          <w:rFonts w:eastAsiaTheme="minorHAnsi"/>
          <w:lang w:val="uk-UA" w:eastAsia="en-US"/>
        </w:rPr>
        <w:t>–</w:t>
      </w:r>
      <w:r w:rsidRPr="001416ED">
        <w:rPr>
          <w:rFonts w:eastAsiaTheme="minorHAnsi"/>
          <w:lang w:val="uk-UA" w:eastAsia="en-US"/>
        </w:rPr>
        <w:t xml:space="preserve">1, </w:t>
      </w:r>
      <w:r w:rsidR="00416D58" w:rsidRPr="001416ED">
        <w:rPr>
          <w:rFonts w:eastAsiaTheme="minorHAnsi"/>
          <w:lang w:val="uk-UA" w:eastAsia="en-US"/>
        </w:rPr>
        <w:t xml:space="preserve">вірогідно вищі при ЕГЛШ та ВГЛШ, ніж при КГЛШ та ПГЛШ. У чоловіків з </w:t>
      </w:r>
      <w:r w:rsidR="00EA7C60" w:rsidRPr="001416ED">
        <w:rPr>
          <w:rFonts w:eastAsiaTheme="minorHAnsi"/>
          <w:lang w:val="uk-UA" w:eastAsia="en-US"/>
        </w:rPr>
        <w:t xml:space="preserve">ГХ ІІІ ст. </w:t>
      </w:r>
      <w:r w:rsidRPr="001416ED">
        <w:rPr>
          <w:rFonts w:eastAsiaTheme="minorHAnsi"/>
          <w:lang w:val="uk-UA" w:eastAsia="en-US"/>
        </w:rPr>
        <w:t>рівень</w:t>
      </w:r>
      <w:r w:rsidR="00416D58" w:rsidRPr="001416ED">
        <w:rPr>
          <w:rFonts w:eastAsiaTheme="minorHAnsi"/>
          <w:lang w:val="uk-UA" w:eastAsia="en-US"/>
        </w:rPr>
        <w:t xml:space="preserve"> СНП вищ</w:t>
      </w:r>
      <w:r w:rsidRPr="001416ED">
        <w:rPr>
          <w:rFonts w:eastAsiaTheme="minorHAnsi"/>
          <w:lang w:val="uk-UA" w:eastAsia="en-US"/>
        </w:rPr>
        <w:t>ий</w:t>
      </w:r>
      <w:r w:rsidR="00416D58" w:rsidRPr="001416ED">
        <w:rPr>
          <w:rFonts w:eastAsiaTheme="minorHAnsi"/>
          <w:lang w:val="uk-UA" w:eastAsia="en-US"/>
        </w:rPr>
        <w:t>, ніж у осіб з ГХ ІІ ст., при всіх типах ГЛШ, однак в коефіцієнті С</w:t>
      </w:r>
      <w:r w:rsidRPr="001416ED">
        <w:rPr>
          <w:rFonts w:eastAsiaTheme="minorHAnsi"/>
          <w:lang w:val="uk-UA" w:eastAsia="en-US"/>
        </w:rPr>
        <w:t>НП/ЕТ</w:t>
      </w:r>
      <w:r w:rsidR="00BC0119" w:rsidRPr="001416ED">
        <w:rPr>
          <w:rFonts w:eastAsiaTheme="minorHAnsi"/>
          <w:lang w:val="uk-UA" w:eastAsia="en-US"/>
        </w:rPr>
        <w:t>–</w:t>
      </w:r>
      <w:r w:rsidRPr="001416ED">
        <w:rPr>
          <w:rFonts w:eastAsiaTheme="minorHAnsi"/>
          <w:lang w:val="uk-UA" w:eastAsia="en-US"/>
        </w:rPr>
        <w:t>1 такої різниці не встановлен</w:t>
      </w:r>
      <w:r w:rsidR="00416D58" w:rsidRPr="001416ED">
        <w:rPr>
          <w:rFonts w:eastAsiaTheme="minorHAnsi"/>
          <w:lang w:val="uk-UA" w:eastAsia="en-US"/>
        </w:rPr>
        <w:t xml:space="preserve">о. </w:t>
      </w:r>
      <w:r w:rsidRPr="001416ED">
        <w:rPr>
          <w:rFonts w:eastAsiaTheme="minorHAnsi"/>
          <w:lang w:val="uk-UA" w:eastAsia="en-US"/>
        </w:rPr>
        <w:t>У п</w:t>
      </w:r>
      <w:r w:rsidR="00416D58" w:rsidRPr="001416ED">
        <w:rPr>
          <w:rFonts w:eastAsiaTheme="minorHAnsi"/>
          <w:lang w:val="uk-UA" w:eastAsia="en-US"/>
        </w:rPr>
        <w:t>оказник</w:t>
      </w:r>
      <w:r w:rsidRPr="001416ED">
        <w:rPr>
          <w:rFonts w:eastAsiaTheme="minorHAnsi"/>
          <w:lang w:val="uk-UA" w:eastAsia="en-US"/>
        </w:rPr>
        <w:t>ах</w:t>
      </w:r>
      <w:r w:rsidR="00416D58" w:rsidRPr="001416ED">
        <w:rPr>
          <w:rFonts w:eastAsiaTheme="minorHAnsi"/>
          <w:lang w:val="uk-UA" w:eastAsia="en-US"/>
        </w:rPr>
        <w:t xml:space="preserve"> СНП та СНП/ЕТ</w:t>
      </w:r>
      <w:r w:rsidR="00BC0119" w:rsidRPr="001416ED">
        <w:rPr>
          <w:rFonts w:eastAsiaTheme="minorHAnsi"/>
          <w:lang w:val="uk-UA" w:eastAsia="en-US"/>
        </w:rPr>
        <w:t>–</w:t>
      </w:r>
      <w:r w:rsidR="00416D58" w:rsidRPr="001416ED">
        <w:rPr>
          <w:rFonts w:eastAsiaTheme="minorHAnsi"/>
          <w:lang w:val="uk-UA" w:eastAsia="en-US"/>
        </w:rPr>
        <w:t>1, як і ЕТ</w:t>
      </w:r>
      <w:r w:rsidR="00BC0119" w:rsidRPr="001416ED">
        <w:rPr>
          <w:rFonts w:eastAsiaTheme="minorHAnsi"/>
          <w:lang w:val="uk-UA" w:eastAsia="en-US"/>
        </w:rPr>
        <w:t>–</w:t>
      </w:r>
      <w:r w:rsidR="00416D58" w:rsidRPr="001416ED">
        <w:rPr>
          <w:rFonts w:eastAsiaTheme="minorHAnsi"/>
          <w:lang w:val="uk-UA" w:eastAsia="en-US"/>
        </w:rPr>
        <w:t>1</w:t>
      </w:r>
      <w:r w:rsidRPr="001416ED">
        <w:rPr>
          <w:rFonts w:eastAsiaTheme="minorHAnsi"/>
          <w:lang w:val="uk-UA" w:eastAsia="en-US"/>
        </w:rPr>
        <w:t>,</w:t>
      </w:r>
      <w:r w:rsidR="00416D58" w:rsidRPr="001416ED">
        <w:rPr>
          <w:rFonts w:eastAsiaTheme="minorHAnsi"/>
          <w:lang w:val="uk-UA" w:eastAsia="en-US"/>
        </w:rPr>
        <w:t xml:space="preserve"> між чоловіками з різною </w:t>
      </w:r>
      <w:r w:rsidRPr="001416ED">
        <w:rPr>
          <w:rFonts w:eastAsiaTheme="minorHAnsi"/>
          <w:lang w:val="uk-UA" w:eastAsia="en-US"/>
        </w:rPr>
        <w:t>систолічною функцією ЛШ</w:t>
      </w:r>
      <w:r w:rsidR="00416D58" w:rsidRPr="001416ED">
        <w:rPr>
          <w:rFonts w:eastAsiaTheme="minorHAnsi"/>
          <w:lang w:val="uk-UA" w:eastAsia="en-US"/>
        </w:rPr>
        <w:t xml:space="preserve"> </w:t>
      </w:r>
      <w:r w:rsidRPr="001416ED">
        <w:rPr>
          <w:rFonts w:eastAsiaTheme="minorHAnsi"/>
          <w:lang w:val="uk-UA" w:eastAsia="en-US"/>
        </w:rPr>
        <w:t>розбіжності не виявлено</w:t>
      </w:r>
      <w:r w:rsidR="00416D58" w:rsidRPr="001416ED">
        <w:rPr>
          <w:rFonts w:eastAsiaTheme="minorHAnsi"/>
          <w:lang w:val="uk-UA" w:eastAsia="en-US"/>
        </w:rPr>
        <w:t>.</w:t>
      </w:r>
    </w:p>
    <w:p w:rsidR="0082021B" w:rsidRPr="001416ED" w:rsidRDefault="0082021B" w:rsidP="001F5D9E">
      <w:pPr>
        <w:spacing w:line="360" w:lineRule="auto"/>
        <w:ind w:firstLine="709"/>
        <w:jc w:val="both"/>
        <w:rPr>
          <w:szCs w:val="24"/>
          <w:lang w:val="uk-UA"/>
        </w:rPr>
      </w:pPr>
    </w:p>
    <w:p w:rsidR="00B04C45" w:rsidRPr="001416ED" w:rsidRDefault="00B04C45" w:rsidP="001F5D9E">
      <w:pPr>
        <w:spacing w:line="360" w:lineRule="auto"/>
        <w:ind w:firstLine="709"/>
        <w:jc w:val="both"/>
        <w:rPr>
          <w:szCs w:val="24"/>
          <w:lang w:val="uk-UA"/>
        </w:rPr>
      </w:pPr>
    </w:p>
    <w:p w:rsidR="00B04C45" w:rsidRPr="001416ED" w:rsidRDefault="00B04C45" w:rsidP="001F5D9E">
      <w:pPr>
        <w:spacing w:line="360" w:lineRule="auto"/>
        <w:ind w:firstLine="709"/>
        <w:jc w:val="both"/>
        <w:rPr>
          <w:szCs w:val="24"/>
          <w:lang w:val="uk-UA"/>
        </w:rPr>
      </w:pPr>
    </w:p>
    <w:p w:rsidR="00B04C45" w:rsidRPr="001416ED" w:rsidRDefault="00B04C45" w:rsidP="001F5D9E">
      <w:pPr>
        <w:spacing w:line="360" w:lineRule="auto"/>
        <w:ind w:firstLine="709"/>
        <w:jc w:val="both"/>
        <w:rPr>
          <w:szCs w:val="24"/>
          <w:lang w:val="uk-UA"/>
        </w:rPr>
      </w:pPr>
    </w:p>
    <w:p w:rsidR="00212BC3" w:rsidRPr="001416ED" w:rsidRDefault="00212BC3" w:rsidP="001F5D9E">
      <w:pPr>
        <w:spacing w:line="360" w:lineRule="auto"/>
        <w:ind w:firstLine="709"/>
        <w:jc w:val="both"/>
        <w:rPr>
          <w:szCs w:val="24"/>
          <w:lang w:val="uk-UA"/>
        </w:rPr>
      </w:pPr>
    </w:p>
    <w:p w:rsidR="00212BC3" w:rsidRPr="001416ED" w:rsidRDefault="00212BC3" w:rsidP="001F5D9E">
      <w:pPr>
        <w:spacing w:line="360" w:lineRule="auto"/>
        <w:ind w:firstLine="709"/>
        <w:jc w:val="both"/>
        <w:rPr>
          <w:szCs w:val="24"/>
          <w:lang w:val="uk-UA"/>
        </w:rPr>
      </w:pPr>
    </w:p>
    <w:p w:rsidR="00212BC3" w:rsidRPr="001416ED" w:rsidRDefault="00212BC3" w:rsidP="001F5D9E">
      <w:pPr>
        <w:spacing w:line="360" w:lineRule="auto"/>
        <w:ind w:firstLine="709"/>
        <w:jc w:val="both"/>
        <w:rPr>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9646AB" w:rsidRPr="001416ED" w:rsidRDefault="009646AB" w:rsidP="001F5D9E">
      <w:pPr>
        <w:spacing w:line="360" w:lineRule="auto"/>
        <w:ind w:firstLine="709"/>
        <w:jc w:val="both"/>
        <w:rPr>
          <w:b/>
          <w:szCs w:val="24"/>
          <w:lang w:val="uk-UA"/>
        </w:rPr>
      </w:pPr>
    </w:p>
    <w:p w:rsidR="001F5D9E" w:rsidRPr="001416ED" w:rsidRDefault="001F5D9E" w:rsidP="001F5D9E">
      <w:pPr>
        <w:spacing w:line="360" w:lineRule="auto"/>
        <w:ind w:firstLine="709"/>
        <w:jc w:val="both"/>
        <w:rPr>
          <w:b/>
          <w:szCs w:val="24"/>
          <w:lang w:val="uk-UA"/>
        </w:rPr>
      </w:pPr>
      <w:r w:rsidRPr="001416ED">
        <w:rPr>
          <w:b/>
          <w:szCs w:val="24"/>
          <w:lang w:val="uk-UA"/>
        </w:rPr>
        <w:lastRenderedPageBreak/>
        <w:t>Основні положення розділу відображені у публікаціях:</w:t>
      </w:r>
    </w:p>
    <w:p w:rsidR="001766D8" w:rsidRPr="001416ED" w:rsidRDefault="00E82501" w:rsidP="0012229A">
      <w:pPr>
        <w:pStyle w:val="ae"/>
        <w:numPr>
          <w:ilvl w:val="0"/>
          <w:numId w:val="11"/>
        </w:numPr>
        <w:tabs>
          <w:tab w:val="left" w:pos="0"/>
        </w:tabs>
        <w:suppressAutoHyphens w:val="0"/>
        <w:spacing w:after="200" w:line="360" w:lineRule="auto"/>
        <w:ind w:left="284" w:hanging="284"/>
        <w:jc w:val="both"/>
        <w:rPr>
          <w:rFonts w:eastAsia="Calibri"/>
          <w:color w:val="auto"/>
          <w:sz w:val="28"/>
          <w:szCs w:val="28"/>
          <w:lang w:val="uk-UA"/>
        </w:rPr>
      </w:pPr>
      <w:r w:rsidRPr="001416ED">
        <w:rPr>
          <w:rFonts w:eastAsia="Calibri"/>
          <w:color w:val="auto"/>
          <w:sz w:val="28"/>
          <w:szCs w:val="28"/>
          <w:lang w:val="uk-UA"/>
        </w:rPr>
        <w:t xml:space="preserve">Палагнюк </w:t>
      </w:r>
      <w:r w:rsidR="00F40141" w:rsidRPr="001416ED">
        <w:rPr>
          <w:rFonts w:eastAsia="Calibri"/>
          <w:color w:val="auto"/>
          <w:sz w:val="28"/>
          <w:szCs w:val="28"/>
          <w:lang w:val="uk-UA"/>
        </w:rPr>
        <w:t xml:space="preserve">Г. О. </w:t>
      </w:r>
      <w:r w:rsidR="001766D8" w:rsidRPr="001416ED">
        <w:rPr>
          <w:rFonts w:eastAsia="Calibri"/>
          <w:color w:val="auto"/>
          <w:sz w:val="28"/>
          <w:szCs w:val="28"/>
          <w:lang w:val="uk-UA"/>
        </w:rPr>
        <w:t xml:space="preserve">Успадкування </w:t>
      </w:r>
      <w:r w:rsidR="00FF5C21">
        <w:rPr>
          <w:rFonts w:eastAsia="Calibri"/>
          <w:color w:val="auto"/>
          <w:sz w:val="28"/>
          <w:szCs w:val="28"/>
          <w:lang w:val="uk-UA"/>
        </w:rPr>
        <w:t xml:space="preserve">поліморфних </w:t>
      </w:r>
      <w:r w:rsidR="004E1F0B">
        <w:rPr>
          <w:rFonts w:eastAsia="Calibri"/>
          <w:color w:val="auto"/>
          <w:sz w:val="28"/>
          <w:szCs w:val="28"/>
          <w:lang w:val="uk-UA"/>
        </w:rPr>
        <w:t>генотипів</w:t>
      </w:r>
      <w:r w:rsidR="00FF5C21">
        <w:rPr>
          <w:rFonts w:eastAsia="Calibri"/>
          <w:color w:val="auto"/>
          <w:sz w:val="28"/>
          <w:szCs w:val="28"/>
          <w:lang w:val="uk-UA"/>
        </w:rPr>
        <w:t xml:space="preserve"> гена</w:t>
      </w:r>
      <w:r w:rsidR="001766D8" w:rsidRPr="001416ED">
        <w:rPr>
          <w:rFonts w:eastAsia="Calibri"/>
          <w:color w:val="auto"/>
          <w:sz w:val="28"/>
          <w:szCs w:val="28"/>
          <w:lang w:val="uk-UA"/>
        </w:rPr>
        <w:t xml:space="preserve"> ендотеліна-1 та показники серцевої і системної гемодинамік</w:t>
      </w:r>
      <w:r w:rsidR="00381333" w:rsidRPr="001416ED">
        <w:rPr>
          <w:rFonts w:eastAsia="Calibri"/>
          <w:color w:val="auto"/>
          <w:sz w:val="28"/>
          <w:szCs w:val="28"/>
          <w:lang w:val="uk-UA"/>
        </w:rPr>
        <w:t>и у чоловіків з е</w:t>
      </w:r>
      <w:r w:rsidR="001766D8" w:rsidRPr="001416ED">
        <w:rPr>
          <w:rFonts w:eastAsia="Calibri"/>
          <w:color w:val="auto"/>
          <w:sz w:val="28"/>
          <w:szCs w:val="28"/>
          <w:lang w:val="uk-UA"/>
        </w:rPr>
        <w:t xml:space="preserve">сенціальною гіпертензією, мешканців Поділля / Г. О. Палагнюк, Ю. П. Пашкова, В. М. Жебель / Проблеми екології і медицини. – 2015. - №5-6(19). – </w:t>
      </w:r>
      <w:r w:rsidR="004E1F0B">
        <w:rPr>
          <w:rFonts w:eastAsia="Calibri"/>
          <w:color w:val="auto"/>
          <w:sz w:val="28"/>
          <w:szCs w:val="28"/>
          <w:lang w:val="uk-UA"/>
        </w:rPr>
        <w:t>С</w:t>
      </w:r>
      <w:r w:rsidR="001766D8" w:rsidRPr="001416ED">
        <w:rPr>
          <w:rFonts w:eastAsia="Calibri"/>
          <w:color w:val="auto"/>
          <w:sz w:val="28"/>
          <w:szCs w:val="28"/>
          <w:lang w:val="uk-UA"/>
        </w:rPr>
        <w:t xml:space="preserve">. 3-10. </w:t>
      </w:r>
    </w:p>
    <w:p w:rsidR="00936F67" w:rsidRPr="001416ED" w:rsidRDefault="00936F67" w:rsidP="0012229A">
      <w:pPr>
        <w:pStyle w:val="ae"/>
        <w:numPr>
          <w:ilvl w:val="0"/>
          <w:numId w:val="11"/>
        </w:numPr>
        <w:spacing w:line="360" w:lineRule="auto"/>
        <w:ind w:left="284" w:hanging="284"/>
        <w:jc w:val="both"/>
        <w:rPr>
          <w:color w:val="auto"/>
          <w:sz w:val="28"/>
          <w:szCs w:val="28"/>
          <w:lang w:val="uk-UA"/>
        </w:rPr>
      </w:pPr>
      <w:r w:rsidRPr="001416ED">
        <w:rPr>
          <w:color w:val="auto"/>
          <w:sz w:val="28"/>
          <w:szCs w:val="28"/>
          <w:lang w:val="uk-UA"/>
        </w:rPr>
        <w:t>Пашкова Ю.</w:t>
      </w:r>
      <w:r w:rsidR="00381333" w:rsidRPr="001416ED">
        <w:rPr>
          <w:color w:val="auto"/>
          <w:sz w:val="28"/>
          <w:szCs w:val="28"/>
          <w:lang w:val="uk-UA"/>
        </w:rPr>
        <w:t xml:space="preserve"> </w:t>
      </w:r>
      <w:r w:rsidRPr="001416ED">
        <w:rPr>
          <w:color w:val="auto"/>
          <w:sz w:val="28"/>
          <w:szCs w:val="28"/>
          <w:lang w:val="uk-UA"/>
        </w:rPr>
        <w:t>П. Структурно</w:t>
      </w:r>
      <w:r w:rsidR="00BC0119" w:rsidRPr="001416ED">
        <w:rPr>
          <w:color w:val="auto"/>
          <w:sz w:val="28"/>
          <w:szCs w:val="28"/>
          <w:lang w:val="uk-UA"/>
        </w:rPr>
        <w:t>–</w:t>
      </w:r>
      <w:r w:rsidRPr="001416ED">
        <w:rPr>
          <w:color w:val="auto"/>
          <w:sz w:val="28"/>
          <w:szCs w:val="28"/>
          <w:lang w:val="uk-UA"/>
        </w:rPr>
        <w:t>функціональні показники міокарда у чоловіків</w:t>
      </w:r>
      <w:r w:rsidR="00E42F39" w:rsidRPr="001416ED">
        <w:rPr>
          <w:color w:val="auto"/>
          <w:sz w:val="28"/>
          <w:szCs w:val="28"/>
          <w:lang w:val="uk-UA"/>
        </w:rPr>
        <w:t xml:space="preserve"> </w:t>
      </w:r>
      <w:r w:rsidRPr="001416ED">
        <w:rPr>
          <w:color w:val="auto"/>
          <w:sz w:val="28"/>
          <w:szCs w:val="28"/>
          <w:lang w:val="uk-UA"/>
        </w:rPr>
        <w:t>мешканців Подільського регіону України з гіпертонічною хворобою ІІ стадії, носіїв різних варіантів гена мозкового натрійуретичного пептиду / Ю.П. Пашкова, Г.О. Палагнюк, В.М. Жебель // Вісник Вінницького національного медичного університету. – 2016. – №1, Ч.2 (Т. 20). – С.165</w:t>
      </w:r>
      <w:r w:rsidR="00BC0119" w:rsidRPr="001416ED">
        <w:rPr>
          <w:color w:val="auto"/>
          <w:sz w:val="28"/>
          <w:szCs w:val="28"/>
          <w:lang w:val="uk-UA"/>
        </w:rPr>
        <w:t>–</w:t>
      </w:r>
      <w:r w:rsidRPr="001416ED">
        <w:rPr>
          <w:color w:val="auto"/>
          <w:sz w:val="28"/>
          <w:szCs w:val="28"/>
          <w:lang w:val="uk-UA"/>
        </w:rPr>
        <w:t>171.</w:t>
      </w:r>
      <w:r w:rsidR="00E42F39" w:rsidRPr="001416ED">
        <w:rPr>
          <w:color w:val="auto"/>
          <w:lang w:val="uk-UA"/>
        </w:rPr>
        <w:t xml:space="preserve"> </w:t>
      </w:r>
    </w:p>
    <w:p w:rsidR="00C63BDF" w:rsidRPr="001416ED" w:rsidRDefault="00C63BDF" w:rsidP="0012229A">
      <w:pPr>
        <w:pStyle w:val="ae"/>
        <w:numPr>
          <w:ilvl w:val="0"/>
          <w:numId w:val="11"/>
        </w:numPr>
        <w:spacing w:line="360" w:lineRule="auto"/>
        <w:ind w:left="284" w:hanging="284"/>
        <w:jc w:val="both"/>
        <w:rPr>
          <w:color w:val="auto"/>
          <w:sz w:val="28"/>
          <w:szCs w:val="28"/>
          <w:lang w:val="uk-UA"/>
        </w:rPr>
      </w:pPr>
      <w:r w:rsidRPr="001416ED">
        <w:rPr>
          <w:color w:val="auto"/>
          <w:sz w:val="28"/>
          <w:szCs w:val="28"/>
          <w:lang w:val="uk-UA"/>
        </w:rPr>
        <w:t xml:space="preserve">Палагнюк Г.О. Показники внутрішньосерцевої та системної гемодинаміки у чоловіків з гіпертонічною хворобою різної </w:t>
      </w:r>
      <w:r w:rsidR="00046A18" w:rsidRPr="001416ED">
        <w:rPr>
          <w:color w:val="auto"/>
          <w:sz w:val="28"/>
          <w:szCs w:val="28"/>
          <w:lang w:val="uk-UA"/>
        </w:rPr>
        <w:t>стадії</w:t>
      </w:r>
      <w:r w:rsidRPr="001416ED">
        <w:rPr>
          <w:color w:val="auto"/>
          <w:sz w:val="28"/>
          <w:szCs w:val="28"/>
          <w:lang w:val="uk-UA"/>
        </w:rPr>
        <w:t>, носіїв поліморфних варіантів гена ендотеліну-1 / Г. О. П</w:t>
      </w:r>
      <w:r w:rsidR="001B1973" w:rsidRPr="001416ED">
        <w:rPr>
          <w:color w:val="auto"/>
          <w:sz w:val="28"/>
          <w:szCs w:val="28"/>
          <w:lang w:val="uk-UA"/>
        </w:rPr>
        <w:t>алагнюк, В. М. Жебель // Експери</w:t>
      </w:r>
      <w:r w:rsidRPr="001416ED">
        <w:rPr>
          <w:color w:val="auto"/>
          <w:sz w:val="28"/>
          <w:szCs w:val="28"/>
          <w:lang w:val="uk-UA"/>
        </w:rPr>
        <w:t xml:space="preserve">ментальна і клінічна медицина. – </w:t>
      </w:r>
      <w:r w:rsidR="001B1973" w:rsidRPr="001416ED">
        <w:rPr>
          <w:color w:val="auto"/>
          <w:sz w:val="28"/>
          <w:szCs w:val="28"/>
          <w:lang w:val="uk-UA"/>
        </w:rPr>
        <w:t xml:space="preserve">2016. - №3. – С. 57-63. </w:t>
      </w:r>
    </w:p>
    <w:p w:rsidR="00936F67" w:rsidRPr="001416ED" w:rsidRDefault="00936F67" w:rsidP="00936F67">
      <w:pPr>
        <w:pStyle w:val="ae"/>
        <w:spacing w:line="360" w:lineRule="auto"/>
        <w:ind w:left="2119"/>
        <w:jc w:val="both"/>
        <w:rPr>
          <w:color w:val="auto"/>
          <w:lang w:val="uk-UA"/>
        </w:rPr>
      </w:pPr>
    </w:p>
    <w:p w:rsidR="000547EA" w:rsidRPr="001416ED" w:rsidRDefault="000547EA"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A14841" w:rsidRPr="001416ED" w:rsidRDefault="00A14841" w:rsidP="00D23094">
      <w:pPr>
        <w:spacing w:line="360" w:lineRule="auto"/>
        <w:ind w:firstLine="709"/>
        <w:jc w:val="both"/>
        <w:rPr>
          <w:lang w:val="uk-UA"/>
        </w:rPr>
      </w:pPr>
    </w:p>
    <w:p w:rsidR="009646AB" w:rsidRPr="001416ED" w:rsidRDefault="009646AB" w:rsidP="00305CEB">
      <w:pPr>
        <w:shd w:val="clear" w:color="auto" w:fill="FFFFFF"/>
        <w:spacing w:before="240" w:after="240" w:line="360" w:lineRule="auto"/>
        <w:ind w:firstLine="720"/>
        <w:jc w:val="center"/>
        <w:rPr>
          <w:b/>
          <w:caps/>
          <w:lang w:val="uk-UA"/>
        </w:rPr>
      </w:pPr>
    </w:p>
    <w:p w:rsidR="009646AB" w:rsidRPr="001416ED" w:rsidRDefault="009646AB" w:rsidP="00305CEB">
      <w:pPr>
        <w:shd w:val="clear" w:color="auto" w:fill="FFFFFF"/>
        <w:spacing w:before="240" w:after="240" w:line="360" w:lineRule="auto"/>
        <w:ind w:firstLine="720"/>
        <w:jc w:val="center"/>
        <w:rPr>
          <w:b/>
          <w:caps/>
          <w:lang w:val="uk-UA"/>
        </w:rPr>
      </w:pPr>
    </w:p>
    <w:p w:rsidR="009646AB" w:rsidRPr="001416ED" w:rsidRDefault="009646AB" w:rsidP="00305CEB">
      <w:pPr>
        <w:shd w:val="clear" w:color="auto" w:fill="FFFFFF"/>
        <w:spacing w:before="240" w:after="240" w:line="360" w:lineRule="auto"/>
        <w:ind w:firstLine="720"/>
        <w:jc w:val="center"/>
        <w:rPr>
          <w:b/>
          <w:caps/>
          <w:lang w:val="uk-UA"/>
        </w:rPr>
      </w:pPr>
    </w:p>
    <w:p w:rsidR="009646AB" w:rsidRPr="001416ED" w:rsidRDefault="009646AB" w:rsidP="00305CEB">
      <w:pPr>
        <w:shd w:val="clear" w:color="auto" w:fill="FFFFFF"/>
        <w:spacing w:before="240" w:after="240" w:line="360" w:lineRule="auto"/>
        <w:ind w:firstLine="720"/>
        <w:jc w:val="center"/>
        <w:rPr>
          <w:b/>
          <w:caps/>
          <w:lang w:val="uk-UA"/>
        </w:rPr>
      </w:pPr>
    </w:p>
    <w:p w:rsidR="00305CEB" w:rsidRPr="001416ED" w:rsidRDefault="00305CEB" w:rsidP="00305CEB">
      <w:pPr>
        <w:shd w:val="clear" w:color="auto" w:fill="FFFFFF"/>
        <w:spacing w:before="240" w:after="240" w:line="360" w:lineRule="auto"/>
        <w:ind w:firstLine="720"/>
        <w:jc w:val="center"/>
        <w:rPr>
          <w:b/>
          <w:caps/>
          <w:lang w:val="uk-UA"/>
        </w:rPr>
      </w:pPr>
      <w:r w:rsidRPr="001416ED">
        <w:rPr>
          <w:b/>
          <w:caps/>
          <w:lang w:val="uk-UA"/>
        </w:rPr>
        <w:lastRenderedPageBreak/>
        <w:t>Розділ 6</w:t>
      </w:r>
    </w:p>
    <w:p w:rsidR="00305CEB" w:rsidRPr="001416ED" w:rsidRDefault="00305CEB" w:rsidP="00305CEB">
      <w:pPr>
        <w:shd w:val="clear" w:color="auto" w:fill="FFFFFF"/>
        <w:spacing w:before="240" w:after="240" w:line="360" w:lineRule="auto"/>
        <w:ind w:firstLine="720"/>
        <w:contextualSpacing/>
        <w:jc w:val="center"/>
        <w:rPr>
          <w:b/>
          <w:caps/>
          <w:lang w:val="uk-UA"/>
        </w:rPr>
      </w:pPr>
      <w:r w:rsidRPr="001416ED">
        <w:rPr>
          <w:b/>
          <w:caps/>
          <w:lang w:val="uk-UA"/>
        </w:rPr>
        <w:t>Аналіз та УЗАГАЛЬНЕння результатів дослідження</w:t>
      </w:r>
    </w:p>
    <w:p w:rsidR="00305CEB" w:rsidRPr="001416ED" w:rsidRDefault="00305CEB" w:rsidP="00305CEB">
      <w:pPr>
        <w:spacing w:before="240" w:line="360" w:lineRule="auto"/>
        <w:ind w:firstLine="709"/>
        <w:contextualSpacing/>
        <w:jc w:val="both"/>
        <w:rPr>
          <w:lang w:val="uk-UA"/>
        </w:rPr>
      </w:pPr>
      <w:r w:rsidRPr="001416ED">
        <w:rPr>
          <w:lang w:val="uk-UA"/>
        </w:rPr>
        <w:t>АГ</w:t>
      </w:r>
      <w:r w:rsidRPr="001416ED">
        <w:t> </w:t>
      </w:r>
      <w:r w:rsidRPr="001416ED">
        <w:rPr>
          <w:lang w:val="uk-UA"/>
        </w:rPr>
        <w:t>одне</w:t>
      </w:r>
      <w:r w:rsidRPr="001416ED">
        <w:t> </w:t>
      </w:r>
      <w:r w:rsidRPr="001416ED">
        <w:rPr>
          <w:lang w:val="uk-UA"/>
        </w:rPr>
        <w:t>із</w:t>
      </w:r>
      <w:r w:rsidRPr="001416ED">
        <w:t> </w:t>
      </w:r>
      <w:r w:rsidRPr="001416ED">
        <w:rPr>
          <w:lang w:val="uk-UA"/>
        </w:rPr>
        <w:t>захворювань,</w:t>
      </w:r>
      <w:r w:rsidRPr="001416ED">
        <w:t> </w:t>
      </w:r>
      <w:r w:rsidRPr="001416ED">
        <w:rPr>
          <w:lang w:val="uk-UA"/>
        </w:rPr>
        <w:t>що</w:t>
      </w:r>
      <w:r w:rsidRPr="001416ED">
        <w:t> </w:t>
      </w:r>
      <w:r w:rsidRPr="001416ED">
        <w:rPr>
          <w:lang w:val="uk-UA"/>
        </w:rPr>
        <w:t>належать</w:t>
      </w:r>
      <w:r w:rsidRPr="001416ED">
        <w:t> </w:t>
      </w:r>
      <w:r w:rsidRPr="001416ED">
        <w:rPr>
          <w:lang w:val="uk-UA"/>
        </w:rPr>
        <w:t>в</w:t>
      </w:r>
      <w:r w:rsidRPr="001416ED">
        <w:t> </w:t>
      </w:r>
      <w:r w:rsidRPr="001416ED">
        <w:rPr>
          <w:lang w:val="uk-UA"/>
        </w:rPr>
        <w:t>усьому</w:t>
      </w:r>
      <w:r w:rsidRPr="001416ED">
        <w:t> </w:t>
      </w:r>
      <w:r w:rsidRPr="001416ED">
        <w:rPr>
          <w:lang w:val="uk-UA"/>
        </w:rPr>
        <w:t>св</w:t>
      </w:r>
      <w:r w:rsidRPr="001416ED">
        <w:t>i</w:t>
      </w:r>
      <w:r w:rsidRPr="001416ED">
        <w:rPr>
          <w:lang w:val="uk-UA"/>
        </w:rPr>
        <w:t>т</w:t>
      </w:r>
      <w:r w:rsidRPr="001416ED">
        <w:t>i </w:t>
      </w:r>
      <w:r w:rsidRPr="001416ED">
        <w:rPr>
          <w:lang w:val="uk-UA"/>
        </w:rPr>
        <w:t>до так</w:t>
      </w:r>
      <w:r w:rsidRPr="001416ED">
        <w:t> </w:t>
      </w:r>
      <w:r w:rsidRPr="001416ED">
        <w:rPr>
          <w:lang w:val="uk-UA"/>
        </w:rPr>
        <w:t>званих «хвороб століття», «хвороб</w:t>
      </w:r>
      <w:r w:rsidRPr="001416ED">
        <w:t> </w:t>
      </w:r>
      <w:r w:rsidRPr="001416ED">
        <w:rPr>
          <w:lang w:val="uk-UA"/>
        </w:rPr>
        <w:t>цив</w:t>
      </w:r>
      <w:r w:rsidRPr="001416ED">
        <w:t>i</w:t>
      </w:r>
      <w:r w:rsidRPr="001416ED">
        <w:rPr>
          <w:lang w:val="uk-UA"/>
        </w:rPr>
        <w:t>л</w:t>
      </w:r>
      <w:r w:rsidRPr="001416ED">
        <w:t>i</w:t>
      </w:r>
      <w:r w:rsidRPr="001416ED">
        <w:rPr>
          <w:lang w:val="uk-UA"/>
        </w:rPr>
        <w:t>зац</w:t>
      </w:r>
      <w:r w:rsidRPr="001416ED">
        <w:t>i</w:t>
      </w:r>
      <w:r w:rsidRPr="001416ED">
        <w:rPr>
          <w:lang w:val="uk-UA"/>
        </w:rPr>
        <w:t>ї». Про великі масштаби ГХ у світі свідчить той факт, що ЕГ виявляється у кожної третьої дорослої людини</w:t>
      </w:r>
      <w:r w:rsidR="001220DC" w:rsidRPr="001416ED">
        <w:rPr>
          <w:lang w:val="uk-UA"/>
        </w:rPr>
        <w:t xml:space="preserve"> [7</w:t>
      </w:r>
      <w:r w:rsidR="00056B12" w:rsidRPr="001416ED">
        <w:rPr>
          <w:lang w:val="uk-UA"/>
        </w:rPr>
        <w:t>5</w:t>
      </w:r>
      <w:r w:rsidR="001220DC" w:rsidRPr="001416ED">
        <w:rPr>
          <w:lang w:val="uk-UA"/>
        </w:rPr>
        <w:t>]</w:t>
      </w:r>
      <w:r w:rsidRPr="001416ED">
        <w:rPr>
          <w:lang w:val="uk-UA"/>
        </w:rPr>
        <w:t>.</w:t>
      </w:r>
    </w:p>
    <w:p w:rsidR="00305CEB" w:rsidRPr="001416ED" w:rsidRDefault="00305CEB" w:rsidP="00305CEB">
      <w:pPr>
        <w:spacing w:line="360" w:lineRule="auto"/>
        <w:ind w:firstLine="709"/>
        <w:contextualSpacing/>
        <w:jc w:val="both"/>
        <w:rPr>
          <w:lang w:val="uk-UA"/>
        </w:rPr>
      </w:pPr>
      <w:r w:rsidRPr="001416ED">
        <w:rPr>
          <w:lang w:val="uk-UA"/>
        </w:rPr>
        <w:t xml:space="preserve">Частка людей з підвищеним АТ з віком зростає </w:t>
      </w:r>
      <w:r w:rsidR="00236882" w:rsidRPr="001416ED">
        <w:rPr>
          <w:lang w:val="uk-UA"/>
        </w:rPr>
        <w:t>–</w:t>
      </w:r>
      <w:r w:rsidRPr="001416ED">
        <w:rPr>
          <w:lang w:val="uk-UA"/>
        </w:rPr>
        <w:t xml:space="preserve"> від однієї людини з десяти у віці від 20 до 40 років, до п’яти з десяти у віці від 50 до 60 років. ЕГ спричиняє 2/3 усіх хвороб системи кровообігу і щорічно призводить до більш ніж дев’яти мільйонів  випадків смертей у світі. Значна поширеність АГ серед населення обумовила збільшення кількості хвороб серцево</w:t>
      </w:r>
      <w:r w:rsidR="00BC0119" w:rsidRPr="001416ED">
        <w:rPr>
          <w:lang w:val="uk-UA"/>
        </w:rPr>
        <w:t>–</w:t>
      </w:r>
      <w:r w:rsidRPr="001416ED">
        <w:rPr>
          <w:lang w:val="uk-UA"/>
        </w:rPr>
        <w:t>судинної системи за останнє десятиліття втричі. Смертність від серцево</w:t>
      </w:r>
      <w:r w:rsidR="00BC0119" w:rsidRPr="001416ED">
        <w:rPr>
          <w:lang w:val="uk-UA"/>
        </w:rPr>
        <w:t>–</w:t>
      </w:r>
      <w:r w:rsidRPr="001416ED">
        <w:rPr>
          <w:lang w:val="uk-UA"/>
        </w:rPr>
        <w:t>судинної патології становить 66,3</w:t>
      </w:r>
      <w:r w:rsidR="00D4219F" w:rsidRPr="001416ED">
        <w:rPr>
          <w:lang w:val="uk-UA"/>
        </w:rPr>
        <w:t xml:space="preserve"> %</w:t>
      </w:r>
      <w:r w:rsidRPr="001416ED">
        <w:rPr>
          <w:lang w:val="uk-UA"/>
        </w:rPr>
        <w:t xml:space="preserve"> загального показника. Високий АТ значно підвищує ризик захворіти на </w:t>
      </w:r>
      <w:r w:rsidR="00A05B53" w:rsidRPr="001416ED">
        <w:rPr>
          <w:lang w:val="uk-UA"/>
        </w:rPr>
        <w:t>ІХС</w:t>
      </w:r>
      <w:r w:rsidRPr="001416ED">
        <w:rPr>
          <w:lang w:val="uk-UA"/>
        </w:rPr>
        <w:t xml:space="preserve">, </w:t>
      </w:r>
      <w:r w:rsidR="00A05B53" w:rsidRPr="001416ED">
        <w:rPr>
          <w:lang w:val="uk-UA"/>
        </w:rPr>
        <w:t>МІ</w:t>
      </w:r>
      <w:r w:rsidRPr="001416ED">
        <w:rPr>
          <w:lang w:val="uk-UA"/>
        </w:rPr>
        <w:t xml:space="preserve">, а також </w:t>
      </w:r>
      <w:r w:rsidR="00D81B96" w:rsidRPr="001416ED">
        <w:rPr>
          <w:lang w:val="uk-UA"/>
        </w:rPr>
        <w:t>розвиток</w:t>
      </w:r>
      <w:r w:rsidRPr="001416ED">
        <w:rPr>
          <w:lang w:val="uk-UA"/>
        </w:rPr>
        <w:t xml:space="preserve"> серцев</w:t>
      </w:r>
      <w:r w:rsidR="00D81B96" w:rsidRPr="001416ED">
        <w:rPr>
          <w:lang w:val="uk-UA"/>
        </w:rPr>
        <w:t>ої</w:t>
      </w:r>
      <w:r w:rsidRPr="001416ED">
        <w:rPr>
          <w:lang w:val="uk-UA"/>
        </w:rPr>
        <w:t xml:space="preserve"> та нирков</w:t>
      </w:r>
      <w:r w:rsidR="00D81B96" w:rsidRPr="001416ED">
        <w:rPr>
          <w:lang w:val="uk-UA"/>
        </w:rPr>
        <w:t>ої</w:t>
      </w:r>
      <w:r w:rsidRPr="001416ED">
        <w:rPr>
          <w:lang w:val="uk-UA"/>
        </w:rPr>
        <w:t xml:space="preserve"> недостатн</w:t>
      </w:r>
      <w:r w:rsidR="003603BE" w:rsidRPr="001416ED">
        <w:rPr>
          <w:lang w:val="uk-UA"/>
        </w:rPr>
        <w:t>о</w:t>
      </w:r>
      <w:r w:rsidRPr="001416ED">
        <w:rPr>
          <w:lang w:val="uk-UA"/>
        </w:rPr>
        <w:t>ст</w:t>
      </w:r>
      <w:r w:rsidR="003603BE" w:rsidRPr="001416ED">
        <w:rPr>
          <w:lang w:val="uk-UA"/>
        </w:rPr>
        <w:t>і</w:t>
      </w:r>
      <w:r w:rsidRPr="001416ED">
        <w:rPr>
          <w:lang w:val="uk-UA"/>
        </w:rPr>
        <w:t xml:space="preserve">, призводить до </w:t>
      </w:r>
      <w:r w:rsidR="00A05B53" w:rsidRPr="001416ED">
        <w:rPr>
          <w:lang w:val="uk-UA"/>
        </w:rPr>
        <w:t xml:space="preserve">ураження судин, в тому числі до сітківки </w:t>
      </w:r>
      <w:r w:rsidRPr="001416ED">
        <w:rPr>
          <w:lang w:val="uk-UA"/>
        </w:rPr>
        <w:t>очей [</w:t>
      </w:r>
      <w:r w:rsidR="00056B12" w:rsidRPr="001416ED">
        <w:rPr>
          <w:lang w:val="uk-UA"/>
        </w:rPr>
        <w:t>87</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За сучасними уявленнями</w:t>
      </w:r>
      <w:r w:rsidR="00A05B53" w:rsidRPr="001416ED">
        <w:rPr>
          <w:lang w:val="uk-UA"/>
        </w:rPr>
        <w:t>,</w:t>
      </w:r>
      <w:r w:rsidRPr="001416ED">
        <w:rPr>
          <w:lang w:val="uk-UA"/>
        </w:rPr>
        <w:t xml:space="preserve"> ГХ є багатофакторним захворюванням. Ендотелій є ключовою структурою, що підтримує баланс між вазоконстрикцією та вазодилятацією судин, інгібіторами та промоутерами росту, анти</w:t>
      </w:r>
      <w:r w:rsidR="00BC0119" w:rsidRPr="001416ED">
        <w:rPr>
          <w:lang w:val="uk-UA"/>
        </w:rPr>
        <w:t>–</w:t>
      </w:r>
      <w:r w:rsidRPr="001416ED">
        <w:rPr>
          <w:lang w:val="uk-UA"/>
        </w:rPr>
        <w:t xml:space="preserve"> та про тромбозом, факторами, що сприяють та перешкоджають запальному процесу, анти</w:t>
      </w:r>
      <w:r w:rsidR="00BC0119" w:rsidRPr="001416ED">
        <w:rPr>
          <w:lang w:val="uk-UA"/>
        </w:rPr>
        <w:t>–</w:t>
      </w:r>
      <w:r w:rsidRPr="001416ED">
        <w:rPr>
          <w:lang w:val="uk-UA"/>
        </w:rPr>
        <w:t xml:space="preserve"> та прооксидантами. На даний час вважається, що ЕД є однією із </w:t>
      </w:r>
      <w:r w:rsidR="00A05B53" w:rsidRPr="001416ED">
        <w:rPr>
          <w:lang w:val="uk-UA"/>
        </w:rPr>
        <w:t>провідних</w:t>
      </w:r>
      <w:r w:rsidRPr="001416ED">
        <w:rPr>
          <w:lang w:val="uk-UA"/>
        </w:rPr>
        <w:t xml:space="preserve"> ланок у патогенезі ЕГ. Процеси ремоделювання стінки судин (гіперплазія та гіпертрофія ГМК медії, фіброз) зумовлюють прогресування </w:t>
      </w:r>
      <w:r w:rsidR="00A05B53" w:rsidRPr="001416ED">
        <w:rPr>
          <w:lang w:val="uk-UA"/>
        </w:rPr>
        <w:t>та</w:t>
      </w:r>
      <w:r w:rsidRPr="001416ED">
        <w:rPr>
          <w:lang w:val="uk-UA"/>
        </w:rPr>
        <w:t xml:space="preserve"> стабілізацію АГ</w:t>
      </w:r>
      <w:r w:rsidR="00A05B53" w:rsidRPr="001416ED">
        <w:rPr>
          <w:lang w:val="uk-UA"/>
        </w:rPr>
        <w:t>,</w:t>
      </w:r>
      <w:r w:rsidRPr="001416ED">
        <w:t xml:space="preserve"> і призводять до розвитку дисфункції міокарда з його наступним ремоделюванням, що поглиблює </w:t>
      </w:r>
      <w:r w:rsidRPr="001416ED">
        <w:rPr>
          <w:lang w:val="uk-UA"/>
        </w:rPr>
        <w:t>ЕД</w:t>
      </w:r>
      <w:r w:rsidRPr="001416ED">
        <w:t>, замикаючи «порочне коло». З цього погляду інтерес викликає вивчення плазмових концентрацій речовин, що відіграють одну з визначальних ролей у вазодилятуючому і вазоконстрикторному потенціалі судин</w:t>
      </w:r>
      <w:r w:rsidRPr="001416ED">
        <w:rPr>
          <w:lang w:val="uk-UA"/>
        </w:rPr>
        <w:t>.</w:t>
      </w:r>
      <w:r w:rsidRPr="001416ED">
        <w:t xml:space="preserve"> СНП та ЕТ</w:t>
      </w:r>
      <w:r w:rsidR="00BC0119" w:rsidRPr="001416ED">
        <w:t>–</w:t>
      </w:r>
      <w:r w:rsidRPr="001416ED">
        <w:t>1 належать до таких медіаторів.</w:t>
      </w:r>
    </w:p>
    <w:p w:rsidR="00305CEB" w:rsidRPr="001416ED" w:rsidRDefault="00305CEB" w:rsidP="00305CEB">
      <w:pPr>
        <w:spacing w:line="360" w:lineRule="auto"/>
        <w:ind w:firstLine="709"/>
        <w:jc w:val="both"/>
        <w:rPr>
          <w:lang w:val="uk-UA"/>
        </w:rPr>
      </w:pPr>
      <w:r w:rsidRPr="001416ED">
        <w:t xml:space="preserve">Велике значення в якості чинника розвитку </w:t>
      </w:r>
      <w:r w:rsidRPr="001416ED">
        <w:rPr>
          <w:lang w:val="uk-UA"/>
        </w:rPr>
        <w:t>ГХ</w:t>
      </w:r>
      <w:r w:rsidRPr="001416ED">
        <w:t xml:space="preserve"> має спадковість. У зв'язку з цим</w:t>
      </w:r>
      <w:r w:rsidR="00F472AF" w:rsidRPr="001416ED">
        <w:rPr>
          <w:lang w:val="uk-UA"/>
        </w:rPr>
        <w:t>,</w:t>
      </w:r>
      <w:r w:rsidRPr="001416ED">
        <w:t xml:space="preserve"> становить інтерес вивчення генів, що кодують білки, які беруть участь в </w:t>
      </w:r>
      <w:r w:rsidRPr="001416ED">
        <w:lastRenderedPageBreak/>
        <w:t xml:space="preserve">процесах регуляції і </w:t>
      </w:r>
      <w:proofErr w:type="gramStart"/>
      <w:r w:rsidRPr="001416ED">
        <w:t>п</w:t>
      </w:r>
      <w:proofErr w:type="gramEnd"/>
      <w:r w:rsidRPr="001416ED">
        <w:t>ідтримки судинного тонусу</w:t>
      </w:r>
      <w:r w:rsidRPr="001416ED">
        <w:rPr>
          <w:lang w:val="uk-UA"/>
        </w:rPr>
        <w:t xml:space="preserve"> та</w:t>
      </w:r>
      <w:r w:rsidRPr="001416ED">
        <w:t xml:space="preserve"> гомеостазу</w:t>
      </w:r>
      <w:r w:rsidRPr="001416ED">
        <w:rPr>
          <w:lang w:val="uk-UA"/>
        </w:rPr>
        <w:t>, а саме ген ЕТ</w:t>
      </w:r>
      <w:r w:rsidR="00BC0119" w:rsidRPr="001416ED">
        <w:rPr>
          <w:lang w:val="uk-UA"/>
        </w:rPr>
        <w:t>–</w:t>
      </w:r>
      <w:r w:rsidRPr="001416ED">
        <w:rPr>
          <w:lang w:val="uk-UA"/>
        </w:rPr>
        <w:t>1 та ген АТ1</w:t>
      </w:r>
      <w:r w:rsidR="00BC0119" w:rsidRPr="001416ED">
        <w:rPr>
          <w:lang w:val="uk-UA"/>
        </w:rPr>
        <w:t>–</w:t>
      </w:r>
      <w:r w:rsidR="00E03CB0">
        <w:rPr>
          <w:lang w:val="uk-UA"/>
        </w:rPr>
        <w:t>Р</w:t>
      </w:r>
      <w:r w:rsidRPr="001416ED">
        <w:rPr>
          <w:lang w:val="uk-UA"/>
        </w:rPr>
        <w:t xml:space="preserve">, який є </w:t>
      </w:r>
      <w:r w:rsidR="00401494" w:rsidRPr="001416ED">
        <w:rPr>
          <w:lang w:val="uk-UA"/>
        </w:rPr>
        <w:t xml:space="preserve">теж </w:t>
      </w:r>
      <w:r w:rsidRPr="001416ED">
        <w:rPr>
          <w:lang w:val="uk-UA"/>
        </w:rPr>
        <w:t>доведеним стимулятором синтезу пептиду ЕТ</w:t>
      </w:r>
      <w:r w:rsidR="00BC0119" w:rsidRPr="001416ED">
        <w:rPr>
          <w:lang w:val="uk-UA"/>
        </w:rPr>
        <w:t>–</w:t>
      </w:r>
      <w:r w:rsidRPr="001416ED">
        <w:rPr>
          <w:lang w:val="uk-UA"/>
        </w:rPr>
        <w:t>1.</w:t>
      </w:r>
    </w:p>
    <w:p w:rsidR="00305CEB" w:rsidRPr="001416ED" w:rsidRDefault="00305CEB" w:rsidP="00305CEB">
      <w:pPr>
        <w:spacing w:line="360" w:lineRule="auto"/>
        <w:ind w:firstLine="709"/>
        <w:jc w:val="both"/>
        <w:rPr>
          <w:lang w:val="uk-UA"/>
        </w:rPr>
      </w:pPr>
      <w:r w:rsidRPr="001416ED">
        <w:rPr>
          <w:lang w:val="uk-UA"/>
        </w:rPr>
        <w:t>На сьогоднішній день поліморфізм гена ЕТ</w:t>
      </w:r>
      <w:r w:rsidR="00BC0119" w:rsidRPr="001416ED">
        <w:rPr>
          <w:lang w:val="uk-UA"/>
        </w:rPr>
        <w:t>–</w:t>
      </w:r>
      <w:r w:rsidRPr="001416ED">
        <w:rPr>
          <w:lang w:val="uk-UA"/>
        </w:rPr>
        <w:t xml:space="preserve">1 у осіб з ЕГ в світі є маловивченим. Відповідно, коливання вазоактивних пептидів </w:t>
      </w:r>
      <w:r w:rsidR="00BC0119" w:rsidRPr="001416ED">
        <w:rPr>
          <w:lang w:val="uk-UA"/>
        </w:rPr>
        <w:t>–</w:t>
      </w:r>
      <w:r w:rsidRPr="001416ED">
        <w:rPr>
          <w:lang w:val="uk-UA"/>
        </w:rPr>
        <w:t xml:space="preserve"> ЕТ</w:t>
      </w:r>
      <w:r w:rsidR="00BC0119" w:rsidRPr="001416ED">
        <w:rPr>
          <w:lang w:val="uk-UA"/>
        </w:rPr>
        <w:t>–</w:t>
      </w:r>
      <w:r w:rsidRPr="001416ED">
        <w:rPr>
          <w:lang w:val="uk-UA"/>
        </w:rPr>
        <w:t xml:space="preserve">1 та його антагоніста </w:t>
      </w:r>
      <w:r w:rsidR="00BC0119" w:rsidRPr="001416ED">
        <w:rPr>
          <w:lang w:val="uk-UA"/>
        </w:rPr>
        <w:t>–</w:t>
      </w:r>
      <w:r w:rsidRPr="001416ED">
        <w:rPr>
          <w:lang w:val="uk-UA"/>
        </w:rPr>
        <w:t xml:space="preserve"> СНП при </w:t>
      </w:r>
      <w:r w:rsidR="00F40216">
        <w:rPr>
          <w:lang w:val="uk-UA"/>
        </w:rPr>
        <w:t>різних варіантах гена</w:t>
      </w:r>
      <w:r w:rsidRPr="001416ED">
        <w:rPr>
          <w:lang w:val="uk-UA"/>
        </w:rPr>
        <w:t xml:space="preserve"> ЕТ</w:t>
      </w:r>
      <w:r w:rsidR="00BC0119" w:rsidRPr="001416ED">
        <w:rPr>
          <w:lang w:val="uk-UA"/>
        </w:rPr>
        <w:t>–</w:t>
      </w:r>
      <w:r w:rsidRPr="001416ED">
        <w:rPr>
          <w:lang w:val="uk-UA"/>
        </w:rPr>
        <w:t xml:space="preserve">1 у осіб з ГХ різної </w:t>
      </w:r>
      <w:r w:rsidR="00046A18" w:rsidRPr="001416ED">
        <w:rPr>
          <w:lang w:val="uk-UA"/>
        </w:rPr>
        <w:t>стадії</w:t>
      </w:r>
      <w:r w:rsidRPr="001416ED">
        <w:rPr>
          <w:lang w:val="uk-UA"/>
        </w:rPr>
        <w:t xml:space="preserve"> в Україні не встановлені, що і стало ціллю даної наукової роботи.</w:t>
      </w:r>
    </w:p>
    <w:p w:rsidR="00305CEB" w:rsidRPr="001416ED" w:rsidRDefault="00305CEB" w:rsidP="00305CEB">
      <w:pPr>
        <w:spacing w:line="360" w:lineRule="auto"/>
        <w:ind w:firstLine="709"/>
        <w:jc w:val="both"/>
        <w:rPr>
          <w:lang w:val="uk-UA"/>
        </w:rPr>
      </w:pPr>
      <w:r w:rsidRPr="001416ED">
        <w:rPr>
          <w:lang w:val="uk-UA"/>
        </w:rPr>
        <w:t>Першим кроком в даному дослідженні стало визначення частоти варіантів генотипів та алелей гена ЕТ</w:t>
      </w:r>
      <w:r w:rsidR="00BC0119" w:rsidRPr="001416ED">
        <w:rPr>
          <w:lang w:val="uk-UA"/>
        </w:rPr>
        <w:t>–</w:t>
      </w:r>
      <w:r w:rsidRPr="001416ED">
        <w:rPr>
          <w:lang w:val="uk-UA"/>
        </w:rPr>
        <w:t>1 у чоловіків без серцево</w:t>
      </w:r>
      <w:r w:rsidR="00BC0119" w:rsidRPr="001416ED">
        <w:rPr>
          <w:lang w:val="uk-UA"/>
        </w:rPr>
        <w:t>–</w:t>
      </w:r>
      <w:r w:rsidRPr="001416ED">
        <w:rPr>
          <w:lang w:val="uk-UA"/>
        </w:rPr>
        <w:t xml:space="preserve">судинних захворювань. Так, встановлено, що у осіб чоловічої статі групи контролю домінує генотип </w:t>
      </w:r>
      <w:r w:rsidRPr="001416ED">
        <w:rPr>
          <w:lang w:val="en-US"/>
        </w:rPr>
        <w:t>Lys</w:t>
      </w:r>
      <w:r w:rsidRPr="001416ED">
        <w:rPr>
          <w:lang w:val="uk-UA"/>
        </w:rPr>
        <w:t>/</w:t>
      </w:r>
      <w:r w:rsidRPr="001416ED">
        <w:rPr>
          <w:lang w:val="en-US"/>
        </w:rPr>
        <w:t>Lys</w:t>
      </w:r>
      <w:r w:rsidRPr="001416ED">
        <w:rPr>
          <w:lang w:val="uk-UA"/>
        </w:rPr>
        <w:t xml:space="preserve"> та алель </w:t>
      </w:r>
      <w:r w:rsidRPr="001416ED">
        <w:rPr>
          <w:lang w:val="en-US"/>
        </w:rPr>
        <w:t>Lys</w:t>
      </w:r>
      <w:r w:rsidRPr="001416ED">
        <w:rPr>
          <w:lang w:val="uk-UA"/>
        </w:rPr>
        <w:t xml:space="preserve"> гена ЕТ</w:t>
      </w:r>
      <w:r w:rsidR="00BC0119" w:rsidRPr="001416ED">
        <w:rPr>
          <w:lang w:val="uk-UA"/>
        </w:rPr>
        <w:t>–</w:t>
      </w:r>
      <w:r w:rsidRPr="001416ED">
        <w:rPr>
          <w:lang w:val="uk-UA"/>
        </w:rPr>
        <w:t>1. Отримані дані співзвучні з результатами дослідників Казахстану, Угорщини та Сум (Україна) [</w:t>
      </w:r>
      <w:r w:rsidR="00AD6174" w:rsidRPr="001416ED">
        <w:rPr>
          <w:lang w:val="uk-UA"/>
        </w:rPr>
        <w:t>59</w:t>
      </w:r>
      <w:r w:rsidR="006818C8" w:rsidRPr="001416ED">
        <w:rPr>
          <w:lang w:val="uk-UA"/>
        </w:rPr>
        <w:t>,</w:t>
      </w:r>
      <w:r w:rsidR="003650FA" w:rsidRPr="001416ED">
        <w:rPr>
          <w:lang w:val="uk-UA"/>
        </w:rPr>
        <w:t xml:space="preserve"> </w:t>
      </w:r>
      <w:r w:rsidR="006818C8" w:rsidRPr="001416ED">
        <w:rPr>
          <w:lang w:val="uk-UA"/>
        </w:rPr>
        <w:t>1</w:t>
      </w:r>
      <w:r w:rsidR="00AD6174" w:rsidRPr="001416ED">
        <w:rPr>
          <w:lang w:val="uk-UA"/>
        </w:rPr>
        <w:t>05</w:t>
      </w:r>
      <w:r w:rsidR="006818C8" w:rsidRPr="001416ED">
        <w:rPr>
          <w:lang w:val="uk-UA"/>
        </w:rPr>
        <w:t>,</w:t>
      </w:r>
      <w:r w:rsidR="003650FA" w:rsidRPr="001416ED">
        <w:rPr>
          <w:lang w:val="uk-UA"/>
        </w:rPr>
        <w:t xml:space="preserve"> </w:t>
      </w:r>
      <w:r w:rsidRPr="001416ED">
        <w:rPr>
          <w:lang w:val="uk-UA"/>
        </w:rPr>
        <w:t>1</w:t>
      </w:r>
      <w:r w:rsidR="00AD6174" w:rsidRPr="001416ED">
        <w:rPr>
          <w:lang w:val="uk-UA"/>
        </w:rPr>
        <w:t>31</w:t>
      </w:r>
      <w:r w:rsidRPr="001416ED">
        <w:rPr>
          <w:lang w:val="uk-UA"/>
        </w:rPr>
        <w:t xml:space="preserve">]. У роботі великобританських дослідників отримані схожі результати – у здорових представників як негроїдної так і білої раси переважає генотип </w:t>
      </w:r>
      <w:r w:rsidRPr="001416ED">
        <w:rPr>
          <w:lang w:val="en-US"/>
        </w:rPr>
        <w:t>Lys</w:t>
      </w:r>
      <w:r w:rsidRPr="001416ED">
        <w:rPr>
          <w:lang w:val="uk-UA"/>
        </w:rPr>
        <w:t>/</w:t>
      </w:r>
      <w:r w:rsidRPr="001416ED">
        <w:rPr>
          <w:lang w:val="en-US"/>
        </w:rPr>
        <w:t>Lys</w:t>
      </w:r>
      <w:r w:rsidRPr="001416ED">
        <w:rPr>
          <w:lang w:val="uk-UA"/>
        </w:rPr>
        <w:t xml:space="preserve"> та алель </w:t>
      </w:r>
      <w:r w:rsidRPr="001416ED">
        <w:rPr>
          <w:lang w:val="en-US"/>
        </w:rPr>
        <w:t>Lys</w:t>
      </w:r>
      <w:r w:rsidRPr="001416ED">
        <w:rPr>
          <w:lang w:val="uk-UA"/>
        </w:rPr>
        <w:t xml:space="preserve"> гена ЕТ</w:t>
      </w:r>
      <w:r w:rsidR="00BC0119" w:rsidRPr="001416ED">
        <w:rPr>
          <w:lang w:val="uk-UA"/>
        </w:rPr>
        <w:t>–</w:t>
      </w:r>
      <w:r w:rsidRPr="001416ED">
        <w:rPr>
          <w:lang w:val="uk-UA"/>
        </w:rPr>
        <w:t>1, проте різниці у носійстві між расами не встановлено [</w:t>
      </w:r>
      <w:r w:rsidR="00AD6174" w:rsidRPr="001416ED">
        <w:rPr>
          <w:lang w:val="uk-UA"/>
        </w:rPr>
        <w:t>190</w:t>
      </w:r>
      <w:r w:rsidRPr="001416ED">
        <w:rPr>
          <w:lang w:val="uk-UA"/>
        </w:rPr>
        <w:t xml:space="preserve">]. Проте, у дослідженні, що проводилось у містах Франції, на території Північної Ірландії та в Турції показано, що достовірної різниці у частоті  генотипів і </w:t>
      </w:r>
      <w:r w:rsidR="00467248" w:rsidRPr="001416ED">
        <w:rPr>
          <w:lang w:val="uk-UA"/>
        </w:rPr>
        <w:t>алелей</w:t>
      </w:r>
      <w:r w:rsidRPr="001416ED">
        <w:rPr>
          <w:lang w:val="uk-UA"/>
        </w:rPr>
        <w:t xml:space="preserve"> гена ЕТ</w:t>
      </w:r>
      <w:r w:rsidR="00BC0119" w:rsidRPr="001416ED">
        <w:rPr>
          <w:lang w:val="uk-UA"/>
        </w:rPr>
        <w:t>–</w:t>
      </w:r>
      <w:r w:rsidRPr="001416ED">
        <w:rPr>
          <w:lang w:val="uk-UA"/>
        </w:rPr>
        <w:t xml:space="preserve">1 між пацієнтами групи контролю </w:t>
      </w:r>
      <w:r w:rsidR="0070244F" w:rsidRPr="001416ED">
        <w:rPr>
          <w:lang w:val="uk-UA"/>
        </w:rPr>
        <w:t xml:space="preserve">та особами з </w:t>
      </w:r>
      <w:r w:rsidR="003650FA" w:rsidRPr="001416ED">
        <w:rPr>
          <w:lang w:val="uk-UA"/>
        </w:rPr>
        <w:t>ІМ</w:t>
      </w:r>
      <w:r w:rsidR="0070244F" w:rsidRPr="001416ED">
        <w:rPr>
          <w:lang w:val="uk-UA"/>
        </w:rPr>
        <w:t xml:space="preserve"> </w:t>
      </w:r>
      <w:r w:rsidRPr="001416ED">
        <w:rPr>
          <w:lang w:val="uk-UA"/>
        </w:rPr>
        <w:t>не встановлено [</w:t>
      </w:r>
      <w:r w:rsidR="00AD6174" w:rsidRPr="001416ED">
        <w:rPr>
          <w:lang w:val="uk-UA"/>
        </w:rPr>
        <w:t>187</w:t>
      </w:r>
      <w:r w:rsidRPr="001416ED">
        <w:rPr>
          <w:lang w:val="uk-UA"/>
        </w:rPr>
        <w:t xml:space="preserve">, </w:t>
      </w:r>
      <w:r w:rsidR="00AE3B64" w:rsidRPr="001416ED">
        <w:rPr>
          <w:lang w:val="uk-UA"/>
        </w:rPr>
        <w:t>1</w:t>
      </w:r>
      <w:r w:rsidR="00AD6174" w:rsidRPr="001416ED">
        <w:rPr>
          <w:lang w:val="uk-UA"/>
        </w:rPr>
        <w:t>7</w:t>
      </w:r>
      <w:r w:rsidR="00AE3B64" w:rsidRPr="001416ED">
        <w:rPr>
          <w:lang w:val="uk-UA"/>
        </w:rPr>
        <w:t>8</w:t>
      </w:r>
      <w:r w:rsidRPr="001416ED">
        <w:rPr>
          <w:lang w:val="uk-UA"/>
        </w:rPr>
        <w:t>].  Не виявлено різниці і у носійстві поліморфних варіантів гена ЕТ</w:t>
      </w:r>
      <w:r w:rsidR="00BC0119" w:rsidRPr="001416ED">
        <w:rPr>
          <w:lang w:val="uk-UA"/>
        </w:rPr>
        <w:t>–</w:t>
      </w:r>
      <w:r w:rsidRPr="001416ED">
        <w:rPr>
          <w:lang w:val="uk-UA"/>
        </w:rPr>
        <w:t>1 у жінок з нормальною вагітністю та прееклампсією [</w:t>
      </w:r>
      <w:r w:rsidR="00AE3B64" w:rsidRPr="001416ED">
        <w:rPr>
          <w:lang w:val="uk-UA"/>
        </w:rPr>
        <w:t>1</w:t>
      </w:r>
      <w:r w:rsidR="00AD6174" w:rsidRPr="001416ED">
        <w:rPr>
          <w:lang w:val="uk-UA"/>
        </w:rPr>
        <w:t>02</w:t>
      </w:r>
      <w:r w:rsidRPr="001416ED">
        <w:t>]</w:t>
      </w:r>
      <w:r w:rsidRPr="001416ED">
        <w:rPr>
          <w:lang w:val="uk-UA"/>
        </w:rPr>
        <w:t xml:space="preserve">. </w:t>
      </w:r>
    </w:p>
    <w:p w:rsidR="00305CEB" w:rsidRPr="001416ED" w:rsidRDefault="00305CEB" w:rsidP="00305CEB">
      <w:pPr>
        <w:spacing w:line="360" w:lineRule="auto"/>
        <w:ind w:firstLine="709"/>
        <w:jc w:val="both"/>
        <w:rPr>
          <w:lang w:val="uk-UA"/>
        </w:rPr>
      </w:pPr>
      <w:r w:rsidRPr="001416ED">
        <w:t xml:space="preserve">Серед генів, структурний поліморфізм яких може сприяти розвитку ГХ, на </w:t>
      </w:r>
      <w:r w:rsidRPr="001416ED">
        <w:rPr>
          <w:lang w:val="uk-UA"/>
        </w:rPr>
        <w:t>одному із перших місць</w:t>
      </w:r>
      <w:r w:rsidRPr="001416ED">
        <w:t xml:space="preserve"> стоять гени компонентів РААС.</w:t>
      </w:r>
      <w:r w:rsidRPr="001416ED">
        <w:rPr>
          <w:lang w:val="uk-UA"/>
        </w:rPr>
        <w:t xml:space="preserve"> РААС відіграє важливу роль у регуляції АТ, патогенезі ЕГ та ХСН, а також ряду інших захворювань. Рецептори до АТ</w:t>
      </w:r>
      <w:r w:rsidR="00BC0119" w:rsidRPr="001416ED">
        <w:rPr>
          <w:lang w:val="uk-UA"/>
        </w:rPr>
        <w:t>–</w:t>
      </w:r>
      <w:r w:rsidRPr="001416ED">
        <w:rPr>
          <w:lang w:val="uk-UA"/>
        </w:rPr>
        <w:t>ІІ 1</w:t>
      </w:r>
      <w:r w:rsidR="00BC0119" w:rsidRPr="001416ED">
        <w:rPr>
          <w:lang w:val="uk-UA"/>
        </w:rPr>
        <w:t>–</w:t>
      </w:r>
      <w:r w:rsidRPr="001416ED">
        <w:rPr>
          <w:lang w:val="uk-UA"/>
        </w:rPr>
        <w:t xml:space="preserve">го типу опосередковують його множинні ефекти </w:t>
      </w:r>
      <w:r w:rsidR="00236882" w:rsidRPr="001416ED">
        <w:rPr>
          <w:lang w:val="uk-UA"/>
        </w:rPr>
        <w:t>–</w:t>
      </w:r>
      <w:r w:rsidRPr="001416ED">
        <w:rPr>
          <w:lang w:val="uk-UA"/>
        </w:rPr>
        <w:t xml:space="preserve"> вазоконстрикторний, прозапальний та проліферативний у ГМК судин, що зумовлюють ключові ланки патогенезу ЕГ. В ендотелії судин АТ</w:t>
      </w:r>
      <w:r w:rsidR="00BC0119" w:rsidRPr="001416ED">
        <w:rPr>
          <w:lang w:val="uk-UA"/>
        </w:rPr>
        <w:t>–</w:t>
      </w:r>
      <w:r w:rsidRPr="001416ED">
        <w:rPr>
          <w:lang w:val="uk-UA"/>
        </w:rPr>
        <w:t>ІІ стимулює продукцію ЕТ</w:t>
      </w:r>
      <w:r w:rsidR="00BC0119" w:rsidRPr="001416ED">
        <w:rPr>
          <w:lang w:val="uk-UA"/>
        </w:rPr>
        <w:t>–</w:t>
      </w:r>
      <w:r w:rsidRPr="001416ED">
        <w:rPr>
          <w:lang w:val="uk-UA"/>
        </w:rPr>
        <w:t xml:space="preserve">1, тим самим викликаючи розвиток ЕД. Тому, наступним кроком дослідження стало визначення частоти варіантів </w:t>
      </w:r>
      <w:r w:rsidR="00F40216">
        <w:rPr>
          <w:lang w:val="uk-UA"/>
        </w:rPr>
        <w:t>гена</w:t>
      </w:r>
      <w:r w:rsidRPr="001416ED">
        <w:rPr>
          <w:lang w:val="uk-UA"/>
        </w:rPr>
        <w:t xml:space="preserve"> АТ1</w:t>
      </w:r>
      <w:r w:rsidR="00BC0119" w:rsidRPr="001416ED">
        <w:rPr>
          <w:lang w:val="uk-UA"/>
        </w:rPr>
        <w:t>–</w:t>
      </w:r>
      <w:r w:rsidRPr="001416ED">
        <w:rPr>
          <w:lang w:val="uk-UA"/>
        </w:rPr>
        <w:t xml:space="preserve">Р у осіб </w:t>
      </w:r>
      <w:r w:rsidR="00BC0119" w:rsidRPr="001416ED">
        <w:rPr>
          <w:lang w:val="uk-UA"/>
        </w:rPr>
        <w:t>–</w:t>
      </w:r>
      <w:r w:rsidRPr="001416ED">
        <w:rPr>
          <w:lang w:val="uk-UA"/>
        </w:rPr>
        <w:t xml:space="preserve"> носіїв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 xml:space="preserve">1. Встановлено, що у </w:t>
      </w:r>
      <w:r w:rsidR="00E03CB0">
        <w:rPr>
          <w:lang w:val="uk-UA"/>
        </w:rPr>
        <w:t xml:space="preserve">володарів </w:t>
      </w:r>
      <w:r w:rsidRPr="001416ED">
        <w:rPr>
          <w:lang w:val="uk-UA"/>
        </w:rPr>
        <w:t xml:space="preserve">алелі </w:t>
      </w:r>
      <w:r w:rsidRPr="001416ED">
        <w:rPr>
          <w:lang w:val="en-US"/>
        </w:rPr>
        <w:t>Asn</w:t>
      </w:r>
      <w:r w:rsidRPr="001416ED">
        <w:rPr>
          <w:lang w:val="uk-UA"/>
        </w:rPr>
        <w:t xml:space="preserve"> гена ЕТ</w:t>
      </w:r>
      <w:r w:rsidR="00BC0119" w:rsidRPr="001416ED">
        <w:rPr>
          <w:lang w:val="uk-UA"/>
        </w:rPr>
        <w:t>–</w:t>
      </w:r>
      <w:r w:rsidRPr="001416ED">
        <w:rPr>
          <w:lang w:val="uk-UA"/>
        </w:rPr>
        <w:t>1 достовірно частіше зустрічається генотип АА</w:t>
      </w:r>
      <w:r w:rsidR="005C5699" w:rsidRPr="001416ED">
        <w:rPr>
          <w:lang w:val="uk-UA"/>
        </w:rPr>
        <w:t>,</w:t>
      </w:r>
      <w:r w:rsidRPr="001416ED">
        <w:rPr>
          <w:lang w:val="uk-UA"/>
        </w:rPr>
        <w:t xml:space="preserve"> </w:t>
      </w:r>
      <w:r w:rsidR="005C5699" w:rsidRPr="001416ED">
        <w:rPr>
          <w:lang w:val="uk-UA"/>
        </w:rPr>
        <w:t xml:space="preserve">ніж носійство алелі С </w:t>
      </w:r>
      <w:r w:rsidRPr="001416ED">
        <w:rPr>
          <w:lang w:val="uk-UA"/>
        </w:rPr>
        <w:t>гена АТ1</w:t>
      </w:r>
      <w:r w:rsidR="00BC0119" w:rsidRPr="001416ED">
        <w:rPr>
          <w:lang w:val="uk-UA"/>
        </w:rPr>
        <w:t>–</w:t>
      </w:r>
      <w:r w:rsidRPr="001416ED">
        <w:rPr>
          <w:lang w:val="uk-UA"/>
        </w:rPr>
        <w:t xml:space="preserve">Р, </w:t>
      </w:r>
      <w:r w:rsidR="000D1F2D" w:rsidRPr="001416ED">
        <w:rPr>
          <w:lang w:val="uk-UA"/>
        </w:rPr>
        <w:t>п</w:t>
      </w:r>
      <w:r w:rsidRPr="001416ED">
        <w:rPr>
          <w:lang w:val="uk-UA"/>
        </w:rPr>
        <w:t xml:space="preserve">роте, </w:t>
      </w:r>
      <w:r w:rsidR="000D1F2D" w:rsidRPr="001416ED">
        <w:rPr>
          <w:lang w:val="uk-UA"/>
        </w:rPr>
        <w:t xml:space="preserve">у чоловіків – носіїв генотипу </w:t>
      </w:r>
      <w:r w:rsidR="000D1F2D" w:rsidRPr="001416ED">
        <w:rPr>
          <w:lang w:val="en-US"/>
        </w:rPr>
        <w:t>Lys</w:t>
      </w:r>
      <w:r w:rsidR="000D1F2D" w:rsidRPr="001416ED">
        <w:rPr>
          <w:lang w:val="uk-UA"/>
        </w:rPr>
        <w:t>/</w:t>
      </w:r>
      <w:r w:rsidR="000D1F2D" w:rsidRPr="001416ED">
        <w:rPr>
          <w:lang w:val="en-US"/>
        </w:rPr>
        <w:t>Lys</w:t>
      </w:r>
      <w:r w:rsidR="000D1F2D" w:rsidRPr="001416ED">
        <w:rPr>
          <w:lang w:val="uk-UA"/>
        </w:rPr>
        <w:t xml:space="preserve"> гена ЕТ-1 генотип АА та </w:t>
      </w:r>
      <w:r w:rsidR="000D1F2D" w:rsidRPr="001416ED">
        <w:rPr>
          <w:lang w:val="uk-UA"/>
        </w:rPr>
        <w:lastRenderedPageBreak/>
        <w:t xml:space="preserve">носійство алелі С гена АТ1-Р </w:t>
      </w:r>
      <w:r w:rsidR="009106D8" w:rsidRPr="001416ED">
        <w:rPr>
          <w:lang w:val="uk-UA"/>
        </w:rPr>
        <w:t>виявляли</w:t>
      </w:r>
      <w:r w:rsidR="005C5699" w:rsidRPr="001416ED">
        <w:rPr>
          <w:lang w:val="uk-UA"/>
        </w:rPr>
        <w:t xml:space="preserve"> </w:t>
      </w:r>
      <w:r w:rsidR="000D1F2D" w:rsidRPr="001416ED">
        <w:rPr>
          <w:lang w:val="uk-UA"/>
        </w:rPr>
        <w:t>майже з однаковою частотою</w:t>
      </w:r>
      <w:r w:rsidR="005C5699" w:rsidRPr="001416ED">
        <w:rPr>
          <w:lang w:val="uk-UA"/>
        </w:rPr>
        <w:t>.</w:t>
      </w:r>
      <w:r w:rsidR="000D1F2D" w:rsidRPr="001416ED">
        <w:rPr>
          <w:lang w:val="uk-UA"/>
        </w:rPr>
        <w:t xml:space="preserve"> </w:t>
      </w:r>
      <w:r w:rsidRPr="001416ED">
        <w:rPr>
          <w:lang w:val="uk-UA"/>
        </w:rPr>
        <w:t>Подібні дослідження в літературі не описані.</w:t>
      </w:r>
    </w:p>
    <w:p w:rsidR="00305CEB" w:rsidRPr="001416ED" w:rsidRDefault="00305CEB" w:rsidP="00305CEB">
      <w:pPr>
        <w:spacing w:line="360" w:lineRule="auto"/>
        <w:ind w:firstLine="709"/>
        <w:jc w:val="both"/>
        <w:rPr>
          <w:lang w:val="uk-UA"/>
        </w:rPr>
      </w:pPr>
      <w:r w:rsidRPr="001416ED">
        <w:rPr>
          <w:lang w:val="uk-UA"/>
        </w:rPr>
        <w:t xml:space="preserve">Досліджено, що у носіїв генотипу </w:t>
      </w:r>
      <w:r w:rsidRPr="001416ED">
        <w:rPr>
          <w:lang w:val="en-US"/>
        </w:rPr>
        <w:t>Lys</w:t>
      </w:r>
      <w:r w:rsidRPr="001416ED">
        <w:rPr>
          <w:lang w:val="uk-UA"/>
        </w:rPr>
        <w:t>/</w:t>
      </w:r>
      <w:r w:rsidRPr="001416ED">
        <w:rPr>
          <w:lang w:val="en-US"/>
        </w:rPr>
        <w:t>Lys</w:t>
      </w:r>
      <w:r w:rsidRPr="001416ED">
        <w:rPr>
          <w:lang w:val="uk-UA"/>
        </w:rPr>
        <w:t xml:space="preserve"> частіше виявлявся нормальний АТ, у носіїв алелі </w:t>
      </w:r>
      <w:r w:rsidRPr="001416ED">
        <w:rPr>
          <w:lang w:val="en-US"/>
        </w:rPr>
        <w:t>Asn</w:t>
      </w:r>
      <w:r w:rsidRPr="001416ED">
        <w:rPr>
          <w:lang w:val="uk-UA"/>
        </w:rPr>
        <w:t xml:space="preserve"> </w:t>
      </w:r>
      <w:r w:rsidR="00BC0119" w:rsidRPr="001416ED">
        <w:rPr>
          <w:lang w:val="uk-UA"/>
        </w:rPr>
        <w:t>–</w:t>
      </w:r>
      <w:r w:rsidRPr="001416ED">
        <w:rPr>
          <w:lang w:val="uk-UA"/>
        </w:rPr>
        <w:t xml:space="preserve"> нормальний і високий нормальний АТ.</w:t>
      </w:r>
    </w:p>
    <w:p w:rsidR="00305CEB" w:rsidRPr="001416ED" w:rsidRDefault="00305CEB" w:rsidP="00305CEB">
      <w:pPr>
        <w:spacing w:line="360" w:lineRule="auto"/>
        <w:ind w:firstLine="709"/>
        <w:jc w:val="both"/>
        <w:rPr>
          <w:lang w:val="uk-UA"/>
        </w:rPr>
      </w:pPr>
      <w:r w:rsidRPr="001416ED">
        <w:rPr>
          <w:lang w:val="uk-UA"/>
        </w:rPr>
        <w:t>Визначення частоти обтяженої спадковості по ЕГ у осіб без серцево</w:t>
      </w:r>
      <w:r w:rsidR="00BC0119" w:rsidRPr="001416ED">
        <w:rPr>
          <w:lang w:val="uk-UA"/>
        </w:rPr>
        <w:t>–</w:t>
      </w:r>
      <w:r w:rsidRPr="001416ED">
        <w:rPr>
          <w:lang w:val="uk-UA"/>
        </w:rPr>
        <w:t xml:space="preserve">судинних захворювань показало наступне. У носіїв як гомозиготного генотипу </w:t>
      </w:r>
      <w:r w:rsidRPr="001416ED">
        <w:rPr>
          <w:lang w:val="en-US"/>
        </w:rPr>
        <w:t>Lys</w:t>
      </w:r>
      <w:r w:rsidRPr="001416ED">
        <w:rPr>
          <w:lang w:val="uk-UA"/>
        </w:rPr>
        <w:t>/</w:t>
      </w:r>
      <w:r w:rsidRPr="001416ED">
        <w:rPr>
          <w:lang w:val="en-US"/>
        </w:rPr>
        <w:t>Lys</w:t>
      </w:r>
      <w:r w:rsidRPr="001416ED">
        <w:rPr>
          <w:lang w:val="uk-UA"/>
        </w:rPr>
        <w:t xml:space="preserve"> так і алелі </w:t>
      </w:r>
      <w:r w:rsidRPr="001416ED">
        <w:rPr>
          <w:lang w:val="en-US"/>
        </w:rPr>
        <w:t>Asn</w:t>
      </w:r>
      <w:r w:rsidRPr="001416ED">
        <w:rPr>
          <w:lang w:val="uk-UA"/>
        </w:rPr>
        <w:t xml:space="preserve"> гена ЕТ</w:t>
      </w:r>
      <w:r w:rsidR="00BC0119" w:rsidRPr="001416ED">
        <w:rPr>
          <w:lang w:val="uk-UA"/>
        </w:rPr>
        <w:t>–</w:t>
      </w:r>
      <w:r w:rsidRPr="001416ED">
        <w:rPr>
          <w:lang w:val="uk-UA"/>
        </w:rPr>
        <w:t xml:space="preserve">1 переважає необтяжена спадковість по ГХ. </w:t>
      </w:r>
    </w:p>
    <w:p w:rsidR="00305CEB" w:rsidRPr="001416ED" w:rsidRDefault="00305CEB" w:rsidP="00305CEB">
      <w:pPr>
        <w:spacing w:line="360" w:lineRule="auto"/>
        <w:ind w:firstLine="709"/>
        <w:jc w:val="both"/>
        <w:rPr>
          <w:lang w:val="uk-UA"/>
        </w:rPr>
      </w:pPr>
      <w:r w:rsidRPr="001416ED">
        <w:rPr>
          <w:lang w:val="uk-UA"/>
        </w:rPr>
        <w:t xml:space="preserve">Відомо, що ожиріння є модифікуючим фактором, що сприяє розвитку ЕГ, тому було вирішено встановити розподіл чоловіків групи контролю за ІМТ. Досліджено, що у чоловіків </w:t>
      </w:r>
      <w:r w:rsidR="00BC0119" w:rsidRPr="001416ED">
        <w:rPr>
          <w:lang w:val="uk-UA"/>
        </w:rPr>
        <w:t>–</w:t>
      </w:r>
      <w:r w:rsidRPr="001416ED">
        <w:rPr>
          <w:lang w:val="uk-UA"/>
        </w:rPr>
        <w:t xml:space="preserve"> носіїв будь</w:t>
      </w:r>
      <w:r w:rsidR="00BC0119" w:rsidRPr="001416ED">
        <w:rPr>
          <w:lang w:val="uk-UA"/>
        </w:rPr>
        <w:t>–</w:t>
      </w:r>
      <w:r w:rsidRPr="001416ED">
        <w:rPr>
          <w:lang w:val="uk-UA"/>
        </w:rPr>
        <w:t xml:space="preserve">якого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домінує нормальна маса тіла. </w:t>
      </w:r>
      <w:r w:rsidR="00F912D6" w:rsidRPr="001416ED">
        <w:rPr>
          <w:lang w:val="uk-UA"/>
        </w:rPr>
        <w:t xml:space="preserve">За даними </w:t>
      </w:r>
      <w:r w:rsidR="00F34230" w:rsidRPr="001416ED">
        <w:rPr>
          <w:rFonts w:eastAsia="PragmaticaC"/>
          <w:lang w:val="uk-UA" w:eastAsia="en-US"/>
        </w:rPr>
        <w:t xml:space="preserve">А. </w:t>
      </w:r>
      <w:r w:rsidR="00F912D6" w:rsidRPr="001416ED">
        <w:rPr>
          <w:rFonts w:eastAsia="PragmaticaC"/>
          <w:lang w:val="uk-UA" w:eastAsia="en-US"/>
        </w:rPr>
        <w:t xml:space="preserve">Barаth </w:t>
      </w:r>
      <w:r w:rsidR="00B86142" w:rsidRPr="001416ED">
        <w:rPr>
          <w:rFonts w:eastAsia="PragmaticaC"/>
          <w:lang w:val="uk-UA" w:eastAsia="en-US"/>
        </w:rPr>
        <w:t>та співавт.</w:t>
      </w:r>
      <w:r w:rsidR="00F912D6" w:rsidRPr="001416ED">
        <w:rPr>
          <w:lang w:val="uk-UA"/>
        </w:rPr>
        <w:t xml:space="preserve"> </w:t>
      </w:r>
      <w:r w:rsidRPr="001416ED">
        <w:rPr>
          <w:lang w:val="uk-UA"/>
        </w:rPr>
        <w:t xml:space="preserve">в угорських дітей, що мають ожиріння та з нормальним ІМТ розподіл </w:t>
      </w:r>
      <w:r w:rsidR="00F40216">
        <w:rPr>
          <w:lang w:val="uk-UA"/>
        </w:rPr>
        <w:t>варіантів гена</w:t>
      </w:r>
      <w:r w:rsidRPr="001416ED">
        <w:rPr>
          <w:lang w:val="uk-UA"/>
        </w:rPr>
        <w:t xml:space="preserve"> ЕТ</w:t>
      </w:r>
      <w:r w:rsidR="00BC0119" w:rsidRPr="001416ED">
        <w:rPr>
          <w:lang w:val="uk-UA"/>
        </w:rPr>
        <w:t>–</w:t>
      </w:r>
      <w:r w:rsidRPr="001416ED">
        <w:rPr>
          <w:lang w:val="uk-UA"/>
        </w:rPr>
        <w:t>1 не відрізнявся [</w:t>
      </w:r>
      <w:r w:rsidR="00AE3B64" w:rsidRPr="001416ED">
        <w:rPr>
          <w:lang w:val="uk-UA"/>
        </w:rPr>
        <w:t>1</w:t>
      </w:r>
      <w:r w:rsidR="00AD6174" w:rsidRPr="001416ED">
        <w:rPr>
          <w:lang w:val="uk-UA"/>
        </w:rPr>
        <w:t>05</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Наступним кроком стало дослідження плазмової концентрації ЕТ</w:t>
      </w:r>
      <w:r w:rsidR="00BC0119" w:rsidRPr="001416ED">
        <w:rPr>
          <w:lang w:val="uk-UA"/>
        </w:rPr>
        <w:t>–</w:t>
      </w:r>
      <w:r w:rsidRPr="001416ED">
        <w:rPr>
          <w:lang w:val="uk-UA"/>
        </w:rPr>
        <w:t>1 у чоловіків без серцево</w:t>
      </w:r>
      <w:r w:rsidR="00BC0119" w:rsidRPr="001416ED">
        <w:rPr>
          <w:lang w:val="uk-UA"/>
        </w:rPr>
        <w:t>–</w:t>
      </w:r>
      <w:r w:rsidRPr="001416ED">
        <w:rPr>
          <w:lang w:val="uk-UA"/>
        </w:rPr>
        <w:t xml:space="preserve">судинних захворювань при носійстві поліморфних варіантів </w:t>
      </w:r>
      <w:r w:rsidR="00F40216">
        <w:rPr>
          <w:lang w:val="uk-UA"/>
        </w:rPr>
        <w:t>гена</w:t>
      </w:r>
      <w:r w:rsidRPr="001416ED">
        <w:rPr>
          <w:lang w:val="uk-UA"/>
        </w:rPr>
        <w:t xml:space="preserve"> ЕТ</w:t>
      </w:r>
      <w:r w:rsidR="00BC0119" w:rsidRPr="001416ED">
        <w:rPr>
          <w:lang w:val="uk-UA"/>
        </w:rPr>
        <w:t>–</w:t>
      </w:r>
      <w:r w:rsidRPr="001416ED">
        <w:rPr>
          <w:lang w:val="uk-UA"/>
        </w:rPr>
        <w:t xml:space="preserve">1. Встановлено, що носійство алелі </w:t>
      </w:r>
      <w:r w:rsidRPr="001416ED">
        <w:rPr>
          <w:lang w:val="en-US"/>
        </w:rPr>
        <w:t>Asn</w:t>
      </w:r>
      <w:r w:rsidRPr="001416ED">
        <w:rPr>
          <w:lang w:val="uk-UA"/>
        </w:rPr>
        <w:t xml:space="preserve"> в групі контролю асоціюється з підвищеним рівнем ЕТ</w:t>
      </w:r>
      <w:r w:rsidR="00BC0119" w:rsidRPr="001416ED">
        <w:rPr>
          <w:lang w:val="uk-UA"/>
        </w:rPr>
        <w:t>–</w:t>
      </w:r>
      <w:r w:rsidRPr="001416ED">
        <w:rPr>
          <w:lang w:val="uk-UA"/>
        </w:rPr>
        <w:t xml:space="preserve">1 в плазмі крові. </w:t>
      </w:r>
      <w:r w:rsidR="00F912D6" w:rsidRPr="001416ED">
        <w:rPr>
          <w:lang w:val="uk-UA"/>
        </w:rPr>
        <w:t>Подібні результат</w:t>
      </w:r>
      <w:r w:rsidR="00F34230" w:rsidRPr="001416ED">
        <w:rPr>
          <w:lang w:val="uk-UA"/>
        </w:rPr>
        <w:t>и</w:t>
      </w:r>
      <w:r w:rsidR="00F912D6" w:rsidRPr="001416ED">
        <w:rPr>
          <w:lang w:val="uk-UA"/>
        </w:rPr>
        <w:t xml:space="preserve"> отримані в д</w:t>
      </w:r>
      <w:r w:rsidRPr="001416ED">
        <w:rPr>
          <w:lang w:val="uk-UA"/>
        </w:rPr>
        <w:t>ослідженн</w:t>
      </w:r>
      <w:r w:rsidR="00F912D6" w:rsidRPr="001416ED">
        <w:rPr>
          <w:lang w:val="uk-UA"/>
        </w:rPr>
        <w:t>і</w:t>
      </w:r>
      <w:r w:rsidRPr="001416ED">
        <w:rPr>
          <w:lang w:val="uk-UA"/>
        </w:rPr>
        <w:t xml:space="preserve"> здорових вагітних жінок </w:t>
      </w:r>
      <w:r w:rsidR="00BC0119" w:rsidRPr="001416ED">
        <w:rPr>
          <w:lang w:val="uk-UA"/>
        </w:rPr>
        <w:t>–</w:t>
      </w:r>
      <w:r w:rsidRPr="001416ED">
        <w:rPr>
          <w:lang w:val="uk-UA"/>
        </w:rPr>
        <w:t xml:space="preserve"> підвищення плазмової концентрації спостерігалось у носіїв алелі </w:t>
      </w:r>
      <w:r w:rsidRPr="001416ED">
        <w:rPr>
          <w:lang w:val="en-US"/>
        </w:rPr>
        <w:t>Asn</w:t>
      </w:r>
      <w:r w:rsidRPr="001416ED">
        <w:rPr>
          <w:lang w:val="uk-UA"/>
        </w:rPr>
        <w:t xml:space="preserve"> [</w:t>
      </w:r>
      <w:r w:rsidR="00AE3B64" w:rsidRPr="001416ED">
        <w:rPr>
          <w:lang w:val="uk-UA"/>
        </w:rPr>
        <w:t>1</w:t>
      </w:r>
      <w:r w:rsidR="00AD6174" w:rsidRPr="001416ED">
        <w:rPr>
          <w:lang w:val="uk-UA"/>
        </w:rPr>
        <w:t>02</w:t>
      </w:r>
      <w:r w:rsidRPr="001416ED">
        <w:rPr>
          <w:lang w:val="uk-UA"/>
        </w:rPr>
        <w:t xml:space="preserve">]. В свою чергу, </w:t>
      </w:r>
      <w:r w:rsidRPr="001416ED">
        <w:t>F</w:t>
      </w:r>
      <w:r w:rsidRPr="001416ED">
        <w:rPr>
          <w:lang w:val="uk-UA"/>
        </w:rPr>
        <w:t xml:space="preserve">. </w:t>
      </w:r>
      <w:r w:rsidRPr="001416ED">
        <w:t>A</w:t>
      </w:r>
      <w:r w:rsidRPr="001416ED">
        <w:rPr>
          <w:lang w:val="uk-UA"/>
        </w:rPr>
        <w:t xml:space="preserve">. </w:t>
      </w:r>
      <w:r w:rsidRPr="001416ED">
        <w:t>Treiber</w:t>
      </w:r>
      <w:r w:rsidRPr="001416ED">
        <w:rPr>
          <w:lang w:val="uk-UA"/>
        </w:rPr>
        <w:t xml:space="preserve"> </w:t>
      </w:r>
      <w:r w:rsidR="00B86142" w:rsidRPr="001416ED">
        <w:rPr>
          <w:lang w:val="uk-UA"/>
        </w:rPr>
        <w:t xml:space="preserve">та співавт. </w:t>
      </w:r>
      <w:r w:rsidRPr="001416ED">
        <w:rPr>
          <w:lang w:val="uk-UA"/>
        </w:rPr>
        <w:t xml:space="preserve">(Великобританія) показав, що у практично здорових осіб середній вік яких 18 років, що мають обтяжену спадковість по </w:t>
      </w:r>
      <w:r w:rsidR="002F66C4" w:rsidRPr="001416ED">
        <w:rPr>
          <w:lang w:val="uk-UA"/>
        </w:rPr>
        <w:t>ССЗ</w:t>
      </w:r>
      <w:r w:rsidRPr="001416ED">
        <w:rPr>
          <w:lang w:val="uk-UA"/>
        </w:rPr>
        <w:t>, поліморфізм Lys198Asn не був пов'язаний з плазмовою концентрацією ET</w:t>
      </w:r>
      <w:r w:rsidR="00BC0119" w:rsidRPr="001416ED">
        <w:rPr>
          <w:lang w:val="uk-UA"/>
        </w:rPr>
        <w:t>–</w:t>
      </w:r>
      <w:r w:rsidRPr="001416ED">
        <w:rPr>
          <w:lang w:val="uk-UA"/>
        </w:rPr>
        <w:t xml:space="preserve">1 у спокої. Проте, накладання холоду на передпліччя призводило до різної реакції у пацієнтів при наявності або відсутності ожиріння. Так, у пацієнтів без ожиріння носійство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1 не асоціювалось з підвищенням плазмової концентрації ЕТ</w:t>
      </w:r>
      <w:r w:rsidR="00BC0119" w:rsidRPr="001416ED">
        <w:rPr>
          <w:lang w:val="uk-UA"/>
        </w:rPr>
        <w:t>–</w:t>
      </w:r>
      <w:r w:rsidRPr="001416ED">
        <w:rPr>
          <w:lang w:val="uk-UA"/>
        </w:rPr>
        <w:t>1, однак у осіб з ожирінням, що є володарями генотипу Lys/Lys при холодовому стресі підвищувався рівень ЕТ</w:t>
      </w:r>
      <w:r w:rsidR="00BC0119" w:rsidRPr="001416ED">
        <w:rPr>
          <w:lang w:val="uk-UA"/>
        </w:rPr>
        <w:t>–</w:t>
      </w:r>
      <w:r w:rsidRPr="001416ED">
        <w:rPr>
          <w:lang w:val="uk-UA"/>
        </w:rPr>
        <w:t xml:space="preserve">1 в плазмі крові, на відміну від носіїв алелі </w:t>
      </w:r>
      <w:r w:rsidRPr="001416ED">
        <w:rPr>
          <w:lang w:val="en-US"/>
        </w:rPr>
        <w:t>Asn</w:t>
      </w:r>
      <w:r w:rsidRPr="001416ED">
        <w:rPr>
          <w:lang w:val="uk-UA"/>
        </w:rPr>
        <w:t>. Механізм такої реакції залишається невідомим [</w:t>
      </w:r>
      <w:r w:rsidR="009120A3" w:rsidRPr="001416ED">
        <w:rPr>
          <w:lang w:val="uk-UA"/>
        </w:rPr>
        <w:t>190</w:t>
      </w:r>
      <w:r w:rsidRPr="001416ED">
        <w:rPr>
          <w:lang w:val="uk-UA"/>
        </w:rPr>
        <w:t>].</w:t>
      </w:r>
      <w:r w:rsidRPr="001416ED">
        <w:rPr>
          <w:b/>
          <w:lang w:val="uk-UA"/>
        </w:rPr>
        <w:t xml:space="preserve"> </w:t>
      </w:r>
      <w:r w:rsidRPr="001416ED">
        <w:rPr>
          <w:lang w:val="uk-UA"/>
        </w:rPr>
        <w:t xml:space="preserve"> </w:t>
      </w:r>
    </w:p>
    <w:p w:rsidR="00305CEB" w:rsidRPr="001416ED" w:rsidRDefault="00305CEB" w:rsidP="00305CEB">
      <w:pPr>
        <w:spacing w:line="360" w:lineRule="auto"/>
        <w:ind w:firstLine="425"/>
        <w:jc w:val="both"/>
        <w:rPr>
          <w:lang w:val="uk-UA"/>
        </w:rPr>
      </w:pPr>
      <w:r w:rsidRPr="001416ED">
        <w:rPr>
          <w:lang w:val="uk-UA"/>
        </w:rPr>
        <w:t>Згідно даних літератури, рівень НУП змінюється в залежності від наявності ожиріння. Тому, цікавим стало визначення плазмової концентрації ЕТ</w:t>
      </w:r>
      <w:r w:rsidR="00BC0119" w:rsidRPr="001416ED">
        <w:rPr>
          <w:lang w:val="uk-UA"/>
        </w:rPr>
        <w:t>–</w:t>
      </w:r>
      <w:r w:rsidRPr="001416ED">
        <w:rPr>
          <w:lang w:val="uk-UA"/>
        </w:rPr>
        <w:t xml:space="preserve">1 у осіб </w:t>
      </w:r>
      <w:r w:rsidRPr="001416ED">
        <w:rPr>
          <w:lang w:val="uk-UA"/>
        </w:rPr>
        <w:lastRenderedPageBreak/>
        <w:t xml:space="preserve">групи контролю при наявності або відсутності </w:t>
      </w:r>
      <w:r w:rsidR="00941E9C" w:rsidRPr="001416ED">
        <w:rPr>
          <w:lang w:val="uk-UA"/>
        </w:rPr>
        <w:t>надмірної маси тіла</w:t>
      </w:r>
      <w:r w:rsidRPr="001416ED">
        <w:rPr>
          <w:lang w:val="uk-UA"/>
        </w:rPr>
        <w:t>. Встановлено, що у осіб без серцево</w:t>
      </w:r>
      <w:r w:rsidR="00BC0119" w:rsidRPr="001416ED">
        <w:rPr>
          <w:lang w:val="uk-UA"/>
        </w:rPr>
        <w:t>–</w:t>
      </w:r>
      <w:r w:rsidRPr="001416ED">
        <w:rPr>
          <w:lang w:val="uk-UA"/>
        </w:rPr>
        <w:t>судинної патології рівень ЕТ</w:t>
      </w:r>
      <w:r w:rsidR="00BC0119" w:rsidRPr="001416ED">
        <w:rPr>
          <w:lang w:val="uk-UA"/>
        </w:rPr>
        <w:t>–</w:t>
      </w:r>
      <w:r w:rsidRPr="001416ED">
        <w:rPr>
          <w:lang w:val="uk-UA"/>
        </w:rPr>
        <w:t>1 в плазмі крові чоловіків з різним ІМТ достовірно не відрізнявся. Схожі дані були продемонстровані в роботі</w:t>
      </w:r>
      <w:r w:rsidR="007F7C78" w:rsidRPr="001416ED">
        <w:rPr>
          <w:lang w:val="uk-UA"/>
        </w:rPr>
        <w:t xml:space="preserve"> співробітників </w:t>
      </w:r>
      <w:r w:rsidRPr="001416ED">
        <w:rPr>
          <w:lang w:val="uk-UA"/>
        </w:rPr>
        <w:t xml:space="preserve"> </w:t>
      </w:r>
      <w:r w:rsidR="007F7C78" w:rsidRPr="001416ED">
        <w:rPr>
          <w:lang w:val="uk-UA"/>
        </w:rPr>
        <w:t xml:space="preserve">кафедри внутрішньої медицини медичного факультету №2 ВНМУ ім. М.І. Пирогова при обстеженні </w:t>
      </w:r>
      <w:r w:rsidRPr="001416ED">
        <w:rPr>
          <w:lang w:val="uk-UA"/>
        </w:rPr>
        <w:t>практично здоров</w:t>
      </w:r>
      <w:r w:rsidR="007F7C78" w:rsidRPr="001416ED">
        <w:rPr>
          <w:lang w:val="uk-UA"/>
        </w:rPr>
        <w:t>их</w:t>
      </w:r>
      <w:r w:rsidRPr="001416ED">
        <w:rPr>
          <w:lang w:val="uk-UA"/>
        </w:rPr>
        <w:t xml:space="preserve"> чоловік</w:t>
      </w:r>
      <w:r w:rsidR="007F7C78" w:rsidRPr="001416ED">
        <w:rPr>
          <w:lang w:val="uk-UA"/>
        </w:rPr>
        <w:t>ів</w:t>
      </w:r>
      <w:r w:rsidRPr="001416ED">
        <w:rPr>
          <w:lang w:val="uk-UA"/>
        </w:rPr>
        <w:t xml:space="preserve"> та практично здоров</w:t>
      </w:r>
      <w:r w:rsidR="007F7C78" w:rsidRPr="001416ED">
        <w:rPr>
          <w:lang w:val="uk-UA"/>
        </w:rPr>
        <w:t>их</w:t>
      </w:r>
      <w:r w:rsidRPr="001416ED">
        <w:rPr>
          <w:lang w:val="uk-UA"/>
        </w:rPr>
        <w:t xml:space="preserve"> жін</w:t>
      </w:r>
      <w:r w:rsidR="007F7C78" w:rsidRPr="001416ED">
        <w:rPr>
          <w:lang w:val="uk-UA"/>
        </w:rPr>
        <w:t xml:space="preserve">ок </w:t>
      </w:r>
      <w:r w:rsidR="000A5E7A" w:rsidRPr="001416ED">
        <w:rPr>
          <w:lang w:val="uk-UA"/>
        </w:rPr>
        <w:t>(м. Вінниця, Україна</w:t>
      </w:r>
      <w:r w:rsidRPr="001416ED">
        <w:rPr>
          <w:lang w:val="uk-UA"/>
        </w:rPr>
        <w:t>) [</w:t>
      </w:r>
      <w:r w:rsidR="009120A3" w:rsidRPr="001416ED">
        <w:rPr>
          <w:lang w:val="uk-UA"/>
        </w:rPr>
        <w:t>4</w:t>
      </w:r>
      <w:r w:rsidRPr="001416ED">
        <w:rPr>
          <w:lang w:val="uk-UA"/>
        </w:rPr>
        <w:t xml:space="preserve">]. Отримані результати співзвучні з </w:t>
      </w:r>
      <w:r w:rsidR="00F472AF" w:rsidRPr="001416ED">
        <w:rPr>
          <w:lang w:val="uk-UA"/>
        </w:rPr>
        <w:t>дослідженим</w:t>
      </w:r>
      <w:r w:rsidRPr="001416ED">
        <w:rPr>
          <w:lang w:val="uk-UA"/>
        </w:rPr>
        <w:t xml:space="preserve"> турецьких вчених, що проводили кореляцію ІМТ та ЕТ</w:t>
      </w:r>
      <w:r w:rsidR="00BC0119" w:rsidRPr="001416ED">
        <w:rPr>
          <w:lang w:val="uk-UA"/>
        </w:rPr>
        <w:t>–</w:t>
      </w:r>
      <w:r w:rsidRPr="001416ED">
        <w:rPr>
          <w:lang w:val="uk-UA"/>
        </w:rPr>
        <w:t>1 у змішаній по статі групі, проте достовірності не отримали [</w:t>
      </w:r>
      <w:r w:rsidR="009120A3" w:rsidRPr="001416ED">
        <w:rPr>
          <w:lang w:val="uk-UA"/>
        </w:rPr>
        <w:t>98</w:t>
      </w:r>
      <w:r w:rsidRPr="001416ED">
        <w:rPr>
          <w:lang w:val="uk-UA"/>
        </w:rPr>
        <w:t xml:space="preserve">]. </w:t>
      </w:r>
      <w:r w:rsidR="002F66C4" w:rsidRPr="001416ED">
        <w:t>E</w:t>
      </w:r>
      <w:r w:rsidR="002F66C4" w:rsidRPr="001416ED">
        <w:rPr>
          <w:lang w:val="uk-UA"/>
        </w:rPr>
        <w:t xml:space="preserve">. </w:t>
      </w:r>
      <w:r w:rsidRPr="001416ED">
        <w:t>Diamanti</w:t>
      </w:r>
      <w:r w:rsidR="00BC0119" w:rsidRPr="001416ED">
        <w:rPr>
          <w:lang w:val="uk-UA"/>
        </w:rPr>
        <w:t>–</w:t>
      </w:r>
      <w:r w:rsidRPr="001416ED">
        <w:t>Kandarakis</w:t>
      </w:r>
      <w:r w:rsidRPr="001416ED">
        <w:rPr>
          <w:lang w:val="uk-UA"/>
        </w:rPr>
        <w:t xml:space="preserve"> </w:t>
      </w:r>
      <w:r w:rsidR="00B86142" w:rsidRPr="001416ED">
        <w:rPr>
          <w:lang w:val="uk-UA"/>
        </w:rPr>
        <w:t xml:space="preserve">та співавт. </w:t>
      </w:r>
      <w:r w:rsidRPr="001416ED">
        <w:rPr>
          <w:lang w:val="uk-UA"/>
        </w:rPr>
        <w:t>(Греція) показали, що у жінок з ожирінням та без ожиріння рівень ЕТ</w:t>
      </w:r>
      <w:r w:rsidR="00BC0119" w:rsidRPr="001416ED">
        <w:rPr>
          <w:lang w:val="uk-UA"/>
        </w:rPr>
        <w:t>–</w:t>
      </w:r>
      <w:r w:rsidRPr="001416ED">
        <w:rPr>
          <w:lang w:val="uk-UA"/>
        </w:rPr>
        <w:t>1 не відрізнявся [</w:t>
      </w:r>
      <w:r w:rsidR="00AE3B64" w:rsidRPr="001416ED">
        <w:rPr>
          <w:lang w:val="uk-UA"/>
        </w:rPr>
        <w:t>1</w:t>
      </w:r>
      <w:r w:rsidR="009120A3" w:rsidRPr="001416ED">
        <w:rPr>
          <w:lang w:val="uk-UA"/>
        </w:rPr>
        <w:t>28</w:t>
      </w:r>
      <w:r w:rsidRPr="001416ED">
        <w:rPr>
          <w:lang w:val="uk-UA"/>
        </w:rPr>
        <w:t>]. Однак, італійськими та польськими вченими показано, що у нормотензивних осіб з ожирінням рівень ЕТ</w:t>
      </w:r>
      <w:r w:rsidR="00BC0119" w:rsidRPr="001416ED">
        <w:rPr>
          <w:lang w:val="uk-UA"/>
        </w:rPr>
        <w:t>–</w:t>
      </w:r>
      <w:r w:rsidRPr="001416ED">
        <w:rPr>
          <w:lang w:val="uk-UA"/>
        </w:rPr>
        <w:t>1 вірогідно вищий, ніж в при відсутності надмірної маси тіла [</w:t>
      </w:r>
      <w:r w:rsidR="00AE3B64" w:rsidRPr="001416ED">
        <w:rPr>
          <w:lang w:val="uk-UA"/>
        </w:rPr>
        <w:t>1</w:t>
      </w:r>
      <w:r w:rsidR="009120A3" w:rsidRPr="001416ED">
        <w:rPr>
          <w:lang w:val="uk-UA"/>
        </w:rPr>
        <w:t>35</w:t>
      </w:r>
      <w:r w:rsidR="00AE3B64" w:rsidRPr="001416ED">
        <w:rPr>
          <w:lang w:val="uk-UA"/>
        </w:rPr>
        <w:t>,</w:t>
      </w:r>
      <w:r w:rsidR="002F66C4" w:rsidRPr="001416ED">
        <w:rPr>
          <w:lang w:val="uk-UA"/>
        </w:rPr>
        <w:t xml:space="preserve"> </w:t>
      </w:r>
      <w:r w:rsidR="00AE3B64" w:rsidRPr="001416ED">
        <w:rPr>
          <w:lang w:val="uk-UA"/>
        </w:rPr>
        <w:t>1</w:t>
      </w:r>
      <w:r w:rsidR="009120A3" w:rsidRPr="001416ED">
        <w:rPr>
          <w:lang w:val="uk-UA"/>
        </w:rPr>
        <w:t>68</w:t>
      </w:r>
      <w:r w:rsidRPr="001416ED">
        <w:rPr>
          <w:lang w:val="uk-UA"/>
        </w:rPr>
        <w:t>]. Зниження ІМТ призводило до достовірного зниження плазмової концентрації ЕТ</w:t>
      </w:r>
      <w:r w:rsidR="00BC0119" w:rsidRPr="001416ED">
        <w:rPr>
          <w:lang w:val="uk-UA"/>
        </w:rPr>
        <w:t>–</w:t>
      </w:r>
      <w:r w:rsidRPr="001416ED">
        <w:rPr>
          <w:lang w:val="uk-UA"/>
        </w:rPr>
        <w:t>1 [</w:t>
      </w:r>
      <w:r w:rsidR="00AE3B64" w:rsidRPr="001416ED">
        <w:rPr>
          <w:lang w:val="uk-UA"/>
        </w:rPr>
        <w:t>1</w:t>
      </w:r>
      <w:r w:rsidR="006D33BE" w:rsidRPr="001416ED">
        <w:rPr>
          <w:lang w:val="uk-UA"/>
        </w:rPr>
        <w:t>33</w:t>
      </w:r>
      <w:r w:rsidRPr="001416ED">
        <w:rPr>
          <w:lang w:val="uk-UA"/>
        </w:rPr>
        <w:t>]. Відсутність залежності ЕТ</w:t>
      </w:r>
      <w:r w:rsidR="00BC0119" w:rsidRPr="001416ED">
        <w:rPr>
          <w:lang w:val="uk-UA"/>
        </w:rPr>
        <w:t>–</w:t>
      </w:r>
      <w:r w:rsidRPr="001416ED">
        <w:rPr>
          <w:lang w:val="uk-UA"/>
        </w:rPr>
        <w:t xml:space="preserve">1 від маси тіла в українській популяції дає перевагу даному маркеру над іншими, в тому числі над </w:t>
      </w:r>
      <w:r w:rsidR="007F7C78" w:rsidRPr="001416ED">
        <w:rPr>
          <w:lang w:val="uk-UA"/>
        </w:rPr>
        <w:t>МН</w:t>
      </w:r>
      <w:r w:rsidRPr="001416ED">
        <w:rPr>
          <w:lang w:val="uk-UA"/>
        </w:rPr>
        <w:t>П, як</w:t>
      </w:r>
      <w:r w:rsidR="007F7C78" w:rsidRPr="001416ED">
        <w:rPr>
          <w:lang w:val="uk-UA"/>
        </w:rPr>
        <w:t>ий</w:t>
      </w:r>
      <w:r w:rsidRPr="001416ED">
        <w:rPr>
          <w:lang w:val="uk-UA"/>
        </w:rPr>
        <w:t>, за даними літератури, відрізня</w:t>
      </w:r>
      <w:r w:rsidR="007F7C78" w:rsidRPr="001416ED">
        <w:rPr>
          <w:lang w:val="uk-UA"/>
        </w:rPr>
        <w:t>є</w:t>
      </w:r>
      <w:r w:rsidRPr="001416ED">
        <w:rPr>
          <w:lang w:val="uk-UA"/>
        </w:rPr>
        <w:t xml:space="preserve">ться в осіб з різним ІМТ. </w:t>
      </w:r>
    </w:p>
    <w:p w:rsidR="00305CEB" w:rsidRPr="001416ED" w:rsidRDefault="00305CEB" w:rsidP="00305CEB">
      <w:pPr>
        <w:spacing w:line="360" w:lineRule="auto"/>
        <w:ind w:firstLine="425"/>
        <w:jc w:val="both"/>
        <w:rPr>
          <w:lang w:val="uk-UA"/>
        </w:rPr>
      </w:pPr>
      <w:r w:rsidRPr="001416ED">
        <w:rPr>
          <w:lang w:val="uk-UA"/>
        </w:rPr>
        <w:t xml:space="preserve">Дослідження рівня СНП в плазмі крові контрольної групи, при носійстві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 xml:space="preserve">1 показало, що у носіїв алелі </w:t>
      </w:r>
      <w:r w:rsidRPr="001416ED">
        <w:rPr>
          <w:lang w:val="en-US"/>
        </w:rPr>
        <w:t>Asn</w:t>
      </w:r>
      <w:r w:rsidRPr="001416ED">
        <w:rPr>
          <w:lang w:val="uk-UA"/>
        </w:rPr>
        <w:t xml:space="preserve"> рівень вказаного пептиду вірогідно вище, ніж у носіїв генотипу Lys/Lys. Такі результати вказують на початкові, доклінічні зміни на рівні ендотеліоцитів судин, коли при носійстві </w:t>
      </w:r>
      <w:r w:rsidR="007F7C78" w:rsidRPr="001416ED">
        <w:rPr>
          <w:lang w:val="uk-UA"/>
        </w:rPr>
        <w:t xml:space="preserve">саме </w:t>
      </w:r>
      <w:r w:rsidRPr="001416ED">
        <w:rPr>
          <w:lang w:val="uk-UA"/>
        </w:rPr>
        <w:t xml:space="preserve">алелі </w:t>
      </w:r>
      <w:r w:rsidRPr="001416ED">
        <w:rPr>
          <w:lang w:val="en-US"/>
        </w:rPr>
        <w:t>Asn</w:t>
      </w:r>
      <w:r w:rsidRPr="001416ED">
        <w:rPr>
          <w:lang w:val="uk-UA"/>
        </w:rPr>
        <w:t xml:space="preserve">, можливо, ендотелій компенсаторно виробляє більшу кількість вазодилятаторів, зокрема СНП, </w:t>
      </w:r>
      <w:r w:rsidR="007F7C78" w:rsidRPr="001416ED">
        <w:rPr>
          <w:lang w:val="uk-UA"/>
        </w:rPr>
        <w:t>як контррегулятора при зростанні концентрації ЕТ</w:t>
      </w:r>
      <w:r w:rsidR="00BC0119" w:rsidRPr="001416ED">
        <w:rPr>
          <w:lang w:val="uk-UA"/>
        </w:rPr>
        <w:t>–</w:t>
      </w:r>
      <w:r w:rsidR="007F7C78" w:rsidRPr="001416ED">
        <w:rPr>
          <w:lang w:val="uk-UA"/>
        </w:rPr>
        <w:t>1</w:t>
      </w:r>
      <w:r w:rsidRPr="001416ED">
        <w:rPr>
          <w:lang w:val="uk-UA"/>
        </w:rPr>
        <w:t>. Схожих досліджень на теренах України та світу не знайдено.</w:t>
      </w:r>
    </w:p>
    <w:p w:rsidR="00305CEB" w:rsidRPr="001416ED" w:rsidRDefault="00305CEB" w:rsidP="00305CEB">
      <w:pPr>
        <w:spacing w:line="360" w:lineRule="auto"/>
        <w:ind w:firstLine="425"/>
        <w:jc w:val="both"/>
        <w:rPr>
          <w:lang w:val="uk-UA"/>
        </w:rPr>
      </w:pPr>
      <w:r w:rsidRPr="001416ED">
        <w:rPr>
          <w:lang w:val="uk-UA"/>
        </w:rPr>
        <w:t xml:space="preserve">Аналіз даних плазмової концентрації СНП у чоловіків з різним ІМТ продемонстрував відсутність різниці у рівні пептиду. Отримані результати співзвучні з даними у практично здорових осіб жіночої статі в роботі </w:t>
      </w:r>
      <w:r w:rsidR="00941E9C" w:rsidRPr="001416ED">
        <w:rPr>
          <w:lang w:val="uk-UA"/>
        </w:rPr>
        <w:t xml:space="preserve">В. В. </w:t>
      </w:r>
      <w:r w:rsidRPr="001416ED">
        <w:rPr>
          <w:lang w:val="uk-UA"/>
        </w:rPr>
        <w:t xml:space="preserve">Багрій </w:t>
      </w:r>
      <w:r w:rsidR="00E03CB0">
        <w:rPr>
          <w:lang w:val="uk-UA"/>
        </w:rPr>
        <w:t xml:space="preserve">(м. Вінниця, Україна) </w:t>
      </w:r>
      <w:r w:rsidRPr="001416ED">
        <w:rPr>
          <w:lang w:val="uk-UA"/>
        </w:rPr>
        <w:t>[</w:t>
      </w:r>
      <w:r w:rsidR="006D33BE" w:rsidRPr="001416ED">
        <w:rPr>
          <w:lang w:val="uk-UA"/>
        </w:rPr>
        <w:t>4</w:t>
      </w:r>
      <w:r w:rsidRPr="001416ED">
        <w:rPr>
          <w:lang w:val="uk-UA"/>
        </w:rPr>
        <w:t xml:space="preserve">]. Слід відмітити, що більшість робіт по НУП та ожирінню пов’язана з МНП та ПНП, проте рівень СНП в плазмі крові досліджений недостатньо. </w:t>
      </w:r>
      <w:r w:rsidR="00616FC3" w:rsidRPr="001416ED">
        <w:rPr>
          <w:lang w:val="uk-UA"/>
        </w:rPr>
        <w:t>В</w:t>
      </w:r>
      <w:r w:rsidRPr="001416ED">
        <w:rPr>
          <w:lang w:val="uk-UA"/>
        </w:rPr>
        <w:t xml:space="preserve"> роботі італійських вчених показано, що у здорових підлітків з ожирінням рівень СНП виявився достовірно нижчим, ніж у осіб без </w:t>
      </w:r>
      <w:r w:rsidRPr="001416ED">
        <w:rPr>
          <w:lang w:val="uk-UA"/>
        </w:rPr>
        <w:lastRenderedPageBreak/>
        <w:t>ожиріння [</w:t>
      </w:r>
      <w:r w:rsidR="00892670" w:rsidRPr="001416ED">
        <w:rPr>
          <w:lang w:val="uk-UA"/>
        </w:rPr>
        <w:t>1</w:t>
      </w:r>
      <w:r w:rsidR="006D33BE" w:rsidRPr="001416ED">
        <w:rPr>
          <w:lang w:val="uk-UA"/>
        </w:rPr>
        <w:t>26</w:t>
      </w:r>
      <w:r w:rsidRPr="001416ED">
        <w:rPr>
          <w:lang w:val="uk-UA"/>
        </w:rPr>
        <w:t>].</w:t>
      </w:r>
      <w:r w:rsidRPr="001416ED">
        <w:rPr>
          <w:kern w:val="1"/>
          <w:lang w:val="uk-UA" w:eastAsia="ar-SA"/>
        </w:rPr>
        <w:t xml:space="preserve"> </w:t>
      </w:r>
      <w:r w:rsidRPr="001416ED">
        <w:rPr>
          <w:lang w:val="uk-UA"/>
        </w:rPr>
        <w:t xml:space="preserve">Такий зв'язок плазмового рівня МНП, ПНП, та в меншій мірі СНП, з ожирінням пояснюють тим, що жирова тканина багата на рецептори до НУП С – типу, які відповідають за кліренс НУП. </w:t>
      </w:r>
      <w:r w:rsidRPr="001416ED">
        <w:t xml:space="preserve">Окрім того, основний фермент метаболізму </w:t>
      </w:r>
      <w:r w:rsidRPr="001416ED">
        <w:rPr>
          <w:lang w:val="uk-UA"/>
        </w:rPr>
        <w:t>НУП</w:t>
      </w:r>
      <w:r w:rsidRPr="001416ED">
        <w:t xml:space="preserve"> – нейтральна ендопептидаза – в основному синтезується ад</w:t>
      </w:r>
      <w:r w:rsidRPr="001416ED">
        <w:rPr>
          <w:lang w:val="uk-UA"/>
        </w:rPr>
        <w:t>и</w:t>
      </w:r>
      <w:r w:rsidRPr="001416ED">
        <w:t xml:space="preserve">поцитами, що сприяє швидшому виведенню </w:t>
      </w:r>
      <w:r w:rsidRPr="001416ED">
        <w:rPr>
          <w:lang w:val="uk-UA"/>
        </w:rPr>
        <w:t>НУП</w:t>
      </w:r>
      <w:r w:rsidRPr="001416ED">
        <w:t xml:space="preserve"> з циркуляції у осіб із надлишком жирової тканини </w:t>
      </w:r>
      <w:r w:rsidRPr="001416ED">
        <w:rPr>
          <w:lang w:val="uk-UA"/>
        </w:rPr>
        <w:t>[</w:t>
      </w:r>
      <w:r w:rsidR="006D33BE" w:rsidRPr="001416ED">
        <w:rPr>
          <w:lang w:val="uk-UA"/>
        </w:rPr>
        <w:t>194</w:t>
      </w:r>
      <w:r w:rsidRPr="001416ED">
        <w:rPr>
          <w:lang w:val="uk-UA"/>
        </w:rPr>
        <w:t>].</w:t>
      </w:r>
    </w:p>
    <w:p w:rsidR="00616FC3" w:rsidRPr="001416ED" w:rsidRDefault="00305CEB" w:rsidP="00305CEB">
      <w:pPr>
        <w:spacing w:line="360" w:lineRule="auto"/>
        <w:ind w:firstLine="425"/>
        <w:jc w:val="both"/>
        <w:rPr>
          <w:lang w:val="uk-UA"/>
        </w:rPr>
      </w:pPr>
      <w:r w:rsidRPr="001416ED">
        <w:rPr>
          <w:lang w:val="uk-UA"/>
        </w:rPr>
        <w:t>Для встановлення співвідношення СНП (вазодилятатора) та ЕТ</w:t>
      </w:r>
      <w:r w:rsidR="00BC0119" w:rsidRPr="001416ED">
        <w:rPr>
          <w:lang w:val="uk-UA"/>
        </w:rPr>
        <w:t>–</w:t>
      </w:r>
      <w:r w:rsidRPr="001416ED">
        <w:rPr>
          <w:lang w:val="uk-UA"/>
        </w:rPr>
        <w:t>1 (вазоконстриктора) визначали коефіцієнт СНП/ЕТ</w:t>
      </w:r>
      <w:r w:rsidR="00BC0119" w:rsidRPr="001416ED">
        <w:rPr>
          <w:lang w:val="uk-UA"/>
        </w:rPr>
        <w:t>–</w:t>
      </w:r>
      <w:r w:rsidRPr="001416ED">
        <w:rPr>
          <w:lang w:val="uk-UA"/>
        </w:rPr>
        <w:t xml:space="preserve">1 при носійстві </w:t>
      </w:r>
      <w:r w:rsidR="00FF5C21">
        <w:rPr>
          <w:lang w:val="uk-UA"/>
        </w:rPr>
        <w:t>поліморфних варіантів гена</w:t>
      </w:r>
      <w:r w:rsidRPr="001416ED">
        <w:rPr>
          <w:lang w:val="uk-UA"/>
        </w:rPr>
        <w:t xml:space="preserve"> ЕТ</w:t>
      </w:r>
      <w:r w:rsidR="00BC0119" w:rsidRPr="001416ED">
        <w:rPr>
          <w:lang w:val="uk-UA"/>
        </w:rPr>
        <w:t>–</w:t>
      </w:r>
      <w:r w:rsidRPr="001416ED">
        <w:rPr>
          <w:lang w:val="uk-UA"/>
        </w:rPr>
        <w:t xml:space="preserve">1. </w:t>
      </w:r>
      <w:r w:rsidR="00616FC3" w:rsidRPr="001416ED">
        <w:rPr>
          <w:lang w:val="uk-UA"/>
        </w:rPr>
        <w:t>За результатами дослідження вперше показано, що у</w:t>
      </w:r>
      <w:r w:rsidRPr="001416ED">
        <w:rPr>
          <w:lang w:val="uk-UA"/>
        </w:rPr>
        <w:t xml:space="preserve"> носіїв генотипу Lys/Lys гена ЕТ</w:t>
      </w:r>
      <w:r w:rsidR="00BC0119" w:rsidRPr="001416ED">
        <w:rPr>
          <w:lang w:val="uk-UA"/>
        </w:rPr>
        <w:t>–</w:t>
      </w:r>
      <w:r w:rsidRPr="001416ED">
        <w:rPr>
          <w:lang w:val="uk-UA"/>
        </w:rPr>
        <w:t xml:space="preserve">1 </w:t>
      </w:r>
      <w:r w:rsidR="00616FC3" w:rsidRPr="001416ED">
        <w:rPr>
          <w:lang w:val="uk-UA"/>
        </w:rPr>
        <w:t xml:space="preserve">концентрація пептиду </w:t>
      </w:r>
      <w:r w:rsidRPr="001416ED">
        <w:rPr>
          <w:lang w:val="uk-UA"/>
        </w:rPr>
        <w:t>вияви</w:t>
      </w:r>
      <w:r w:rsidR="00616FC3" w:rsidRPr="001416ED">
        <w:rPr>
          <w:lang w:val="uk-UA"/>
        </w:rPr>
        <w:t>лась</w:t>
      </w:r>
      <w:r w:rsidRPr="001416ED">
        <w:rPr>
          <w:lang w:val="uk-UA"/>
        </w:rPr>
        <w:t xml:space="preserve"> вірогідно вищ</w:t>
      </w:r>
      <w:r w:rsidR="00616FC3" w:rsidRPr="001416ED">
        <w:rPr>
          <w:lang w:val="uk-UA"/>
        </w:rPr>
        <w:t>ою</w:t>
      </w:r>
      <w:r w:rsidRPr="001416ED">
        <w:rPr>
          <w:lang w:val="uk-UA"/>
        </w:rPr>
        <w:t xml:space="preserve">, ніж у носіїв алелі Asn, що вказує на пригнічення вазодилятуючої функції ендотелію в групі останніх. </w:t>
      </w:r>
    </w:p>
    <w:p w:rsidR="00305CEB" w:rsidRPr="001416ED" w:rsidRDefault="00305CEB" w:rsidP="00305CEB">
      <w:pPr>
        <w:spacing w:line="360" w:lineRule="auto"/>
        <w:ind w:firstLine="425"/>
        <w:jc w:val="both"/>
        <w:rPr>
          <w:lang w:val="uk-UA"/>
        </w:rPr>
      </w:pPr>
      <w:r w:rsidRPr="001416ED">
        <w:rPr>
          <w:lang w:val="uk-UA"/>
        </w:rPr>
        <w:t xml:space="preserve">Показники ліпідного спектру крові та глюкози у групі контролю були в межах норми, однак </w:t>
      </w:r>
      <w:r w:rsidR="00C5382C" w:rsidRPr="001416ED">
        <w:rPr>
          <w:lang w:val="uk-UA"/>
        </w:rPr>
        <w:t xml:space="preserve">проатерогенні </w:t>
      </w:r>
      <w:r w:rsidRPr="001416ED">
        <w:rPr>
          <w:lang w:val="uk-UA"/>
        </w:rPr>
        <w:t xml:space="preserve">показники в носіїв алелі Asn були вищими, а ХСЛПВЩ нижчим, ніж у володарів генотипу Lys/Lys, що вказує на можливу протективну роль </w:t>
      </w:r>
      <w:r w:rsidR="00C67DC3" w:rsidRPr="001416ED">
        <w:rPr>
          <w:lang w:val="uk-UA"/>
        </w:rPr>
        <w:t>останнього</w:t>
      </w:r>
      <w:r w:rsidRPr="001416ED">
        <w:rPr>
          <w:lang w:val="uk-UA"/>
        </w:rPr>
        <w:t>. Проте, схожих наукових робіт щодо здорових осіб не знайдено.</w:t>
      </w:r>
    </w:p>
    <w:p w:rsidR="00305CEB" w:rsidRPr="001416ED" w:rsidRDefault="00305CEB" w:rsidP="00305CEB">
      <w:pPr>
        <w:spacing w:line="360" w:lineRule="auto"/>
        <w:ind w:firstLine="425"/>
        <w:jc w:val="both"/>
        <w:rPr>
          <w:lang w:val="uk-UA"/>
        </w:rPr>
      </w:pPr>
      <w:r w:rsidRPr="001416ED">
        <w:rPr>
          <w:lang w:val="uk-UA"/>
        </w:rPr>
        <w:t xml:space="preserve">Дослідження АТ при носійстві </w:t>
      </w:r>
      <w:r w:rsidR="00E6164F">
        <w:rPr>
          <w:lang w:val="uk-UA"/>
        </w:rPr>
        <w:t>поліморфних варіантів гена ЕТ–1</w:t>
      </w:r>
      <w:r w:rsidRPr="001416ED">
        <w:rPr>
          <w:lang w:val="uk-UA"/>
        </w:rPr>
        <w:t xml:space="preserve"> у групі осіб без </w:t>
      </w:r>
      <w:r w:rsidR="008867D7" w:rsidRPr="001416ED">
        <w:rPr>
          <w:lang w:val="uk-UA"/>
        </w:rPr>
        <w:t>ССЗ</w:t>
      </w:r>
      <w:r w:rsidRPr="001416ED">
        <w:rPr>
          <w:lang w:val="uk-UA"/>
        </w:rPr>
        <w:t xml:space="preserve"> показало, що у носіїв генотипу Lys/Lys частіше виявлявся нормальний АТ, у носіїв алелі </w:t>
      </w:r>
      <w:r w:rsidRPr="001416ED">
        <w:rPr>
          <w:lang w:val="en-US"/>
        </w:rPr>
        <w:t>Asn</w:t>
      </w:r>
      <w:r w:rsidRPr="001416ED">
        <w:rPr>
          <w:lang w:val="uk-UA"/>
        </w:rPr>
        <w:t xml:space="preserve"> – високий нормальний АТ, однак в останній групі немає різниці з чоловіками, в яких встановлювали нормальний АТ. У роботі великобританських дослідників показано, що здорові носії алелі </w:t>
      </w:r>
      <w:r w:rsidRPr="001416ED">
        <w:rPr>
          <w:lang w:val="en-US"/>
        </w:rPr>
        <w:t>Asn</w:t>
      </w:r>
      <w:r w:rsidRPr="001416ED">
        <w:rPr>
          <w:lang w:val="uk-UA"/>
        </w:rPr>
        <w:t xml:space="preserve"> мали нормальний АТ та індекс загального периферичного опору в стані споко</w:t>
      </w:r>
      <w:r w:rsidR="008867D7" w:rsidRPr="001416ED">
        <w:rPr>
          <w:lang w:val="uk-UA"/>
        </w:rPr>
        <w:t>ю [</w:t>
      </w:r>
      <w:r w:rsidR="006D33BE" w:rsidRPr="001416ED">
        <w:rPr>
          <w:lang w:val="uk-UA"/>
        </w:rPr>
        <w:t>190</w:t>
      </w:r>
      <w:r w:rsidR="008867D7" w:rsidRPr="001416ED">
        <w:rPr>
          <w:lang w:val="uk-UA"/>
        </w:rPr>
        <w:t>]</w:t>
      </w:r>
      <w:r w:rsidRPr="001416ED">
        <w:rPr>
          <w:lang w:val="uk-UA"/>
        </w:rPr>
        <w:t xml:space="preserve">. Проте, відеогри у носіїв алелі </w:t>
      </w:r>
      <w:r w:rsidRPr="001416ED">
        <w:rPr>
          <w:lang w:val="en-US"/>
        </w:rPr>
        <w:t>Asn</w:t>
      </w:r>
      <w:r w:rsidRPr="001416ED">
        <w:rPr>
          <w:lang w:val="uk-UA"/>
        </w:rPr>
        <w:t xml:space="preserve"> ініціювали збільшення ДАТ (р&lt;0,04), особливо серед тих, хто страждає ожирінням (р&lt;0,02). Цікавим є той факт, що низький вихідний соціально</w:t>
      </w:r>
      <w:r w:rsidR="00BC0119" w:rsidRPr="001416ED">
        <w:rPr>
          <w:lang w:val="uk-UA"/>
        </w:rPr>
        <w:t>–</w:t>
      </w:r>
      <w:r w:rsidRPr="001416ED">
        <w:rPr>
          <w:lang w:val="uk-UA"/>
        </w:rPr>
        <w:t xml:space="preserve">економічний статус асоціювався зі збільшенням САТ при грі у відеоігри в носіїв алелі </w:t>
      </w:r>
      <w:r w:rsidRPr="001416ED">
        <w:rPr>
          <w:lang w:val="en-US"/>
        </w:rPr>
        <w:t>Asn</w:t>
      </w:r>
      <w:r w:rsidRPr="001416ED">
        <w:rPr>
          <w:lang w:val="uk-UA"/>
        </w:rPr>
        <w:t xml:space="preserve">. У дослідженні </w:t>
      </w:r>
      <w:hyperlink r:id="rId40" w:history="1">
        <w:r w:rsidRPr="001416ED">
          <w:rPr>
            <w:lang w:val="uk-UA"/>
          </w:rPr>
          <w:t xml:space="preserve"> A.</w:t>
        </w:r>
        <w:r w:rsidR="008867D7" w:rsidRPr="001416ED">
          <w:rPr>
            <w:lang w:val="uk-UA"/>
          </w:rPr>
          <w:t xml:space="preserve"> </w:t>
        </w:r>
        <w:r w:rsidRPr="001416ED">
          <w:rPr>
            <w:lang w:val="uk-UA"/>
          </w:rPr>
          <w:t>E</w:t>
        </w:r>
      </w:hyperlink>
      <w:r w:rsidRPr="001416ED">
        <w:rPr>
          <w:lang w:val="uk-UA"/>
        </w:rPr>
        <w:t xml:space="preserve">. </w:t>
      </w:r>
      <w:r w:rsidR="008867D7" w:rsidRPr="001416ED">
        <w:rPr>
          <w:lang w:val="uk-UA"/>
        </w:rPr>
        <w:t xml:space="preserve">Barden </w:t>
      </w:r>
      <w:r w:rsidR="00B86142" w:rsidRPr="001416ED">
        <w:rPr>
          <w:lang w:val="uk-UA"/>
        </w:rPr>
        <w:t xml:space="preserve">та співавт. </w:t>
      </w:r>
      <w:r w:rsidRPr="001416ED">
        <w:rPr>
          <w:lang w:val="uk-UA"/>
        </w:rPr>
        <w:t xml:space="preserve">носійство алелі </w:t>
      </w:r>
      <w:r w:rsidRPr="001416ED">
        <w:rPr>
          <w:lang w:val="en-US"/>
        </w:rPr>
        <w:t>Asn</w:t>
      </w:r>
      <w:r w:rsidRPr="001416ED">
        <w:rPr>
          <w:lang w:val="uk-UA"/>
        </w:rPr>
        <w:t xml:space="preserve"> у жінок з нормальною вагітністю асоціювалась з достовірно вищим рівнем САТ в порівнянні з гомозиготами Lys/Lys [</w:t>
      </w:r>
      <w:r w:rsidR="00AF76B0" w:rsidRPr="001416ED">
        <w:rPr>
          <w:lang w:val="uk-UA"/>
        </w:rPr>
        <w:t>1</w:t>
      </w:r>
      <w:r w:rsidR="006D33BE" w:rsidRPr="001416ED">
        <w:rPr>
          <w:lang w:val="uk-UA"/>
        </w:rPr>
        <w:t>02</w:t>
      </w:r>
      <w:r w:rsidRPr="001416ED">
        <w:rPr>
          <w:lang w:val="uk-UA"/>
        </w:rPr>
        <w:t>].</w:t>
      </w:r>
    </w:p>
    <w:p w:rsidR="00790FF0" w:rsidRPr="001416ED" w:rsidRDefault="00305CEB" w:rsidP="00CB4CE5">
      <w:pPr>
        <w:spacing w:line="360" w:lineRule="auto"/>
        <w:ind w:firstLine="709"/>
        <w:jc w:val="both"/>
        <w:rPr>
          <w:lang w:val="uk-UA"/>
        </w:rPr>
      </w:pPr>
      <w:r w:rsidRPr="001416ED">
        <w:rPr>
          <w:lang w:val="uk-UA"/>
        </w:rPr>
        <w:lastRenderedPageBreak/>
        <w:t xml:space="preserve">Встановлено, що рівень вазоактивних пептидів </w:t>
      </w:r>
      <w:r w:rsidR="00BC0119" w:rsidRPr="001416ED">
        <w:rPr>
          <w:lang w:val="uk-UA"/>
        </w:rPr>
        <w:t>–</w:t>
      </w:r>
      <w:r w:rsidRPr="001416ED">
        <w:rPr>
          <w:lang w:val="uk-UA"/>
        </w:rPr>
        <w:t xml:space="preserve"> ЕТ</w:t>
      </w:r>
      <w:r w:rsidR="00BC0119" w:rsidRPr="001416ED">
        <w:rPr>
          <w:lang w:val="uk-UA"/>
        </w:rPr>
        <w:t>–</w:t>
      </w:r>
      <w:r w:rsidRPr="001416ED">
        <w:rPr>
          <w:lang w:val="uk-UA"/>
        </w:rPr>
        <w:t>1 та СНП</w:t>
      </w:r>
      <w:r w:rsidR="008867D7" w:rsidRPr="001416ED">
        <w:rPr>
          <w:lang w:val="uk-UA"/>
        </w:rPr>
        <w:t xml:space="preserve"> -</w:t>
      </w:r>
      <w:r w:rsidRPr="001416ED">
        <w:rPr>
          <w:lang w:val="uk-UA"/>
        </w:rPr>
        <w:t xml:space="preserve"> не відрізняються при різних категоріях нормального АТ, проте коефіцієнт СНП/ЕТ</w:t>
      </w:r>
      <w:r w:rsidR="00BC0119" w:rsidRPr="001416ED">
        <w:rPr>
          <w:lang w:val="uk-UA"/>
        </w:rPr>
        <w:t>–</w:t>
      </w:r>
      <w:r w:rsidRPr="001416ED">
        <w:rPr>
          <w:lang w:val="uk-UA"/>
        </w:rPr>
        <w:t xml:space="preserve">1 у осіб з нормальним і високим нормальним АТ був нижче ніж в чоловіків з оптимальним АТ. </w:t>
      </w:r>
    </w:p>
    <w:p w:rsidR="00305CEB" w:rsidRPr="001416ED" w:rsidRDefault="00305CEB" w:rsidP="00CB4CE5">
      <w:pPr>
        <w:spacing w:line="360" w:lineRule="auto"/>
        <w:ind w:firstLine="709"/>
        <w:jc w:val="both"/>
        <w:rPr>
          <w:lang w:val="uk-UA"/>
        </w:rPr>
      </w:pPr>
      <w:r w:rsidRPr="001416ED">
        <w:rPr>
          <w:lang w:val="uk-UA"/>
        </w:rPr>
        <w:t xml:space="preserve">Відомо, що кардіоваскулярна, нервова системи та візерунки пальців кистей під час розвитку плода закладаються в один і той самий час. Дослідження дерматогліфів обох кистей, </w:t>
      </w:r>
      <w:r w:rsidR="00C5382C" w:rsidRPr="001416ED">
        <w:rPr>
          <w:lang w:val="uk-UA"/>
        </w:rPr>
        <w:t xml:space="preserve">та </w:t>
      </w:r>
      <w:r w:rsidRPr="001416ED">
        <w:rPr>
          <w:lang w:val="uk-UA"/>
        </w:rPr>
        <w:t xml:space="preserve">на </w:t>
      </w:r>
      <w:r w:rsidR="00C5382C" w:rsidRPr="001416ED">
        <w:rPr>
          <w:lang w:val="uk-UA"/>
        </w:rPr>
        <w:t>ПК і ЛК</w:t>
      </w:r>
      <w:r w:rsidRPr="001416ED">
        <w:rPr>
          <w:lang w:val="uk-UA"/>
        </w:rPr>
        <w:t xml:space="preserve">, зокрема, показало наступну частоту пальцевих малюнків: U&gt;W&gt;A&gt;R. Подібні результати отримані </w:t>
      </w:r>
      <w:r w:rsidRPr="001416ED">
        <w:rPr>
          <w:lang w:val="uk-UA" w:bidi="uk-UA"/>
        </w:rPr>
        <w:t xml:space="preserve">у практично здорових чоловіків </w:t>
      </w:r>
      <w:r w:rsidRPr="001416ED">
        <w:rPr>
          <w:lang w:val="uk-UA"/>
        </w:rPr>
        <w:t xml:space="preserve">в роботі </w:t>
      </w:r>
      <w:r w:rsidR="008867D7" w:rsidRPr="001416ED">
        <w:rPr>
          <w:lang w:val="uk-UA"/>
        </w:rPr>
        <w:t xml:space="preserve">І. В. </w:t>
      </w:r>
      <w:r w:rsidRPr="001416ED">
        <w:rPr>
          <w:lang w:val="uk-UA"/>
        </w:rPr>
        <w:t xml:space="preserve">Погорілої та </w:t>
      </w:r>
      <w:r w:rsidR="00211C65" w:rsidRPr="001416ED">
        <w:rPr>
          <w:lang w:val="uk-UA"/>
        </w:rPr>
        <w:t>співавт</w:t>
      </w:r>
      <w:r w:rsidRPr="001416ED">
        <w:rPr>
          <w:lang w:val="uk-UA"/>
        </w:rPr>
        <w:t>.</w:t>
      </w:r>
      <w:r w:rsidRPr="001416ED">
        <w:rPr>
          <w:lang w:val="uk-UA" w:bidi="uk-UA"/>
        </w:rPr>
        <w:t xml:space="preserve">, а також були встановлені взаємозв’язки між носійством </w:t>
      </w:r>
      <w:r w:rsidR="00F40216">
        <w:rPr>
          <w:lang w:val="uk-UA" w:bidi="uk-UA"/>
        </w:rPr>
        <w:t>варіантів гена</w:t>
      </w:r>
      <w:r w:rsidRPr="001416ED">
        <w:rPr>
          <w:lang w:val="uk-UA" w:bidi="uk-UA"/>
        </w:rPr>
        <w:t xml:space="preserve"> АТ1</w:t>
      </w:r>
      <w:r w:rsidR="00BC0119" w:rsidRPr="001416ED">
        <w:rPr>
          <w:lang w:val="uk-UA" w:bidi="uk-UA"/>
        </w:rPr>
        <w:t>–</w:t>
      </w:r>
      <w:r w:rsidR="00D07B44">
        <w:rPr>
          <w:lang w:val="uk-UA" w:bidi="uk-UA"/>
        </w:rPr>
        <w:t>Р</w:t>
      </w:r>
      <w:r w:rsidRPr="001416ED">
        <w:rPr>
          <w:lang w:val="uk-UA" w:bidi="uk-UA"/>
        </w:rPr>
        <w:t xml:space="preserve"> та типами пальцевих малюнків </w:t>
      </w:r>
      <w:r w:rsidRPr="001416ED">
        <w:rPr>
          <w:lang w:val="uk-UA"/>
        </w:rPr>
        <w:t>[</w:t>
      </w:r>
      <w:r w:rsidR="00D64EAD" w:rsidRPr="001416ED">
        <w:rPr>
          <w:lang w:val="uk-UA"/>
        </w:rPr>
        <w:t>6</w:t>
      </w:r>
      <w:r w:rsidR="006D33BE" w:rsidRPr="001416ED">
        <w:rPr>
          <w:lang w:val="uk-UA"/>
        </w:rPr>
        <w:t>5</w:t>
      </w:r>
      <w:r w:rsidRPr="001416ED">
        <w:rPr>
          <w:lang w:val="uk-UA"/>
        </w:rPr>
        <w:t>]. Отримані дані співзвучні індійським дослідженням студентів, у яких в 60</w:t>
      </w:r>
      <w:r w:rsidR="00D4219F" w:rsidRPr="001416ED">
        <w:rPr>
          <w:lang w:val="uk-UA"/>
        </w:rPr>
        <w:t xml:space="preserve"> %</w:t>
      </w:r>
      <w:r w:rsidRPr="001416ED">
        <w:rPr>
          <w:lang w:val="uk-UA"/>
        </w:rPr>
        <w:t xml:space="preserve"> зустрічалась ульнарна петля, в 36,9</w:t>
      </w:r>
      <w:r w:rsidR="00D4219F" w:rsidRPr="001416ED">
        <w:rPr>
          <w:lang w:val="uk-UA"/>
        </w:rPr>
        <w:t xml:space="preserve"> %</w:t>
      </w:r>
      <w:r w:rsidRPr="001416ED">
        <w:rPr>
          <w:lang w:val="uk-UA"/>
        </w:rPr>
        <w:t xml:space="preserve"> </w:t>
      </w:r>
      <w:r w:rsidR="00BC0119" w:rsidRPr="001416ED">
        <w:rPr>
          <w:lang w:val="uk-UA"/>
        </w:rPr>
        <w:t>–</w:t>
      </w:r>
      <w:r w:rsidRPr="001416ED">
        <w:rPr>
          <w:lang w:val="uk-UA"/>
        </w:rPr>
        <w:t xml:space="preserve"> завиток, 3,1</w:t>
      </w:r>
      <w:r w:rsidR="00D4219F" w:rsidRPr="001416ED">
        <w:rPr>
          <w:lang w:val="uk-UA"/>
        </w:rPr>
        <w:t xml:space="preserve"> %</w:t>
      </w:r>
      <w:r w:rsidRPr="001416ED">
        <w:rPr>
          <w:lang w:val="uk-UA"/>
        </w:rPr>
        <w:t xml:space="preserve"> </w:t>
      </w:r>
      <w:r w:rsidR="00BC0119" w:rsidRPr="001416ED">
        <w:rPr>
          <w:lang w:val="uk-UA"/>
        </w:rPr>
        <w:t>–</w:t>
      </w:r>
      <w:r w:rsidRPr="001416ED">
        <w:rPr>
          <w:lang w:val="uk-UA"/>
        </w:rPr>
        <w:t xml:space="preserve"> інші малюнки [</w:t>
      </w:r>
      <w:r w:rsidR="006D33BE" w:rsidRPr="001416ED">
        <w:rPr>
          <w:lang w:val="uk-UA"/>
        </w:rPr>
        <w:t>197</w:t>
      </w:r>
      <w:r w:rsidRPr="001416ED">
        <w:rPr>
          <w:lang w:val="uk-UA"/>
        </w:rPr>
        <w:t xml:space="preserve">]. У роботі </w:t>
      </w:r>
      <w:r w:rsidR="008867D7" w:rsidRPr="001416ED">
        <w:t>P</w:t>
      </w:r>
      <w:r w:rsidR="008867D7" w:rsidRPr="001416ED">
        <w:rPr>
          <w:lang w:val="uk-UA"/>
        </w:rPr>
        <w:t xml:space="preserve">. </w:t>
      </w:r>
      <w:r w:rsidR="008867D7" w:rsidRPr="001416ED">
        <w:t>R</w:t>
      </w:r>
      <w:r w:rsidR="008867D7" w:rsidRPr="001416ED">
        <w:rPr>
          <w:lang w:val="uk-UA"/>
        </w:rPr>
        <w:t xml:space="preserve">. </w:t>
      </w:r>
      <w:r w:rsidRPr="001416ED">
        <w:t>Abhilash</w:t>
      </w:r>
      <w:r w:rsidRPr="001416ED">
        <w:rPr>
          <w:lang w:val="uk-UA"/>
        </w:rPr>
        <w:t xml:space="preserve"> </w:t>
      </w:r>
      <w:r w:rsidR="00B86142" w:rsidRPr="001416ED">
        <w:rPr>
          <w:lang w:val="uk-UA"/>
        </w:rPr>
        <w:t xml:space="preserve">та співавт.  </w:t>
      </w:r>
      <w:r w:rsidRPr="001416ED">
        <w:rPr>
          <w:lang w:val="uk-UA"/>
        </w:rPr>
        <w:t>(Індія) показано, що у дітей віком від 5 до 12 років домінує малюнок проста петля [</w:t>
      </w:r>
      <w:r w:rsidR="006D33BE" w:rsidRPr="001416ED">
        <w:rPr>
          <w:lang w:val="uk-UA"/>
        </w:rPr>
        <w:t>96</w:t>
      </w:r>
      <w:r w:rsidRPr="001416ED">
        <w:rPr>
          <w:lang w:val="uk-UA"/>
        </w:rPr>
        <w:t xml:space="preserve">]. У роботі </w:t>
      </w:r>
      <w:r w:rsidR="008867D7" w:rsidRPr="001416ED">
        <w:rPr>
          <w:lang w:val="uk-UA"/>
        </w:rPr>
        <w:t xml:space="preserve">Л. І. </w:t>
      </w:r>
      <w:r w:rsidRPr="001416ED">
        <w:rPr>
          <w:lang w:val="uk-UA"/>
        </w:rPr>
        <w:t>Рамазанової (м. Ростов</w:t>
      </w:r>
      <w:r w:rsidR="00BC0119" w:rsidRPr="001416ED">
        <w:rPr>
          <w:lang w:val="uk-UA"/>
        </w:rPr>
        <w:t>–</w:t>
      </w:r>
      <w:r w:rsidRPr="001416ED">
        <w:rPr>
          <w:lang w:val="uk-UA"/>
        </w:rPr>
        <w:t>на</w:t>
      </w:r>
      <w:r w:rsidR="00BC0119" w:rsidRPr="001416ED">
        <w:rPr>
          <w:lang w:val="uk-UA"/>
        </w:rPr>
        <w:t>–</w:t>
      </w:r>
      <w:r w:rsidRPr="001416ED">
        <w:rPr>
          <w:lang w:val="uk-UA"/>
        </w:rPr>
        <w:t xml:space="preserve">Дону, Росія) у групі практично здорових осіб змішаних по статі домінує ульнарна петля </w:t>
      </w:r>
      <w:r w:rsidR="00BC0119" w:rsidRPr="001416ED">
        <w:rPr>
          <w:lang w:val="uk-UA"/>
        </w:rPr>
        <w:t>–</w:t>
      </w:r>
      <w:r w:rsidRPr="001416ED">
        <w:rPr>
          <w:lang w:val="uk-UA"/>
        </w:rPr>
        <w:t xml:space="preserve"> 56</w:t>
      </w:r>
      <w:r w:rsidR="00D4219F" w:rsidRPr="001416ED">
        <w:rPr>
          <w:lang w:val="uk-UA"/>
        </w:rPr>
        <w:t xml:space="preserve"> %</w:t>
      </w:r>
      <w:r w:rsidRPr="001416ED">
        <w:rPr>
          <w:lang w:val="uk-UA"/>
        </w:rPr>
        <w:t xml:space="preserve"> [</w:t>
      </w:r>
      <w:r w:rsidR="006D33BE" w:rsidRPr="001416ED">
        <w:rPr>
          <w:lang w:val="uk-UA"/>
        </w:rPr>
        <w:t>69</w:t>
      </w:r>
      <w:r w:rsidRPr="001416ED">
        <w:rPr>
          <w:lang w:val="uk-UA"/>
        </w:rPr>
        <w:t>]. В іранському дослідження вчені показали, що у чоловіків і жінок групи контролю також найчастіше зустрічаються петлі (50,7</w:t>
      </w:r>
      <w:r w:rsidR="00D4219F" w:rsidRPr="001416ED">
        <w:rPr>
          <w:lang w:val="uk-UA"/>
        </w:rPr>
        <w:t xml:space="preserve"> %</w:t>
      </w:r>
      <w:r w:rsidRPr="001416ED">
        <w:rPr>
          <w:lang w:val="uk-UA"/>
        </w:rPr>
        <w:t>)</w:t>
      </w:r>
      <w:r w:rsidR="00B742FF" w:rsidRPr="001416ED">
        <w:rPr>
          <w:lang w:val="uk-UA"/>
        </w:rPr>
        <w:t xml:space="preserve"> і завитки (45,5</w:t>
      </w:r>
      <w:r w:rsidR="00D4219F" w:rsidRPr="001416ED">
        <w:rPr>
          <w:lang w:val="uk-UA"/>
        </w:rPr>
        <w:t xml:space="preserve"> %</w:t>
      </w:r>
      <w:r w:rsidR="00B742FF" w:rsidRPr="001416ED">
        <w:rPr>
          <w:lang w:val="uk-UA"/>
        </w:rPr>
        <w:t>) [1</w:t>
      </w:r>
      <w:r w:rsidR="006D33BE" w:rsidRPr="001416ED">
        <w:rPr>
          <w:lang w:val="uk-UA"/>
        </w:rPr>
        <w:t>45</w:t>
      </w:r>
      <w:r w:rsidR="00B742FF" w:rsidRPr="001416ED">
        <w:rPr>
          <w:lang w:val="uk-UA"/>
        </w:rPr>
        <w:t>]</w:t>
      </w:r>
      <w:r w:rsidRPr="001416ED">
        <w:rPr>
          <w:lang w:val="uk-UA"/>
        </w:rPr>
        <w:t>. В індійській роботі науковці показали, що у на правій і лівих кистях як у чоловіків (70,1</w:t>
      </w:r>
      <w:r w:rsidR="00D4219F" w:rsidRPr="001416ED">
        <w:rPr>
          <w:lang w:val="uk-UA"/>
        </w:rPr>
        <w:t xml:space="preserve"> %</w:t>
      </w:r>
      <w:r w:rsidRPr="001416ED">
        <w:rPr>
          <w:lang w:val="uk-UA"/>
        </w:rPr>
        <w:t xml:space="preserve"> та 64</w:t>
      </w:r>
      <w:r w:rsidR="00D4219F" w:rsidRPr="001416ED">
        <w:rPr>
          <w:lang w:val="uk-UA"/>
        </w:rPr>
        <w:t xml:space="preserve"> %</w:t>
      </w:r>
      <w:r w:rsidRPr="001416ED">
        <w:rPr>
          <w:lang w:val="uk-UA"/>
        </w:rPr>
        <w:t>, відповідно) так і у жінок (69,1</w:t>
      </w:r>
      <w:r w:rsidR="00D4219F" w:rsidRPr="001416ED">
        <w:rPr>
          <w:lang w:val="uk-UA"/>
        </w:rPr>
        <w:t xml:space="preserve"> %</w:t>
      </w:r>
      <w:r w:rsidRPr="001416ED">
        <w:rPr>
          <w:lang w:val="uk-UA"/>
        </w:rPr>
        <w:t xml:space="preserve"> та 66,1</w:t>
      </w:r>
      <w:r w:rsidR="00D4219F" w:rsidRPr="001416ED">
        <w:rPr>
          <w:lang w:val="uk-UA"/>
        </w:rPr>
        <w:t xml:space="preserve"> %</w:t>
      </w:r>
      <w:r w:rsidRPr="001416ED">
        <w:rPr>
          <w:lang w:val="uk-UA"/>
        </w:rPr>
        <w:t>, відповідно) переважає ульнарна петля [</w:t>
      </w:r>
      <w:r w:rsidR="00AF76B0" w:rsidRPr="001416ED">
        <w:rPr>
          <w:lang w:val="uk-UA"/>
        </w:rPr>
        <w:t>1</w:t>
      </w:r>
      <w:r w:rsidR="006D33BE" w:rsidRPr="001416ED">
        <w:rPr>
          <w:lang w:val="uk-UA"/>
        </w:rPr>
        <w:t>44</w:t>
      </w:r>
      <w:r w:rsidRPr="001416ED">
        <w:rPr>
          <w:lang w:val="uk-UA"/>
        </w:rPr>
        <w:t>]. Ще в одному дослідженні іранської популяції також домінує малюнок петля у практично здорових осіб [</w:t>
      </w:r>
      <w:r w:rsidR="00AF76B0" w:rsidRPr="001416ED">
        <w:rPr>
          <w:lang w:val="uk-UA"/>
        </w:rPr>
        <w:t>1</w:t>
      </w:r>
      <w:r w:rsidR="006D33BE" w:rsidRPr="001416ED">
        <w:rPr>
          <w:lang w:val="uk-UA"/>
        </w:rPr>
        <w:t>83</w:t>
      </w:r>
      <w:r w:rsidRPr="001416ED">
        <w:rPr>
          <w:lang w:val="uk-UA"/>
        </w:rPr>
        <w:t>].</w:t>
      </w:r>
      <w:r w:rsidR="00B742FF" w:rsidRPr="001416ED">
        <w:rPr>
          <w:rFonts w:eastAsia="PragmaticaC"/>
        </w:rPr>
        <w:t xml:space="preserve"> </w:t>
      </w:r>
    </w:p>
    <w:p w:rsidR="00305CEB" w:rsidRPr="001416ED" w:rsidRDefault="00305CEB" w:rsidP="00305CEB">
      <w:pPr>
        <w:spacing w:line="360" w:lineRule="auto"/>
        <w:ind w:firstLine="709"/>
        <w:jc w:val="both"/>
        <w:rPr>
          <w:lang w:val="uk-UA"/>
        </w:rPr>
      </w:pPr>
      <w:r w:rsidRPr="001416ED">
        <w:rPr>
          <w:lang w:val="uk-UA"/>
        </w:rPr>
        <w:t xml:space="preserve">Дослідження ГР, ЗГР та СГР при </w:t>
      </w:r>
      <w:r w:rsidR="00F40216">
        <w:rPr>
          <w:lang w:val="uk-UA"/>
        </w:rPr>
        <w:t>різних варіантах гена</w:t>
      </w:r>
      <w:r w:rsidRPr="001416ED">
        <w:rPr>
          <w:lang w:val="uk-UA"/>
        </w:rPr>
        <w:t xml:space="preserve"> ЕТ</w:t>
      </w:r>
      <w:r w:rsidR="00BC0119" w:rsidRPr="001416ED">
        <w:rPr>
          <w:lang w:val="uk-UA"/>
        </w:rPr>
        <w:t>–</w:t>
      </w:r>
      <w:r w:rsidRPr="001416ED">
        <w:rPr>
          <w:lang w:val="uk-UA"/>
        </w:rPr>
        <w:t>1 різниці не виявило. У осіб без серцево</w:t>
      </w:r>
      <w:r w:rsidR="00BC0119" w:rsidRPr="001416ED">
        <w:rPr>
          <w:lang w:val="uk-UA"/>
        </w:rPr>
        <w:t>–</w:t>
      </w:r>
      <w:r w:rsidRPr="001416ED">
        <w:rPr>
          <w:lang w:val="uk-UA"/>
        </w:rPr>
        <w:t xml:space="preserve">судинної патології на п’ятому пальці </w:t>
      </w:r>
      <w:r w:rsidR="00C5382C" w:rsidRPr="001416ED">
        <w:rPr>
          <w:lang w:val="uk-UA"/>
        </w:rPr>
        <w:t>ЛК</w:t>
      </w:r>
      <w:r w:rsidRPr="001416ED">
        <w:rPr>
          <w:lang w:val="uk-UA"/>
        </w:rPr>
        <w:t xml:space="preserve"> у носіїв будь</w:t>
      </w:r>
      <w:r w:rsidR="00BC0119" w:rsidRPr="001416ED">
        <w:rPr>
          <w:lang w:val="uk-UA"/>
        </w:rPr>
        <w:t>–</w:t>
      </w:r>
      <w:r w:rsidRPr="001416ED">
        <w:rPr>
          <w:lang w:val="uk-UA"/>
        </w:rPr>
        <w:t xml:space="preserve">якого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достовірно частіше зустрічається ульнарна петля. За допомогою дискримінантного аналізу розроблені математичні моделі, завдяки яким в лікарській практиці стане можливим попереднє визначення варіанту ген</w:t>
      </w:r>
      <w:r w:rsidR="00D07B44">
        <w:rPr>
          <w:lang w:val="uk-UA"/>
        </w:rPr>
        <w:t>а</w:t>
      </w:r>
      <w:r w:rsidRPr="001416ED">
        <w:rPr>
          <w:lang w:val="uk-UA"/>
        </w:rPr>
        <w:t xml:space="preserve"> ЕТ</w:t>
      </w:r>
      <w:r w:rsidR="00BC0119" w:rsidRPr="001416ED">
        <w:rPr>
          <w:lang w:val="uk-UA"/>
        </w:rPr>
        <w:t>–</w:t>
      </w:r>
      <w:r w:rsidRPr="001416ED">
        <w:rPr>
          <w:lang w:val="uk-UA"/>
        </w:rPr>
        <w:t>1 у чоловіків, що не мають серцево</w:t>
      </w:r>
      <w:r w:rsidR="00BC0119" w:rsidRPr="001416ED">
        <w:rPr>
          <w:lang w:val="uk-UA"/>
        </w:rPr>
        <w:t>–</w:t>
      </w:r>
      <w:r w:rsidRPr="001416ED">
        <w:rPr>
          <w:lang w:val="uk-UA"/>
        </w:rPr>
        <w:t>судинних захворювань.</w:t>
      </w:r>
    </w:p>
    <w:p w:rsidR="00305CEB" w:rsidRPr="001416ED" w:rsidRDefault="00305CEB" w:rsidP="00305CEB">
      <w:pPr>
        <w:spacing w:line="360" w:lineRule="auto"/>
        <w:ind w:firstLine="709"/>
        <w:jc w:val="both"/>
      </w:pPr>
      <w:r w:rsidRPr="001416ED">
        <w:rPr>
          <w:lang w:val="uk-UA"/>
        </w:rPr>
        <w:lastRenderedPageBreak/>
        <w:t xml:space="preserve">Наступним кроком стало дослідження розподілу генотипів та </w:t>
      </w:r>
      <w:r w:rsidR="00467248" w:rsidRPr="001416ED">
        <w:rPr>
          <w:lang w:val="uk-UA"/>
        </w:rPr>
        <w:t>алелей</w:t>
      </w:r>
      <w:r w:rsidRPr="001416ED">
        <w:rPr>
          <w:lang w:val="uk-UA"/>
        </w:rPr>
        <w:t xml:space="preserve"> гена ЕТ</w:t>
      </w:r>
      <w:r w:rsidR="00BC0119" w:rsidRPr="001416ED">
        <w:rPr>
          <w:lang w:val="uk-UA"/>
        </w:rPr>
        <w:t>–</w:t>
      </w:r>
      <w:r w:rsidRPr="001416ED">
        <w:rPr>
          <w:lang w:val="uk-UA"/>
        </w:rPr>
        <w:t xml:space="preserve">1 у чоловіків з ГХ </w:t>
      </w:r>
      <w:r w:rsidR="00A63A7A" w:rsidRPr="001416ED">
        <w:rPr>
          <w:lang w:val="uk-UA"/>
        </w:rPr>
        <w:t>ІІ та ІІІ стадії</w:t>
      </w:r>
      <w:r w:rsidR="00467248" w:rsidRPr="001416ED">
        <w:rPr>
          <w:lang w:val="uk-UA"/>
        </w:rPr>
        <w:t>.</w:t>
      </w:r>
      <w:r w:rsidRPr="001416ED">
        <w:rPr>
          <w:lang w:val="uk-UA"/>
        </w:rPr>
        <w:t xml:space="preserve"> Встановлено, що у чоловіків з ГХ різної </w:t>
      </w:r>
      <w:r w:rsidR="00046A18" w:rsidRPr="001416ED">
        <w:rPr>
          <w:lang w:val="uk-UA"/>
        </w:rPr>
        <w:t>стадії</w:t>
      </w:r>
      <w:r w:rsidRPr="001416ED">
        <w:rPr>
          <w:lang w:val="uk-UA"/>
        </w:rPr>
        <w:t xml:space="preserve"> достовірно частіше зустрічається генотип Lys/Lys та алель </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Різниці між пацієнтами з ГХ та групою контролю у частоті носійства генотипів і </w:t>
      </w:r>
      <w:r w:rsidR="00467248" w:rsidRPr="001416ED">
        <w:rPr>
          <w:lang w:val="uk-UA"/>
        </w:rPr>
        <w:t>алелей</w:t>
      </w:r>
      <w:r w:rsidRPr="001416ED">
        <w:rPr>
          <w:lang w:val="uk-UA"/>
        </w:rPr>
        <w:t xml:space="preserve"> не виявлено. Подібні д</w:t>
      </w:r>
      <w:r w:rsidR="00790FF0" w:rsidRPr="001416ED">
        <w:rPr>
          <w:lang w:val="uk-UA"/>
        </w:rPr>
        <w:t>ані</w:t>
      </w:r>
      <w:r w:rsidRPr="001416ED">
        <w:rPr>
          <w:lang w:val="uk-UA"/>
        </w:rPr>
        <w:t xml:space="preserve"> отримані в двох різних наукових роботах у групах змішаних по статі за участі якутської популяції [</w:t>
      </w:r>
      <w:r w:rsidR="00220F0F" w:rsidRPr="001416ED">
        <w:rPr>
          <w:lang w:val="uk-UA"/>
        </w:rPr>
        <w:t>5</w:t>
      </w:r>
      <w:r w:rsidR="006D33BE" w:rsidRPr="001416ED">
        <w:rPr>
          <w:lang w:val="uk-UA"/>
        </w:rPr>
        <w:t>6</w:t>
      </w:r>
      <w:r w:rsidRPr="001416ED">
        <w:rPr>
          <w:lang w:val="uk-UA"/>
        </w:rPr>
        <w:t>,</w:t>
      </w:r>
      <w:r w:rsidR="00467248" w:rsidRPr="001416ED">
        <w:rPr>
          <w:lang w:val="uk-UA"/>
        </w:rPr>
        <w:t xml:space="preserve"> </w:t>
      </w:r>
      <w:r w:rsidR="00220F0F" w:rsidRPr="001416ED">
        <w:rPr>
          <w:lang w:val="uk-UA"/>
        </w:rPr>
        <w:t>6</w:t>
      </w:r>
      <w:r w:rsidR="006D33BE" w:rsidRPr="001416ED">
        <w:rPr>
          <w:lang w:val="uk-UA"/>
        </w:rPr>
        <w:t>3</w:t>
      </w:r>
      <w:r w:rsidRPr="001416ED">
        <w:rPr>
          <w:lang w:val="uk-UA"/>
        </w:rPr>
        <w:t>].</w:t>
      </w:r>
      <w:r w:rsidRPr="001416ED">
        <w:rPr>
          <w:snapToGrid w:val="0"/>
          <w:lang w:val="uk-UA"/>
        </w:rPr>
        <w:t xml:space="preserve"> У роботі </w:t>
      </w:r>
      <w:r w:rsidRPr="001416ED">
        <w:rPr>
          <w:lang w:val="uk-UA"/>
        </w:rPr>
        <w:t xml:space="preserve">казахських дослідників показано, що генотип Lys/Lys у чоловіків з ГХ зустрічається в 1,3 разів менше, ніж у </w:t>
      </w:r>
      <w:r w:rsidR="00467248" w:rsidRPr="001416ED">
        <w:rPr>
          <w:lang w:val="uk-UA"/>
        </w:rPr>
        <w:t>групі котролю</w:t>
      </w:r>
      <w:r w:rsidRPr="001416ED">
        <w:rPr>
          <w:lang w:val="uk-UA"/>
        </w:rPr>
        <w:t>, проте, як в здорових осіб так і у пацієнтів з ГХ він є домінантним. Генотип Lys/Asn з однаковою частотою зустрічається у двох групах. Поліморфний варіант Asn/Asn був визначений лише у хворих з ЕГ. Також</w:t>
      </w:r>
      <w:r w:rsidR="00467248" w:rsidRPr="001416ED">
        <w:rPr>
          <w:lang w:val="uk-UA"/>
        </w:rPr>
        <w:t>,</w:t>
      </w:r>
      <w:r w:rsidRPr="001416ED">
        <w:rPr>
          <w:lang w:val="uk-UA"/>
        </w:rPr>
        <w:t xml:space="preserve"> у осіб з ГХ та у чоловіків групи контролю переважала алель Lys [1</w:t>
      </w:r>
      <w:r w:rsidR="00AF76B0" w:rsidRPr="001416ED">
        <w:rPr>
          <w:lang w:val="uk-UA"/>
        </w:rPr>
        <w:t>3</w:t>
      </w:r>
      <w:r w:rsidR="006D33BE" w:rsidRPr="001416ED">
        <w:rPr>
          <w:lang w:val="uk-UA"/>
        </w:rPr>
        <w:t>1</w:t>
      </w:r>
      <w:r w:rsidRPr="001416ED">
        <w:rPr>
          <w:lang w:val="uk-UA"/>
        </w:rPr>
        <w:t xml:space="preserve">]. У </w:t>
      </w:r>
      <w:r w:rsidR="00790FF0" w:rsidRPr="001416ED">
        <w:rPr>
          <w:lang w:val="uk-UA"/>
        </w:rPr>
        <w:t xml:space="preserve">мешканців </w:t>
      </w:r>
      <w:r w:rsidRPr="001416ED">
        <w:rPr>
          <w:lang w:val="uk-UA"/>
        </w:rPr>
        <w:t xml:space="preserve">Сум отримані результати дещо різняться від </w:t>
      </w:r>
      <w:r w:rsidR="00790FF0" w:rsidRPr="001416ED">
        <w:rPr>
          <w:lang w:val="uk-UA"/>
        </w:rPr>
        <w:t>вище</w:t>
      </w:r>
      <w:r w:rsidR="00F472AF" w:rsidRPr="001416ED">
        <w:rPr>
          <w:lang w:val="uk-UA"/>
        </w:rPr>
        <w:t>на</w:t>
      </w:r>
      <w:r w:rsidR="00790FF0" w:rsidRPr="001416ED">
        <w:rPr>
          <w:lang w:val="uk-UA"/>
        </w:rPr>
        <w:t>ведених</w:t>
      </w:r>
      <w:r w:rsidRPr="001416ED">
        <w:rPr>
          <w:lang w:val="uk-UA"/>
        </w:rPr>
        <w:t>. В</w:t>
      </w:r>
      <w:r w:rsidR="00467248" w:rsidRPr="001416ED">
        <w:rPr>
          <w:lang w:val="uk-UA"/>
        </w:rPr>
        <w:t xml:space="preserve"> загальному, у</w:t>
      </w:r>
      <w:r w:rsidRPr="001416ED">
        <w:rPr>
          <w:lang w:val="uk-UA"/>
        </w:rPr>
        <w:t xml:space="preserve"> </w:t>
      </w:r>
      <w:r w:rsidR="00467248" w:rsidRPr="001416ED">
        <w:rPr>
          <w:lang w:val="uk-UA"/>
        </w:rPr>
        <w:t>чоловіків та жінок</w:t>
      </w:r>
      <w:r w:rsidRPr="001416ED">
        <w:rPr>
          <w:lang w:val="uk-UA"/>
        </w:rPr>
        <w:t xml:space="preserve"> як в групі контролю так і у осіб з ішемічним інсультом домінує генотип </w:t>
      </w:r>
      <w:r w:rsidRPr="001416ED">
        <w:rPr>
          <w:lang w:val="en-US"/>
        </w:rPr>
        <w:t>Lys</w:t>
      </w:r>
      <w:r w:rsidRPr="001416ED">
        <w:rPr>
          <w:lang w:val="uk-UA"/>
        </w:rPr>
        <w:t>/</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В контрольній групі жінок достовірно домінує генотип </w:t>
      </w:r>
      <w:r w:rsidRPr="001416ED">
        <w:rPr>
          <w:lang w:val="en-US"/>
        </w:rPr>
        <w:t>Lys</w:t>
      </w:r>
      <w:r w:rsidRPr="001416ED">
        <w:rPr>
          <w:lang w:val="uk-UA"/>
        </w:rPr>
        <w:t>/</w:t>
      </w:r>
      <w:r w:rsidRPr="001416ED">
        <w:rPr>
          <w:lang w:val="en-US"/>
        </w:rPr>
        <w:t>Lys</w:t>
      </w:r>
      <w:r w:rsidRPr="001416ED">
        <w:rPr>
          <w:lang w:val="uk-UA"/>
        </w:rPr>
        <w:t>, а в групі пацієнток з ішемічним інсультом переважають носії алелі Asn (генотипи Lys/Asn та Asn/Asn). Проте, у чоловіків такої різниці між групами дослідження не виявлено</w:t>
      </w:r>
      <w:r w:rsidR="00790FF0" w:rsidRPr="001416ED">
        <w:rPr>
          <w:lang w:val="uk-UA"/>
        </w:rPr>
        <w:t>.</w:t>
      </w:r>
      <w:r w:rsidRPr="001416ED">
        <w:rPr>
          <w:lang w:val="uk-UA"/>
        </w:rPr>
        <w:t xml:space="preserve"> </w:t>
      </w:r>
      <w:r w:rsidR="00467248" w:rsidRPr="001416ED">
        <w:rPr>
          <w:lang w:val="uk-UA"/>
        </w:rPr>
        <w:t>Не встановлено різниці у ч</w:t>
      </w:r>
      <w:r w:rsidRPr="001416ED">
        <w:rPr>
          <w:lang w:val="uk-UA"/>
        </w:rPr>
        <w:t>астот</w:t>
      </w:r>
      <w:r w:rsidR="00467248" w:rsidRPr="001416ED">
        <w:rPr>
          <w:lang w:val="uk-UA"/>
        </w:rPr>
        <w:t>і</w:t>
      </w:r>
      <w:r w:rsidRPr="001416ED">
        <w:rPr>
          <w:lang w:val="uk-UA"/>
        </w:rPr>
        <w:t xml:space="preserve"> генотипів</w:t>
      </w:r>
      <w:r w:rsidR="00467248" w:rsidRPr="001416ED">
        <w:rPr>
          <w:lang w:val="uk-UA"/>
        </w:rPr>
        <w:t xml:space="preserve"> між чоловічою і жіночою статтю</w:t>
      </w:r>
      <w:r w:rsidRPr="001416ED">
        <w:rPr>
          <w:lang w:val="uk-UA"/>
        </w:rPr>
        <w:t xml:space="preserve"> у контрольній групі, проте як у чоловіків так і у жінок домінує генотип </w:t>
      </w:r>
      <w:r w:rsidRPr="001416ED">
        <w:rPr>
          <w:lang w:val="en-US"/>
        </w:rPr>
        <w:t>Lys</w:t>
      </w:r>
      <w:r w:rsidRPr="001416ED">
        <w:rPr>
          <w:lang w:val="uk-UA"/>
        </w:rPr>
        <w:t>/</w:t>
      </w:r>
      <w:r w:rsidRPr="001416ED">
        <w:rPr>
          <w:lang w:val="en-US"/>
        </w:rPr>
        <w:t>Lys</w:t>
      </w:r>
      <w:r w:rsidR="00D07B44">
        <w:rPr>
          <w:lang w:val="uk-UA"/>
        </w:rPr>
        <w:t>. У</w:t>
      </w:r>
      <w:r w:rsidR="00D07B44" w:rsidRPr="001416ED">
        <w:rPr>
          <w:lang w:val="uk-UA"/>
        </w:rPr>
        <w:t xml:space="preserve"> чоловіків </w:t>
      </w:r>
      <w:r w:rsidRPr="001416ED">
        <w:rPr>
          <w:lang w:val="uk-UA"/>
        </w:rPr>
        <w:t xml:space="preserve">з ішемічним інсультом достовірно частіше виявлено генотип </w:t>
      </w:r>
      <w:r w:rsidRPr="001416ED">
        <w:rPr>
          <w:lang w:val="en-US"/>
        </w:rPr>
        <w:t>Lys</w:t>
      </w:r>
      <w:r w:rsidRPr="001416ED">
        <w:rPr>
          <w:lang w:val="uk-UA"/>
        </w:rPr>
        <w:t>/</w:t>
      </w:r>
      <w:r w:rsidRPr="001416ED">
        <w:rPr>
          <w:lang w:val="en-US"/>
        </w:rPr>
        <w:t>Lys</w:t>
      </w:r>
      <w:r w:rsidRPr="001416ED">
        <w:rPr>
          <w:lang w:val="uk-UA"/>
        </w:rPr>
        <w:t xml:space="preserve"> та Asn/Asn, у жінок </w:t>
      </w:r>
      <w:r w:rsidR="00BC0119" w:rsidRPr="001416ED">
        <w:rPr>
          <w:lang w:val="uk-UA"/>
        </w:rPr>
        <w:t>–</w:t>
      </w:r>
      <w:r w:rsidRPr="001416ED">
        <w:rPr>
          <w:lang w:val="uk-UA"/>
        </w:rPr>
        <w:t xml:space="preserve"> Lys/Asn.</w:t>
      </w:r>
      <w:r w:rsidRPr="001416ED">
        <w:rPr>
          <w:rFonts w:eastAsiaTheme="minorHAnsi"/>
          <w:sz w:val="22"/>
          <w:szCs w:val="22"/>
          <w:lang w:val="uk-UA" w:eastAsia="en-US"/>
        </w:rPr>
        <w:t xml:space="preserve"> </w:t>
      </w:r>
      <w:r w:rsidRPr="001416ED">
        <w:rPr>
          <w:lang w:val="uk-UA"/>
        </w:rPr>
        <w:t>У жінок з Lys/Asn генотипом ризик розвитку інсульту більший в 2,6 рази, для носіїв гомозиготного Asn/Asn генотипу серед чоловіків ризик виникнення ішемічного інсульту підвищується в 3,5 рази [</w:t>
      </w:r>
      <w:r w:rsidR="006D33BE" w:rsidRPr="001416ED">
        <w:rPr>
          <w:lang w:val="uk-UA"/>
        </w:rPr>
        <w:t>59</w:t>
      </w:r>
      <w:r w:rsidRPr="001416ED">
        <w:rPr>
          <w:lang w:val="uk-UA"/>
        </w:rPr>
        <w:t xml:space="preserve">].  У роботі </w:t>
      </w:r>
      <w:r w:rsidR="00467248" w:rsidRPr="001416ED">
        <w:t>J</w:t>
      </w:r>
      <w:r w:rsidR="00467248" w:rsidRPr="001416ED">
        <w:rPr>
          <w:lang w:val="uk-UA"/>
        </w:rPr>
        <w:t xml:space="preserve">. </w:t>
      </w:r>
      <w:r w:rsidR="00467248" w:rsidRPr="001416ED">
        <w:t>J</w:t>
      </w:r>
      <w:r w:rsidR="00467248" w:rsidRPr="001416ED">
        <w:rPr>
          <w:lang w:val="uk-UA"/>
        </w:rPr>
        <w:t xml:space="preserve">. </w:t>
      </w:r>
      <w:r w:rsidRPr="001416ED">
        <w:t>Jin</w:t>
      </w:r>
      <w:r w:rsidRPr="001416ED">
        <w:rPr>
          <w:lang w:val="uk-UA"/>
        </w:rPr>
        <w:t xml:space="preserve"> е</w:t>
      </w:r>
      <w:r w:rsidRPr="001416ED">
        <w:rPr>
          <w:lang w:val="en-US"/>
        </w:rPr>
        <w:t>t</w:t>
      </w:r>
      <w:r w:rsidRPr="001416ED">
        <w:rPr>
          <w:lang w:val="uk-UA"/>
        </w:rPr>
        <w:t>.</w:t>
      </w:r>
      <w:r w:rsidRPr="001416ED">
        <w:rPr>
          <w:lang w:val="en-US"/>
        </w:rPr>
        <w:t>al</w:t>
      </w:r>
      <w:r w:rsidRPr="001416ED">
        <w:rPr>
          <w:lang w:val="uk-UA"/>
        </w:rPr>
        <w:t>. (Японія</w:t>
      </w:r>
      <w:r w:rsidR="00790FF0" w:rsidRPr="001416ED">
        <w:rPr>
          <w:lang w:val="uk-UA"/>
        </w:rPr>
        <w:t>, 2003</w:t>
      </w:r>
      <w:r w:rsidRPr="001416ED">
        <w:rPr>
          <w:lang w:val="uk-UA"/>
        </w:rPr>
        <w:t xml:space="preserve">) частота  </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 xml:space="preserve">1 у чоловіків і жінок з ГХ виглядає так </w:t>
      </w:r>
      <w:r w:rsidR="00BC0119" w:rsidRPr="001416ED">
        <w:rPr>
          <w:lang w:val="uk-UA"/>
        </w:rPr>
        <w:t>–</w:t>
      </w:r>
      <w:r w:rsidRPr="001416ED">
        <w:rPr>
          <w:lang w:val="uk-UA"/>
        </w:rPr>
        <w:t xml:space="preserve"> генотип </w:t>
      </w:r>
      <w:r w:rsidRPr="001416ED">
        <w:rPr>
          <w:lang w:val="en-US"/>
        </w:rPr>
        <w:t>Lys</w:t>
      </w:r>
      <w:r w:rsidRPr="001416ED">
        <w:rPr>
          <w:lang w:val="uk-UA"/>
        </w:rPr>
        <w:t>/</w:t>
      </w:r>
      <w:r w:rsidRPr="001416ED">
        <w:rPr>
          <w:lang w:val="en-US"/>
        </w:rPr>
        <w:t>Lys</w:t>
      </w:r>
      <w:r w:rsidRPr="001416ED">
        <w:rPr>
          <w:lang w:val="uk-UA"/>
        </w:rPr>
        <w:t xml:space="preserve"> – 53</w:t>
      </w:r>
      <w:r w:rsidR="00D4219F" w:rsidRPr="001416ED">
        <w:rPr>
          <w:lang w:val="uk-UA"/>
        </w:rPr>
        <w:t xml:space="preserve"> %</w:t>
      </w:r>
      <w:r w:rsidRPr="001416ED">
        <w:rPr>
          <w:lang w:val="uk-UA"/>
        </w:rPr>
        <w:t>, Lys/Asn – 38</w:t>
      </w:r>
      <w:r w:rsidR="00D4219F" w:rsidRPr="001416ED">
        <w:rPr>
          <w:lang w:val="uk-UA"/>
        </w:rPr>
        <w:t xml:space="preserve"> %</w:t>
      </w:r>
      <w:r w:rsidRPr="001416ED">
        <w:rPr>
          <w:lang w:val="uk-UA"/>
        </w:rPr>
        <w:t>, Asn/Asn</w:t>
      </w:r>
      <w:r w:rsidR="00BC0119" w:rsidRPr="001416ED">
        <w:rPr>
          <w:lang w:val="uk-UA"/>
        </w:rPr>
        <w:t>–</w:t>
      </w:r>
      <w:r w:rsidRPr="001416ED">
        <w:rPr>
          <w:lang w:val="uk-UA"/>
        </w:rPr>
        <w:t>8</w:t>
      </w:r>
      <w:r w:rsidR="00D4219F" w:rsidRPr="001416ED">
        <w:rPr>
          <w:lang w:val="uk-UA"/>
        </w:rPr>
        <w:t xml:space="preserve"> %</w:t>
      </w:r>
      <w:r w:rsidRPr="001416ED">
        <w:rPr>
          <w:lang w:val="uk-UA"/>
        </w:rPr>
        <w:t>, алель Lys – 72</w:t>
      </w:r>
      <w:r w:rsidR="00D4219F" w:rsidRPr="001416ED">
        <w:rPr>
          <w:lang w:val="uk-UA"/>
        </w:rPr>
        <w:t xml:space="preserve"> %</w:t>
      </w:r>
      <w:r w:rsidRPr="001416ED">
        <w:rPr>
          <w:lang w:val="uk-UA"/>
        </w:rPr>
        <w:t>, Asn – 28</w:t>
      </w:r>
      <w:r w:rsidR="00D4219F" w:rsidRPr="001416ED">
        <w:rPr>
          <w:lang w:val="uk-UA"/>
        </w:rPr>
        <w:t xml:space="preserve"> %</w:t>
      </w:r>
      <w:r w:rsidRPr="001416ED">
        <w:rPr>
          <w:lang w:val="uk-UA"/>
        </w:rPr>
        <w:t xml:space="preserve"> [</w:t>
      </w:r>
      <w:r w:rsidR="0002302C" w:rsidRPr="001416ED">
        <w:rPr>
          <w:lang w:val="uk-UA"/>
        </w:rPr>
        <w:t>1</w:t>
      </w:r>
      <w:r w:rsidR="006D33BE" w:rsidRPr="001416ED">
        <w:rPr>
          <w:lang w:val="uk-UA"/>
        </w:rPr>
        <w:t>47</w:t>
      </w:r>
      <w:r w:rsidRPr="001416ED">
        <w:rPr>
          <w:lang w:val="uk-UA"/>
        </w:rPr>
        <w:t xml:space="preserve">]. В Угорщині дослідження підлітків різної статі з АГ показало, що генотипи </w:t>
      </w:r>
      <w:r w:rsidRPr="001416ED">
        <w:rPr>
          <w:lang w:val="en-US"/>
        </w:rPr>
        <w:t>Lys</w:t>
      </w:r>
      <w:r w:rsidRPr="001416ED">
        <w:rPr>
          <w:lang w:val="uk-UA"/>
        </w:rPr>
        <w:t>/</w:t>
      </w:r>
      <w:r w:rsidRPr="001416ED">
        <w:rPr>
          <w:lang w:val="en-US"/>
        </w:rPr>
        <w:t>Lys</w:t>
      </w:r>
      <w:r w:rsidRPr="001416ED">
        <w:rPr>
          <w:lang w:val="uk-UA"/>
        </w:rPr>
        <w:t xml:space="preserve">, Lys/Asn та алель Lys зустрічаються вірогідно частіше, ніж генотип Asn/Asn та алель Asn, проте немає різниці між генотипами </w:t>
      </w:r>
      <w:r w:rsidRPr="001416ED">
        <w:rPr>
          <w:lang w:val="en-US"/>
        </w:rPr>
        <w:t>Lys</w:t>
      </w:r>
      <w:r w:rsidRPr="001416ED">
        <w:rPr>
          <w:lang w:val="uk-UA"/>
        </w:rPr>
        <w:t>/</w:t>
      </w:r>
      <w:r w:rsidRPr="001416ED">
        <w:rPr>
          <w:lang w:val="en-US"/>
        </w:rPr>
        <w:t>Lys</w:t>
      </w:r>
      <w:r w:rsidRPr="001416ED">
        <w:rPr>
          <w:lang w:val="uk-UA"/>
        </w:rPr>
        <w:t xml:space="preserve"> і Lys/Asn. Слід відмітити, що генотип </w:t>
      </w:r>
      <w:r w:rsidRPr="001416ED">
        <w:rPr>
          <w:lang w:val="en-US"/>
        </w:rPr>
        <w:t>Lys</w:t>
      </w:r>
      <w:r w:rsidRPr="001416ED">
        <w:rPr>
          <w:lang w:val="uk-UA"/>
        </w:rPr>
        <w:t>/</w:t>
      </w:r>
      <w:r w:rsidRPr="001416ED">
        <w:rPr>
          <w:lang w:val="en-US"/>
        </w:rPr>
        <w:t>Lys</w:t>
      </w:r>
      <w:r w:rsidRPr="001416ED">
        <w:rPr>
          <w:lang w:val="uk-UA"/>
        </w:rPr>
        <w:t xml:space="preserve"> та Asn/Asn були частіше у групі контролю, генотип Lys/Asn– в пацієнтів з ГХ [</w:t>
      </w:r>
      <w:r w:rsidR="0002302C" w:rsidRPr="001416ED">
        <w:rPr>
          <w:lang w:val="uk-UA"/>
        </w:rPr>
        <w:t>1</w:t>
      </w:r>
      <w:r w:rsidR="006D33BE" w:rsidRPr="001416ED">
        <w:rPr>
          <w:lang w:val="uk-UA"/>
        </w:rPr>
        <w:t>05</w:t>
      </w:r>
      <w:r w:rsidRPr="001416ED">
        <w:rPr>
          <w:lang w:val="uk-UA"/>
        </w:rPr>
        <w:t xml:space="preserve">]. У Празі дослідження </w:t>
      </w:r>
      <w:r w:rsidRPr="001416ED">
        <w:rPr>
          <w:lang w:val="uk-UA"/>
        </w:rPr>
        <w:lastRenderedPageBreak/>
        <w:t>поліморфізму гена ЕТ</w:t>
      </w:r>
      <w:r w:rsidR="00BC0119" w:rsidRPr="001416ED">
        <w:rPr>
          <w:lang w:val="uk-UA"/>
        </w:rPr>
        <w:t>–</w:t>
      </w:r>
      <w:r w:rsidRPr="001416ED">
        <w:rPr>
          <w:lang w:val="uk-UA"/>
        </w:rPr>
        <w:t>1 не виявило достовірної різниці у розподілі генотипів між контрольною групою та особами чоловічої та жіночої статі з АГ. Проте як у пацієнтів з ГХ та контрольної групи домінує генотип</w:t>
      </w:r>
      <w:r w:rsidRPr="001416ED">
        <w:t xml:space="preserve"> </w:t>
      </w:r>
      <w:r w:rsidRPr="001416ED">
        <w:rPr>
          <w:lang w:val="en-US"/>
        </w:rPr>
        <w:t>Lys</w:t>
      </w:r>
      <w:r w:rsidRPr="001416ED">
        <w:rPr>
          <w:lang w:val="uk-UA"/>
        </w:rPr>
        <w:t>/</w:t>
      </w:r>
      <w:r w:rsidRPr="001416ED">
        <w:rPr>
          <w:lang w:val="en-US"/>
        </w:rPr>
        <w:t>Lys</w:t>
      </w:r>
      <w:r w:rsidRPr="001416ED">
        <w:rPr>
          <w:lang w:val="uk-UA"/>
        </w:rPr>
        <w:t xml:space="preserve"> [</w:t>
      </w:r>
      <w:r w:rsidR="006D33BE" w:rsidRPr="001416ED">
        <w:rPr>
          <w:lang w:val="uk-UA"/>
        </w:rPr>
        <w:t>97</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 xml:space="preserve">Широковідома роль РААС у розвитку ГХ, тому було вирішено проаналізувати частоту </w:t>
      </w:r>
      <w:r w:rsidR="00F40216">
        <w:rPr>
          <w:lang w:val="uk-UA"/>
        </w:rPr>
        <w:t xml:space="preserve"> варіантів гена</w:t>
      </w:r>
      <w:r w:rsidRPr="001416ED">
        <w:rPr>
          <w:lang w:val="uk-UA"/>
        </w:rPr>
        <w:t xml:space="preserve"> АТ1</w:t>
      </w:r>
      <w:r w:rsidR="00BC0119" w:rsidRPr="001416ED">
        <w:rPr>
          <w:lang w:val="uk-UA"/>
        </w:rPr>
        <w:t>–</w:t>
      </w:r>
      <w:r w:rsidRPr="001416ED">
        <w:rPr>
          <w:lang w:val="uk-UA"/>
        </w:rPr>
        <w:t xml:space="preserve">Р у носіїв </w:t>
      </w:r>
      <w:r w:rsidR="00E6164F">
        <w:rPr>
          <w:lang w:val="uk-UA"/>
        </w:rPr>
        <w:t>поліморфних варіантів гена ЕТ–1</w:t>
      </w:r>
      <w:r w:rsidRPr="001416ED">
        <w:rPr>
          <w:lang w:val="uk-UA"/>
        </w:rPr>
        <w:t>.</w:t>
      </w:r>
      <w:r w:rsidRPr="001416ED">
        <w:t xml:space="preserve"> </w:t>
      </w:r>
      <w:r w:rsidRPr="001416ED">
        <w:rPr>
          <w:lang w:val="uk-UA"/>
        </w:rPr>
        <w:t xml:space="preserve">Встановлено, що у чоловіків як з генотипом </w:t>
      </w:r>
      <w:r w:rsidRPr="001416ED">
        <w:rPr>
          <w:lang w:val="en-US"/>
        </w:rPr>
        <w:t>Lys</w:t>
      </w:r>
      <w:r w:rsidRPr="001416ED">
        <w:rPr>
          <w:lang w:val="uk-UA"/>
        </w:rPr>
        <w:t>/</w:t>
      </w:r>
      <w:r w:rsidRPr="001416ED">
        <w:rPr>
          <w:lang w:val="en-US"/>
        </w:rPr>
        <w:t>Lys</w:t>
      </w:r>
      <w:r w:rsidRPr="001416ED">
        <w:rPr>
          <w:lang w:val="uk-UA"/>
        </w:rPr>
        <w:t xml:space="preserve"> так і алелю Asn різниці у носійстві генотипі гена АТ1</w:t>
      </w:r>
      <w:r w:rsidR="00BC0119" w:rsidRPr="001416ED">
        <w:rPr>
          <w:lang w:val="uk-UA"/>
        </w:rPr>
        <w:t>–</w:t>
      </w:r>
      <w:r w:rsidR="00D07B44">
        <w:rPr>
          <w:lang w:val="uk-UA"/>
        </w:rPr>
        <w:t>Р</w:t>
      </w:r>
      <w:r w:rsidRPr="001416ED">
        <w:t xml:space="preserve"> </w:t>
      </w:r>
      <w:r w:rsidRPr="001416ED">
        <w:rPr>
          <w:lang w:val="uk-UA"/>
        </w:rPr>
        <w:t>не встановлено. Подібні дані в літературі не описані.</w:t>
      </w:r>
    </w:p>
    <w:p w:rsidR="00305CEB" w:rsidRPr="001416ED" w:rsidRDefault="00305CEB" w:rsidP="00C64D1F">
      <w:pPr>
        <w:spacing w:line="360" w:lineRule="auto"/>
        <w:ind w:firstLine="709"/>
        <w:jc w:val="both"/>
        <w:rPr>
          <w:i/>
          <w:lang w:val="uk-UA"/>
        </w:rPr>
      </w:pPr>
      <w:r w:rsidRPr="001416ED">
        <w:rPr>
          <w:lang w:val="uk-UA"/>
        </w:rPr>
        <w:t xml:space="preserve">Досліджено, що у осіб з ГХ ІІ ст., при носійстві генотипу </w:t>
      </w:r>
      <w:r w:rsidRPr="001416ED">
        <w:rPr>
          <w:lang w:val="en-US"/>
        </w:rPr>
        <w:t>Lys</w:t>
      </w:r>
      <w:r w:rsidRPr="001416ED">
        <w:rPr>
          <w:lang w:val="uk-UA"/>
        </w:rPr>
        <w:t>/</w:t>
      </w:r>
      <w:r w:rsidRPr="001416ED">
        <w:rPr>
          <w:lang w:val="en-US"/>
        </w:rPr>
        <w:t>Lys</w:t>
      </w:r>
      <w:r w:rsidRPr="001416ED">
        <w:rPr>
          <w:lang w:val="uk-UA"/>
        </w:rPr>
        <w:t xml:space="preserve"> вірогідно частіше виявляли 2 ступінь АГ, а у носіїв алелі </w:t>
      </w:r>
      <w:r w:rsidRPr="001416ED">
        <w:rPr>
          <w:lang w:val="en-US"/>
        </w:rPr>
        <w:t>Asn</w:t>
      </w:r>
      <w:r w:rsidRPr="001416ED">
        <w:rPr>
          <w:lang w:val="uk-UA"/>
        </w:rPr>
        <w:t xml:space="preserve"> – 3 ступінь АГ. У осіб чоловічо</w:t>
      </w:r>
      <w:r w:rsidR="00F57F04" w:rsidRPr="001416ED">
        <w:rPr>
          <w:lang w:val="uk-UA"/>
        </w:rPr>
        <w:t xml:space="preserve">ї статі з </w:t>
      </w:r>
      <w:r w:rsidR="00EA7C60" w:rsidRPr="001416ED">
        <w:rPr>
          <w:lang w:val="uk-UA"/>
        </w:rPr>
        <w:t xml:space="preserve">ГХ ІІІ ст. </w:t>
      </w:r>
      <w:r w:rsidRPr="001416ED">
        <w:rPr>
          <w:lang w:val="uk-UA"/>
        </w:rPr>
        <w:t xml:space="preserve">носійство алелі </w:t>
      </w:r>
      <w:r w:rsidRPr="001416ED">
        <w:rPr>
          <w:lang w:val="en-US"/>
        </w:rPr>
        <w:t>Asn</w:t>
      </w:r>
      <w:r w:rsidRPr="001416ED">
        <w:rPr>
          <w:lang w:val="uk-UA"/>
        </w:rPr>
        <w:t xml:space="preserve"> асоціюється з 3 ступенем АГ. Отримані дані співзвучні з літературними. Так, російське дослідження (м. Самара</w:t>
      </w:r>
      <w:r w:rsidR="00D07B44">
        <w:rPr>
          <w:lang w:val="uk-UA"/>
        </w:rPr>
        <w:t>, Росія</w:t>
      </w:r>
      <w:r w:rsidRPr="001416ED">
        <w:rPr>
          <w:lang w:val="uk-UA"/>
        </w:rPr>
        <w:t>) молодих людей різної статі, що мають нейроциркуляторну дистонію по гіпертонічному, кардіальному та гіпотонічному типу, а також з ГХ, показало, що поліморфізм гена ЕТ</w:t>
      </w:r>
      <w:r w:rsidR="00BC0119" w:rsidRPr="001416ED">
        <w:rPr>
          <w:lang w:val="uk-UA"/>
        </w:rPr>
        <w:t>–</w:t>
      </w:r>
      <w:r w:rsidRPr="001416ED">
        <w:rPr>
          <w:lang w:val="uk-UA"/>
        </w:rPr>
        <w:t>1 приво</w:t>
      </w:r>
      <w:r w:rsidR="00220F0F" w:rsidRPr="001416ED">
        <w:rPr>
          <w:lang w:val="uk-UA"/>
        </w:rPr>
        <w:t>дить до підвищення АТ [</w:t>
      </w:r>
      <w:r w:rsidRPr="001416ED">
        <w:rPr>
          <w:lang w:val="uk-UA"/>
        </w:rPr>
        <w:t>3</w:t>
      </w:r>
      <w:r w:rsidR="001120CA" w:rsidRPr="001416ED">
        <w:rPr>
          <w:lang w:val="uk-UA"/>
        </w:rPr>
        <w:t>4</w:t>
      </w:r>
      <w:r w:rsidRPr="001416ED">
        <w:rPr>
          <w:lang w:val="uk-UA"/>
        </w:rPr>
        <w:t>].</w:t>
      </w:r>
      <w:r w:rsidRPr="001416ED">
        <w:rPr>
          <w:i/>
          <w:lang w:val="uk-UA"/>
        </w:rPr>
        <w:t xml:space="preserve"> </w:t>
      </w:r>
      <w:r w:rsidRPr="001416ED">
        <w:rPr>
          <w:lang w:val="uk-UA"/>
        </w:rPr>
        <w:t>Ще в одній роботі російських вчених (м. Москва</w:t>
      </w:r>
      <w:r w:rsidR="00D07B44">
        <w:rPr>
          <w:lang w:val="uk-UA"/>
        </w:rPr>
        <w:t>, Росія</w:t>
      </w:r>
      <w:r w:rsidRPr="001416ED">
        <w:rPr>
          <w:lang w:val="uk-UA"/>
        </w:rPr>
        <w:t>) досліджено, що АГ 3 ступеня асоціюється з алелю Asn гена ЕТ</w:t>
      </w:r>
      <w:r w:rsidR="00BC0119" w:rsidRPr="001416ED">
        <w:rPr>
          <w:lang w:val="uk-UA"/>
        </w:rPr>
        <w:t>–</w:t>
      </w:r>
      <w:r w:rsidRPr="001416ED">
        <w:rPr>
          <w:lang w:val="uk-UA"/>
        </w:rPr>
        <w:t xml:space="preserve">1, генотип Lys/Lys </w:t>
      </w:r>
      <w:r w:rsidR="00BC0119" w:rsidRPr="001416ED">
        <w:rPr>
          <w:lang w:val="uk-UA"/>
        </w:rPr>
        <w:t>–</w:t>
      </w:r>
      <w:r w:rsidRPr="001416ED">
        <w:rPr>
          <w:lang w:val="uk-UA"/>
        </w:rPr>
        <w:t xml:space="preserve"> був протективним [</w:t>
      </w:r>
      <w:r w:rsidR="00220F0F" w:rsidRPr="001416ED">
        <w:rPr>
          <w:lang w:val="uk-UA"/>
        </w:rPr>
        <w:t>5</w:t>
      </w:r>
      <w:r w:rsidR="001120CA" w:rsidRPr="001416ED">
        <w:rPr>
          <w:lang w:val="uk-UA"/>
        </w:rPr>
        <w:t>6</w:t>
      </w:r>
      <w:r w:rsidRPr="001416ED">
        <w:rPr>
          <w:lang w:val="uk-UA"/>
        </w:rPr>
        <w:t>].</w:t>
      </w:r>
      <w:r w:rsidRPr="001416ED">
        <w:rPr>
          <w:i/>
          <w:lang w:val="uk-UA"/>
        </w:rPr>
        <w:t xml:space="preserve"> </w:t>
      </w:r>
      <w:r w:rsidR="00790FF0" w:rsidRPr="001416ED">
        <w:rPr>
          <w:lang w:val="uk-UA"/>
        </w:rPr>
        <w:t xml:space="preserve">У мешканців </w:t>
      </w:r>
      <w:r w:rsidRPr="001416ED">
        <w:rPr>
          <w:lang w:val="uk-UA"/>
        </w:rPr>
        <w:t xml:space="preserve">Якутії </w:t>
      </w:r>
      <w:r w:rsidR="00D07B44">
        <w:rPr>
          <w:lang w:val="uk-UA"/>
        </w:rPr>
        <w:t xml:space="preserve">(Росія) </w:t>
      </w:r>
      <w:r w:rsidR="00B244C7" w:rsidRPr="001416ED">
        <w:rPr>
          <w:lang w:val="uk-UA"/>
        </w:rPr>
        <w:t xml:space="preserve">при 1-2 ступені АГ частіше визначається </w:t>
      </w:r>
      <w:r w:rsidRPr="001416ED">
        <w:rPr>
          <w:lang w:val="uk-UA"/>
        </w:rPr>
        <w:t>носійство генотип</w:t>
      </w:r>
      <w:r w:rsidR="00B244C7" w:rsidRPr="001416ED">
        <w:rPr>
          <w:lang w:val="uk-UA"/>
        </w:rPr>
        <w:t>у</w:t>
      </w:r>
      <w:r w:rsidR="00C64D1F" w:rsidRPr="001416ED">
        <w:rPr>
          <w:lang w:val="uk-UA"/>
        </w:rPr>
        <w:t xml:space="preserve"> </w:t>
      </w:r>
      <w:r w:rsidR="00C64D1F" w:rsidRPr="001416ED">
        <w:rPr>
          <w:lang w:val="en-US"/>
        </w:rPr>
        <w:t>Lys</w:t>
      </w:r>
      <w:r w:rsidR="00C64D1F" w:rsidRPr="001416ED">
        <w:rPr>
          <w:lang w:val="uk-UA"/>
        </w:rPr>
        <w:t>/</w:t>
      </w:r>
      <w:r w:rsidR="00C64D1F" w:rsidRPr="001416ED">
        <w:rPr>
          <w:lang w:val="en-US"/>
        </w:rPr>
        <w:t>Lys</w:t>
      </w:r>
      <w:r w:rsidR="00C64D1F" w:rsidRPr="001416ED">
        <w:rPr>
          <w:lang w:val="uk-UA"/>
        </w:rPr>
        <w:t xml:space="preserve">, а при 3-му ступені АГ </w:t>
      </w:r>
      <w:r w:rsidR="00B244C7" w:rsidRPr="001416ED">
        <w:rPr>
          <w:lang w:val="uk-UA"/>
        </w:rPr>
        <w:t xml:space="preserve">- </w:t>
      </w:r>
      <w:r w:rsidR="00C64D1F" w:rsidRPr="001416ED">
        <w:rPr>
          <w:lang w:val="uk-UA"/>
        </w:rPr>
        <w:t xml:space="preserve">генотипи </w:t>
      </w:r>
      <w:r w:rsidRPr="001416ED">
        <w:rPr>
          <w:lang w:val="uk-UA"/>
        </w:rPr>
        <w:t>Lys/Asn і Asn/Asn гена ЕТ</w:t>
      </w:r>
      <w:r w:rsidR="00BC0119" w:rsidRPr="001416ED">
        <w:rPr>
          <w:lang w:val="uk-UA"/>
        </w:rPr>
        <w:t>–</w:t>
      </w:r>
      <w:r w:rsidRPr="001416ED">
        <w:rPr>
          <w:lang w:val="uk-UA"/>
        </w:rPr>
        <w:t xml:space="preserve">1 </w:t>
      </w:r>
      <w:r w:rsidR="00C64D1F" w:rsidRPr="001416ED">
        <w:rPr>
          <w:lang w:val="uk-UA"/>
        </w:rPr>
        <w:t>зустрічаються з однаковою частотою</w:t>
      </w:r>
      <w:r w:rsidRPr="001416ED">
        <w:rPr>
          <w:lang w:val="uk-UA"/>
        </w:rPr>
        <w:t xml:space="preserve"> [</w:t>
      </w:r>
      <w:r w:rsidR="00220F0F" w:rsidRPr="001416ED">
        <w:rPr>
          <w:lang w:val="uk-UA"/>
        </w:rPr>
        <w:t>6</w:t>
      </w:r>
      <w:r w:rsidR="001120CA" w:rsidRPr="001416ED">
        <w:rPr>
          <w:lang w:val="uk-UA"/>
        </w:rPr>
        <w:t>3</w:t>
      </w:r>
      <w:r w:rsidRPr="001416ED">
        <w:rPr>
          <w:lang w:val="uk-UA"/>
        </w:rPr>
        <w:t>]. Французькими дослідниками встановлено, що при носійстві алелі Asn у осіб з надмірною масою тіла АТ вірогідно вищий, ніж у володарів генотипів Lys/Lys. При чому, у пацієнтів з генотипами Asn/Asn, Lys/Asn з ІМТ ≥26 кг/м</w:t>
      </w:r>
      <w:r w:rsidRPr="001416ED">
        <w:rPr>
          <w:vertAlign w:val="superscript"/>
          <w:lang w:val="uk-UA"/>
        </w:rPr>
        <w:t>2</w:t>
      </w:r>
      <w:r w:rsidRPr="001416ED">
        <w:rPr>
          <w:lang w:val="uk-UA"/>
        </w:rPr>
        <w:t xml:space="preserve"> рівень АТ виявився вірогідно вищим ніж у пацієнтів з нормальною масою тіла та аналогічними генотипами. Тобто, алель Asn асоціюється с високим АТ лише у пацієнтів з ожирінням [</w:t>
      </w:r>
      <w:r w:rsidR="001120CA" w:rsidRPr="001416ED">
        <w:rPr>
          <w:lang w:val="uk-UA"/>
        </w:rPr>
        <w:t>187</w:t>
      </w:r>
      <w:r w:rsidRPr="001416ED">
        <w:rPr>
          <w:lang w:val="uk-UA"/>
        </w:rPr>
        <w:t>]. В Японії проведене подібне дослідження у осіб з ожирінням та АГ,</w:t>
      </w:r>
      <w:r w:rsidR="00E15B6C" w:rsidRPr="001416ED">
        <w:rPr>
          <w:lang w:val="uk-UA"/>
        </w:rPr>
        <w:t xml:space="preserve"> де</w:t>
      </w:r>
      <w:r w:rsidRPr="001416ED">
        <w:rPr>
          <w:lang w:val="uk-UA"/>
        </w:rPr>
        <w:t xml:space="preserve"> отримані результати виявились аналогічні французьким даним [1</w:t>
      </w:r>
      <w:r w:rsidR="0002302C" w:rsidRPr="001416ED">
        <w:rPr>
          <w:lang w:val="uk-UA"/>
        </w:rPr>
        <w:t>0</w:t>
      </w:r>
      <w:r w:rsidR="001120CA" w:rsidRPr="001416ED">
        <w:rPr>
          <w:lang w:val="uk-UA"/>
        </w:rPr>
        <w:t>0</w:t>
      </w:r>
      <w:r w:rsidRPr="001416ED">
        <w:rPr>
          <w:lang w:val="uk-UA"/>
        </w:rPr>
        <w:t>].</w:t>
      </w:r>
      <w:r w:rsidRPr="001416ED">
        <w:rPr>
          <w:i/>
          <w:lang w:val="uk-UA"/>
        </w:rPr>
        <w:t xml:space="preserve"> </w:t>
      </w:r>
      <w:r w:rsidRPr="001416ED">
        <w:rPr>
          <w:lang w:val="uk-UA"/>
        </w:rPr>
        <w:t xml:space="preserve">В </w:t>
      </w:r>
      <w:r w:rsidR="00790FF0" w:rsidRPr="001416ED">
        <w:rPr>
          <w:lang w:val="uk-UA"/>
        </w:rPr>
        <w:t xml:space="preserve">дослідженні </w:t>
      </w:r>
      <w:r w:rsidR="00E15B6C" w:rsidRPr="001416ED">
        <w:rPr>
          <w:lang w:val="uk-UA"/>
        </w:rPr>
        <w:t xml:space="preserve">Т. Б. </w:t>
      </w:r>
      <w:r w:rsidR="00790FF0" w:rsidRPr="001416ED">
        <w:rPr>
          <w:lang w:val="uk-UA"/>
        </w:rPr>
        <w:t xml:space="preserve">Олешко </w:t>
      </w:r>
      <w:r w:rsidR="00211C65" w:rsidRPr="001416ED">
        <w:rPr>
          <w:lang w:val="uk-UA"/>
        </w:rPr>
        <w:t xml:space="preserve">та співавт. </w:t>
      </w:r>
      <w:r w:rsidR="00790FF0" w:rsidRPr="001416ED">
        <w:rPr>
          <w:lang w:val="uk-UA"/>
        </w:rPr>
        <w:t>(</w:t>
      </w:r>
      <w:r w:rsidR="00D07B44">
        <w:rPr>
          <w:lang w:val="uk-UA"/>
        </w:rPr>
        <w:t xml:space="preserve">м. </w:t>
      </w:r>
      <w:r w:rsidR="00790FF0" w:rsidRPr="001416ED">
        <w:rPr>
          <w:lang w:val="uk-UA"/>
        </w:rPr>
        <w:t xml:space="preserve">Суми, </w:t>
      </w:r>
      <w:r w:rsidR="00D07B44">
        <w:rPr>
          <w:lang w:val="uk-UA"/>
        </w:rPr>
        <w:t>Україна</w:t>
      </w:r>
      <w:r w:rsidR="00790FF0" w:rsidRPr="001416ED">
        <w:rPr>
          <w:lang w:val="uk-UA"/>
        </w:rPr>
        <w:t>) показано, що</w:t>
      </w:r>
      <w:r w:rsidRPr="001416ED">
        <w:rPr>
          <w:lang w:val="uk-UA"/>
        </w:rPr>
        <w:t xml:space="preserve"> у пацієнтів з ішемічним інсультом, значення САТ і пульсового АТ у осіб </w:t>
      </w:r>
      <w:r w:rsidR="00C773D0">
        <w:rPr>
          <w:lang w:val="uk-UA"/>
        </w:rPr>
        <w:t>із різними поліморфними варіантами</w:t>
      </w:r>
      <w:r w:rsidRPr="001416ED">
        <w:rPr>
          <w:lang w:val="uk-UA"/>
        </w:rPr>
        <w:t xml:space="preserve"> достовірно не відрізняються (р&gt;0,05). Проте</w:t>
      </w:r>
      <w:r w:rsidR="00E15B6C" w:rsidRPr="001416ED">
        <w:rPr>
          <w:lang w:val="uk-UA"/>
        </w:rPr>
        <w:t>,</w:t>
      </w:r>
      <w:r w:rsidRPr="001416ED">
        <w:rPr>
          <w:lang w:val="uk-UA"/>
        </w:rPr>
        <w:t xml:space="preserve"> відмінності між </w:t>
      </w:r>
      <w:r w:rsidRPr="001416ED">
        <w:rPr>
          <w:lang w:val="uk-UA"/>
        </w:rPr>
        <w:lastRenderedPageBreak/>
        <w:t>середніми величинами ДАТ і середнього АТ були достовірними (р</w:t>
      </w:r>
      <w:r w:rsidR="00D07B44">
        <w:rPr>
          <w:lang w:val="uk-UA"/>
        </w:rPr>
        <w:t>˂</w:t>
      </w:r>
      <w:r w:rsidRPr="001416ED">
        <w:rPr>
          <w:lang w:val="uk-UA"/>
        </w:rPr>
        <w:t>0,05)</w:t>
      </w:r>
      <w:r w:rsidR="00B06475" w:rsidRPr="001416ED">
        <w:rPr>
          <w:lang w:val="uk-UA"/>
        </w:rPr>
        <w:t xml:space="preserve"> (у носіїв генотипу </w:t>
      </w:r>
      <w:r w:rsidR="00B06475" w:rsidRPr="001416ED">
        <w:rPr>
          <w:lang w:val="en-US"/>
        </w:rPr>
        <w:t>Lys</w:t>
      </w:r>
      <w:r w:rsidR="00B06475" w:rsidRPr="001416ED">
        <w:rPr>
          <w:lang w:val="uk-UA"/>
        </w:rPr>
        <w:t>/</w:t>
      </w:r>
      <w:r w:rsidR="00B06475" w:rsidRPr="001416ED">
        <w:rPr>
          <w:lang w:val="en-US"/>
        </w:rPr>
        <w:t>Asn</w:t>
      </w:r>
      <w:r w:rsidR="00B06475" w:rsidRPr="001416ED">
        <w:rPr>
          <w:lang w:val="uk-UA"/>
        </w:rPr>
        <w:t xml:space="preserve"> дані показники були вірогідно вищими в порівнянні з володарями генотипів Lys/Lys та Asn/</w:t>
      </w:r>
      <w:r w:rsidR="00B06475" w:rsidRPr="001416ED">
        <w:rPr>
          <w:lang w:val="en-US"/>
        </w:rPr>
        <w:t>Asn</w:t>
      </w:r>
      <w:r w:rsidR="00D07B44">
        <w:rPr>
          <w:lang w:val="uk-UA"/>
        </w:rPr>
        <w:t>)</w:t>
      </w:r>
      <w:r w:rsidRPr="001416ED">
        <w:rPr>
          <w:lang w:val="uk-UA"/>
        </w:rPr>
        <w:t>. У пацієнтів з АГ достовірно частіше зустрічаються генотипи Lys/Lys та Lys/Asn (43,8</w:t>
      </w:r>
      <w:r w:rsidR="00D4219F" w:rsidRPr="001416ED">
        <w:rPr>
          <w:lang w:val="uk-UA"/>
        </w:rPr>
        <w:t xml:space="preserve"> %</w:t>
      </w:r>
      <w:r w:rsidRPr="001416ED">
        <w:rPr>
          <w:lang w:val="uk-UA"/>
        </w:rPr>
        <w:t xml:space="preserve"> та 44,5</w:t>
      </w:r>
      <w:r w:rsidR="00D4219F" w:rsidRPr="001416ED">
        <w:rPr>
          <w:lang w:val="uk-UA"/>
        </w:rPr>
        <w:t xml:space="preserve"> %</w:t>
      </w:r>
      <w:r w:rsidRPr="001416ED">
        <w:rPr>
          <w:lang w:val="uk-UA"/>
        </w:rPr>
        <w:t>, відповідно) ніж генотип Asn/Asn (11,7</w:t>
      </w:r>
      <w:r w:rsidR="00D4219F" w:rsidRPr="001416ED">
        <w:rPr>
          <w:lang w:val="uk-UA"/>
        </w:rPr>
        <w:t xml:space="preserve"> %</w:t>
      </w:r>
      <w:r w:rsidRPr="001416ED">
        <w:rPr>
          <w:lang w:val="uk-UA"/>
        </w:rPr>
        <w:t>), проте між самими генотипами Lys/Lys та Lys/Asn різниці не виявлено [</w:t>
      </w:r>
      <w:r w:rsidR="001120CA" w:rsidRPr="001416ED">
        <w:rPr>
          <w:lang w:val="uk-UA"/>
        </w:rPr>
        <w:t>59</w:t>
      </w:r>
      <w:r w:rsidRPr="001416ED">
        <w:rPr>
          <w:lang w:val="uk-UA"/>
        </w:rPr>
        <w:t xml:space="preserve">]. </w:t>
      </w:r>
    </w:p>
    <w:p w:rsidR="00305CEB" w:rsidRPr="001416ED" w:rsidRDefault="00305CEB" w:rsidP="00305CEB">
      <w:pPr>
        <w:spacing w:line="360" w:lineRule="auto"/>
        <w:ind w:firstLine="709"/>
        <w:jc w:val="both"/>
        <w:rPr>
          <w:lang w:val="uk-UA"/>
        </w:rPr>
      </w:pPr>
      <w:r w:rsidRPr="001416ED">
        <w:rPr>
          <w:lang w:val="uk-UA"/>
        </w:rPr>
        <w:t xml:space="preserve">У пацієнтів з ГХ різної </w:t>
      </w:r>
      <w:r w:rsidR="00046A18" w:rsidRPr="001416ED">
        <w:rPr>
          <w:lang w:val="uk-UA"/>
        </w:rPr>
        <w:t>стадії</w:t>
      </w:r>
      <w:r w:rsidRPr="001416ED">
        <w:rPr>
          <w:lang w:val="uk-UA"/>
        </w:rPr>
        <w:t xml:space="preserve"> при носійстві всіх варіантів </w:t>
      </w:r>
      <w:r w:rsidR="00F40216">
        <w:rPr>
          <w:lang w:val="uk-UA"/>
        </w:rPr>
        <w:t>гена</w:t>
      </w:r>
      <w:r w:rsidRPr="001416ED">
        <w:rPr>
          <w:lang w:val="uk-UA"/>
        </w:rPr>
        <w:t xml:space="preserve"> ЕТ</w:t>
      </w:r>
      <w:r w:rsidR="00BC0119" w:rsidRPr="001416ED">
        <w:rPr>
          <w:lang w:val="uk-UA"/>
        </w:rPr>
        <w:t>–</w:t>
      </w:r>
      <w:r w:rsidRPr="001416ED">
        <w:rPr>
          <w:lang w:val="uk-UA"/>
        </w:rPr>
        <w:t xml:space="preserve">1 достовірно частіше зустрічається обтяжена спадковість, проте носійство конкретного генотипу не асоціювалось з наявністю спадковості по ГХ. Окрім того, у чоловіків з ГХ </w:t>
      </w:r>
      <w:r w:rsidR="004A4E68" w:rsidRPr="001416ED">
        <w:rPr>
          <w:lang w:val="uk-UA"/>
        </w:rPr>
        <w:t xml:space="preserve">ІІ </w:t>
      </w:r>
      <w:r w:rsidR="0021545D" w:rsidRPr="001416ED">
        <w:rPr>
          <w:lang w:val="uk-UA"/>
        </w:rPr>
        <w:t>та ІІІ</w:t>
      </w:r>
      <w:r w:rsidRPr="001416ED">
        <w:rPr>
          <w:lang w:val="uk-UA"/>
        </w:rPr>
        <w:t xml:space="preserve"> ст. не встановлено відмінності у початку і тривалості ЕГ при носійстві </w:t>
      </w:r>
      <w:r w:rsidR="00E6164F">
        <w:rPr>
          <w:lang w:val="uk-UA"/>
        </w:rPr>
        <w:t>поліморфних варіантів гена ЕТ–1</w:t>
      </w:r>
      <w:r w:rsidRPr="001416ED">
        <w:rPr>
          <w:lang w:val="uk-UA"/>
        </w:rPr>
        <w:t>. Аналіз літератури подібних досліджень не виявив.</w:t>
      </w:r>
    </w:p>
    <w:p w:rsidR="00305CEB" w:rsidRPr="001416ED" w:rsidRDefault="00305CEB" w:rsidP="00305CEB">
      <w:pPr>
        <w:spacing w:line="360" w:lineRule="auto"/>
        <w:ind w:firstLine="709"/>
        <w:jc w:val="both"/>
        <w:rPr>
          <w:lang w:val="uk-UA"/>
        </w:rPr>
      </w:pPr>
      <w:r w:rsidRPr="001416ED">
        <w:rPr>
          <w:lang w:val="uk-UA"/>
        </w:rPr>
        <w:t xml:space="preserve">Наступним кроком стало визначення розподілу </w:t>
      </w:r>
      <w:r w:rsidR="00F40216">
        <w:rPr>
          <w:lang w:val="uk-UA"/>
        </w:rPr>
        <w:t>варіантів гена</w:t>
      </w:r>
      <w:r w:rsidRPr="001416ED">
        <w:rPr>
          <w:lang w:val="uk-UA"/>
        </w:rPr>
        <w:t xml:space="preserve"> ЕТ</w:t>
      </w:r>
      <w:r w:rsidR="00BC0119" w:rsidRPr="001416ED">
        <w:rPr>
          <w:lang w:val="uk-UA"/>
        </w:rPr>
        <w:t>–</w:t>
      </w:r>
      <w:r w:rsidRPr="001416ED">
        <w:rPr>
          <w:lang w:val="uk-UA"/>
        </w:rPr>
        <w:t>1 при різному ІМТ. У осіб з ГХ ІІ ст., при генотипі Lys/Lys частіше виявляється надмірна маса тіла, ніж ожиріння</w:t>
      </w:r>
      <w:r w:rsidR="00552E73" w:rsidRPr="001416ED">
        <w:rPr>
          <w:lang w:val="uk-UA"/>
        </w:rPr>
        <w:t xml:space="preserve"> І ст.</w:t>
      </w:r>
      <w:r w:rsidRPr="001416ED">
        <w:rPr>
          <w:lang w:val="uk-UA"/>
        </w:rPr>
        <w:t>, проте</w:t>
      </w:r>
      <w:r w:rsidR="00552E73" w:rsidRPr="001416ED">
        <w:rPr>
          <w:lang w:val="uk-UA"/>
        </w:rPr>
        <w:t>,</w:t>
      </w:r>
      <w:r w:rsidRPr="001416ED">
        <w:rPr>
          <w:lang w:val="uk-UA"/>
        </w:rPr>
        <w:t xml:space="preserve"> не встановлена різниця з чоловіками з нормальною масою тіла, однак у носіїв алелі </w:t>
      </w:r>
      <w:r w:rsidRPr="001416ED">
        <w:rPr>
          <w:lang w:val="en-US"/>
        </w:rPr>
        <w:t>Asn</w:t>
      </w:r>
      <w:r w:rsidRPr="001416ED">
        <w:rPr>
          <w:lang w:val="uk-UA"/>
        </w:rPr>
        <w:t xml:space="preserve">, переважає нормальна маса тіла. У пацієнтів з </w:t>
      </w:r>
      <w:r w:rsidR="00552E73" w:rsidRPr="001416ED">
        <w:rPr>
          <w:lang w:val="uk-UA"/>
        </w:rPr>
        <w:t>ГХ ІІІ ст.</w:t>
      </w:r>
      <w:r w:rsidRPr="001416ED">
        <w:rPr>
          <w:lang w:val="uk-UA"/>
        </w:rPr>
        <w:t xml:space="preserve">, що є носіями генотипу Lys/Lys та алелі </w:t>
      </w:r>
      <w:r w:rsidRPr="001416ED">
        <w:rPr>
          <w:lang w:val="en-US"/>
        </w:rPr>
        <w:t>Asn</w:t>
      </w:r>
      <w:r w:rsidRPr="001416ED">
        <w:rPr>
          <w:lang w:val="uk-UA"/>
        </w:rPr>
        <w:t xml:space="preserve"> переважає надмірна маса тіла та ожиріння</w:t>
      </w:r>
      <w:r w:rsidR="00552E73" w:rsidRPr="001416ED">
        <w:rPr>
          <w:lang w:val="uk-UA"/>
        </w:rPr>
        <w:t xml:space="preserve"> І ст</w:t>
      </w:r>
      <w:r w:rsidRPr="001416ED">
        <w:rPr>
          <w:lang w:val="uk-UA"/>
        </w:rPr>
        <w:t xml:space="preserve">. Носійство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не асоціюється з наявністю надмірної маси тіла або ожиріння.</w:t>
      </w:r>
    </w:p>
    <w:p w:rsidR="00305CEB" w:rsidRPr="001416ED" w:rsidRDefault="00552E73" w:rsidP="00305CEB">
      <w:pPr>
        <w:spacing w:line="360" w:lineRule="auto"/>
        <w:ind w:firstLine="709"/>
        <w:jc w:val="both"/>
        <w:rPr>
          <w:lang w:val="uk-UA"/>
        </w:rPr>
      </w:pPr>
      <w:r w:rsidRPr="001416ED">
        <w:rPr>
          <w:lang w:val="uk-UA"/>
        </w:rPr>
        <w:t>У хворих з ГХ, як і у представників контрольної групи, к</w:t>
      </w:r>
      <w:r w:rsidR="00485C91" w:rsidRPr="001416ED">
        <w:rPr>
          <w:lang w:val="uk-UA"/>
        </w:rPr>
        <w:t>онцентрація ЕТ</w:t>
      </w:r>
      <w:r w:rsidR="00BC0119" w:rsidRPr="001416ED">
        <w:rPr>
          <w:lang w:val="uk-UA"/>
        </w:rPr>
        <w:t>–</w:t>
      </w:r>
      <w:r w:rsidR="00485C91" w:rsidRPr="001416ED">
        <w:rPr>
          <w:lang w:val="uk-UA"/>
        </w:rPr>
        <w:t>1, мала певні особливості.</w:t>
      </w:r>
      <w:r w:rsidR="00305CEB" w:rsidRPr="001416ED">
        <w:rPr>
          <w:lang w:val="uk-UA"/>
        </w:rPr>
        <w:t xml:space="preserve"> У чоловіків з ГХ різної </w:t>
      </w:r>
      <w:r w:rsidR="00046A18" w:rsidRPr="001416ED">
        <w:rPr>
          <w:lang w:val="uk-UA"/>
        </w:rPr>
        <w:t>стадії</w:t>
      </w:r>
      <w:r w:rsidR="00305CEB" w:rsidRPr="001416ED">
        <w:rPr>
          <w:lang w:val="uk-UA"/>
        </w:rPr>
        <w:t>, рівень ЕТ</w:t>
      </w:r>
      <w:r w:rsidR="00BC0119" w:rsidRPr="001416ED">
        <w:rPr>
          <w:lang w:val="uk-UA"/>
        </w:rPr>
        <w:t>–</w:t>
      </w:r>
      <w:r w:rsidR="00305CEB" w:rsidRPr="001416ED">
        <w:rPr>
          <w:lang w:val="uk-UA"/>
        </w:rPr>
        <w:t>1 вірогідно вищий, ніж у осіб без серцево</w:t>
      </w:r>
      <w:r w:rsidR="00BC0119" w:rsidRPr="001416ED">
        <w:rPr>
          <w:lang w:val="uk-UA"/>
        </w:rPr>
        <w:t>–</w:t>
      </w:r>
      <w:r w:rsidR="00305CEB" w:rsidRPr="001416ED">
        <w:rPr>
          <w:lang w:val="uk-UA"/>
        </w:rPr>
        <w:t>судинної патології, при чому найвища плазмова концентрація ЕТ</w:t>
      </w:r>
      <w:r w:rsidR="00BC0119" w:rsidRPr="001416ED">
        <w:rPr>
          <w:lang w:val="uk-UA"/>
        </w:rPr>
        <w:t>–</w:t>
      </w:r>
      <w:r w:rsidR="00305CEB" w:rsidRPr="001416ED">
        <w:rPr>
          <w:lang w:val="uk-UA"/>
        </w:rPr>
        <w:t xml:space="preserve">1 виявлена у пацієнтів з </w:t>
      </w:r>
      <w:r w:rsidR="00C5382C" w:rsidRPr="001416ED">
        <w:rPr>
          <w:lang w:val="uk-UA"/>
        </w:rPr>
        <w:t>ГХ ІІІ ст</w:t>
      </w:r>
      <w:r w:rsidRPr="001416ED">
        <w:rPr>
          <w:lang w:val="uk-UA"/>
        </w:rPr>
        <w:t>.</w:t>
      </w:r>
    </w:p>
    <w:p w:rsidR="00305CEB" w:rsidRPr="001416ED" w:rsidRDefault="00485C91" w:rsidP="00305CEB">
      <w:pPr>
        <w:spacing w:line="360" w:lineRule="auto"/>
        <w:ind w:firstLine="709"/>
        <w:jc w:val="both"/>
        <w:rPr>
          <w:i/>
          <w:lang w:val="uk-UA"/>
        </w:rPr>
      </w:pPr>
      <w:r w:rsidRPr="001416ED">
        <w:rPr>
          <w:lang w:val="uk-UA"/>
        </w:rPr>
        <w:t xml:space="preserve">Співробітниками </w:t>
      </w:r>
      <w:r w:rsidR="00305CEB" w:rsidRPr="001416ED">
        <w:rPr>
          <w:lang w:val="uk-UA"/>
        </w:rPr>
        <w:t>кафедр</w:t>
      </w:r>
      <w:r w:rsidRPr="001416ED">
        <w:rPr>
          <w:lang w:val="uk-UA"/>
        </w:rPr>
        <w:t>и</w:t>
      </w:r>
      <w:r w:rsidR="00305CEB" w:rsidRPr="001416ED">
        <w:rPr>
          <w:lang w:val="uk-UA"/>
        </w:rPr>
        <w:t xml:space="preserve"> внутрішньої медицини медичного факультету №2 ВНМУ ім. М.І. Пирогова проводились дослідження плазмової концентрації ЕТ</w:t>
      </w:r>
      <w:r w:rsidR="00BC0119" w:rsidRPr="001416ED">
        <w:rPr>
          <w:lang w:val="uk-UA"/>
        </w:rPr>
        <w:t>–</w:t>
      </w:r>
      <w:r w:rsidR="00305CEB" w:rsidRPr="001416ED">
        <w:rPr>
          <w:lang w:val="uk-UA"/>
        </w:rPr>
        <w:t>1 у чоловіків так жінок без серцево</w:t>
      </w:r>
      <w:r w:rsidR="00BC0119" w:rsidRPr="001416ED">
        <w:rPr>
          <w:lang w:val="uk-UA"/>
        </w:rPr>
        <w:t>–</w:t>
      </w:r>
      <w:r w:rsidR="00305CEB" w:rsidRPr="001416ED">
        <w:rPr>
          <w:lang w:val="uk-UA"/>
        </w:rPr>
        <w:t xml:space="preserve">судинної патології та з ГХ І, ІІ та ІІІ стадій. Так, </w:t>
      </w:r>
      <w:r w:rsidR="006C6BD6" w:rsidRPr="001416ED">
        <w:rPr>
          <w:lang w:val="uk-UA"/>
        </w:rPr>
        <w:t xml:space="preserve">В. В. </w:t>
      </w:r>
      <w:r w:rsidR="00B86142" w:rsidRPr="001416ED">
        <w:rPr>
          <w:lang w:val="uk-UA"/>
        </w:rPr>
        <w:t>Петровська</w:t>
      </w:r>
      <w:r w:rsidR="00305CEB" w:rsidRPr="001416ED">
        <w:rPr>
          <w:lang w:val="uk-UA"/>
        </w:rPr>
        <w:t xml:space="preserve"> встановила, що у жінок з ГХ І та ІІ стадій, мешканок Вінницької області, рівень ЕТ</w:t>
      </w:r>
      <w:r w:rsidR="00BC0119" w:rsidRPr="001416ED">
        <w:rPr>
          <w:lang w:val="uk-UA"/>
        </w:rPr>
        <w:t>–</w:t>
      </w:r>
      <w:r w:rsidR="00305CEB" w:rsidRPr="001416ED">
        <w:rPr>
          <w:lang w:val="uk-UA"/>
        </w:rPr>
        <w:t>1 в плазмі крові вірогідно більший, ніж у жінок групи контролю, найвища плазмова концентрація ЕТ</w:t>
      </w:r>
      <w:r w:rsidR="00BC0119" w:rsidRPr="001416ED">
        <w:rPr>
          <w:lang w:val="uk-UA"/>
        </w:rPr>
        <w:t>–</w:t>
      </w:r>
      <w:r w:rsidR="00305CEB" w:rsidRPr="001416ED">
        <w:rPr>
          <w:lang w:val="uk-UA"/>
        </w:rPr>
        <w:t>1 у осіб з ГХ ІІ стадії, що асоціюється з ВГЛШ [</w:t>
      </w:r>
      <w:r w:rsidR="00220F0F" w:rsidRPr="001416ED">
        <w:rPr>
          <w:lang w:val="uk-UA"/>
        </w:rPr>
        <w:t>6</w:t>
      </w:r>
      <w:r w:rsidR="001120CA" w:rsidRPr="001416ED">
        <w:rPr>
          <w:lang w:val="uk-UA"/>
        </w:rPr>
        <w:t>4</w:t>
      </w:r>
      <w:r w:rsidR="00305CEB" w:rsidRPr="001416ED">
        <w:rPr>
          <w:lang w:val="uk-UA"/>
        </w:rPr>
        <w:t xml:space="preserve">]. </w:t>
      </w:r>
      <w:r w:rsidR="006C6BD6" w:rsidRPr="001416ED">
        <w:rPr>
          <w:lang w:val="uk-UA"/>
        </w:rPr>
        <w:t xml:space="preserve">Г. В. </w:t>
      </w:r>
      <w:r w:rsidR="00305CEB" w:rsidRPr="001416ED">
        <w:rPr>
          <w:lang w:val="uk-UA"/>
        </w:rPr>
        <w:t xml:space="preserve">Вільчинський провів аналогічні дослідження у </w:t>
      </w:r>
      <w:r w:rsidR="00305CEB" w:rsidRPr="001416ED">
        <w:rPr>
          <w:lang w:val="uk-UA"/>
        </w:rPr>
        <w:lastRenderedPageBreak/>
        <w:t>жінок постменопаузного віку з ГХ ІІ та ІІІ стадій</w:t>
      </w:r>
      <w:r w:rsidR="00305CEB" w:rsidRPr="001416ED">
        <w:rPr>
          <w:i/>
          <w:lang w:val="uk-UA"/>
        </w:rPr>
        <w:t xml:space="preserve"> </w:t>
      </w:r>
      <w:r w:rsidR="00305CEB" w:rsidRPr="001416ED">
        <w:rPr>
          <w:lang w:val="uk-UA"/>
        </w:rPr>
        <w:t>(ІМ або МІ в анамнезі),</w:t>
      </w:r>
      <w:r w:rsidR="00305CEB" w:rsidRPr="001416ED">
        <w:rPr>
          <w:i/>
          <w:lang w:val="uk-UA"/>
        </w:rPr>
        <w:t xml:space="preserve"> </w:t>
      </w:r>
      <w:r w:rsidR="00305CEB" w:rsidRPr="001416ED">
        <w:rPr>
          <w:lang w:val="uk-UA"/>
        </w:rPr>
        <w:t>жительок Вінницької області.</w:t>
      </w:r>
      <w:r w:rsidR="00305CEB" w:rsidRPr="001416ED">
        <w:rPr>
          <w:i/>
          <w:lang w:val="uk-UA"/>
        </w:rPr>
        <w:t xml:space="preserve"> </w:t>
      </w:r>
      <w:r w:rsidR="00305CEB" w:rsidRPr="001416ED">
        <w:rPr>
          <w:lang w:val="uk-UA"/>
        </w:rPr>
        <w:t>У пацієнток з ГХ плазмові концентрації ЕТ</w:t>
      </w:r>
      <w:r w:rsidR="00BC0119" w:rsidRPr="001416ED">
        <w:rPr>
          <w:lang w:val="uk-UA"/>
        </w:rPr>
        <w:t>–</w:t>
      </w:r>
      <w:r w:rsidR="00305CEB" w:rsidRPr="001416ED">
        <w:rPr>
          <w:lang w:val="uk-UA"/>
        </w:rPr>
        <w:t>1 були вірогідно вищими ніж у практично здорових жінок</w:t>
      </w:r>
      <w:r w:rsidR="00305CEB" w:rsidRPr="001416ED">
        <w:rPr>
          <w:i/>
          <w:lang w:val="uk-UA"/>
        </w:rPr>
        <w:t xml:space="preserve">, </w:t>
      </w:r>
      <w:r w:rsidR="00305CEB" w:rsidRPr="001416ED">
        <w:rPr>
          <w:lang w:val="uk-UA"/>
        </w:rPr>
        <w:t>а найвищий рівень пептиду встановлений при ГХ ІІІ стадії [1</w:t>
      </w:r>
      <w:r w:rsidR="001120CA" w:rsidRPr="001416ED">
        <w:rPr>
          <w:lang w:val="uk-UA"/>
        </w:rPr>
        <w:t>5</w:t>
      </w:r>
      <w:r w:rsidR="00305CEB" w:rsidRPr="001416ED">
        <w:rPr>
          <w:lang w:val="uk-UA"/>
        </w:rPr>
        <w:t>]</w:t>
      </w:r>
      <w:r w:rsidR="00305CEB" w:rsidRPr="001416ED">
        <w:rPr>
          <w:i/>
          <w:lang w:val="uk-UA"/>
        </w:rPr>
        <w:t xml:space="preserve">. </w:t>
      </w:r>
      <w:r w:rsidR="006C6BD6" w:rsidRPr="001416ED">
        <w:rPr>
          <w:lang w:val="uk-UA"/>
        </w:rPr>
        <w:t xml:space="preserve">О. О. </w:t>
      </w:r>
      <w:r w:rsidR="00305CEB" w:rsidRPr="001416ED">
        <w:rPr>
          <w:lang w:val="uk-UA"/>
        </w:rPr>
        <w:t xml:space="preserve">Сакович показала, що у пацієнток з </w:t>
      </w:r>
      <w:r w:rsidR="00EA7C60" w:rsidRPr="001416ED">
        <w:rPr>
          <w:lang w:val="uk-UA"/>
        </w:rPr>
        <w:t>ГХ ІІІ ст.</w:t>
      </w:r>
      <w:r w:rsidR="006C6BD6" w:rsidRPr="001416ED">
        <w:rPr>
          <w:lang w:val="uk-UA"/>
        </w:rPr>
        <w:t xml:space="preserve"> (що ускладнена ХСНА ІІ А ст.)</w:t>
      </w:r>
      <w:r w:rsidR="00EA7C60" w:rsidRPr="001416ED">
        <w:rPr>
          <w:lang w:val="uk-UA"/>
        </w:rPr>
        <w:t xml:space="preserve"> </w:t>
      </w:r>
      <w:r w:rsidR="00305CEB" w:rsidRPr="001416ED">
        <w:rPr>
          <w:lang w:val="uk-UA"/>
        </w:rPr>
        <w:t>плазмова концентрація ЕТ</w:t>
      </w:r>
      <w:r w:rsidR="00BC0119" w:rsidRPr="001416ED">
        <w:rPr>
          <w:lang w:val="uk-UA"/>
        </w:rPr>
        <w:t>–</w:t>
      </w:r>
      <w:r w:rsidR="00305CEB" w:rsidRPr="001416ED">
        <w:rPr>
          <w:lang w:val="uk-UA"/>
        </w:rPr>
        <w:t xml:space="preserve">1 виявилась вище, ніж у осіб з ГХ ІІ ст. та практично здорових осіб. У жінок з ГХ та ХСН </w:t>
      </w:r>
      <w:r w:rsidR="004A4E68" w:rsidRPr="001416ED">
        <w:rPr>
          <w:lang w:val="uk-UA"/>
        </w:rPr>
        <w:t>ІІ А</w:t>
      </w:r>
      <w:r w:rsidR="00305CEB" w:rsidRPr="001416ED">
        <w:rPr>
          <w:lang w:val="uk-UA"/>
        </w:rPr>
        <w:t xml:space="preserve"> стадії зі зниженою систолічною функцією ЛШ рівень ЕТ</w:t>
      </w:r>
      <w:r w:rsidR="00BC0119" w:rsidRPr="001416ED">
        <w:rPr>
          <w:lang w:val="uk-UA"/>
        </w:rPr>
        <w:t>–</w:t>
      </w:r>
      <w:r w:rsidR="00305CEB" w:rsidRPr="001416ED">
        <w:rPr>
          <w:lang w:val="uk-UA"/>
        </w:rPr>
        <w:t>1 в плазмі крові  був вищим, ніж при ФВ</w:t>
      </w:r>
      <w:r w:rsidR="000C04AA" w:rsidRPr="001416ED">
        <w:rPr>
          <w:lang w:val="uk-UA"/>
        </w:rPr>
        <w:t xml:space="preserve"> ˃ </w:t>
      </w:r>
      <w:r w:rsidR="00305CEB" w:rsidRPr="001416ED">
        <w:rPr>
          <w:lang w:val="uk-UA"/>
        </w:rPr>
        <w:t>45</w:t>
      </w:r>
      <w:r w:rsidR="00D4219F" w:rsidRPr="001416ED">
        <w:rPr>
          <w:lang w:val="uk-UA"/>
        </w:rPr>
        <w:t xml:space="preserve"> %</w:t>
      </w:r>
      <w:r w:rsidR="00305CEB" w:rsidRPr="001416ED">
        <w:rPr>
          <w:lang w:val="uk-UA"/>
        </w:rPr>
        <w:t xml:space="preserve"> [</w:t>
      </w:r>
      <w:r w:rsidR="00220F0F" w:rsidRPr="001416ED">
        <w:rPr>
          <w:lang w:val="uk-UA"/>
        </w:rPr>
        <w:t>7</w:t>
      </w:r>
      <w:r w:rsidR="001120CA" w:rsidRPr="001416ED">
        <w:rPr>
          <w:lang w:val="uk-UA"/>
        </w:rPr>
        <w:t>3</w:t>
      </w:r>
      <w:r w:rsidR="00305CEB" w:rsidRPr="001416ED">
        <w:rPr>
          <w:lang w:val="uk-UA"/>
        </w:rPr>
        <w:t>].</w:t>
      </w:r>
      <w:r w:rsidR="00305CEB" w:rsidRPr="001416ED">
        <w:rPr>
          <w:i/>
          <w:lang w:val="uk-UA"/>
        </w:rPr>
        <w:t xml:space="preserve"> </w:t>
      </w:r>
      <w:r w:rsidR="006C6BD6" w:rsidRPr="001416ED">
        <w:rPr>
          <w:iCs/>
          <w:lang w:val="uk-UA"/>
        </w:rPr>
        <w:t xml:space="preserve">С. О. </w:t>
      </w:r>
      <w:r w:rsidR="00305CEB" w:rsidRPr="001416ED">
        <w:rPr>
          <w:iCs/>
          <w:lang w:val="uk-UA"/>
        </w:rPr>
        <w:t>Степанець дослідив</w:t>
      </w:r>
      <w:r w:rsidR="00305CEB" w:rsidRPr="001416ED">
        <w:rPr>
          <w:lang w:val="uk-UA"/>
        </w:rPr>
        <w:t>, що у чоловіків з ГХ І та ІІ стадій плазмові концентрації ЕТ</w:t>
      </w:r>
      <w:r w:rsidR="00BC0119" w:rsidRPr="001416ED">
        <w:rPr>
          <w:lang w:val="uk-UA"/>
        </w:rPr>
        <w:t>–</w:t>
      </w:r>
      <w:r w:rsidR="00305CEB" w:rsidRPr="001416ED">
        <w:rPr>
          <w:lang w:val="uk-UA"/>
        </w:rPr>
        <w:t xml:space="preserve">1 вищі ніж в групі контролю, а найвищий рівень пептиду встановлений у чоловіків з ГХ ІІ </w:t>
      </w:r>
      <w:r w:rsidR="00BB0C01" w:rsidRPr="001416ED">
        <w:rPr>
          <w:lang w:val="uk-UA"/>
        </w:rPr>
        <w:t>ст.</w:t>
      </w:r>
      <w:r w:rsidR="00305CEB" w:rsidRPr="001416ED">
        <w:rPr>
          <w:lang w:val="uk-UA"/>
        </w:rPr>
        <w:t xml:space="preserve"> [</w:t>
      </w:r>
      <w:r w:rsidR="001120CA" w:rsidRPr="001416ED">
        <w:rPr>
          <w:lang w:val="uk-UA"/>
        </w:rPr>
        <w:t>79</w:t>
      </w:r>
      <w:r w:rsidR="00305CEB" w:rsidRPr="001416ED">
        <w:rPr>
          <w:lang w:val="uk-UA"/>
        </w:rPr>
        <w:t>].</w:t>
      </w:r>
    </w:p>
    <w:p w:rsidR="00305CEB" w:rsidRPr="001416ED" w:rsidRDefault="00305CEB" w:rsidP="00305CEB">
      <w:pPr>
        <w:spacing w:line="360" w:lineRule="auto"/>
        <w:ind w:firstLine="709"/>
        <w:jc w:val="both"/>
        <w:rPr>
          <w:i/>
          <w:lang w:val="uk-UA"/>
        </w:rPr>
      </w:pPr>
      <w:r w:rsidRPr="001416ED">
        <w:t>Под</w:t>
      </w:r>
      <w:r w:rsidRPr="001416ED">
        <w:rPr>
          <w:lang w:val="uk-UA"/>
        </w:rPr>
        <w:t>і</w:t>
      </w:r>
      <w:r w:rsidRPr="001416ED">
        <w:t>бн</w:t>
      </w:r>
      <w:r w:rsidRPr="001416ED">
        <w:rPr>
          <w:lang w:val="uk-UA"/>
        </w:rPr>
        <w:t>і</w:t>
      </w:r>
      <w:r w:rsidRPr="001416ED">
        <w:t xml:space="preserve"> роботи проводились </w:t>
      </w:r>
      <w:r w:rsidRPr="001416ED">
        <w:rPr>
          <w:lang w:val="uk-UA"/>
        </w:rPr>
        <w:t>н</w:t>
      </w:r>
      <w:r w:rsidRPr="001416ED">
        <w:t>а кафедрі</w:t>
      </w:r>
      <w:r w:rsidRPr="001416ED">
        <w:rPr>
          <w:iCs/>
        </w:rPr>
        <w:t xml:space="preserve"> внутрішньої медицини №</w:t>
      </w:r>
      <w:r w:rsidR="00702262" w:rsidRPr="001416ED">
        <w:rPr>
          <w:iCs/>
          <w:lang w:val="uk-UA"/>
        </w:rPr>
        <w:t xml:space="preserve"> </w:t>
      </w:r>
      <w:r w:rsidRPr="001416ED">
        <w:rPr>
          <w:iCs/>
        </w:rPr>
        <w:t>1 ВНМУ ім. М. І. Пирогова.</w:t>
      </w:r>
      <w:r w:rsidRPr="001416ED">
        <w:rPr>
          <w:i/>
          <w:iCs/>
        </w:rPr>
        <w:t xml:space="preserve"> </w:t>
      </w:r>
      <w:r w:rsidRPr="001416ED">
        <w:rPr>
          <w:iCs/>
        </w:rPr>
        <w:t>В. К. Сєрков</w:t>
      </w:r>
      <w:r w:rsidRPr="001416ED">
        <w:rPr>
          <w:iCs/>
          <w:lang w:val="uk-UA"/>
        </w:rPr>
        <w:t xml:space="preserve">а </w:t>
      </w:r>
      <w:r w:rsidRPr="001416ED">
        <w:rPr>
          <w:iCs/>
        </w:rPr>
        <w:t xml:space="preserve">та Н. </w:t>
      </w:r>
      <w:r w:rsidR="00AA428E" w:rsidRPr="001416ED">
        <w:rPr>
          <w:iCs/>
          <w:lang w:val="uk-UA"/>
        </w:rPr>
        <w:t>В</w:t>
      </w:r>
      <w:r w:rsidRPr="001416ED">
        <w:rPr>
          <w:iCs/>
        </w:rPr>
        <w:t>. Кузьмінов</w:t>
      </w:r>
      <w:r w:rsidRPr="001416ED">
        <w:rPr>
          <w:iCs/>
          <w:lang w:val="uk-UA"/>
        </w:rPr>
        <w:t>а</w:t>
      </w:r>
      <w:r w:rsidRPr="001416ED">
        <w:rPr>
          <w:iCs/>
        </w:rPr>
        <w:t xml:space="preserve"> показа</w:t>
      </w:r>
      <w:r w:rsidRPr="001416ED">
        <w:rPr>
          <w:iCs/>
          <w:lang w:val="uk-UA"/>
        </w:rPr>
        <w:t>ли</w:t>
      </w:r>
      <w:r w:rsidRPr="001416ED">
        <w:rPr>
          <w:iCs/>
        </w:rPr>
        <w:t xml:space="preserve"> </w:t>
      </w:r>
      <w:r w:rsidRPr="001416ED">
        <w:rPr>
          <w:iCs/>
          <w:lang w:val="uk-UA"/>
        </w:rPr>
        <w:t xml:space="preserve">важливу роль ендотелію в розвитку кардіоваскулярної патології </w:t>
      </w:r>
      <w:r w:rsidRPr="001416ED">
        <w:t>[</w:t>
      </w:r>
      <w:r w:rsidR="001120CA" w:rsidRPr="001416ED">
        <w:rPr>
          <w:lang w:val="uk-UA"/>
        </w:rPr>
        <w:t>48</w:t>
      </w:r>
      <w:r w:rsidRPr="001416ED">
        <w:t>]</w:t>
      </w:r>
      <w:r w:rsidRPr="001416ED">
        <w:rPr>
          <w:iCs/>
        </w:rPr>
        <w:t>.</w:t>
      </w:r>
      <w:r w:rsidRPr="001416ED">
        <w:rPr>
          <w:i/>
          <w:iCs/>
        </w:rPr>
        <w:t xml:space="preserve"> </w:t>
      </w:r>
      <w:r w:rsidRPr="001416ED">
        <w:t xml:space="preserve">У </w:t>
      </w:r>
      <w:r w:rsidRPr="001416ED">
        <w:rPr>
          <w:lang w:val="uk-UA"/>
        </w:rPr>
        <w:t>дослідженні</w:t>
      </w:r>
      <w:r w:rsidRPr="001416ED">
        <w:t xml:space="preserve"> В. К. Сєркової та Н. М. Горобець </w:t>
      </w:r>
      <w:r w:rsidR="00702262" w:rsidRPr="001416ED">
        <w:rPr>
          <w:lang w:val="uk-UA"/>
        </w:rPr>
        <w:t>відзначено</w:t>
      </w:r>
      <w:r w:rsidRPr="001416ED">
        <w:t>,</w:t>
      </w:r>
      <w:r w:rsidRPr="001416ED">
        <w:rPr>
          <w:lang w:val="uk-UA"/>
        </w:rPr>
        <w:t xml:space="preserve"> що найбільший</w:t>
      </w:r>
      <w:r w:rsidRPr="001416ED">
        <w:t xml:space="preserve"> рів</w:t>
      </w:r>
      <w:r w:rsidRPr="001416ED">
        <w:rPr>
          <w:lang w:val="uk-UA"/>
        </w:rPr>
        <w:t>ень</w:t>
      </w:r>
      <w:r w:rsidRPr="001416ED">
        <w:t xml:space="preserve"> ЕТ</w:t>
      </w:r>
      <w:r w:rsidR="00BC0119" w:rsidRPr="001416ED">
        <w:t>–</w:t>
      </w:r>
      <w:r w:rsidRPr="001416ED">
        <w:t>1 у плазмі крові</w:t>
      </w:r>
      <w:r w:rsidRPr="001416ED">
        <w:rPr>
          <w:lang w:val="uk-UA"/>
        </w:rPr>
        <w:t xml:space="preserve"> </w:t>
      </w:r>
      <w:r w:rsidR="00702262" w:rsidRPr="001416ED">
        <w:rPr>
          <w:lang w:val="uk-UA"/>
        </w:rPr>
        <w:t xml:space="preserve">був у </w:t>
      </w:r>
      <w:r w:rsidRPr="001416ED">
        <w:rPr>
          <w:lang w:val="uk-UA"/>
        </w:rPr>
        <w:t>пацієнтів з ренальною АГ в порівнянні з особами з ГХ [</w:t>
      </w:r>
      <w:r w:rsidR="001120CA" w:rsidRPr="001416ED">
        <w:rPr>
          <w:lang w:val="uk-UA"/>
        </w:rPr>
        <w:t>76</w:t>
      </w:r>
      <w:r w:rsidRPr="001416ED">
        <w:rPr>
          <w:lang w:val="uk-UA"/>
        </w:rPr>
        <w:t xml:space="preserve">]. У роботі Н. </w:t>
      </w:r>
      <w:r w:rsidR="00E70A2F" w:rsidRPr="001416ED">
        <w:rPr>
          <w:lang w:val="uk-UA"/>
        </w:rPr>
        <w:t>В</w:t>
      </w:r>
      <w:r w:rsidRPr="001416ED">
        <w:rPr>
          <w:lang w:val="uk-UA"/>
        </w:rPr>
        <w:t>.</w:t>
      </w:r>
      <w:r w:rsidRPr="001416ED">
        <w:rPr>
          <w:i/>
          <w:lang w:val="uk-UA"/>
        </w:rPr>
        <w:t xml:space="preserve"> </w:t>
      </w:r>
      <w:r w:rsidRPr="001416ED">
        <w:rPr>
          <w:lang w:val="uk-UA"/>
        </w:rPr>
        <w:t xml:space="preserve">Кузьмінової виявлено, що плазмова концентрація </w:t>
      </w:r>
      <w:r w:rsidR="00702262" w:rsidRPr="001416ED">
        <w:rPr>
          <w:lang w:val="uk-UA"/>
        </w:rPr>
        <w:t xml:space="preserve">ЕТ-1 </w:t>
      </w:r>
      <w:r w:rsidRPr="001416ED">
        <w:rPr>
          <w:lang w:val="uk-UA"/>
        </w:rPr>
        <w:t>у пацієнтів з ГХ ІІІ ст</w:t>
      </w:r>
      <w:r w:rsidR="00702262" w:rsidRPr="001416ED">
        <w:rPr>
          <w:lang w:val="uk-UA"/>
        </w:rPr>
        <w:t>.</w:t>
      </w:r>
      <w:r w:rsidRPr="001416ED">
        <w:rPr>
          <w:lang w:val="uk-UA"/>
        </w:rPr>
        <w:t xml:space="preserve"> достовірно вищ</w:t>
      </w:r>
      <w:r w:rsidR="00BB0C01" w:rsidRPr="001416ED">
        <w:rPr>
          <w:lang w:val="uk-UA"/>
        </w:rPr>
        <w:t>а</w:t>
      </w:r>
      <w:r w:rsidRPr="001416ED">
        <w:rPr>
          <w:lang w:val="uk-UA"/>
        </w:rPr>
        <w:t xml:space="preserve"> ніж у хворих на ГХ ІІ ст</w:t>
      </w:r>
      <w:r w:rsidR="00702262" w:rsidRPr="001416ED">
        <w:rPr>
          <w:lang w:val="uk-UA"/>
        </w:rPr>
        <w:t xml:space="preserve">. </w:t>
      </w:r>
      <w:r w:rsidRPr="001416ED">
        <w:rPr>
          <w:lang w:val="uk-UA"/>
        </w:rPr>
        <w:t>[</w:t>
      </w:r>
      <w:r w:rsidR="00456446" w:rsidRPr="001416ED">
        <w:rPr>
          <w:lang w:val="uk-UA"/>
        </w:rPr>
        <w:t>49</w:t>
      </w:r>
      <w:r w:rsidRPr="001416ED">
        <w:rPr>
          <w:lang w:val="uk-UA"/>
        </w:rPr>
        <w:t>].</w:t>
      </w:r>
      <w:r w:rsidRPr="001416ED">
        <w:rPr>
          <w:i/>
          <w:lang w:val="uk-UA"/>
        </w:rPr>
        <w:t xml:space="preserve"> </w:t>
      </w:r>
    </w:p>
    <w:p w:rsidR="00305CEB" w:rsidRPr="001416ED" w:rsidRDefault="00702262" w:rsidP="00305CEB">
      <w:pPr>
        <w:spacing w:line="360" w:lineRule="auto"/>
        <w:ind w:firstLine="709"/>
        <w:jc w:val="both"/>
        <w:rPr>
          <w:lang w:val="uk-UA"/>
        </w:rPr>
      </w:pPr>
      <w:r w:rsidRPr="001416ED">
        <w:rPr>
          <w:lang w:val="uk-UA"/>
        </w:rPr>
        <w:t xml:space="preserve">В харківських пацієнтів з </w:t>
      </w:r>
      <w:r w:rsidR="00305CEB" w:rsidRPr="001416ED">
        <w:rPr>
          <w:lang w:val="uk-UA"/>
        </w:rPr>
        <w:t>ГХ, рівень ЕТ</w:t>
      </w:r>
      <w:r w:rsidR="00BC0119" w:rsidRPr="001416ED">
        <w:rPr>
          <w:lang w:val="uk-UA"/>
        </w:rPr>
        <w:t>–</w:t>
      </w:r>
      <w:r w:rsidR="00305CEB" w:rsidRPr="001416ED">
        <w:rPr>
          <w:lang w:val="uk-UA"/>
        </w:rPr>
        <w:t xml:space="preserve">1 вірогідно підвищений. Найбільша концентрація пептиду виявлена у осіб з ГХ </w:t>
      </w:r>
      <w:r w:rsidR="00305CEB" w:rsidRPr="001416ED">
        <w:rPr>
          <w:lang w:val="en-US"/>
        </w:rPr>
        <w:t>II</w:t>
      </w:r>
      <w:r w:rsidR="00305CEB" w:rsidRPr="001416ED">
        <w:rPr>
          <w:lang w:val="uk-UA"/>
        </w:rPr>
        <w:t xml:space="preserve"> ст</w:t>
      </w:r>
      <w:r w:rsidRPr="001416ED">
        <w:rPr>
          <w:lang w:val="uk-UA"/>
        </w:rPr>
        <w:t>.</w:t>
      </w:r>
      <w:r w:rsidR="00305CEB" w:rsidRPr="001416ED">
        <w:rPr>
          <w:lang w:val="uk-UA"/>
        </w:rPr>
        <w:t xml:space="preserve"> і КГЛШ. Дослідниками виявлений кореляційний зв'язок між вмістом ЕТ</w:t>
      </w:r>
      <w:r w:rsidR="00BC0119" w:rsidRPr="001416ED">
        <w:rPr>
          <w:lang w:val="uk-UA"/>
        </w:rPr>
        <w:t>–</w:t>
      </w:r>
      <w:r w:rsidR="00305CEB" w:rsidRPr="001416ED">
        <w:rPr>
          <w:lang w:val="uk-UA"/>
        </w:rPr>
        <w:t>1 в плазмі крові і ФВ ЛШ [</w:t>
      </w:r>
      <w:r w:rsidR="00E86543" w:rsidRPr="001416ED">
        <w:rPr>
          <w:lang w:val="uk-UA"/>
        </w:rPr>
        <w:t>4</w:t>
      </w:r>
      <w:r w:rsidR="00507853" w:rsidRPr="001416ED">
        <w:rPr>
          <w:lang w:val="uk-UA"/>
        </w:rPr>
        <w:t>6</w:t>
      </w:r>
      <w:r w:rsidR="00305CEB" w:rsidRPr="001416ED">
        <w:rPr>
          <w:lang w:val="uk-UA"/>
        </w:rPr>
        <w:t xml:space="preserve">]. </w:t>
      </w:r>
    </w:p>
    <w:p w:rsidR="00305CEB" w:rsidRPr="001416ED" w:rsidRDefault="00305CEB" w:rsidP="00305CEB">
      <w:pPr>
        <w:spacing w:line="360" w:lineRule="auto"/>
        <w:ind w:firstLine="709"/>
        <w:jc w:val="both"/>
        <w:rPr>
          <w:lang w:val="uk-UA"/>
        </w:rPr>
      </w:pPr>
      <w:r w:rsidRPr="001416ED">
        <w:rPr>
          <w:lang w:val="uk-UA"/>
        </w:rPr>
        <w:t>Встановлено, що плазмова концентрація ЕТ</w:t>
      </w:r>
      <w:r w:rsidR="00BC0119" w:rsidRPr="001416ED">
        <w:rPr>
          <w:lang w:val="uk-UA"/>
        </w:rPr>
        <w:t>–</w:t>
      </w:r>
      <w:r w:rsidRPr="001416ED">
        <w:rPr>
          <w:lang w:val="uk-UA"/>
        </w:rPr>
        <w:t>1 при початкових стадіях ЕГ достовірно вища, ніж у здорових осіб [</w:t>
      </w:r>
      <w:r w:rsidR="00E86543" w:rsidRPr="001416ED">
        <w:rPr>
          <w:lang w:val="uk-UA"/>
        </w:rPr>
        <w:t>5</w:t>
      </w:r>
      <w:r w:rsidR="00507853" w:rsidRPr="001416ED">
        <w:rPr>
          <w:lang w:val="uk-UA"/>
        </w:rPr>
        <w:t>1</w:t>
      </w:r>
      <w:r w:rsidRPr="001416ED">
        <w:rPr>
          <w:lang w:val="uk-UA"/>
        </w:rPr>
        <w:t xml:space="preserve">]. </w:t>
      </w:r>
    </w:p>
    <w:p w:rsidR="00305CEB" w:rsidRPr="001416ED" w:rsidRDefault="00305CEB" w:rsidP="00305CEB">
      <w:pPr>
        <w:spacing w:line="360" w:lineRule="auto"/>
        <w:ind w:firstLine="709"/>
        <w:jc w:val="both"/>
        <w:rPr>
          <w:lang w:val="uk-UA"/>
        </w:rPr>
      </w:pPr>
      <w:r w:rsidRPr="001416ED">
        <w:rPr>
          <w:lang w:val="uk-UA"/>
        </w:rPr>
        <w:t>У роботі полтавських дослідників продемонстровано, що у осіб з ХОЗЛ та ГХ рівень ЕТ</w:t>
      </w:r>
      <w:r w:rsidR="00BC0119" w:rsidRPr="001416ED">
        <w:rPr>
          <w:lang w:val="uk-UA"/>
        </w:rPr>
        <w:t>–</w:t>
      </w:r>
      <w:r w:rsidRPr="001416ED">
        <w:rPr>
          <w:lang w:val="uk-UA"/>
        </w:rPr>
        <w:t>1 вище, ніж у осіб з ХОЗЛ та без ГХ [</w:t>
      </w:r>
      <w:r w:rsidR="00E86543" w:rsidRPr="001416ED">
        <w:rPr>
          <w:lang w:val="uk-UA"/>
        </w:rPr>
        <w:t>8</w:t>
      </w:r>
      <w:r w:rsidR="00507853" w:rsidRPr="001416ED">
        <w:rPr>
          <w:lang w:val="uk-UA"/>
        </w:rPr>
        <w:t>4</w:t>
      </w:r>
      <w:r w:rsidRPr="001416ED">
        <w:rPr>
          <w:lang w:val="uk-UA"/>
        </w:rPr>
        <w:t xml:space="preserve">]. </w:t>
      </w:r>
    </w:p>
    <w:p w:rsidR="00305CEB" w:rsidRPr="001416ED" w:rsidRDefault="00305CEB" w:rsidP="00305CEB">
      <w:pPr>
        <w:spacing w:line="360" w:lineRule="auto"/>
        <w:ind w:firstLine="709"/>
        <w:jc w:val="both"/>
        <w:rPr>
          <w:bCs/>
          <w:i/>
          <w:lang w:val="uk-UA"/>
        </w:rPr>
      </w:pPr>
      <w:r w:rsidRPr="001416ED">
        <w:rPr>
          <w:bCs/>
          <w:lang w:val="uk-UA"/>
        </w:rPr>
        <w:t>Закордонні дослідження плазмових концентрацій ЕТ</w:t>
      </w:r>
      <w:r w:rsidR="00BC0119" w:rsidRPr="001416ED">
        <w:rPr>
          <w:bCs/>
          <w:lang w:val="uk-UA"/>
        </w:rPr>
        <w:t>–</w:t>
      </w:r>
      <w:r w:rsidRPr="001416ED">
        <w:rPr>
          <w:bCs/>
          <w:lang w:val="uk-UA"/>
        </w:rPr>
        <w:t>1 у пацієнтів з ГХ показали наступне. В Італії у пацієнтів з ГХ рівень пептиду виявився вірогідно вищим, ніж у практично здорових осіб, однак нижчим ніж при ренопаренхіматозній АГ [</w:t>
      </w:r>
      <w:r w:rsidR="0002302C" w:rsidRPr="001416ED">
        <w:rPr>
          <w:bCs/>
          <w:lang w:val="uk-UA"/>
        </w:rPr>
        <w:t>2</w:t>
      </w:r>
      <w:r w:rsidR="00507853" w:rsidRPr="001416ED">
        <w:rPr>
          <w:bCs/>
          <w:lang w:val="uk-UA"/>
        </w:rPr>
        <w:t>00</w:t>
      </w:r>
      <w:r w:rsidRPr="001416ED">
        <w:rPr>
          <w:bCs/>
          <w:lang w:val="uk-UA"/>
        </w:rPr>
        <w:t xml:space="preserve">]. </w:t>
      </w:r>
    </w:p>
    <w:p w:rsidR="00305CEB" w:rsidRPr="001416ED" w:rsidRDefault="00702262" w:rsidP="00305CEB">
      <w:pPr>
        <w:spacing w:line="360" w:lineRule="auto"/>
        <w:ind w:firstLine="709"/>
        <w:jc w:val="both"/>
        <w:rPr>
          <w:bCs/>
          <w:lang w:val="uk-UA"/>
        </w:rPr>
      </w:pPr>
      <w:r w:rsidRPr="001416ED">
        <w:rPr>
          <w:bCs/>
          <w:lang w:val="uk-UA"/>
        </w:rPr>
        <w:lastRenderedPageBreak/>
        <w:t xml:space="preserve">С. В. </w:t>
      </w:r>
      <w:r w:rsidR="00305CEB" w:rsidRPr="001416ED">
        <w:rPr>
          <w:bCs/>
          <w:lang w:val="uk-UA"/>
        </w:rPr>
        <w:t xml:space="preserve">Ляміна </w:t>
      </w:r>
      <w:r w:rsidR="00B86142" w:rsidRPr="001416ED">
        <w:rPr>
          <w:bCs/>
          <w:lang w:val="uk-UA"/>
        </w:rPr>
        <w:t xml:space="preserve">та співавт. </w:t>
      </w:r>
      <w:r w:rsidR="00305CEB" w:rsidRPr="001416ED">
        <w:rPr>
          <w:bCs/>
          <w:lang w:val="uk-UA"/>
        </w:rPr>
        <w:t>дослідила, що</w:t>
      </w:r>
      <w:r w:rsidR="00305CEB" w:rsidRPr="001416ED">
        <w:rPr>
          <w:b/>
          <w:bCs/>
          <w:lang w:val="uk-UA"/>
        </w:rPr>
        <w:t xml:space="preserve"> </w:t>
      </w:r>
      <w:r w:rsidR="00305CEB" w:rsidRPr="001416ED">
        <w:rPr>
          <w:bCs/>
          <w:lang w:val="uk-UA"/>
        </w:rPr>
        <w:t>плазмова концентрація ЕТ</w:t>
      </w:r>
      <w:r w:rsidR="00BC0119" w:rsidRPr="001416ED">
        <w:rPr>
          <w:bCs/>
          <w:lang w:val="uk-UA"/>
        </w:rPr>
        <w:t>–</w:t>
      </w:r>
      <w:r w:rsidR="00305CEB" w:rsidRPr="001416ED">
        <w:rPr>
          <w:bCs/>
          <w:lang w:val="uk-UA"/>
        </w:rPr>
        <w:t>1 у молодих людей з АГ I ступеня достовірно вища, в порівнянні зі здоровими і тим більша, чим довший гіпертензивний анамнез [</w:t>
      </w:r>
      <w:r w:rsidR="00E86543" w:rsidRPr="001416ED">
        <w:rPr>
          <w:bCs/>
          <w:lang w:val="uk-UA"/>
        </w:rPr>
        <w:t>7</w:t>
      </w:r>
      <w:r w:rsidR="00507853" w:rsidRPr="001416ED">
        <w:rPr>
          <w:bCs/>
          <w:lang w:val="uk-UA"/>
        </w:rPr>
        <w:t>1</w:t>
      </w:r>
      <w:r w:rsidR="00305CEB" w:rsidRPr="001416ED">
        <w:rPr>
          <w:bCs/>
          <w:lang w:val="uk-UA"/>
        </w:rPr>
        <w:t xml:space="preserve">]. </w:t>
      </w:r>
    </w:p>
    <w:p w:rsidR="00305CEB" w:rsidRPr="001416ED" w:rsidRDefault="00814B2F" w:rsidP="00305CEB">
      <w:pPr>
        <w:spacing w:line="360" w:lineRule="auto"/>
        <w:ind w:firstLine="709"/>
        <w:jc w:val="both"/>
        <w:rPr>
          <w:bCs/>
          <w:i/>
          <w:lang w:val="uk-UA"/>
        </w:rPr>
      </w:pPr>
      <w:r w:rsidRPr="001416ED">
        <w:rPr>
          <w:bCs/>
          <w:lang w:val="uk-UA"/>
        </w:rPr>
        <w:t xml:space="preserve">У мешканців </w:t>
      </w:r>
      <w:r w:rsidR="00305CEB" w:rsidRPr="001416ED">
        <w:rPr>
          <w:bCs/>
          <w:lang w:val="uk-UA"/>
        </w:rPr>
        <w:t>Бєлгород</w:t>
      </w:r>
      <w:r w:rsidRPr="001416ED">
        <w:rPr>
          <w:bCs/>
          <w:lang w:val="uk-UA"/>
        </w:rPr>
        <w:t>а</w:t>
      </w:r>
      <w:r w:rsidR="00305CEB" w:rsidRPr="001416ED">
        <w:rPr>
          <w:bCs/>
          <w:lang w:val="uk-UA"/>
        </w:rPr>
        <w:t xml:space="preserve"> (Росія) середнього віку, які страждають ХСН I</w:t>
      </w:r>
      <w:r w:rsidR="00BC0119" w:rsidRPr="001416ED">
        <w:rPr>
          <w:bCs/>
          <w:lang w:val="uk-UA"/>
        </w:rPr>
        <w:t>–</w:t>
      </w:r>
      <w:r w:rsidR="00305CEB" w:rsidRPr="001416ED">
        <w:rPr>
          <w:bCs/>
          <w:lang w:val="uk-UA"/>
        </w:rPr>
        <w:t>II ФК, рівень ET</w:t>
      </w:r>
      <w:r w:rsidR="00BC0119" w:rsidRPr="001416ED">
        <w:rPr>
          <w:bCs/>
          <w:lang w:val="uk-UA"/>
        </w:rPr>
        <w:t>–</w:t>
      </w:r>
      <w:r w:rsidR="00305CEB" w:rsidRPr="001416ED">
        <w:rPr>
          <w:bCs/>
          <w:lang w:val="uk-UA"/>
        </w:rPr>
        <w:t xml:space="preserve">1 в сироватці крові достовірно підвищувався в порівнянні зі здоровими людьми, і далі з наростанням </w:t>
      </w:r>
      <w:r w:rsidR="00046A18" w:rsidRPr="001416ED">
        <w:rPr>
          <w:bCs/>
          <w:lang w:val="uk-UA"/>
        </w:rPr>
        <w:t>стадії</w:t>
      </w:r>
      <w:r w:rsidR="00305CEB" w:rsidRPr="001416ED">
        <w:rPr>
          <w:bCs/>
          <w:lang w:val="uk-UA"/>
        </w:rPr>
        <w:t xml:space="preserve"> ХСН також прогресивно збільшувався. А ось при ФК IV подальшого </w:t>
      </w:r>
      <w:r w:rsidR="00F363EE" w:rsidRPr="001416ED">
        <w:rPr>
          <w:bCs/>
          <w:lang w:val="uk-UA"/>
        </w:rPr>
        <w:t>підвищення</w:t>
      </w:r>
      <w:r w:rsidR="00305CEB" w:rsidRPr="001416ED">
        <w:rPr>
          <w:bCs/>
          <w:lang w:val="uk-UA"/>
        </w:rPr>
        <w:t xml:space="preserve"> цього показника не спостерігалося [</w:t>
      </w:r>
      <w:r w:rsidR="00507853" w:rsidRPr="001416ED">
        <w:rPr>
          <w:bCs/>
          <w:lang w:val="uk-UA"/>
        </w:rPr>
        <w:t>9</w:t>
      </w:r>
      <w:r w:rsidR="00305CEB" w:rsidRPr="001416ED">
        <w:rPr>
          <w:bCs/>
          <w:lang w:val="uk-UA"/>
        </w:rPr>
        <w:t>].</w:t>
      </w:r>
      <w:r w:rsidR="00305CEB" w:rsidRPr="001416ED">
        <w:rPr>
          <w:bCs/>
          <w:iCs/>
          <w:lang w:val="uk-UA"/>
        </w:rPr>
        <w:t xml:space="preserve"> В російському та харківському дослідженнях показане підвищення концентрації ЕТ</w:t>
      </w:r>
      <w:r w:rsidR="00BC0119" w:rsidRPr="001416ED">
        <w:rPr>
          <w:bCs/>
          <w:iCs/>
          <w:lang w:val="uk-UA"/>
        </w:rPr>
        <w:t>–</w:t>
      </w:r>
      <w:r w:rsidR="00305CEB" w:rsidRPr="001416ED">
        <w:rPr>
          <w:bCs/>
          <w:iCs/>
          <w:lang w:val="uk-UA"/>
        </w:rPr>
        <w:t>1 у пацієнтів з ХСН при збільшенні ФК</w:t>
      </w:r>
      <w:r w:rsidR="00305CEB" w:rsidRPr="001416ED">
        <w:rPr>
          <w:bCs/>
          <w:lang w:val="uk-UA"/>
        </w:rPr>
        <w:t xml:space="preserve"> [</w:t>
      </w:r>
      <w:r w:rsidR="00E86543" w:rsidRPr="001416ED">
        <w:rPr>
          <w:bCs/>
          <w:lang w:val="uk-UA"/>
        </w:rPr>
        <w:t>3</w:t>
      </w:r>
      <w:r w:rsidR="00507853" w:rsidRPr="001416ED">
        <w:rPr>
          <w:bCs/>
          <w:lang w:val="uk-UA"/>
        </w:rPr>
        <w:t>8</w:t>
      </w:r>
      <w:r w:rsidR="00305CEB" w:rsidRPr="001416ED">
        <w:rPr>
          <w:bCs/>
          <w:lang w:val="uk-UA"/>
        </w:rPr>
        <w:t>,</w:t>
      </w:r>
      <w:r w:rsidR="00F363EE" w:rsidRPr="001416ED">
        <w:rPr>
          <w:bCs/>
          <w:lang w:val="uk-UA"/>
        </w:rPr>
        <w:t xml:space="preserve"> </w:t>
      </w:r>
      <w:r w:rsidR="00E86543" w:rsidRPr="001416ED">
        <w:rPr>
          <w:bCs/>
          <w:lang w:val="uk-UA"/>
        </w:rPr>
        <w:t>5</w:t>
      </w:r>
      <w:r w:rsidR="00507853" w:rsidRPr="001416ED">
        <w:rPr>
          <w:bCs/>
          <w:lang w:val="uk-UA"/>
        </w:rPr>
        <w:t>4</w:t>
      </w:r>
      <w:r w:rsidR="00305CEB" w:rsidRPr="001416ED">
        <w:rPr>
          <w:bCs/>
          <w:lang w:val="uk-UA"/>
        </w:rPr>
        <w:t>]. Тобто, ЕТ</w:t>
      </w:r>
      <w:r w:rsidR="00BC0119" w:rsidRPr="001416ED">
        <w:rPr>
          <w:bCs/>
          <w:lang w:val="uk-UA"/>
        </w:rPr>
        <w:t>–</w:t>
      </w:r>
      <w:r w:rsidR="00305CEB" w:rsidRPr="001416ED">
        <w:rPr>
          <w:bCs/>
          <w:lang w:val="uk-UA"/>
        </w:rPr>
        <w:t>1 є маркером важкості перебігу ХСН.</w:t>
      </w:r>
    </w:p>
    <w:p w:rsidR="00305CEB" w:rsidRPr="001416ED" w:rsidRDefault="00814B2F" w:rsidP="00305CEB">
      <w:pPr>
        <w:spacing w:line="360" w:lineRule="auto"/>
        <w:ind w:firstLine="709"/>
        <w:jc w:val="both"/>
        <w:rPr>
          <w:bCs/>
          <w:lang w:val="uk-UA"/>
        </w:rPr>
      </w:pPr>
      <w:r w:rsidRPr="001416ED">
        <w:rPr>
          <w:bCs/>
          <w:lang w:val="uk-UA"/>
        </w:rPr>
        <w:t>Однак</w:t>
      </w:r>
      <w:r w:rsidR="00F363EE" w:rsidRPr="001416ED">
        <w:rPr>
          <w:bCs/>
          <w:lang w:val="uk-UA"/>
        </w:rPr>
        <w:t>,</w:t>
      </w:r>
      <w:r w:rsidRPr="001416ED">
        <w:rPr>
          <w:bCs/>
          <w:lang w:val="uk-UA"/>
        </w:rPr>
        <w:t xml:space="preserve"> при</w:t>
      </w:r>
      <w:r w:rsidR="00305CEB" w:rsidRPr="001416ED">
        <w:rPr>
          <w:bCs/>
          <w:lang w:val="uk-UA"/>
        </w:rPr>
        <w:t xml:space="preserve"> аналіз</w:t>
      </w:r>
      <w:r w:rsidRPr="001416ED">
        <w:rPr>
          <w:bCs/>
          <w:lang w:val="uk-UA"/>
        </w:rPr>
        <w:t>і даних літератури</w:t>
      </w:r>
      <w:r w:rsidR="00305CEB" w:rsidRPr="001416ED">
        <w:rPr>
          <w:bCs/>
          <w:lang w:val="uk-UA"/>
        </w:rPr>
        <w:t xml:space="preserve"> були знайдені і протилежні результати. Так,  А. Hoffman</w:t>
      </w:r>
      <w:r w:rsidR="00B86142" w:rsidRPr="001416ED">
        <w:rPr>
          <w:bCs/>
          <w:lang w:val="uk-UA"/>
        </w:rPr>
        <w:t xml:space="preserve"> та співавт. </w:t>
      </w:r>
      <w:r w:rsidR="008A1385" w:rsidRPr="001416ED">
        <w:rPr>
          <w:bCs/>
          <w:lang w:val="uk-UA"/>
        </w:rPr>
        <w:t xml:space="preserve"> (Ізраїль)</w:t>
      </w:r>
      <w:r w:rsidR="00305CEB" w:rsidRPr="001416ED">
        <w:rPr>
          <w:bCs/>
          <w:lang w:val="uk-UA"/>
        </w:rPr>
        <w:t xml:space="preserve">, </w:t>
      </w:r>
      <w:r w:rsidR="007611BC" w:rsidRPr="001416ED">
        <w:rPr>
          <w:lang w:val="uk-UA"/>
        </w:rPr>
        <w:t xml:space="preserve">В. </w:t>
      </w:r>
      <w:r w:rsidR="007611BC" w:rsidRPr="001416ED">
        <w:t>Halawa</w:t>
      </w:r>
      <w:r w:rsidR="00B86142" w:rsidRPr="001416ED">
        <w:rPr>
          <w:bCs/>
          <w:lang w:val="uk-UA"/>
        </w:rPr>
        <w:t xml:space="preserve"> </w:t>
      </w:r>
      <w:r w:rsidR="008A1385" w:rsidRPr="001416ED">
        <w:rPr>
          <w:lang w:val="uk-UA"/>
        </w:rPr>
        <w:t>(Польша)</w:t>
      </w:r>
      <w:r w:rsidR="00305CEB" w:rsidRPr="001416ED">
        <w:rPr>
          <w:bCs/>
          <w:lang w:val="uk-UA"/>
        </w:rPr>
        <w:t xml:space="preserve">, C. Letizia </w:t>
      </w:r>
      <w:r w:rsidR="00B86142" w:rsidRPr="001416ED">
        <w:rPr>
          <w:bCs/>
          <w:lang w:val="uk-UA"/>
        </w:rPr>
        <w:t xml:space="preserve">та співавт. </w:t>
      </w:r>
      <w:r w:rsidR="00C64132">
        <w:rPr>
          <w:bCs/>
          <w:lang w:val="uk-UA"/>
        </w:rPr>
        <w:t>(Італія)</w:t>
      </w:r>
      <w:r w:rsidR="00305CEB" w:rsidRPr="001416ED">
        <w:rPr>
          <w:bCs/>
          <w:lang w:val="uk-UA"/>
        </w:rPr>
        <w:t>, L. Aziza</w:t>
      </w:r>
      <w:r w:rsidR="008A1385" w:rsidRPr="001416ED">
        <w:rPr>
          <w:bCs/>
          <w:lang w:val="uk-UA"/>
        </w:rPr>
        <w:t xml:space="preserve"> </w:t>
      </w:r>
      <w:r w:rsidR="00B86142" w:rsidRPr="001416ED">
        <w:rPr>
          <w:bCs/>
          <w:lang w:val="uk-UA"/>
        </w:rPr>
        <w:t xml:space="preserve">та співавт. </w:t>
      </w:r>
      <w:r w:rsidR="008A1385" w:rsidRPr="001416ED">
        <w:rPr>
          <w:bCs/>
          <w:lang w:val="uk-UA"/>
        </w:rPr>
        <w:t>(Індонезія)</w:t>
      </w:r>
      <w:r w:rsidR="00305CEB" w:rsidRPr="001416ED">
        <w:rPr>
          <w:bCs/>
          <w:lang w:val="uk-UA"/>
        </w:rPr>
        <w:t xml:space="preserve"> не виявили різниці у рівні ЕТ</w:t>
      </w:r>
      <w:r w:rsidR="00BC0119" w:rsidRPr="001416ED">
        <w:rPr>
          <w:bCs/>
          <w:lang w:val="uk-UA"/>
        </w:rPr>
        <w:t>–</w:t>
      </w:r>
      <w:r w:rsidR="00305CEB" w:rsidRPr="001416ED">
        <w:rPr>
          <w:bCs/>
          <w:lang w:val="uk-UA"/>
        </w:rPr>
        <w:t>1 між особами з ГХ та контрольною групою [1</w:t>
      </w:r>
      <w:r w:rsidR="0002302C" w:rsidRPr="001416ED">
        <w:rPr>
          <w:bCs/>
          <w:lang w:val="uk-UA"/>
        </w:rPr>
        <w:t>0</w:t>
      </w:r>
      <w:r w:rsidR="00753C33" w:rsidRPr="001416ED">
        <w:rPr>
          <w:bCs/>
          <w:lang w:val="uk-UA"/>
        </w:rPr>
        <w:t>1</w:t>
      </w:r>
      <w:r w:rsidR="00305CEB" w:rsidRPr="001416ED">
        <w:rPr>
          <w:bCs/>
          <w:lang w:val="uk-UA"/>
        </w:rPr>
        <w:t>,</w:t>
      </w:r>
      <w:r w:rsidR="00F363EE" w:rsidRPr="001416ED">
        <w:rPr>
          <w:bCs/>
          <w:lang w:val="uk-UA"/>
        </w:rPr>
        <w:t xml:space="preserve"> </w:t>
      </w:r>
      <w:r w:rsidR="0002302C" w:rsidRPr="001416ED">
        <w:rPr>
          <w:bCs/>
          <w:lang w:val="uk-UA"/>
        </w:rPr>
        <w:t>1</w:t>
      </w:r>
      <w:r w:rsidR="00753C33" w:rsidRPr="001416ED">
        <w:rPr>
          <w:bCs/>
          <w:lang w:val="uk-UA"/>
        </w:rPr>
        <w:t>36</w:t>
      </w:r>
      <w:r w:rsidR="0002302C" w:rsidRPr="001416ED">
        <w:rPr>
          <w:bCs/>
          <w:lang w:val="uk-UA"/>
        </w:rPr>
        <w:t>,</w:t>
      </w:r>
      <w:r w:rsidR="00F363EE" w:rsidRPr="001416ED">
        <w:rPr>
          <w:bCs/>
          <w:lang w:val="uk-UA"/>
        </w:rPr>
        <w:t xml:space="preserve"> </w:t>
      </w:r>
      <w:r w:rsidR="00305CEB" w:rsidRPr="001416ED">
        <w:rPr>
          <w:bCs/>
          <w:lang w:val="uk-UA"/>
        </w:rPr>
        <w:t>1</w:t>
      </w:r>
      <w:r w:rsidR="00753C33" w:rsidRPr="001416ED">
        <w:rPr>
          <w:bCs/>
          <w:lang w:val="uk-UA"/>
        </w:rPr>
        <w:t>39</w:t>
      </w:r>
      <w:r w:rsidR="00E86543" w:rsidRPr="001416ED">
        <w:rPr>
          <w:bCs/>
          <w:lang w:val="uk-UA"/>
        </w:rPr>
        <w:t>,</w:t>
      </w:r>
      <w:r w:rsidR="00F363EE" w:rsidRPr="001416ED">
        <w:rPr>
          <w:bCs/>
          <w:lang w:val="uk-UA"/>
        </w:rPr>
        <w:t xml:space="preserve"> </w:t>
      </w:r>
      <w:r w:rsidR="00761AF3" w:rsidRPr="001416ED">
        <w:rPr>
          <w:bCs/>
          <w:lang w:val="uk-UA"/>
        </w:rPr>
        <w:t>1</w:t>
      </w:r>
      <w:r w:rsidR="00753C33" w:rsidRPr="001416ED">
        <w:rPr>
          <w:bCs/>
          <w:lang w:val="uk-UA"/>
        </w:rPr>
        <w:t>58</w:t>
      </w:r>
      <w:r w:rsidR="00305CEB" w:rsidRPr="001416ED">
        <w:rPr>
          <w:bCs/>
          <w:lang w:val="uk-UA"/>
        </w:rPr>
        <w:t>].</w:t>
      </w:r>
    </w:p>
    <w:p w:rsidR="00305CEB" w:rsidRPr="001416ED" w:rsidRDefault="00305CEB" w:rsidP="00305CEB">
      <w:pPr>
        <w:spacing w:line="360" w:lineRule="auto"/>
        <w:ind w:firstLine="851"/>
        <w:jc w:val="both"/>
        <w:rPr>
          <w:i/>
          <w:lang w:val="uk-UA"/>
        </w:rPr>
      </w:pPr>
      <w:r w:rsidRPr="001416ED">
        <w:rPr>
          <w:lang w:val="uk-UA"/>
        </w:rPr>
        <w:t>Визначення плазмових концентрацій ЕТ</w:t>
      </w:r>
      <w:r w:rsidR="00BC0119" w:rsidRPr="001416ED">
        <w:rPr>
          <w:lang w:val="uk-UA"/>
        </w:rPr>
        <w:t>–</w:t>
      </w:r>
      <w:r w:rsidRPr="001416ED">
        <w:rPr>
          <w:lang w:val="uk-UA"/>
        </w:rPr>
        <w:t xml:space="preserve">1 у чоловіків з ГХ різної </w:t>
      </w:r>
      <w:r w:rsidR="00046A18" w:rsidRPr="001416ED">
        <w:rPr>
          <w:lang w:val="uk-UA"/>
        </w:rPr>
        <w:t>стадії</w:t>
      </w:r>
      <w:r w:rsidRPr="001416ED">
        <w:rPr>
          <w:lang w:val="uk-UA"/>
        </w:rPr>
        <w:t xml:space="preserve"> при різному ступені АГ різниці не виявило. Схожі дані були отримані у роботі </w:t>
      </w:r>
      <w:r w:rsidRPr="001416ED">
        <w:rPr>
          <w:bCs/>
          <w:lang w:val="uk-UA"/>
        </w:rPr>
        <w:t xml:space="preserve">В. Halawa </w:t>
      </w:r>
      <w:r w:rsidR="00BC0119" w:rsidRPr="001416ED">
        <w:rPr>
          <w:bCs/>
          <w:lang w:val="uk-UA"/>
        </w:rPr>
        <w:t>–</w:t>
      </w:r>
      <w:r w:rsidRPr="001416ED">
        <w:rPr>
          <w:bCs/>
          <w:lang w:val="uk-UA"/>
        </w:rPr>
        <w:t xml:space="preserve"> не було </w:t>
      </w:r>
      <w:r w:rsidR="00F363EE" w:rsidRPr="001416ED">
        <w:rPr>
          <w:bCs/>
          <w:lang w:val="uk-UA"/>
        </w:rPr>
        <w:t>встановлено</w:t>
      </w:r>
      <w:r w:rsidRPr="001416ED">
        <w:rPr>
          <w:bCs/>
          <w:lang w:val="uk-UA"/>
        </w:rPr>
        <w:t xml:space="preserve">  кореляції між рівнем ET</w:t>
      </w:r>
      <w:r w:rsidR="00BC0119" w:rsidRPr="001416ED">
        <w:rPr>
          <w:bCs/>
          <w:lang w:val="uk-UA"/>
        </w:rPr>
        <w:t>–</w:t>
      </w:r>
      <w:r w:rsidRPr="001416ED">
        <w:rPr>
          <w:bCs/>
          <w:lang w:val="uk-UA"/>
        </w:rPr>
        <w:t>1 та САТ, ДАТ у хворих з ГХ [1</w:t>
      </w:r>
      <w:r w:rsidR="00785922" w:rsidRPr="001416ED">
        <w:rPr>
          <w:bCs/>
          <w:lang w:val="uk-UA"/>
        </w:rPr>
        <w:t>36</w:t>
      </w:r>
      <w:r w:rsidRPr="001416ED">
        <w:rPr>
          <w:bCs/>
          <w:lang w:val="uk-UA"/>
        </w:rPr>
        <w:t xml:space="preserve">]. </w:t>
      </w:r>
      <w:r w:rsidR="00814B2F" w:rsidRPr="001416ED">
        <w:rPr>
          <w:bCs/>
          <w:lang w:val="uk-UA"/>
        </w:rPr>
        <w:t>В той же час</w:t>
      </w:r>
      <w:r w:rsidRPr="001416ED">
        <w:rPr>
          <w:bCs/>
          <w:lang w:val="uk-UA"/>
        </w:rPr>
        <w:t xml:space="preserve">, в Запоріжжі </w:t>
      </w:r>
      <w:r w:rsidR="00F363EE" w:rsidRPr="001416ED">
        <w:rPr>
          <w:bCs/>
          <w:lang w:val="uk-UA"/>
        </w:rPr>
        <w:t xml:space="preserve">С. Н. </w:t>
      </w:r>
      <w:r w:rsidRPr="001416ED">
        <w:rPr>
          <w:bCs/>
          <w:lang w:val="uk-UA"/>
        </w:rPr>
        <w:t>Полівода продемонстрував збільшення рівня ЕТ</w:t>
      </w:r>
      <w:r w:rsidR="00BC0119" w:rsidRPr="001416ED">
        <w:rPr>
          <w:bCs/>
          <w:lang w:val="uk-UA"/>
        </w:rPr>
        <w:t>–</w:t>
      </w:r>
      <w:r w:rsidRPr="001416ED">
        <w:rPr>
          <w:bCs/>
          <w:lang w:val="uk-UA"/>
        </w:rPr>
        <w:t xml:space="preserve">1 при збільшенні ступеня АГ (1 ступінь АГ </w:t>
      </w:r>
      <w:r w:rsidR="00BC0119" w:rsidRPr="001416ED">
        <w:rPr>
          <w:bCs/>
          <w:lang w:val="uk-UA"/>
        </w:rPr>
        <w:t>–</w:t>
      </w:r>
      <w:r w:rsidRPr="001416ED">
        <w:rPr>
          <w:bCs/>
          <w:lang w:val="uk-UA"/>
        </w:rPr>
        <w:t xml:space="preserve"> 8,31 </w:t>
      </w:r>
      <w:r w:rsidR="00023CB5" w:rsidRPr="001416ED">
        <w:rPr>
          <w:bCs/>
          <w:lang w:val="uk-UA"/>
        </w:rPr>
        <w:t>пмоль/мл</w:t>
      </w:r>
      <w:r w:rsidRPr="001416ED">
        <w:rPr>
          <w:bCs/>
          <w:lang w:val="uk-UA"/>
        </w:rPr>
        <w:t xml:space="preserve">, 2 ступінь АГ – 9,57 </w:t>
      </w:r>
      <w:r w:rsidR="00023CB5" w:rsidRPr="001416ED">
        <w:rPr>
          <w:bCs/>
          <w:lang w:val="uk-UA"/>
        </w:rPr>
        <w:t>пмоль/мл</w:t>
      </w:r>
      <w:r w:rsidRPr="001416ED">
        <w:rPr>
          <w:bCs/>
          <w:lang w:val="uk-UA"/>
        </w:rPr>
        <w:t xml:space="preserve">, 3 ступінь АГ – 11,53 </w:t>
      </w:r>
      <w:r w:rsidR="00023CB5" w:rsidRPr="001416ED">
        <w:rPr>
          <w:bCs/>
          <w:lang w:val="uk-UA"/>
        </w:rPr>
        <w:t>пмоль/мл</w:t>
      </w:r>
      <w:r w:rsidRPr="001416ED">
        <w:rPr>
          <w:bCs/>
          <w:lang w:val="uk-UA"/>
        </w:rPr>
        <w:t>) [</w:t>
      </w:r>
      <w:r w:rsidR="00785922" w:rsidRPr="001416ED">
        <w:rPr>
          <w:bCs/>
          <w:lang w:val="uk-UA"/>
        </w:rPr>
        <w:t>67</w:t>
      </w:r>
      <w:r w:rsidRPr="001416ED">
        <w:rPr>
          <w:bCs/>
          <w:lang w:val="uk-UA"/>
        </w:rPr>
        <w:t>].</w:t>
      </w:r>
      <w:r w:rsidRPr="001416ED">
        <w:rPr>
          <w:bCs/>
          <w:lang w:val="uk-UA" w:eastAsia="uk-UA"/>
        </w:rPr>
        <w:t xml:space="preserve"> </w:t>
      </w:r>
      <w:r w:rsidR="00F363EE" w:rsidRPr="001416ED">
        <w:rPr>
          <w:bCs/>
          <w:lang w:val="uk-UA"/>
        </w:rPr>
        <w:t xml:space="preserve">В. А. </w:t>
      </w:r>
      <w:r w:rsidRPr="001416ED">
        <w:rPr>
          <w:bCs/>
          <w:lang w:val="uk-UA"/>
        </w:rPr>
        <w:t xml:space="preserve">Візир </w:t>
      </w:r>
      <w:r w:rsidR="00211C65" w:rsidRPr="001416ED">
        <w:rPr>
          <w:bCs/>
          <w:lang w:val="uk-UA"/>
        </w:rPr>
        <w:t xml:space="preserve">та співавт. </w:t>
      </w:r>
      <w:r w:rsidRPr="001416ED">
        <w:rPr>
          <w:bCs/>
          <w:lang w:val="uk-UA"/>
        </w:rPr>
        <w:t>показали, що плазмова концентрація ЕТ</w:t>
      </w:r>
      <w:r w:rsidR="00BC0119" w:rsidRPr="001416ED">
        <w:rPr>
          <w:bCs/>
          <w:lang w:val="uk-UA"/>
        </w:rPr>
        <w:t>–</w:t>
      </w:r>
      <w:r w:rsidRPr="001416ED">
        <w:rPr>
          <w:bCs/>
          <w:lang w:val="uk-UA"/>
        </w:rPr>
        <w:t>1 при важкій АГ (121,3 пг/л) вірогідно вища, ніж при м’якій АГ (87,6 пг/л), однак немає різниці з помірною АГ (100,2 пг/л) [1</w:t>
      </w:r>
      <w:r w:rsidR="00785922" w:rsidRPr="001416ED">
        <w:rPr>
          <w:bCs/>
          <w:lang w:val="uk-UA"/>
        </w:rPr>
        <w:t>3</w:t>
      </w:r>
      <w:r w:rsidRPr="001416ED">
        <w:rPr>
          <w:bCs/>
          <w:lang w:val="uk-UA"/>
        </w:rPr>
        <w:t>].</w:t>
      </w:r>
    </w:p>
    <w:p w:rsidR="001868E0" w:rsidRPr="001416ED" w:rsidRDefault="005A283E" w:rsidP="001868E0">
      <w:pPr>
        <w:spacing w:line="360" w:lineRule="auto"/>
        <w:ind w:firstLine="709"/>
        <w:jc w:val="both"/>
        <w:rPr>
          <w:lang w:val="uk-UA"/>
        </w:rPr>
      </w:pPr>
      <w:r w:rsidRPr="001416ED">
        <w:rPr>
          <w:lang w:val="uk-UA"/>
        </w:rPr>
        <w:t>Досліджень плазмової концентрації ЕТ</w:t>
      </w:r>
      <w:r w:rsidR="00BC0119" w:rsidRPr="001416ED">
        <w:rPr>
          <w:lang w:val="uk-UA"/>
        </w:rPr>
        <w:t>–</w:t>
      </w:r>
      <w:r w:rsidRPr="001416ED">
        <w:rPr>
          <w:lang w:val="uk-UA"/>
        </w:rPr>
        <w:t xml:space="preserve">1 у хворих з ГХ – носіїв </w:t>
      </w:r>
      <w:r w:rsidR="00E6164F">
        <w:rPr>
          <w:lang w:val="uk-UA"/>
        </w:rPr>
        <w:t>поліморфних варіантів гена ЕТ–1</w:t>
      </w:r>
      <w:r w:rsidRPr="001416ED">
        <w:rPr>
          <w:lang w:val="uk-UA"/>
        </w:rPr>
        <w:t xml:space="preserve"> в українців раніше не проводилось. Згідно отриманих даних,</w:t>
      </w:r>
      <w:r w:rsidR="00305CEB" w:rsidRPr="001416ED">
        <w:rPr>
          <w:lang w:val="uk-UA"/>
        </w:rPr>
        <w:t xml:space="preserve"> </w:t>
      </w:r>
      <w:r w:rsidRPr="001416ED">
        <w:rPr>
          <w:lang w:val="uk-UA"/>
        </w:rPr>
        <w:t>я</w:t>
      </w:r>
      <w:r w:rsidR="00305CEB" w:rsidRPr="001416ED">
        <w:rPr>
          <w:lang w:val="uk-UA"/>
        </w:rPr>
        <w:t xml:space="preserve">к у чоловіків з ГХ ІІ ст. так і у осіб з </w:t>
      </w:r>
      <w:r w:rsidR="00EA7C60" w:rsidRPr="001416ED">
        <w:rPr>
          <w:lang w:val="uk-UA"/>
        </w:rPr>
        <w:t xml:space="preserve">ГХ ІІІ ст.  </w:t>
      </w:r>
      <w:r w:rsidR="00305CEB" w:rsidRPr="001416ED">
        <w:rPr>
          <w:lang w:val="uk-UA"/>
        </w:rPr>
        <w:t xml:space="preserve">при усіх варіантах </w:t>
      </w:r>
      <w:r w:rsidR="00F40216">
        <w:rPr>
          <w:lang w:val="uk-UA"/>
        </w:rPr>
        <w:t>гена</w:t>
      </w:r>
      <w:r w:rsidR="00305CEB" w:rsidRPr="001416ED">
        <w:rPr>
          <w:lang w:val="uk-UA"/>
        </w:rPr>
        <w:t xml:space="preserve"> ЕТ</w:t>
      </w:r>
      <w:r w:rsidR="00BC0119" w:rsidRPr="001416ED">
        <w:rPr>
          <w:lang w:val="uk-UA"/>
        </w:rPr>
        <w:t>–</w:t>
      </w:r>
      <w:r w:rsidR="00305CEB" w:rsidRPr="001416ED">
        <w:rPr>
          <w:lang w:val="uk-UA"/>
        </w:rPr>
        <w:t>1 рівень ЕТ</w:t>
      </w:r>
      <w:r w:rsidR="00BC0119" w:rsidRPr="001416ED">
        <w:rPr>
          <w:lang w:val="uk-UA"/>
        </w:rPr>
        <w:t>–</w:t>
      </w:r>
      <w:r w:rsidR="00305CEB" w:rsidRPr="001416ED">
        <w:rPr>
          <w:lang w:val="uk-UA"/>
        </w:rPr>
        <w:t>1 в плазмі крові достовірно вище, ніж в осіб без серцево</w:t>
      </w:r>
      <w:r w:rsidR="00BC0119" w:rsidRPr="001416ED">
        <w:rPr>
          <w:lang w:val="uk-UA"/>
        </w:rPr>
        <w:t>–</w:t>
      </w:r>
      <w:r w:rsidR="00305CEB" w:rsidRPr="001416ED">
        <w:rPr>
          <w:lang w:val="uk-UA"/>
        </w:rPr>
        <w:t>судинної патології</w:t>
      </w:r>
      <w:r w:rsidR="00305CEB" w:rsidRPr="001416ED">
        <w:rPr>
          <w:i/>
          <w:lang w:val="uk-UA"/>
        </w:rPr>
        <w:t xml:space="preserve">. </w:t>
      </w:r>
      <w:r w:rsidR="00305CEB" w:rsidRPr="001416ED">
        <w:rPr>
          <w:lang w:val="uk-UA"/>
        </w:rPr>
        <w:t>Досліджено, що при будь</w:t>
      </w:r>
      <w:r w:rsidR="00BC0119" w:rsidRPr="001416ED">
        <w:rPr>
          <w:lang w:val="uk-UA"/>
        </w:rPr>
        <w:t>–</w:t>
      </w:r>
      <w:r w:rsidR="00305CEB" w:rsidRPr="001416ED">
        <w:rPr>
          <w:lang w:val="uk-UA"/>
        </w:rPr>
        <w:t>якому варіанті перебігу ГХ носійство алелі Asn асоціюється з найвищою плазмовою концентрацією пептиду.</w:t>
      </w:r>
      <w:r w:rsidR="00305CEB" w:rsidRPr="001416ED">
        <w:rPr>
          <w:i/>
          <w:lang w:val="uk-UA"/>
        </w:rPr>
        <w:t xml:space="preserve"> </w:t>
      </w:r>
      <w:r w:rsidR="00305CEB" w:rsidRPr="001416ED">
        <w:rPr>
          <w:lang w:val="uk-UA"/>
        </w:rPr>
        <w:t>При носійстві генотипу Lys/Lys рівень ЕТ</w:t>
      </w:r>
      <w:r w:rsidR="00BC0119" w:rsidRPr="001416ED">
        <w:rPr>
          <w:lang w:val="uk-UA"/>
        </w:rPr>
        <w:t>–</w:t>
      </w:r>
      <w:r w:rsidR="00305CEB" w:rsidRPr="001416ED">
        <w:rPr>
          <w:lang w:val="uk-UA"/>
        </w:rPr>
        <w:t xml:space="preserve">1 вірогідно найвищий у чоловіків з </w:t>
      </w:r>
      <w:r w:rsidR="00376DD5" w:rsidRPr="001416ED">
        <w:rPr>
          <w:lang w:val="uk-UA"/>
        </w:rPr>
        <w:t xml:space="preserve">ГХ </w:t>
      </w:r>
      <w:r w:rsidR="00376DD5" w:rsidRPr="001416ED">
        <w:rPr>
          <w:lang w:val="uk-UA"/>
        </w:rPr>
        <w:lastRenderedPageBreak/>
        <w:t>ІІІ ст.</w:t>
      </w:r>
      <w:r w:rsidR="00CC2D12" w:rsidRPr="001416ED">
        <w:rPr>
          <w:lang w:val="uk-UA"/>
        </w:rPr>
        <w:t>,</w:t>
      </w:r>
      <w:r w:rsidR="00376DD5" w:rsidRPr="001416ED">
        <w:rPr>
          <w:lang w:val="uk-UA"/>
        </w:rPr>
        <w:t xml:space="preserve"> </w:t>
      </w:r>
      <w:r w:rsidR="00305CEB" w:rsidRPr="001416ED">
        <w:rPr>
          <w:lang w:val="uk-UA"/>
        </w:rPr>
        <w:t>однак</w:t>
      </w:r>
      <w:r w:rsidR="00CC2D12" w:rsidRPr="001416ED">
        <w:rPr>
          <w:lang w:val="uk-UA"/>
        </w:rPr>
        <w:t>,</w:t>
      </w:r>
      <w:r w:rsidR="00305CEB" w:rsidRPr="001416ED">
        <w:rPr>
          <w:lang w:val="uk-UA"/>
        </w:rPr>
        <w:t xml:space="preserve"> у носіїв алелі Asn різниці у плазмовій концентрації пептиду між пацієнтами з </w:t>
      </w:r>
      <w:r w:rsidR="001868E0" w:rsidRPr="001416ED">
        <w:rPr>
          <w:lang w:val="uk-UA"/>
        </w:rPr>
        <w:t xml:space="preserve">ГХ різної </w:t>
      </w:r>
      <w:r w:rsidR="00046A18" w:rsidRPr="001416ED">
        <w:rPr>
          <w:lang w:val="uk-UA"/>
        </w:rPr>
        <w:t>стадії</w:t>
      </w:r>
      <w:r w:rsidR="001868E0" w:rsidRPr="001416ED">
        <w:rPr>
          <w:lang w:val="uk-UA"/>
        </w:rPr>
        <w:t xml:space="preserve"> не знайдено.</w:t>
      </w:r>
    </w:p>
    <w:p w:rsidR="00305CEB" w:rsidRPr="001416ED" w:rsidRDefault="00305CEB" w:rsidP="001868E0">
      <w:pPr>
        <w:spacing w:line="360" w:lineRule="auto"/>
        <w:ind w:firstLine="709"/>
        <w:jc w:val="both"/>
        <w:rPr>
          <w:lang w:val="uk-UA"/>
        </w:rPr>
      </w:pPr>
      <w:r w:rsidRPr="001416ED">
        <w:rPr>
          <w:lang w:val="uk-UA"/>
        </w:rPr>
        <w:t xml:space="preserve">Отримані дані подібні до результатів </w:t>
      </w:r>
      <w:r w:rsidR="00CC2D12" w:rsidRPr="001416ED">
        <w:rPr>
          <w:lang w:val="uk-UA"/>
        </w:rPr>
        <w:t xml:space="preserve">Е. М. </w:t>
      </w:r>
      <w:r w:rsidRPr="001416ED">
        <w:rPr>
          <w:lang w:val="uk-UA"/>
        </w:rPr>
        <w:t xml:space="preserve">Березикової (Росія), де володарі генотипу </w:t>
      </w:r>
      <w:r w:rsidRPr="001416ED">
        <w:rPr>
          <w:lang w:val="en-US"/>
        </w:rPr>
        <w:t>Asn</w:t>
      </w:r>
      <w:r w:rsidRPr="001416ED">
        <w:rPr>
          <w:lang w:val="uk-UA"/>
        </w:rPr>
        <w:t>/</w:t>
      </w:r>
      <w:r w:rsidRPr="001416ED">
        <w:rPr>
          <w:lang w:val="en-US"/>
        </w:rPr>
        <w:t>Asn</w:t>
      </w:r>
      <w:r w:rsidRPr="001416ED">
        <w:rPr>
          <w:lang w:val="uk-UA"/>
        </w:rPr>
        <w:t xml:space="preserve"> мали вірогідно вищий рівень ЕТ</w:t>
      </w:r>
      <w:r w:rsidR="00BC0119" w:rsidRPr="001416ED">
        <w:rPr>
          <w:lang w:val="uk-UA"/>
        </w:rPr>
        <w:t>–</w:t>
      </w:r>
      <w:r w:rsidRPr="001416ED">
        <w:rPr>
          <w:lang w:val="uk-UA"/>
        </w:rPr>
        <w:t xml:space="preserve">1, ніж гомозиготи </w:t>
      </w:r>
      <w:r w:rsidRPr="001416ED">
        <w:rPr>
          <w:lang w:val="en-US"/>
        </w:rPr>
        <w:t>Lys</w:t>
      </w:r>
      <w:r w:rsidRPr="001416ED">
        <w:rPr>
          <w:lang w:val="uk-UA"/>
        </w:rPr>
        <w:t xml:space="preserve">, проте різниці між генотипами </w:t>
      </w:r>
      <w:r w:rsidRPr="001416ED">
        <w:rPr>
          <w:lang w:val="en-US"/>
        </w:rPr>
        <w:t>Lys</w:t>
      </w:r>
      <w:r w:rsidRPr="001416ED">
        <w:rPr>
          <w:lang w:val="uk-UA"/>
        </w:rPr>
        <w:t>/</w:t>
      </w:r>
      <w:r w:rsidRPr="001416ED">
        <w:rPr>
          <w:lang w:val="en-US"/>
        </w:rPr>
        <w:t>Asn</w:t>
      </w:r>
      <w:r w:rsidRPr="001416ED">
        <w:rPr>
          <w:lang w:val="uk-UA"/>
        </w:rPr>
        <w:t xml:space="preserve"> та </w:t>
      </w:r>
      <w:r w:rsidRPr="001416ED">
        <w:rPr>
          <w:lang w:val="en-US"/>
        </w:rPr>
        <w:t>Asn</w:t>
      </w:r>
      <w:r w:rsidRPr="001416ED">
        <w:rPr>
          <w:lang w:val="uk-UA"/>
        </w:rPr>
        <w:t>/</w:t>
      </w:r>
      <w:r w:rsidRPr="001416ED">
        <w:rPr>
          <w:lang w:val="en-US"/>
        </w:rPr>
        <w:t>Asn</w:t>
      </w:r>
      <w:r w:rsidRPr="001416ED">
        <w:rPr>
          <w:lang w:val="uk-UA"/>
        </w:rPr>
        <w:t xml:space="preserve">, </w:t>
      </w:r>
      <w:r w:rsidRPr="001416ED">
        <w:rPr>
          <w:lang w:val="en-US"/>
        </w:rPr>
        <w:t>Lys</w:t>
      </w:r>
      <w:r w:rsidRPr="001416ED">
        <w:rPr>
          <w:lang w:val="uk-UA"/>
        </w:rPr>
        <w:t>/</w:t>
      </w:r>
      <w:r w:rsidRPr="001416ED">
        <w:rPr>
          <w:lang w:val="en-US"/>
        </w:rPr>
        <w:t>Asn</w:t>
      </w:r>
      <w:r w:rsidRPr="001416ED">
        <w:rPr>
          <w:lang w:val="uk-UA"/>
        </w:rPr>
        <w:t xml:space="preserve"> та </w:t>
      </w:r>
      <w:r w:rsidRPr="001416ED">
        <w:rPr>
          <w:lang w:val="en-US"/>
        </w:rPr>
        <w:t>Lys</w:t>
      </w:r>
      <w:r w:rsidRPr="001416ED">
        <w:rPr>
          <w:lang w:val="uk-UA"/>
        </w:rPr>
        <w:t>/</w:t>
      </w:r>
      <w:r w:rsidRPr="001416ED">
        <w:rPr>
          <w:lang w:val="en-US"/>
        </w:rPr>
        <w:t>Lys</w:t>
      </w:r>
      <w:r w:rsidRPr="001416ED">
        <w:rPr>
          <w:lang w:val="uk-UA"/>
        </w:rPr>
        <w:t xml:space="preserve"> не була встановлена [</w:t>
      </w:r>
      <w:r w:rsidR="00785922" w:rsidRPr="001416ED">
        <w:rPr>
          <w:lang w:val="uk-UA"/>
        </w:rPr>
        <w:t>6</w:t>
      </w:r>
      <w:r w:rsidRPr="001416ED">
        <w:rPr>
          <w:lang w:val="uk-UA"/>
        </w:rPr>
        <w:t>].</w:t>
      </w:r>
      <w:r w:rsidRPr="001416ED">
        <w:rPr>
          <w:b/>
          <w:lang w:val="uk-UA"/>
        </w:rPr>
        <w:t xml:space="preserve"> </w:t>
      </w:r>
      <w:r w:rsidRPr="001416ED">
        <w:rPr>
          <w:lang w:val="uk-UA"/>
        </w:rPr>
        <w:t>У</w:t>
      </w:r>
      <w:r w:rsidR="005A283E" w:rsidRPr="001416ED">
        <w:rPr>
          <w:lang w:val="uk-UA"/>
        </w:rPr>
        <w:t xml:space="preserve"> мешканців</w:t>
      </w:r>
      <w:r w:rsidRPr="001416ED">
        <w:rPr>
          <w:lang w:val="uk-UA"/>
        </w:rPr>
        <w:t xml:space="preserve"> Владикавказ</w:t>
      </w:r>
      <w:r w:rsidR="005A283E" w:rsidRPr="001416ED">
        <w:rPr>
          <w:lang w:val="uk-UA"/>
        </w:rPr>
        <w:t>у</w:t>
      </w:r>
      <w:r w:rsidR="00A1036D">
        <w:rPr>
          <w:lang w:val="uk-UA"/>
        </w:rPr>
        <w:t xml:space="preserve"> (Росія)</w:t>
      </w:r>
      <w:r w:rsidRPr="001416ED">
        <w:rPr>
          <w:lang w:val="uk-UA"/>
        </w:rPr>
        <w:t xml:space="preserve"> носійство алел</w:t>
      </w:r>
      <w:r w:rsidR="00A1036D">
        <w:rPr>
          <w:lang w:val="uk-UA"/>
        </w:rPr>
        <w:t>і</w:t>
      </w:r>
      <w:r w:rsidRPr="001416ED">
        <w:rPr>
          <w:lang w:val="uk-UA"/>
        </w:rPr>
        <w:t xml:space="preserve"> Asn асоціюється з вищим рівнем ЕТ</w:t>
      </w:r>
      <w:r w:rsidR="00BC0119" w:rsidRPr="001416ED">
        <w:rPr>
          <w:lang w:val="uk-UA"/>
        </w:rPr>
        <w:t>–</w:t>
      </w:r>
      <w:r w:rsidRPr="001416ED">
        <w:rPr>
          <w:lang w:val="uk-UA"/>
        </w:rPr>
        <w:t>1 в плазмі крові, ніж у пацієнтів з генотипом Lys/Lys [</w:t>
      </w:r>
      <w:r w:rsidR="006303ED" w:rsidRPr="001416ED">
        <w:rPr>
          <w:lang w:val="uk-UA"/>
        </w:rPr>
        <w:t>9</w:t>
      </w:r>
      <w:r w:rsidR="00785922" w:rsidRPr="001416ED">
        <w:rPr>
          <w:lang w:val="uk-UA"/>
        </w:rPr>
        <w:t>1</w:t>
      </w:r>
      <w:r w:rsidRPr="001416ED">
        <w:rPr>
          <w:lang w:val="uk-UA"/>
        </w:rPr>
        <w:t>].</w:t>
      </w:r>
      <w:r w:rsidRPr="001416ED">
        <w:rPr>
          <w:b/>
          <w:lang w:val="uk-UA"/>
        </w:rPr>
        <w:t xml:space="preserve"> </w:t>
      </w:r>
      <w:r w:rsidRPr="001416ED">
        <w:rPr>
          <w:lang w:val="uk-UA"/>
        </w:rPr>
        <w:t>У вагітних жінок Австралії генотип Asn/Asn призводить до достовірно найвищої плазмової концентрації ЕТ</w:t>
      </w:r>
      <w:r w:rsidR="00BC0119" w:rsidRPr="001416ED">
        <w:rPr>
          <w:lang w:val="uk-UA"/>
        </w:rPr>
        <w:t>–</w:t>
      </w:r>
      <w:r w:rsidRPr="001416ED">
        <w:rPr>
          <w:lang w:val="uk-UA"/>
        </w:rPr>
        <w:t xml:space="preserve">1 (5,8 </w:t>
      </w:r>
      <w:r w:rsidR="00023CB5" w:rsidRPr="001416ED">
        <w:rPr>
          <w:lang w:val="uk-UA"/>
        </w:rPr>
        <w:t>пмоль/мл</w:t>
      </w:r>
      <w:r w:rsidRPr="001416ED">
        <w:rPr>
          <w:lang w:val="uk-UA"/>
        </w:rPr>
        <w:t xml:space="preserve">) в порівнянні з гетерозиготним варіантом </w:t>
      </w:r>
      <w:r w:rsidRPr="001416ED">
        <w:rPr>
          <w:lang w:val="en-US"/>
        </w:rPr>
        <w:t>Lys</w:t>
      </w:r>
      <w:r w:rsidRPr="001416ED">
        <w:rPr>
          <w:lang w:val="uk-UA"/>
        </w:rPr>
        <w:t>/</w:t>
      </w:r>
      <w:r w:rsidRPr="001416ED">
        <w:rPr>
          <w:lang w:val="en-US"/>
        </w:rPr>
        <w:t>Asn</w:t>
      </w:r>
      <w:r w:rsidRPr="001416ED">
        <w:rPr>
          <w:lang w:val="uk-UA"/>
        </w:rPr>
        <w:t xml:space="preserve"> (3,1 </w:t>
      </w:r>
      <w:r w:rsidR="00023CB5" w:rsidRPr="001416ED">
        <w:rPr>
          <w:lang w:val="uk-UA"/>
        </w:rPr>
        <w:t>пмоль/мл</w:t>
      </w:r>
      <w:r w:rsidRPr="001416ED">
        <w:rPr>
          <w:lang w:val="uk-UA"/>
        </w:rPr>
        <w:t xml:space="preserve">) та нормальним гомозиготним генотипом Lys/Lys – 3,6 </w:t>
      </w:r>
      <w:r w:rsidR="00023CB5" w:rsidRPr="001416ED">
        <w:rPr>
          <w:lang w:val="uk-UA"/>
        </w:rPr>
        <w:t>пмоль/мл</w:t>
      </w:r>
      <w:r w:rsidRPr="001416ED">
        <w:rPr>
          <w:lang w:val="uk-UA"/>
        </w:rPr>
        <w:t xml:space="preserve"> [</w:t>
      </w:r>
      <w:r w:rsidR="009A6567" w:rsidRPr="001416ED">
        <w:rPr>
          <w:lang w:val="uk-UA"/>
        </w:rPr>
        <w:t>1</w:t>
      </w:r>
      <w:r w:rsidR="00785922" w:rsidRPr="001416ED">
        <w:rPr>
          <w:lang w:val="uk-UA"/>
        </w:rPr>
        <w:t>02</w:t>
      </w:r>
      <w:r w:rsidRPr="001416ED">
        <w:rPr>
          <w:lang w:val="uk-UA"/>
        </w:rPr>
        <w:t xml:space="preserve">]. </w:t>
      </w:r>
      <w:r w:rsidR="00CC2D12" w:rsidRPr="001416ED">
        <w:rPr>
          <w:lang w:val="uk-UA"/>
        </w:rPr>
        <w:t xml:space="preserve">С. </w:t>
      </w:r>
      <w:r w:rsidRPr="001416ED">
        <w:rPr>
          <w:lang w:val="uk-UA"/>
        </w:rPr>
        <w:t xml:space="preserve">Tanaka </w:t>
      </w:r>
      <w:r w:rsidRPr="001416ED">
        <w:rPr>
          <w:lang w:val="en-US"/>
        </w:rPr>
        <w:t>et</w:t>
      </w:r>
      <w:r w:rsidRPr="001416ED">
        <w:rPr>
          <w:lang w:val="uk-UA"/>
        </w:rPr>
        <w:t xml:space="preserve">. </w:t>
      </w:r>
      <w:r w:rsidRPr="001416ED">
        <w:rPr>
          <w:lang w:val="en-US"/>
        </w:rPr>
        <w:t>al</w:t>
      </w:r>
      <w:r w:rsidRPr="001416ED">
        <w:rPr>
          <w:lang w:val="uk-UA"/>
        </w:rPr>
        <w:t xml:space="preserve">. </w:t>
      </w:r>
      <w:r w:rsidR="001868E0" w:rsidRPr="001416ED">
        <w:rPr>
          <w:lang w:val="uk-UA"/>
        </w:rPr>
        <w:t>п</w:t>
      </w:r>
      <w:r w:rsidR="00A1036D">
        <w:rPr>
          <w:lang w:val="uk-UA"/>
        </w:rPr>
        <w:t>оказав протилежні дані</w:t>
      </w:r>
      <w:r w:rsidR="00BC0119" w:rsidRPr="001416ED">
        <w:rPr>
          <w:lang w:val="uk-UA"/>
        </w:rPr>
        <w:t>–</w:t>
      </w:r>
      <w:r w:rsidRPr="001416ED">
        <w:rPr>
          <w:lang w:val="uk-UA"/>
        </w:rPr>
        <w:t xml:space="preserve"> особи з ЕГ, що мають генотип Asn/Asn, мають тенденцію до збільшення рівня ЕТ</w:t>
      </w:r>
      <w:r w:rsidR="00BC0119" w:rsidRPr="001416ED">
        <w:rPr>
          <w:lang w:val="uk-UA"/>
        </w:rPr>
        <w:t>–</w:t>
      </w:r>
      <w:r w:rsidRPr="001416ED">
        <w:rPr>
          <w:lang w:val="uk-UA"/>
        </w:rPr>
        <w:t>1 в плазмі крові, в порівнянні з хворими з генотипом Lys/Lys, проте достовірної різниці не виявлено [1</w:t>
      </w:r>
      <w:r w:rsidR="00785922" w:rsidRPr="001416ED">
        <w:rPr>
          <w:lang w:val="uk-UA"/>
        </w:rPr>
        <w:t>85</w:t>
      </w:r>
      <w:r w:rsidRPr="001416ED">
        <w:rPr>
          <w:lang w:val="uk-UA"/>
        </w:rPr>
        <w:t xml:space="preserve">]. </w:t>
      </w:r>
    </w:p>
    <w:p w:rsidR="00305CEB" w:rsidRPr="001416ED" w:rsidRDefault="00305CEB" w:rsidP="00305CEB">
      <w:pPr>
        <w:spacing w:line="360" w:lineRule="auto"/>
        <w:ind w:firstLine="709"/>
        <w:jc w:val="both"/>
      </w:pPr>
      <w:r w:rsidRPr="001416ED">
        <w:rPr>
          <w:lang w:val="uk-UA"/>
        </w:rPr>
        <w:t>Встановлено, що плазмова концентрація ЕТ</w:t>
      </w:r>
      <w:r w:rsidR="00BC0119" w:rsidRPr="001416ED">
        <w:rPr>
          <w:lang w:val="uk-UA"/>
        </w:rPr>
        <w:t>–</w:t>
      </w:r>
      <w:r w:rsidRPr="001416ED">
        <w:rPr>
          <w:lang w:val="uk-UA"/>
        </w:rPr>
        <w:t xml:space="preserve">1 </w:t>
      </w:r>
      <w:r w:rsidR="00CF7AB4" w:rsidRPr="001416ED">
        <w:rPr>
          <w:lang w:val="uk-UA"/>
        </w:rPr>
        <w:t xml:space="preserve">у чоловіків з ГХ </w:t>
      </w:r>
      <w:r w:rsidRPr="001416ED">
        <w:rPr>
          <w:lang w:val="uk-UA"/>
        </w:rPr>
        <w:t xml:space="preserve">при різному ІМТ не відрізняється, що дає перевагу даному пептиду, на відміну від інших, при наявності ожиріння. Подібні результати отримані в роботі </w:t>
      </w:r>
      <w:r w:rsidR="00CC2D12" w:rsidRPr="001416ED">
        <w:rPr>
          <w:lang w:val="uk-UA"/>
        </w:rPr>
        <w:t xml:space="preserve">В. В. </w:t>
      </w:r>
      <w:r w:rsidRPr="001416ED">
        <w:rPr>
          <w:lang w:val="uk-UA"/>
        </w:rPr>
        <w:t xml:space="preserve">Багрій при обстеженні жінок з ГХ І та ІІ стадій та у </w:t>
      </w:r>
      <w:r w:rsidR="00CC2D12" w:rsidRPr="001416ED">
        <w:rPr>
          <w:lang w:val="uk-UA"/>
        </w:rPr>
        <w:t xml:space="preserve">Г. В. </w:t>
      </w:r>
      <w:r w:rsidRPr="001416ED">
        <w:rPr>
          <w:lang w:val="uk-UA"/>
        </w:rPr>
        <w:t>Вільчинського при обстеженні жінок з ГХ ІІІ ст. (в анамнезі МІ та ІМ) [</w:t>
      </w:r>
      <w:r w:rsidR="00785922" w:rsidRPr="001416ED">
        <w:rPr>
          <w:lang w:val="uk-UA"/>
        </w:rPr>
        <w:t>4</w:t>
      </w:r>
      <w:r w:rsidR="00F52A70" w:rsidRPr="001416ED">
        <w:rPr>
          <w:lang w:val="uk-UA"/>
        </w:rPr>
        <w:t>,</w:t>
      </w:r>
      <w:r w:rsidR="00CC2D12" w:rsidRPr="001416ED">
        <w:rPr>
          <w:lang w:val="uk-UA"/>
        </w:rPr>
        <w:t xml:space="preserve"> </w:t>
      </w:r>
      <w:r w:rsidR="006303ED" w:rsidRPr="001416ED">
        <w:rPr>
          <w:lang w:val="uk-UA"/>
        </w:rPr>
        <w:t>1</w:t>
      </w:r>
      <w:r w:rsidR="00785922" w:rsidRPr="001416ED">
        <w:rPr>
          <w:lang w:val="uk-UA"/>
        </w:rPr>
        <w:t>4</w:t>
      </w:r>
      <w:r w:rsidRPr="001416ED">
        <w:rPr>
          <w:lang w:val="uk-UA"/>
        </w:rPr>
        <w:t xml:space="preserve">]. У роботі </w:t>
      </w:r>
      <w:r w:rsidR="00CC2D12" w:rsidRPr="001416ED">
        <w:rPr>
          <w:lang w:val="uk-UA"/>
        </w:rPr>
        <w:t xml:space="preserve">Е. Б. </w:t>
      </w:r>
      <w:r w:rsidRPr="001416ED">
        <w:rPr>
          <w:lang w:val="uk-UA"/>
        </w:rPr>
        <w:t>Петрової (Білорусь) показано, що у хворих з постінфарктним кардіосклерозом та вісцеральним ожирінням рівень ЕТ</w:t>
      </w:r>
      <w:r w:rsidR="00046A18" w:rsidRPr="001416ED">
        <w:rPr>
          <w:lang w:val="uk-UA"/>
        </w:rPr>
        <w:t>-1</w:t>
      </w:r>
      <w:r w:rsidRPr="001416ED">
        <w:rPr>
          <w:lang w:val="uk-UA"/>
        </w:rPr>
        <w:t xml:space="preserve"> виявився вірогідно вищим, ніж при даному захворюванні та без ожиріння (0,717</w:t>
      </w:r>
      <w:r w:rsidR="007A07A9" w:rsidRPr="001416ED">
        <w:rPr>
          <w:lang w:val="uk-UA"/>
        </w:rPr>
        <w:t xml:space="preserve"> ± </w:t>
      </w:r>
      <w:r w:rsidRPr="001416ED">
        <w:rPr>
          <w:lang w:val="uk-UA"/>
        </w:rPr>
        <w:t>0,027</w:t>
      </w:r>
      <w:r w:rsidR="00C5382C" w:rsidRPr="001416ED">
        <w:rPr>
          <w:lang w:val="uk-UA"/>
        </w:rPr>
        <w:t>)</w:t>
      </w:r>
      <w:r w:rsidRPr="001416ED">
        <w:rPr>
          <w:lang w:val="uk-UA"/>
        </w:rPr>
        <w:t xml:space="preserve"> нг/мл і </w:t>
      </w:r>
      <w:r w:rsidR="00C5382C" w:rsidRPr="001416ED">
        <w:rPr>
          <w:lang w:val="uk-UA"/>
        </w:rPr>
        <w:t>(</w:t>
      </w:r>
      <w:r w:rsidRPr="001416ED">
        <w:rPr>
          <w:lang w:val="uk-UA"/>
        </w:rPr>
        <w:t>0,496</w:t>
      </w:r>
      <w:r w:rsidR="007A07A9" w:rsidRPr="001416ED">
        <w:rPr>
          <w:lang w:val="uk-UA"/>
        </w:rPr>
        <w:t xml:space="preserve"> ± </w:t>
      </w:r>
      <w:r w:rsidRPr="001416ED">
        <w:rPr>
          <w:lang w:val="uk-UA"/>
        </w:rPr>
        <w:t>0,036</w:t>
      </w:r>
      <w:r w:rsidR="00C5382C" w:rsidRPr="001416ED">
        <w:rPr>
          <w:lang w:val="uk-UA"/>
        </w:rPr>
        <w:t>)</w:t>
      </w:r>
      <w:r w:rsidRPr="001416ED">
        <w:rPr>
          <w:lang w:val="uk-UA"/>
        </w:rPr>
        <w:t xml:space="preserve"> нг/мл, відповідно) [</w:t>
      </w:r>
      <w:r w:rsidR="006303ED" w:rsidRPr="001416ED">
        <w:rPr>
          <w:lang w:val="uk-UA"/>
        </w:rPr>
        <w:t>6</w:t>
      </w:r>
      <w:r w:rsidR="00785922" w:rsidRPr="001416ED">
        <w:rPr>
          <w:lang w:val="uk-UA"/>
        </w:rPr>
        <w:t>2</w:t>
      </w:r>
      <w:r w:rsidRPr="001416ED">
        <w:rPr>
          <w:lang w:val="uk-UA"/>
        </w:rPr>
        <w:t>]. У польському дослідженні рівень ЕТ</w:t>
      </w:r>
      <w:r w:rsidR="00BC0119" w:rsidRPr="001416ED">
        <w:rPr>
          <w:lang w:val="uk-UA"/>
        </w:rPr>
        <w:t>–</w:t>
      </w:r>
      <w:r w:rsidRPr="001416ED">
        <w:rPr>
          <w:lang w:val="uk-UA"/>
        </w:rPr>
        <w:t>1 у осіб з ГХ та ожирінням був вірогідно вищим, ніж при ГХ і без ожиріння. Знайдена позитивна кореляція між плазмовою концентрацією ЕТ</w:t>
      </w:r>
      <w:r w:rsidR="00BC0119" w:rsidRPr="001416ED">
        <w:rPr>
          <w:lang w:val="uk-UA"/>
        </w:rPr>
        <w:t>–</w:t>
      </w:r>
      <w:r w:rsidRPr="001416ED">
        <w:rPr>
          <w:lang w:val="uk-UA"/>
        </w:rPr>
        <w:t>1 та ІМТ [</w:t>
      </w:r>
      <w:r w:rsidR="009A6567" w:rsidRPr="001416ED">
        <w:rPr>
          <w:lang w:val="uk-UA"/>
        </w:rPr>
        <w:t>1</w:t>
      </w:r>
      <w:r w:rsidR="00785922" w:rsidRPr="001416ED">
        <w:rPr>
          <w:lang w:val="uk-UA"/>
        </w:rPr>
        <w:t>35</w:t>
      </w:r>
      <w:r w:rsidRPr="001416ED">
        <w:rPr>
          <w:lang w:val="uk-UA"/>
        </w:rPr>
        <w:t>]. Зниження маси тіла достовірно зменшувало рівень ЕТ</w:t>
      </w:r>
      <w:r w:rsidR="00BC0119" w:rsidRPr="001416ED">
        <w:rPr>
          <w:lang w:val="uk-UA"/>
        </w:rPr>
        <w:t>–</w:t>
      </w:r>
      <w:r w:rsidRPr="001416ED">
        <w:rPr>
          <w:lang w:val="uk-UA"/>
        </w:rPr>
        <w:t>1 в плазмі крові [</w:t>
      </w:r>
      <w:r w:rsidR="009A6567" w:rsidRPr="001416ED">
        <w:rPr>
          <w:lang w:val="uk-UA"/>
        </w:rPr>
        <w:t>1</w:t>
      </w:r>
      <w:r w:rsidR="00785922" w:rsidRPr="001416ED">
        <w:rPr>
          <w:lang w:val="uk-UA"/>
        </w:rPr>
        <w:t>33</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Наступним кроком став розрахунок межових рівнів ЕТ</w:t>
      </w:r>
      <w:r w:rsidR="00BC0119" w:rsidRPr="001416ED">
        <w:rPr>
          <w:lang w:val="uk-UA"/>
        </w:rPr>
        <w:t>–</w:t>
      </w:r>
      <w:r w:rsidRPr="001416ED">
        <w:rPr>
          <w:lang w:val="uk-UA"/>
        </w:rPr>
        <w:t xml:space="preserve">1 в плазмі крові для осіб з ГХ </w:t>
      </w:r>
      <w:r w:rsidR="009877CF" w:rsidRPr="001416ED">
        <w:rPr>
          <w:lang w:val="uk-UA"/>
        </w:rPr>
        <w:t>для</w:t>
      </w:r>
      <w:r w:rsidR="00CF7AB4" w:rsidRPr="001416ED">
        <w:rPr>
          <w:lang w:val="uk-UA"/>
        </w:rPr>
        <w:t xml:space="preserve"> уточнення </w:t>
      </w:r>
      <w:r w:rsidR="00046A18" w:rsidRPr="001416ED">
        <w:rPr>
          <w:lang w:val="uk-UA"/>
        </w:rPr>
        <w:t>стадії</w:t>
      </w:r>
      <w:r w:rsidR="00CF7AB4" w:rsidRPr="001416ED">
        <w:rPr>
          <w:lang w:val="uk-UA"/>
        </w:rPr>
        <w:t xml:space="preserve"> перебігу захворювання</w:t>
      </w:r>
      <w:r w:rsidR="00093A07" w:rsidRPr="001416ED">
        <w:rPr>
          <w:lang w:val="uk-UA"/>
        </w:rPr>
        <w:t xml:space="preserve"> та орієнтовного визначення носійства </w:t>
      </w:r>
      <w:r w:rsidR="00F40216">
        <w:rPr>
          <w:lang w:val="uk-UA"/>
        </w:rPr>
        <w:t>варіантів гена</w:t>
      </w:r>
      <w:r w:rsidR="00093A07" w:rsidRPr="001416ED">
        <w:rPr>
          <w:lang w:val="uk-UA"/>
        </w:rPr>
        <w:t xml:space="preserve"> ЕТ-1</w:t>
      </w:r>
      <w:r w:rsidR="00CF7AB4" w:rsidRPr="001416ED">
        <w:rPr>
          <w:lang w:val="uk-UA"/>
        </w:rPr>
        <w:t xml:space="preserve">. Ці показники </w:t>
      </w:r>
      <w:r w:rsidRPr="001416ED">
        <w:rPr>
          <w:lang w:val="uk-UA"/>
        </w:rPr>
        <w:t xml:space="preserve">можна використовувати для </w:t>
      </w:r>
      <w:r w:rsidRPr="001416ED">
        <w:rPr>
          <w:lang w:val="uk-UA"/>
        </w:rPr>
        <w:lastRenderedPageBreak/>
        <w:t xml:space="preserve">скринінгової діагностики, і відбору </w:t>
      </w:r>
      <w:r w:rsidR="00F71FB1" w:rsidRPr="001416ED">
        <w:rPr>
          <w:lang w:val="uk-UA"/>
        </w:rPr>
        <w:t>пацієнтів</w:t>
      </w:r>
      <w:r w:rsidRPr="001416ED">
        <w:rPr>
          <w:lang w:val="uk-UA"/>
        </w:rPr>
        <w:t xml:space="preserve"> для подальшого, більш глибокого обстеження</w:t>
      </w:r>
      <w:r w:rsidR="00F71FB1" w:rsidRPr="001416ED">
        <w:rPr>
          <w:lang w:val="uk-UA"/>
        </w:rPr>
        <w:t>, а також проведення заходів вторинної профілактики</w:t>
      </w:r>
      <w:r w:rsidR="004A2389" w:rsidRPr="001416ED">
        <w:rPr>
          <w:lang w:val="uk-UA"/>
        </w:rPr>
        <w:t xml:space="preserve"> (див. розділ 4)</w:t>
      </w:r>
      <w:r w:rsidRPr="001416ED">
        <w:rPr>
          <w:lang w:val="uk-UA"/>
        </w:rPr>
        <w:t>.</w:t>
      </w:r>
    </w:p>
    <w:p w:rsidR="00305CEB" w:rsidRPr="001416ED" w:rsidRDefault="00305CEB" w:rsidP="00FD6F5D">
      <w:pPr>
        <w:spacing w:line="360" w:lineRule="auto"/>
        <w:ind w:firstLine="709"/>
        <w:jc w:val="both"/>
        <w:rPr>
          <w:lang w:val="uk-UA"/>
        </w:rPr>
      </w:pPr>
      <w:r w:rsidRPr="001416ED">
        <w:rPr>
          <w:lang w:val="uk-UA"/>
        </w:rPr>
        <w:t xml:space="preserve">Визначення плазмової концентрації СНП </w:t>
      </w:r>
      <w:r w:rsidR="00BC0119" w:rsidRPr="001416ED">
        <w:rPr>
          <w:lang w:val="uk-UA"/>
        </w:rPr>
        <w:t>–</w:t>
      </w:r>
      <w:r w:rsidRPr="001416ED">
        <w:rPr>
          <w:lang w:val="uk-UA"/>
        </w:rPr>
        <w:t xml:space="preserve"> прямого антагоніста ЕТ</w:t>
      </w:r>
      <w:r w:rsidR="00BC0119" w:rsidRPr="001416ED">
        <w:rPr>
          <w:lang w:val="uk-UA"/>
        </w:rPr>
        <w:t>–</w:t>
      </w:r>
      <w:r w:rsidRPr="001416ED">
        <w:rPr>
          <w:lang w:val="uk-UA"/>
        </w:rPr>
        <w:t xml:space="preserve">1 у осіб з ГХ </w:t>
      </w:r>
      <w:r w:rsidR="004A4E68" w:rsidRPr="001416ED">
        <w:rPr>
          <w:lang w:val="uk-UA"/>
        </w:rPr>
        <w:t xml:space="preserve">ІІ </w:t>
      </w:r>
      <w:r w:rsidR="00F924F0" w:rsidRPr="001416ED">
        <w:rPr>
          <w:lang w:val="uk-UA"/>
        </w:rPr>
        <w:t xml:space="preserve">та ІІІ </w:t>
      </w:r>
      <w:r w:rsidRPr="001416ED">
        <w:rPr>
          <w:lang w:val="uk-UA"/>
        </w:rPr>
        <w:t xml:space="preserve">ст. показало, що рівень судинного НУП вірогідно вищий у осіб з ГХ різної </w:t>
      </w:r>
      <w:r w:rsidR="00046A18" w:rsidRPr="001416ED">
        <w:rPr>
          <w:lang w:val="uk-UA"/>
        </w:rPr>
        <w:t>стадії</w:t>
      </w:r>
      <w:r w:rsidRPr="001416ED">
        <w:rPr>
          <w:lang w:val="uk-UA"/>
        </w:rPr>
        <w:t xml:space="preserve"> в порівнянні з особами без серцево</w:t>
      </w:r>
      <w:r w:rsidR="00BC0119" w:rsidRPr="001416ED">
        <w:rPr>
          <w:lang w:val="uk-UA"/>
        </w:rPr>
        <w:t>–</w:t>
      </w:r>
      <w:r w:rsidRPr="001416ED">
        <w:rPr>
          <w:lang w:val="uk-UA"/>
        </w:rPr>
        <w:t xml:space="preserve">судинної патології, однак різниці між пацієнтами з ГХ не виявлено. Подібні результати отримані на кафедрі внутрішньої медицини медичного факультету №2 ВНМУ ім. М.І. Пирогова у роботі </w:t>
      </w:r>
      <w:r w:rsidR="00F924F0" w:rsidRPr="001416ED">
        <w:rPr>
          <w:lang w:val="uk-UA"/>
        </w:rPr>
        <w:t xml:space="preserve">В. В. </w:t>
      </w:r>
      <w:r w:rsidRPr="001416ED">
        <w:rPr>
          <w:lang w:val="uk-UA"/>
        </w:rPr>
        <w:t xml:space="preserve">Багрій при дослідженні жінок з ГХ І ст. та ГХ ІІ ст. та </w:t>
      </w:r>
      <w:r w:rsidR="00F924F0" w:rsidRPr="001416ED">
        <w:rPr>
          <w:lang w:val="uk-UA"/>
        </w:rPr>
        <w:t xml:space="preserve">С. О. </w:t>
      </w:r>
      <w:r w:rsidRPr="001416ED">
        <w:rPr>
          <w:lang w:val="uk-UA"/>
        </w:rPr>
        <w:t>Степанця при обстеженні чоловіків з ГХ І ст. та ГХ ІІ ст., де рівень пептиду вірогідно вищий, ніж в групі контролю, а найвища плазмова концентрація встановлена в осіб жіночої та чоловічої статі з ГХ ІІ ст. [</w:t>
      </w:r>
      <w:r w:rsidR="00785922" w:rsidRPr="001416ED">
        <w:rPr>
          <w:lang w:val="uk-UA"/>
        </w:rPr>
        <w:t>4</w:t>
      </w:r>
      <w:r w:rsidR="006303ED" w:rsidRPr="001416ED">
        <w:rPr>
          <w:lang w:val="uk-UA"/>
        </w:rPr>
        <w:t>,</w:t>
      </w:r>
      <w:r w:rsidR="00F924F0" w:rsidRPr="001416ED">
        <w:rPr>
          <w:lang w:val="uk-UA"/>
        </w:rPr>
        <w:t xml:space="preserve"> </w:t>
      </w:r>
      <w:r w:rsidR="00785922" w:rsidRPr="001416ED">
        <w:rPr>
          <w:lang w:val="uk-UA"/>
        </w:rPr>
        <w:t>79</w:t>
      </w:r>
      <w:r w:rsidRPr="001416ED">
        <w:rPr>
          <w:lang w:val="uk-UA"/>
        </w:rPr>
        <w:t xml:space="preserve">]. Схожі дані виявлені в роботі </w:t>
      </w:r>
      <w:r w:rsidR="00FD6F5D">
        <w:rPr>
          <w:lang w:val="uk-UA"/>
        </w:rPr>
        <w:t xml:space="preserve">     </w:t>
      </w:r>
      <w:r w:rsidR="00F924F0" w:rsidRPr="001416ED">
        <w:rPr>
          <w:lang w:val="uk-UA"/>
        </w:rPr>
        <w:t xml:space="preserve">О. О. </w:t>
      </w:r>
      <w:r w:rsidRPr="001416ED">
        <w:rPr>
          <w:lang w:val="uk-UA"/>
        </w:rPr>
        <w:t xml:space="preserve">Сакович при дослідженні жінок з ГХ ІІ ст. та з </w:t>
      </w:r>
      <w:r w:rsidR="00C34030" w:rsidRPr="001416ED">
        <w:rPr>
          <w:lang w:val="uk-UA"/>
        </w:rPr>
        <w:t xml:space="preserve">ГХ ІІІ ст. </w:t>
      </w:r>
      <w:r w:rsidRPr="001416ED">
        <w:rPr>
          <w:lang w:val="uk-UA"/>
        </w:rPr>
        <w:t xml:space="preserve">та </w:t>
      </w:r>
      <w:r w:rsidR="00FD6F5D">
        <w:rPr>
          <w:lang w:val="uk-UA"/>
        </w:rPr>
        <w:t xml:space="preserve">                            </w:t>
      </w:r>
      <w:r w:rsidR="00441053" w:rsidRPr="001416ED">
        <w:rPr>
          <w:lang w:val="uk-UA"/>
        </w:rPr>
        <w:t xml:space="preserve">Г. В. </w:t>
      </w:r>
      <w:r w:rsidRPr="001416ED">
        <w:rPr>
          <w:lang w:val="uk-UA"/>
        </w:rPr>
        <w:t>Вільчинського та ін., у жінок з ГХ ІІ ст. та з ГХ з перенесеним ІМ та МІ [</w:t>
      </w:r>
      <w:r w:rsidR="002979EF" w:rsidRPr="001416ED">
        <w:rPr>
          <w:lang w:val="uk-UA"/>
        </w:rPr>
        <w:t>1</w:t>
      </w:r>
      <w:r w:rsidR="00785922" w:rsidRPr="001416ED">
        <w:rPr>
          <w:lang w:val="uk-UA"/>
        </w:rPr>
        <w:t>4</w:t>
      </w:r>
      <w:r w:rsidRPr="001416ED">
        <w:rPr>
          <w:lang w:val="uk-UA"/>
        </w:rPr>
        <w:t>,</w:t>
      </w:r>
      <w:r w:rsidR="00441053" w:rsidRPr="001416ED">
        <w:rPr>
          <w:lang w:val="uk-UA"/>
        </w:rPr>
        <w:t xml:space="preserve"> </w:t>
      </w:r>
      <w:r w:rsidR="002979EF" w:rsidRPr="001416ED">
        <w:rPr>
          <w:lang w:val="uk-UA"/>
        </w:rPr>
        <w:t>7</w:t>
      </w:r>
      <w:r w:rsidR="00785922" w:rsidRPr="001416ED">
        <w:rPr>
          <w:lang w:val="uk-UA"/>
        </w:rPr>
        <w:t>3</w:t>
      </w:r>
      <w:r w:rsidRPr="001416ED">
        <w:rPr>
          <w:lang w:val="uk-UA"/>
        </w:rPr>
        <w:t xml:space="preserve">]. </w:t>
      </w:r>
      <w:r w:rsidR="00441053" w:rsidRPr="001416ED">
        <w:rPr>
          <w:lang w:val="uk-UA"/>
        </w:rPr>
        <w:t xml:space="preserve">С. Н. </w:t>
      </w:r>
      <w:r w:rsidRPr="001416ED">
        <w:rPr>
          <w:lang w:val="uk-UA"/>
        </w:rPr>
        <w:t xml:space="preserve">Полівода </w:t>
      </w:r>
      <w:r w:rsidR="00B86142" w:rsidRPr="001416ED">
        <w:rPr>
          <w:lang w:val="uk-UA"/>
        </w:rPr>
        <w:t xml:space="preserve">та співавт. </w:t>
      </w:r>
      <w:r w:rsidRPr="001416ED">
        <w:rPr>
          <w:lang w:val="uk-UA"/>
        </w:rPr>
        <w:t>(м. Запоріжжя</w:t>
      </w:r>
      <w:r w:rsidR="00EA3DAF" w:rsidRPr="001416ED">
        <w:rPr>
          <w:lang w:val="uk-UA"/>
        </w:rPr>
        <w:t xml:space="preserve">, </w:t>
      </w:r>
      <w:r w:rsidR="00FD6F5D">
        <w:rPr>
          <w:lang w:val="uk-UA"/>
        </w:rPr>
        <w:t>Україна</w:t>
      </w:r>
      <w:r w:rsidRPr="001416ED">
        <w:rPr>
          <w:lang w:val="uk-UA"/>
        </w:rPr>
        <w:t xml:space="preserve">) та </w:t>
      </w:r>
      <w:r w:rsidR="00441053" w:rsidRPr="001416ED">
        <w:rPr>
          <w:lang w:val="uk-UA"/>
        </w:rPr>
        <w:t xml:space="preserve">І. П. </w:t>
      </w:r>
      <w:r w:rsidRPr="001416ED">
        <w:rPr>
          <w:lang w:val="uk-UA"/>
        </w:rPr>
        <w:t>Варавка (м. Донецьк</w:t>
      </w:r>
      <w:r w:rsidR="00EA3DAF" w:rsidRPr="001416ED">
        <w:rPr>
          <w:lang w:val="uk-UA"/>
        </w:rPr>
        <w:t xml:space="preserve">, </w:t>
      </w:r>
      <w:r w:rsidR="00FD6F5D">
        <w:rPr>
          <w:lang w:val="uk-UA"/>
        </w:rPr>
        <w:t>Україна</w:t>
      </w:r>
      <w:r w:rsidRPr="001416ED">
        <w:rPr>
          <w:lang w:val="uk-UA"/>
        </w:rPr>
        <w:t xml:space="preserve">) отримали подібні результати </w:t>
      </w:r>
      <w:r w:rsidR="00BC0119" w:rsidRPr="001416ED">
        <w:rPr>
          <w:lang w:val="uk-UA"/>
        </w:rPr>
        <w:t>–</w:t>
      </w:r>
      <w:r w:rsidRPr="001416ED">
        <w:rPr>
          <w:lang w:val="uk-UA"/>
        </w:rPr>
        <w:t xml:space="preserve"> у пацієнтів з ГХ рівень СНП вірогідно вищий, ніж в групі контролю </w:t>
      </w:r>
      <w:r w:rsidRPr="001416ED">
        <w:rPr>
          <w:bCs/>
          <w:lang w:val="uk-UA"/>
        </w:rPr>
        <w:t>[</w:t>
      </w:r>
      <w:r w:rsidR="002979EF" w:rsidRPr="001416ED">
        <w:rPr>
          <w:bCs/>
          <w:lang w:val="uk-UA"/>
        </w:rPr>
        <w:t>1</w:t>
      </w:r>
      <w:r w:rsidR="00785922" w:rsidRPr="001416ED">
        <w:rPr>
          <w:bCs/>
          <w:lang w:val="uk-UA"/>
        </w:rPr>
        <w:t>1</w:t>
      </w:r>
      <w:r w:rsidRPr="001416ED">
        <w:rPr>
          <w:bCs/>
          <w:lang w:val="uk-UA"/>
        </w:rPr>
        <w:t>,</w:t>
      </w:r>
      <w:r w:rsidR="00441053" w:rsidRPr="001416ED">
        <w:rPr>
          <w:bCs/>
          <w:lang w:val="uk-UA"/>
        </w:rPr>
        <w:t xml:space="preserve"> </w:t>
      </w:r>
      <w:r w:rsidR="00785922" w:rsidRPr="001416ED">
        <w:rPr>
          <w:bCs/>
          <w:lang w:val="uk-UA"/>
        </w:rPr>
        <w:t>66</w:t>
      </w:r>
      <w:r w:rsidRPr="001416ED">
        <w:rPr>
          <w:bCs/>
          <w:lang w:val="uk-UA"/>
        </w:rPr>
        <w:t>].</w:t>
      </w:r>
      <w:r w:rsidRPr="001416ED">
        <w:rPr>
          <w:lang w:val="uk-UA"/>
        </w:rPr>
        <w:t xml:space="preserve"> У роботі </w:t>
      </w:r>
      <w:r w:rsidRPr="001416ED">
        <w:rPr>
          <w:bCs/>
          <w:lang w:val="uk-UA"/>
        </w:rPr>
        <w:t>A</w:t>
      </w:r>
      <w:r w:rsidR="00B86142" w:rsidRPr="001416ED">
        <w:rPr>
          <w:bCs/>
          <w:lang w:val="uk-UA"/>
        </w:rPr>
        <w:t>.</w:t>
      </w:r>
      <w:r w:rsidRPr="001416ED">
        <w:rPr>
          <w:bCs/>
          <w:lang w:val="uk-UA"/>
        </w:rPr>
        <w:t xml:space="preserve"> Alqasim (Саудівська Аравія)</w:t>
      </w:r>
      <w:r w:rsidRPr="001416ED">
        <w:rPr>
          <w:b/>
          <w:bCs/>
          <w:lang w:val="uk-UA"/>
        </w:rPr>
        <w:t xml:space="preserve"> </w:t>
      </w:r>
      <w:r w:rsidRPr="001416ED">
        <w:rPr>
          <w:bCs/>
          <w:lang w:val="uk-UA"/>
        </w:rPr>
        <w:t xml:space="preserve">показані протилежні дані </w:t>
      </w:r>
      <w:r w:rsidR="00BC0119" w:rsidRPr="001416ED">
        <w:rPr>
          <w:bCs/>
          <w:lang w:val="uk-UA"/>
        </w:rPr>
        <w:t>–</w:t>
      </w:r>
      <w:r w:rsidRPr="001416ED">
        <w:rPr>
          <w:bCs/>
          <w:lang w:val="uk-UA"/>
        </w:rPr>
        <w:t xml:space="preserve"> у осіб різної статі з ізольованою систолічною гіпертензією рівень СНП вірогідно нижчий ніж в групі контролю. Порівнюючи пацієнтів з ЕГ та ізольованою систолічною гіпертензією плазмова концентрація виявились достовірно нижчою в групі останніх. Проте</w:t>
      </w:r>
      <w:r w:rsidR="00FC0EBA">
        <w:rPr>
          <w:bCs/>
          <w:lang w:val="uk-UA"/>
        </w:rPr>
        <w:t>,</w:t>
      </w:r>
      <w:r w:rsidRPr="001416ED">
        <w:rPr>
          <w:bCs/>
          <w:lang w:val="uk-UA"/>
        </w:rPr>
        <w:t xml:space="preserve"> немає різниці між пацієнтами з ГХ та контрольною групою</w:t>
      </w:r>
      <w:r w:rsidRPr="001416ED">
        <w:rPr>
          <w:b/>
          <w:bCs/>
          <w:lang w:val="uk-UA"/>
        </w:rPr>
        <w:t xml:space="preserve"> </w:t>
      </w:r>
      <w:r w:rsidRPr="001416ED">
        <w:rPr>
          <w:lang w:val="uk-UA"/>
        </w:rPr>
        <w:t>[</w:t>
      </w:r>
      <w:r w:rsidR="00916F75" w:rsidRPr="001416ED">
        <w:rPr>
          <w:lang w:val="uk-UA"/>
        </w:rPr>
        <w:t>99</w:t>
      </w:r>
      <w:r w:rsidRPr="001416ED">
        <w:rPr>
          <w:lang w:val="uk-UA"/>
        </w:rPr>
        <w:t xml:space="preserve">]. Відмічене </w:t>
      </w:r>
      <w:r w:rsidRPr="001416ED">
        <w:rPr>
          <w:bCs/>
          <w:lang w:val="uk-UA"/>
        </w:rPr>
        <w:t>підвищення плазмової концентрації СНП у італійських пацієнтів з ХСН в порівнянні з пацієнтами групи контролю [1</w:t>
      </w:r>
      <w:r w:rsidR="00916F75" w:rsidRPr="001416ED">
        <w:rPr>
          <w:bCs/>
          <w:lang w:val="uk-UA"/>
        </w:rPr>
        <w:t>24</w:t>
      </w:r>
      <w:r w:rsidRPr="001416ED">
        <w:rPr>
          <w:bCs/>
          <w:lang w:val="uk-UA"/>
        </w:rPr>
        <w:t xml:space="preserve">]. У ще одному дослідженні показано, що у пацієнтів зі зниженою та збереженою ФВ рівень СНП в плазмі крові вірогідно вищий, ніж в групі контролю. </w:t>
      </w:r>
      <w:r w:rsidR="00FC0EBA">
        <w:rPr>
          <w:bCs/>
          <w:lang w:val="uk-UA"/>
        </w:rPr>
        <w:t>Відмічена кореляція СНП з ФВ ЛШ</w:t>
      </w:r>
      <w:r w:rsidRPr="001416ED">
        <w:rPr>
          <w:bCs/>
          <w:lang w:val="uk-UA"/>
        </w:rPr>
        <w:t xml:space="preserve"> та КДР ЛШ [1</w:t>
      </w:r>
      <w:r w:rsidR="00916F75" w:rsidRPr="001416ED">
        <w:rPr>
          <w:bCs/>
          <w:lang w:val="uk-UA"/>
        </w:rPr>
        <w:t>25</w:t>
      </w:r>
      <w:r w:rsidRPr="001416ED">
        <w:rPr>
          <w:bCs/>
          <w:lang w:val="uk-UA"/>
        </w:rPr>
        <w:t>].</w:t>
      </w:r>
    </w:p>
    <w:p w:rsidR="00305CEB" w:rsidRPr="001416ED" w:rsidRDefault="00EA3DAF" w:rsidP="00305CEB">
      <w:pPr>
        <w:spacing w:line="360" w:lineRule="auto"/>
        <w:ind w:firstLine="851"/>
        <w:jc w:val="both"/>
        <w:rPr>
          <w:lang w:val="uk-UA"/>
        </w:rPr>
      </w:pPr>
      <w:r w:rsidRPr="001416ED">
        <w:rPr>
          <w:lang w:val="uk-UA"/>
        </w:rPr>
        <w:t>Згідно отриманих даних, у</w:t>
      </w:r>
      <w:r w:rsidR="00305CEB" w:rsidRPr="001416ED">
        <w:rPr>
          <w:lang w:val="uk-UA"/>
        </w:rPr>
        <w:t xml:space="preserve"> пацієнтів з ГХ різної </w:t>
      </w:r>
      <w:r w:rsidR="00046A18" w:rsidRPr="001416ED">
        <w:rPr>
          <w:lang w:val="uk-UA"/>
        </w:rPr>
        <w:t>стадії</w:t>
      </w:r>
      <w:r w:rsidR="00305CEB" w:rsidRPr="001416ED">
        <w:rPr>
          <w:lang w:val="uk-UA"/>
        </w:rPr>
        <w:t xml:space="preserve"> </w:t>
      </w:r>
      <w:r w:rsidR="00BC0119" w:rsidRPr="001416ED">
        <w:rPr>
          <w:lang w:val="uk-UA"/>
        </w:rPr>
        <w:t>–</w:t>
      </w:r>
      <w:r w:rsidR="00305CEB" w:rsidRPr="001416ED">
        <w:rPr>
          <w:lang w:val="uk-UA"/>
        </w:rPr>
        <w:t xml:space="preserve"> носіїв генотипу </w:t>
      </w:r>
      <w:r w:rsidR="00305CEB" w:rsidRPr="001416ED">
        <w:rPr>
          <w:lang w:val="en-US"/>
        </w:rPr>
        <w:t>Lys</w:t>
      </w:r>
      <w:r w:rsidR="00305CEB" w:rsidRPr="001416ED">
        <w:rPr>
          <w:lang w:val="uk-UA"/>
        </w:rPr>
        <w:t>/</w:t>
      </w:r>
      <w:r w:rsidR="00305CEB" w:rsidRPr="001416ED">
        <w:rPr>
          <w:lang w:val="en-US"/>
        </w:rPr>
        <w:t>Lys</w:t>
      </w:r>
      <w:r w:rsidR="00305CEB" w:rsidRPr="001416ED">
        <w:rPr>
          <w:lang w:val="uk-UA"/>
        </w:rPr>
        <w:t xml:space="preserve"> та алелі </w:t>
      </w:r>
      <w:r w:rsidR="00305CEB" w:rsidRPr="001416ED">
        <w:rPr>
          <w:lang w:val="en-US"/>
        </w:rPr>
        <w:t>Asn</w:t>
      </w:r>
      <w:r w:rsidR="00305CEB" w:rsidRPr="001416ED">
        <w:rPr>
          <w:lang w:val="uk-UA"/>
        </w:rPr>
        <w:t xml:space="preserve"> гена ЕТ</w:t>
      </w:r>
      <w:r w:rsidR="00BC0119" w:rsidRPr="001416ED">
        <w:rPr>
          <w:lang w:val="uk-UA"/>
        </w:rPr>
        <w:t>–</w:t>
      </w:r>
      <w:r w:rsidR="00305CEB" w:rsidRPr="001416ED">
        <w:rPr>
          <w:lang w:val="uk-UA"/>
        </w:rPr>
        <w:t>1 рівні СНП в плазмі крові були вищими, ніж у осіб групи контролю – носії</w:t>
      </w:r>
      <w:r w:rsidR="009877CF" w:rsidRPr="001416ED">
        <w:rPr>
          <w:lang w:val="uk-UA"/>
        </w:rPr>
        <w:t>в</w:t>
      </w:r>
      <w:r w:rsidR="00305CEB" w:rsidRPr="001416ED">
        <w:rPr>
          <w:lang w:val="uk-UA"/>
        </w:rPr>
        <w:t xml:space="preserve"> аналогічних </w:t>
      </w:r>
      <w:r w:rsidR="00F40216">
        <w:rPr>
          <w:lang w:val="uk-UA"/>
        </w:rPr>
        <w:t>варіантів гена</w:t>
      </w:r>
      <w:r w:rsidR="00305CEB" w:rsidRPr="001416ED">
        <w:rPr>
          <w:lang w:val="uk-UA"/>
        </w:rPr>
        <w:t xml:space="preserve"> ЕТ</w:t>
      </w:r>
      <w:r w:rsidR="00BC0119" w:rsidRPr="001416ED">
        <w:rPr>
          <w:lang w:val="uk-UA"/>
        </w:rPr>
        <w:t>–</w:t>
      </w:r>
      <w:r w:rsidR="00305CEB" w:rsidRPr="001416ED">
        <w:rPr>
          <w:lang w:val="uk-UA"/>
        </w:rPr>
        <w:t xml:space="preserve">1. Як у чоловіків з ГХ ІІ ст. так і у осіб з </w:t>
      </w:r>
      <w:r w:rsidR="00EA7C60" w:rsidRPr="001416ED">
        <w:rPr>
          <w:lang w:val="uk-UA"/>
        </w:rPr>
        <w:t xml:space="preserve">ГХ ІІІ ст. </w:t>
      </w:r>
      <w:r w:rsidR="00305CEB" w:rsidRPr="001416ED">
        <w:rPr>
          <w:lang w:val="uk-UA"/>
        </w:rPr>
        <w:t xml:space="preserve">носійство алелі </w:t>
      </w:r>
      <w:r w:rsidR="00305CEB" w:rsidRPr="001416ED">
        <w:rPr>
          <w:lang w:val="en-US"/>
        </w:rPr>
        <w:t>Asn</w:t>
      </w:r>
      <w:r w:rsidR="00305CEB" w:rsidRPr="001416ED">
        <w:rPr>
          <w:lang w:val="uk-UA"/>
        </w:rPr>
        <w:t xml:space="preserve"> асоціюється з більшим рівнем СНП, проте плазмова концентрація СНП між групами з ГХ при носійстві </w:t>
      </w:r>
      <w:r w:rsidR="00E6164F">
        <w:rPr>
          <w:lang w:val="uk-UA"/>
        </w:rPr>
        <w:t xml:space="preserve">поліморфних </w:t>
      </w:r>
      <w:r w:rsidR="00E6164F">
        <w:rPr>
          <w:lang w:val="uk-UA"/>
        </w:rPr>
        <w:lastRenderedPageBreak/>
        <w:t>варіантів гена ЕТ–1</w:t>
      </w:r>
      <w:r w:rsidR="00305CEB" w:rsidRPr="001416ED">
        <w:rPr>
          <w:lang w:val="uk-UA"/>
        </w:rPr>
        <w:t xml:space="preserve"> не відрізнялась. Різниці у плазмовій концентрації СНП, як і ЕТ</w:t>
      </w:r>
      <w:r w:rsidR="00BC0119" w:rsidRPr="001416ED">
        <w:rPr>
          <w:lang w:val="uk-UA"/>
        </w:rPr>
        <w:t>–</w:t>
      </w:r>
      <w:r w:rsidR="00305CEB" w:rsidRPr="001416ED">
        <w:rPr>
          <w:lang w:val="uk-UA"/>
        </w:rPr>
        <w:t xml:space="preserve">1 при різному ступені АГ не встановлено. Подібних досліджень в українській та зарубіжній літературі не знайдено. </w:t>
      </w:r>
    </w:p>
    <w:p w:rsidR="00305CEB" w:rsidRPr="001416ED" w:rsidRDefault="00305CEB" w:rsidP="00305CEB">
      <w:pPr>
        <w:spacing w:line="360" w:lineRule="auto"/>
        <w:ind w:firstLine="851"/>
        <w:jc w:val="both"/>
        <w:rPr>
          <w:lang w:val="uk-UA"/>
        </w:rPr>
      </w:pPr>
      <w:r w:rsidRPr="001416ED">
        <w:rPr>
          <w:lang w:val="uk-UA"/>
        </w:rPr>
        <w:t>Існує велика кількість робіт</w:t>
      </w:r>
      <w:r w:rsidR="005D6034" w:rsidRPr="001416ED">
        <w:rPr>
          <w:lang w:val="uk-UA"/>
        </w:rPr>
        <w:t>,</w:t>
      </w:r>
      <w:r w:rsidRPr="001416ED">
        <w:rPr>
          <w:lang w:val="uk-UA"/>
        </w:rPr>
        <w:t xml:space="preserve"> </w:t>
      </w:r>
      <w:r w:rsidR="00EA3DAF" w:rsidRPr="001416ED">
        <w:rPr>
          <w:lang w:val="uk-UA"/>
        </w:rPr>
        <w:t>які свідчать</w:t>
      </w:r>
      <w:r w:rsidRPr="001416ED">
        <w:rPr>
          <w:lang w:val="uk-UA"/>
        </w:rPr>
        <w:t>, що рівень МНП зменшується у осіб з ожирінням, тому цікавим стало визначення плазмової концентрації СНП у чоловіків з різним ІМТ. Досліджено, що плазмова концентрація СНП не відрізняється у пацієнтів при наявності або відсутності ожиріння. На жаль, таких робіт дуже мало, проте</w:t>
      </w:r>
      <w:r w:rsidR="00441053" w:rsidRPr="001416ED">
        <w:rPr>
          <w:lang w:val="uk-UA"/>
        </w:rPr>
        <w:t>,</w:t>
      </w:r>
      <w:r w:rsidRPr="001416ED">
        <w:rPr>
          <w:lang w:val="uk-UA"/>
        </w:rPr>
        <w:t xml:space="preserve"> на кафедрі внутрішньої медицини медичного факультету №2 </w:t>
      </w:r>
      <w:r w:rsidR="00441053" w:rsidRPr="001416ED">
        <w:rPr>
          <w:lang w:val="uk-UA"/>
        </w:rPr>
        <w:t xml:space="preserve">В. В. </w:t>
      </w:r>
      <w:r w:rsidRPr="001416ED">
        <w:rPr>
          <w:lang w:val="uk-UA"/>
        </w:rPr>
        <w:t>Багрій показала,що рівень СНП у жінок з ГХ І та ІІ ст. в пацієнтів з та без ожиріння не відрізнявся</w:t>
      </w:r>
      <w:r w:rsidR="00C5382C" w:rsidRPr="001416ED">
        <w:rPr>
          <w:lang w:val="uk-UA"/>
        </w:rPr>
        <w:t xml:space="preserve"> [4]</w:t>
      </w:r>
      <w:r w:rsidRPr="001416ED">
        <w:rPr>
          <w:lang w:val="uk-UA"/>
        </w:rPr>
        <w:t xml:space="preserve">. Подібні результати отримані в дослідженні </w:t>
      </w:r>
      <w:r w:rsidR="00FC0EBA">
        <w:rPr>
          <w:lang w:val="uk-UA"/>
        </w:rPr>
        <w:t xml:space="preserve">        </w:t>
      </w:r>
      <w:r w:rsidR="00441053" w:rsidRPr="001416ED">
        <w:rPr>
          <w:lang w:val="uk-UA"/>
        </w:rPr>
        <w:t xml:space="preserve">Г. В. </w:t>
      </w:r>
      <w:r w:rsidRPr="001416ED">
        <w:rPr>
          <w:lang w:val="uk-UA"/>
        </w:rPr>
        <w:t>Вільчинського при обстеженні жінок з ГХ, що перенесли МІ або ІМ [</w:t>
      </w:r>
      <w:r w:rsidR="002979EF" w:rsidRPr="001416ED">
        <w:rPr>
          <w:lang w:val="uk-UA"/>
        </w:rPr>
        <w:t>1</w:t>
      </w:r>
      <w:r w:rsidR="00916F75" w:rsidRPr="001416ED">
        <w:rPr>
          <w:lang w:val="uk-UA"/>
        </w:rPr>
        <w:t>5</w:t>
      </w:r>
      <w:r w:rsidRPr="001416ED">
        <w:rPr>
          <w:lang w:val="uk-UA"/>
        </w:rPr>
        <w:t>].</w:t>
      </w:r>
      <w:r w:rsidR="00876E15" w:rsidRPr="001416ED">
        <w:rPr>
          <w:lang w:val="uk-UA"/>
        </w:rPr>
        <w:t xml:space="preserve"> Проте</w:t>
      </w:r>
      <w:r w:rsidR="00441053" w:rsidRPr="001416ED">
        <w:rPr>
          <w:lang w:val="uk-UA"/>
        </w:rPr>
        <w:t>,</w:t>
      </w:r>
      <w:r w:rsidR="00876E15" w:rsidRPr="001416ED">
        <w:rPr>
          <w:lang w:val="uk-UA"/>
        </w:rPr>
        <w:t xml:space="preserve"> в роботі </w:t>
      </w:r>
      <w:r w:rsidR="00441053" w:rsidRPr="001416ED">
        <w:rPr>
          <w:lang w:val="en-US"/>
        </w:rPr>
        <w:t>S</w:t>
      </w:r>
      <w:r w:rsidR="00441053" w:rsidRPr="001416ED">
        <w:rPr>
          <w:lang w:val="uk-UA"/>
        </w:rPr>
        <w:t xml:space="preserve">. </w:t>
      </w:r>
      <w:r w:rsidR="00876E15" w:rsidRPr="001416ED">
        <w:rPr>
          <w:lang w:val="en-US"/>
        </w:rPr>
        <w:t>Del</w:t>
      </w:r>
      <w:r w:rsidR="00876E15" w:rsidRPr="001416ED">
        <w:rPr>
          <w:lang w:val="uk-UA"/>
        </w:rPr>
        <w:t xml:space="preserve"> </w:t>
      </w:r>
      <w:r w:rsidR="00290D7F" w:rsidRPr="001416ED">
        <w:rPr>
          <w:lang w:val="en-US"/>
        </w:rPr>
        <w:t>Ry</w:t>
      </w:r>
      <w:r w:rsidR="00876E15" w:rsidRPr="001416ED">
        <w:rPr>
          <w:lang w:val="uk-UA"/>
        </w:rPr>
        <w:t xml:space="preserve"> </w:t>
      </w:r>
      <w:r w:rsidR="00B86142" w:rsidRPr="001416ED">
        <w:rPr>
          <w:lang w:val="uk-UA"/>
        </w:rPr>
        <w:t xml:space="preserve">та співавт. </w:t>
      </w:r>
      <w:r w:rsidR="00876E15" w:rsidRPr="001416ED">
        <w:rPr>
          <w:lang w:val="uk-UA"/>
        </w:rPr>
        <w:t>показано, що рівень СНП в плазмі крові пацієнтів з ожирінням вірогідно нижчі, ніж у осіб з нормальною масою тіла [1</w:t>
      </w:r>
      <w:r w:rsidR="00916F75" w:rsidRPr="001416ED">
        <w:rPr>
          <w:lang w:val="uk-UA"/>
        </w:rPr>
        <w:t>26</w:t>
      </w:r>
      <w:r w:rsidR="00876E15" w:rsidRPr="001416ED">
        <w:rPr>
          <w:lang w:val="uk-UA"/>
        </w:rPr>
        <w:t>].</w:t>
      </w:r>
    </w:p>
    <w:p w:rsidR="00305CEB" w:rsidRPr="001416ED" w:rsidRDefault="00305CEB" w:rsidP="00305CEB">
      <w:pPr>
        <w:spacing w:line="360" w:lineRule="auto"/>
        <w:ind w:firstLine="851"/>
        <w:jc w:val="both"/>
        <w:rPr>
          <w:lang w:val="uk-UA"/>
        </w:rPr>
      </w:pPr>
      <w:r w:rsidRPr="001416ED">
        <w:rPr>
          <w:lang w:val="uk-UA"/>
        </w:rPr>
        <w:t>Наступним кроком стало визначення співвідношення СНП/ЕТ</w:t>
      </w:r>
      <w:r w:rsidR="00BC0119" w:rsidRPr="001416ED">
        <w:rPr>
          <w:lang w:val="uk-UA"/>
        </w:rPr>
        <w:t>–</w:t>
      </w:r>
      <w:r w:rsidRPr="001416ED">
        <w:rPr>
          <w:lang w:val="uk-UA"/>
        </w:rPr>
        <w:t xml:space="preserve">1 у осіб з ГХ різної </w:t>
      </w:r>
      <w:r w:rsidR="00046A18" w:rsidRPr="001416ED">
        <w:rPr>
          <w:lang w:val="uk-UA"/>
        </w:rPr>
        <w:t>стадії</w:t>
      </w:r>
      <w:r w:rsidRPr="001416ED">
        <w:rPr>
          <w:lang w:val="uk-UA"/>
        </w:rPr>
        <w:t xml:space="preserve"> при носійстві </w:t>
      </w:r>
      <w:r w:rsidR="00E6164F">
        <w:rPr>
          <w:lang w:val="uk-UA"/>
        </w:rPr>
        <w:t>поліморфних варіантів гена ЕТ–1</w:t>
      </w:r>
      <w:r w:rsidRPr="001416ED">
        <w:rPr>
          <w:lang w:val="uk-UA"/>
        </w:rPr>
        <w:t xml:space="preserve">. Так, вперше встановлено, що у чоловіків з ГХ ІІ ст. та з </w:t>
      </w:r>
      <w:r w:rsidR="00EA7C60" w:rsidRPr="001416ED">
        <w:rPr>
          <w:lang w:val="uk-UA"/>
        </w:rPr>
        <w:t xml:space="preserve">ГХ ІІІ ст. </w:t>
      </w:r>
      <w:r w:rsidRPr="001416ED">
        <w:rPr>
          <w:lang w:val="uk-UA"/>
        </w:rPr>
        <w:t>показник СНП/ЕТ</w:t>
      </w:r>
      <w:r w:rsidR="00BC0119" w:rsidRPr="001416ED">
        <w:rPr>
          <w:lang w:val="uk-UA"/>
        </w:rPr>
        <w:t>–</w:t>
      </w:r>
      <w:r w:rsidRPr="001416ED">
        <w:rPr>
          <w:lang w:val="uk-UA"/>
        </w:rPr>
        <w:t>1 вірогідно нижчий, ніж в групі контролю, що вказує на дисбаланс вазодилятатора та вазоконстриктора при розвитку ГХ.</w:t>
      </w:r>
      <w:r w:rsidRPr="001416ED">
        <w:rPr>
          <w:rFonts w:eastAsiaTheme="minorHAnsi"/>
          <w:lang w:val="uk-UA" w:eastAsia="en-US"/>
        </w:rPr>
        <w:t xml:space="preserve"> Однак, між пацієнтами з ГХ різниці в коефіцієнті СНП/ЕТ</w:t>
      </w:r>
      <w:r w:rsidR="00BC0119" w:rsidRPr="001416ED">
        <w:rPr>
          <w:rFonts w:eastAsiaTheme="minorHAnsi"/>
          <w:lang w:val="uk-UA" w:eastAsia="en-US"/>
        </w:rPr>
        <w:t>–</w:t>
      </w:r>
      <w:r w:rsidRPr="001416ED">
        <w:rPr>
          <w:rFonts w:eastAsiaTheme="minorHAnsi"/>
          <w:lang w:val="uk-UA" w:eastAsia="en-US"/>
        </w:rPr>
        <w:t xml:space="preserve">1 не виявлено. Носійство </w:t>
      </w:r>
      <w:r w:rsidR="00E6164F">
        <w:rPr>
          <w:rFonts w:eastAsiaTheme="minorHAnsi"/>
          <w:lang w:val="uk-UA" w:eastAsia="en-US"/>
        </w:rPr>
        <w:t>поліморфного варіанту гена</w:t>
      </w:r>
      <w:r w:rsidRPr="001416ED">
        <w:rPr>
          <w:rFonts w:eastAsiaTheme="minorHAnsi"/>
          <w:lang w:val="uk-UA" w:eastAsia="en-US"/>
        </w:rPr>
        <w:t xml:space="preserve"> ЕТ</w:t>
      </w:r>
      <w:r w:rsidR="00BC0119" w:rsidRPr="001416ED">
        <w:rPr>
          <w:rFonts w:eastAsiaTheme="minorHAnsi"/>
          <w:lang w:val="uk-UA" w:eastAsia="en-US"/>
        </w:rPr>
        <w:t>–</w:t>
      </w:r>
      <w:r w:rsidRPr="001416ED">
        <w:rPr>
          <w:rFonts w:eastAsiaTheme="minorHAnsi"/>
          <w:lang w:val="uk-UA" w:eastAsia="en-US"/>
        </w:rPr>
        <w:t xml:space="preserve">1 не асоціюється зі змінами даного показника. </w:t>
      </w:r>
    </w:p>
    <w:p w:rsidR="00305CEB" w:rsidRPr="001416ED" w:rsidRDefault="00305CEB" w:rsidP="00305CEB">
      <w:pPr>
        <w:spacing w:line="360" w:lineRule="auto"/>
        <w:ind w:firstLine="851"/>
        <w:jc w:val="both"/>
        <w:rPr>
          <w:lang w:val="uk-UA"/>
        </w:rPr>
      </w:pPr>
      <w:r w:rsidRPr="001416ED">
        <w:rPr>
          <w:lang w:val="uk-UA"/>
        </w:rPr>
        <w:t xml:space="preserve">У пацієнтів з </w:t>
      </w:r>
      <w:r w:rsidR="00372472" w:rsidRPr="001416ED">
        <w:rPr>
          <w:lang w:val="uk-UA"/>
        </w:rPr>
        <w:t>ГХ різної стадії</w:t>
      </w:r>
      <w:r w:rsidR="00441053" w:rsidRPr="001416ED">
        <w:rPr>
          <w:lang w:val="uk-UA"/>
        </w:rPr>
        <w:t xml:space="preserve"> </w:t>
      </w:r>
      <w:r w:rsidRPr="001416ED">
        <w:rPr>
          <w:lang w:val="uk-UA"/>
        </w:rPr>
        <w:t>при носійстві різних</w:t>
      </w:r>
      <w:r w:rsidR="00F40216">
        <w:rPr>
          <w:lang w:val="uk-UA"/>
        </w:rPr>
        <w:t xml:space="preserve"> варіантів гена</w:t>
      </w:r>
      <w:r w:rsidRPr="001416ED">
        <w:rPr>
          <w:lang w:val="uk-UA"/>
        </w:rPr>
        <w:t xml:space="preserve"> ЕТ</w:t>
      </w:r>
      <w:r w:rsidR="00BC0119" w:rsidRPr="001416ED">
        <w:rPr>
          <w:lang w:val="uk-UA"/>
        </w:rPr>
        <w:t>–</w:t>
      </w:r>
      <w:r w:rsidRPr="001416ED">
        <w:rPr>
          <w:lang w:val="uk-UA"/>
        </w:rPr>
        <w:t xml:space="preserve">1 </w:t>
      </w:r>
      <w:r w:rsidR="00C5382C" w:rsidRPr="001416ED">
        <w:rPr>
          <w:lang w:val="uk-UA"/>
        </w:rPr>
        <w:t>проатерогенні</w:t>
      </w:r>
      <w:r w:rsidRPr="001416ED">
        <w:rPr>
          <w:lang w:val="uk-UA"/>
        </w:rPr>
        <w:t xml:space="preserve"> показники ліпідограми вірогідно вищі, а </w:t>
      </w:r>
      <w:r w:rsidR="00C5382C" w:rsidRPr="001416ED">
        <w:rPr>
          <w:lang w:val="uk-UA"/>
        </w:rPr>
        <w:t xml:space="preserve">антиатерогенний </w:t>
      </w:r>
      <w:r w:rsidRPr="001416ED">
        <w:rPr>
          <w:lang w:val="uk-UA"/>
        </w:rPr>
        <w:t xml:space="preserve">ХСЛВЩ нижчий ніж в групі контролю. У чоловіків з </w:t>
      </w:r>
      <w:r w:rsidR="00EA7C60" w:rsidRPr="001416ED">
        <w:rPr>
          <w:lang w:val="uk-UA"/>
        </w:rPr>
        <w:t xml:space="preserve">ГХ ІІІ ст. </w:t>
      </w:r>
      <w:r w:rsidRPr="001416ED">
        <w:rPr>
          <w:lang w:val="uk-UA"/>
        </w:rPr>
        <w:t xml:space="preserve">при носійстві генотипу </w:t>
      </w:r>
      <w:r w:rsidRPr="001416ED">
        <w:rPr>
          <w:lang w:val="en-US"/>
        </w:rPr>
        <w:t>Lys</w:t>
      </w:r>
      <w:r w:rsidRPr="001416ED">
        <w:rPr>
          <w:lang w:val="uk-UA"/>
        </w:rPr>
        <w:t>/</w:t>
      </w:r>
      <w:r w:rsidRPr="001416ED">
        <w:rPr>
          <w:lang w:val="en-US"/>
        </w:rPr>
        <w:t>Lys</w:t>
      </w:r>
      <w:r w:rsidRPr="001416ED">
        <w:rPr>
          <w:lang w:val="uk-UA"/>
        </w:rPr>
        <w:t xml:space="preserve"> рівні ТГ, ХСЛНЩ, ХСЛДНЩ вищі ніж в осіб з ГХ ІІ ст., а при носійстві алелі </w:t>
      </w:r>
      <w:r w:rsidRPr="001416ED">
        <w:rPr>
          <w:lang w:val="en-US"/>
        </w:rPr>
        <w:t>Asn</w:t>
      </w:r>
      <w:r w:rsidRPr="001416ED">
        <w:rPr>
          <w:lang w:val="uk-UA"/>
        </w:rPr>
        <w:t xml:space="preserve"> вірогідно вищі </w:t>
      </w:r>
      <w:r w:rsidR="00C5382C" w:rsidRPr="001416ED">
        <w:rPr>
          <w:lang w:val="uk-UA"/>
        </w:rPr>
        <w:t>проатерогенні</w:t>
      </w:r>
      <w:r w:rsidRPr="001416ED">
        <w:rPr>
          <w:lang w:val="uk-UA"/>
        </w:rPr>
        <w:t xml:space="preserve"> показники ліпідограми, </w:t>
      </w:r>
      <w:r w:rsidR="00C5382C" w:rsidRPr="001416ED">
        <w:rPr>
          <w:lang w:val="uk-UA"/>
        </w:rPr>
        <w:t xml:space="preserve">а </w:t>
      </w:r>
      <w:r w:rsidRPr="001416ED">
        <w:rPr>
          <w:lang w:val="uk-UA"/>
        </w:rPr>
        <w:t>ХСЛВЩ</w:t>
      </w:r>
      <w:r w:rsidR="00C5382C" w:rsidRPr="001416ED">
        <w:rPr>
          <w:lang w:val="uk-UA"/>
        </w:rPr>
        <w:t xml:space="preserve"> вищий</w:t>
      </w:r>
      <w:r w:rsidRPr="001416ED">
        <w:rPr>
          <w:lang w:val="uk-UA"/>
        </w:rPr>
        <w:t xml:space="preserve">, ніж у чоловіків з ГХ ІІ ст. Цікавим є той факт, що володарі алелі </w:t>
      </w:r>
      <w:r w:rsidRPr="001416ED">
        <w:rPr>
          <w:lang w:val="en-US"/>
        </w:rPr>
        <w:t>Asn</w:t>
      </w:r>
      <w:r w:rsidRPr="001416ED">
        <w:rPr>
          <w:lang w:val="uk-UA"/>
        </w:rPr>
        <w:t xml:space="preserve"> мають </w:t>
      </w:r>
      <w:r w:rsidR="00441053" w:rsidRPr="001416ED">
        <w:rPr>
          <w:lang w:val="uk-UA"/>
        </w:rPr>
        <w:t>вищі проатерогенні</w:t>
      </w:r>
      <w:r w:rsidRPr="001416ED">
        <w:rPr>
          <w:lang w:val="uk-UA"/>
        </w:rPr>
        <w:t xml:space="preserve"> показники ліпідограми</w:t>
      </w:r>
      <w:r w:rsidR="000C1682" w:rsidRPr="001416ED">
        <w:rPr>
          <w:lang w:val="uk-UA"/>
        </w:rPr>
        <w:t xml:space="preserve"> (ТГ, ХСЛНЩ, ХСЛДНЩ) та нижчий рівень антиатерогенного показника (ХСЛВЩ), </w:t>
      </w:r>
      <w:r w:rsidRPr="001416ED">
        <w:rPr>
          <w:lang w:val="uk-UA"/>
        </w:rPr>
        <w:t xml:space="preserve">ніж носії генотипу </w:t>
      </w:r>
      <w:r w:rsidRPr="001416ED">
        <w:rPr>
          <w:lang w:val="en-US"/>
        </w:rPr>
        <w:t>Lys</w:t>
      </w:r>
      <w:r w:rsidRPr="001416ED">
        <w:rPr>
          <w:lang w:val="uk-UA"/>
        </w:rPr>
        <w:t>/</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Таких даних в літературі майже немає. Проте, отримані результати дещо </w:t>
      </w:r>
      <w:r w:rsidRPr="001416ED">
        <w:rPr>
          <w:lang w:val="uk-UA"/>
        </w:rPr>
        <w:lastRenderedPageBreak/>
        <w:t xml:space="preserve">суперечать літературним. Так, в японській популяції різниці у рівні ХС, ТГ, ХСЛПНЩ в носіїв </w:t>
      </w:r>
      <w:r w:rsidR="00E6164F">
        <w:rPr>
          <w:lang w:val="uk-UA"/>
        </w:rPr>
        <w:t>поліморфних варіантів гена ЕТ–1</w:t>
      </w:r>
      <w:r w:rsidRPr="001416ED">
        <w:rPr>
          <w:lang w:val="uk-UA"/>
        </w:rPr>
        <w:t xml:space="preserve"> різниці не виявлено [</w:t>
      </w:r>
      <w:r w:rsidR="004652D5" w:rsidRPr="001416ED">
        <w:rPr>
          <w:lang w:val="uk-UA"/>
        </w:rPr>
        <w:t>1</w:t>
      </w:r>
      <w:r w:rsidR="00916F75" w:rsidRPr="001416ED">
        <w:rPr>
          <w:lang w:val="uk-UA"/>
        </w:rPr>
        <w:t>47</w:t>
      </w:r>
      <w:r w:rsidRPr="001416ED">
        <w:rPr>
          <w:lang w:val="uk-UA"/>
        </w:rPr>
        <w:t>].</w:t>
      </w:r>
    </w:p>
    <w:p w:rsidR="00EA3DAF" w:rsidRPr="001416ED" w:rsidRDefault="00305CEB" w:rsidP="00305CEB">
      <w:pPr>
        <w:spacing w:line="360" w:lineRule="auto"/>
        <w:ind w:firstLine="851"/>
        <w:jc w:val="both"/>
        <w:rPr>
          <w:lang w:val="uk-UA"/>
        </w:rPr>
      </w:pPr>
      <w:r w:rsidRPr="001416ED">
        <w:rPr>
          <w:lang w:val="uk-UA"/>
        </w:rPr>
        <w:t xml:space="preserve">Аналіз дерматогліфічних малюнків на пальцях </w:t>
      </w:r>
      <w:r w:rsidR="002C5F19" w:rsidRPr="001416ED">
        <w:rPr>
          <w:lang w:val="uk-UA"/>
        </w:rPr>
        <w:t>ПК та ЛК</w:t>
      </w:r>
      <w:r w:rsidRPr="001416ED">
        <w:rPr>
          <w:lang w:val="uk-UA"/>
        </w:rPr>
        <w:t xml:space="preserve"> у осіб з ГХ різної </w:t>
      </w:r>
      <w:r w:rsidR="00046A18" w:rsidRPr="001416ED">
        <w:rPr>
          <w:lang w:val="uk-UA"/>
        </w:rPr>
        <w:t>стадії</w:t>
      </w:r>
      <w:r w:rsidRPr="001416ED">
        <w:rPr>
          <w:lang w:val="uk-UA"/>
        </w:rPr>
        <w:t xml:space="preserve"> показав, що домінує малюнок ульнарна петля, як і у пацієнтів контрольної групи. Слід відмітити, що у чоловіків з </w:t>
      </w:r>
      <w:r w:rsidR="00A63A7A" w:rsidRPr="001416ED">
        <w:rPr>
          <w:lang w:val="uk-UA"/>
        </w:rPr>
        <w:t>ГХ ІІІ ст</w:t>
      </w:r>
      <w:r w:rsidR="00C5382C" w:rsidRPr="001416ED">
        <w:rPr>
          <w:lang w:val="uk-UA"/>
        </w:rPr>
        <w:t>.</w:t>
      </w:r>
      <w:r w:rsidR="000C1682" w:rsidRPr="001416ED">
        <w:rPr>
          <w:lang w:val="uk-UA"/>
        </w:rPr>
        <w:t xml:space="preserve"> </w:t>
      </w:r>
      <w:r w:rsidRPr="001416ED">
        <w:rPr>
          <w:lang w:val="uk-UA"/>
        </w:rPr>
        <w:t>ульнарна петля на пальцях обох кистей зустрічається частіше, ніж в осіб без серцево</w:t>
      </w:r>
      <w:r w:rsidR="00BC0119" w:rsidRPr="001416ED">
        <w:rPr>
          <w:lang w:val="uk-UA"/>
        </w:rPr>
        <w:t>–</w:t>
      </w:r>
      <w:r w:rsidRPr="001416ED">
        <w:rPr>
          <w:lang w:val="uk-UA"/>
        </w:rPr>
        <w:t>судинної патології.</w:t>
      </w:r>
      <w:r w:rsidRPr="001416ED">
        <w:rPr>
          <w:i/>
          <w:lang w:val="uk-UA"/>
        </w:rPr>
        <w:t xml:space="preserve"> </w:t>
      </w:r>
      <w:r w:rsidRPr="001416ED">
        <w:rPr>
          <w:lang w:val="uk-UA"/>
        </w:rPr>
        <w:t xml:space="preserve">У чоловіків з </w:t>
      </w:r>
      <w:r w:rsidR="00C34030" w:rsidRPr="001416ED">
        <w:rPr>
          <w:lang w:val="uk-UA"/>
        </w:rPr>
        <w:t xml:space="preserve">ГХ ІІІ ст. </w:t>
      </w:r>
      <w:r w:rsidRPr="001416ED">
        <w:rPr>
          <w:lang w:val="uk-UA"/>
        </w:rPr>
        <w:t xml:space="preserve">на </w:t>
      </w:r>
      <w:r w:rsidR="007F0AEB" w:rsidRPr="001416ED">
        <w:rPr>
          <w:lang w:val="uk-UA"/>
        </w:rPr>
        <w:t>ПК</w:t>
      </w:r>
      <w:r w:rsidRPr="001416ED">
        <w:rPr>
          <w:lang w:val="uk-UA"/>
        </w:rPr>
        <w:t xml:space="preserve"> достовірно частіше зустрічається малюнок дуга, а на </w:t>
      </w:r>
      <w:r w:rsidR="007F0AEB" w:rsidRPr="001416ED">
        <w:rPr>
          <w:lang w:val="uk-UA"/>
        </w:rPr>
        <w:t>ЛК</w:t>
      </w:r>
      <w:r w:rsidRPr="001416ED">
        <w:rPr>
          <w:lang w:val="uk-UA"/>
        </w:rPr>
        <w:t xml:space="preserve"> </w:t>
      </w:r>
      <w:r w:rsidR="00BC0119" w:rsidRPr="001416ED">
        <w:rPr>
          <w:lang w:val="uk-UA"/>
        </w:rPr>
        <w:t>–</w:t>
      </w:r>
      <w:r w:rsidRPr="001416ED">
        <w:rPr>
          <w:lang w:val="uk-UA"/>
        </w:rPr>
        <w:t xml:space="preserve"> дуга та радіальна петля, в порівнянні з групою контролю.</w:t>
      </w:r>
      <w:r w:rsidRPr="001416ED">
        <w:rPr>
          <w:lang w:val="uk-UA" w:eastAsia="uk-UA"/>
        </w:rPr>
        <w:t xml:space="preserve"> Протилежні дані отримані </w:t>
      </w:r>
      <w:r w:rsidRPr="001416ED">
        <w:rPr>
          <w:lang w:val="uk-UA"/>
        </w:rPr>
        <w:t>у дослідженні івано</w:t>
      </w:r>
      <w:r w:rsidR="00BC0119" w:rsidRPr="001416ED">
        <w:rPr>
          <w:lang w:val="uk-UA"/>
        </w:rPr>
        <w:t>–</w:t>
      </w:r>
      <w:r w:rsidRPr="001416ED">
        <w:rPr>
          <w:lang w:val="uk-UA"/>
        </w:rPr>
        <w:t xml:space="preserve">франківської популяції, де показано, що у чоловіків з АГ домінує завиток на І та ІІ пальцях </w:t>
      </w:r>
      <w:r w:rsidR="00C5382C" w:rsidRPr="001416ED">
        <w:rPr>
          <w:lang w:val="uk-UA"/>
        </w:rPr>
        <w:t>П</w:t>
      </w:r>
      <w:r w:rsidR="001F48E7">
        <w:rPr>
          <w:lang w:val="uk-UA"/>
        </w:rPr>
        <w:t>К</w:t>
      </w:r>
      <w:r w:rsidRPr="001416ED">
        <w:rPr>
          <w:lang w:val="uk-UA"/>
        </w:rPr>
        <w:t xml:space="preserve"> [</w:t>
      </w:r>
      <w:r w:rsidR="002979EF" w:rsidRPr="001416ED">
        <w:rPr>
          <w:lang w:val="uk-UA"/>
        </w:rPr>
        <w:t>2</w:t>
      </w:r>
      <w:r w:rsidR="00916F75" w:rsidRPr="001416ED">
        <w:rPr>
          <w:lang w:val="uk-UA"/>
        </w:rPr>
        <w:t>5</w:t>
      </w:r>
      <w:r w:rsidRPr="001416ED">
        <w:rPr>
          <w:lang w:val="uk-UA"/>
        </w:rPr>
        <w:t xml:space="preserve">]. У Харкові в чоловіків з ГХ достовірно частіше зустрічаються </w:t>
      </w:r>
      <w:r w:rsidR="000C1682" w:rsidRPr="001416ED">
        <w:rPr>
          <w:lang w:val="uk-UA"/>
        </w:rPr>
        <w:t xml:space="preserve">складні типи малюнків </w:t>
      </w:r>
      <w:r w:rsidRPr="001416ED">
        <w:rPr>
          <w:lang w:val="uk-UA"/>
        </w:rPr>
        <w:t xml:space="preserve">на ІІІ та </w:t>
      </w:r>
      <w:r w:rsidRPr="001416ED">
        <w:rPr>
          <w:lang w:val="en-US"/>
        </w:rPr>
        <w:t>IV</w:t>
      </w:r>
      <w:r w:rsidRPr="001416ED">
        <w:rPr>
          <w:lang w:val="uk-UA"/>
        </w:rPr>
        <w:t xml:space="preserve"> пальцях </w:t>
      </w:r>
      <w:r w:rsidR="002C5F19" w:rsidRPr="001416ED">
        <w:rPr>
          <w:lang w:val="uk-UA"/>
        </w:rPr>
        <w:t xml:space="preserve"> ЛК</w:t>
      </w:r>
      <w:r w:rsidRPr="001416ED">
        <w:rPr>
          <w:lang w:val="uk-UA"/>
        </w:rPr>
        <w:t xml:space="preserve">, а на </w:t>
      </w:r>
      <w:r w:rsidRPr="001416ED">
        <w:rPr>
          <w:lang w:val="en-US"/>
        </w:rPr>
        <w:t>IV</w:t>
      </w:r>
      <w:r w:rsidRPr="001416ED">
        <w:rPr>
          <w:lang w:val="uk-UA"/>
        </w:rPr>
        <w:t xml:space="preserve"> та </w:t>
      </w:r>
      <w:r w:rsidRPr="001416ED">
        <w:rPr>
          <w:lang w:val="en-US"/>
        </w:rPr>
        <w:t>V</w:t>
      </w:r>
      <w:r w:rsidRPr="001416ED">
        <w:rPr>
          <w:lang w:val="uk-UA"/>
        </w:rPr>
        <w:t xml:space="preserve"> пальцях </w:t>
      </w:r>
      <w:r w:rsidR="007F0AEB" w:rsidRPr="001416ED">
        <w:rPr>
          <w:lang w:val="uk-UA"/>
        </w:rPr>
        <w:t>ПК</w:t>
      </w:r>
      <w:r w:rsidRPr="001416ED">
        <w:rPr>
          <w:lang w:val="uk-UA"/>
        </w:rPr>
        <w:t xml:space="preserve"> – дуги, в порівнянні з кон</w:t>
      </w:r>
      <w:r w:rsidR="00EA3DAF" w:rsidRPr="001416ED">
        <w:rPr>
          <w:lang w:val="uk-UA"/>
        </w:rPr>
        <w:t xml:space="preserve">трольною групою </w:t>
      </w:r>
      <w:r w:rsidRPr="001416ED">
        <w:rPr>
          <w:lang w:val="uk-UA"/>
        </w:rPr>
        <w:t>[</w:t>
      </w:r>
      <w:r w:rsidR="002979EF" w:rsidRPr="001416ED">
        <w:rPr>
          <w:lang w:val="uk-UA"/>
        </w:rPr>
        <w:t>9</w:t>
      </w:r>
      <w:r w:rsidR="00916F75" w:rsidRPr="001416ED">
        <w:rPr>
          <w:lang w:val="uk-UA"/>
        </w:rPr>
        <w:t>0</w:t>
      </w:r>
      <w:r w:rsidRPr="001416ED">
        <w:rPr>
          <w:lang w:val="uk-UA"/>
        </w:rPr>
        <w:t>].</w:t>
      </w:r>
      <w:r w:rsidRPr="001416ED">
        <w:rPr>
          <w:lang w:val="uk-UA" w:eastAsia="uk-UA"/>
        </w:rPr>
        <w:t xml:space="preserve"> </w:t>
      </w:r>
      <w:r w:rsidRPr="001416ED">
        <w:rPr>
          <w:lang w:val="uk-UA"/>
        </w:rPr>
        <w:t>У представників різної статі</w:t>
      </w:r>
      <w:r w:rsidR="000C1682" w:rsidRPr="001416ED">
        <w:rPr>
          <w:lang w:val="uk-UA"/>
        </w:rPr>
        <w:t>,</w:t>
      </w:r>
      <w:r w:rsidRPr="001416ED">
        <w:rPr>
          <w:lang w:val="uk-UA"/>
        </w:rPr>
        <w:t xml:space="preserve"> населення Індії, що мають ГХ</w:t>
      </w:r>
      <w:r w:rsidR="000C1682" w:rsidRPr="001416ED">
        <w:rPr>
          <w:lang w:val="uk-UA"/>
        </w:rPr>
        <w:t>,</w:t>
      </w:r>
      <w:r w:rsidRPr="001416ED">
        <w:rPr>
          <w:lang w:val="uk-UA"/>
        </w:rPr>
        <w:t xml:space="preserve"> на І і І</w:t>
      </w:r>
      <w:r w:rsidRPr="001416ED">
        <w:rPr>
          <w:lang w:val="en-US"/>
        </w:rPr>
        <w:t>V</w:t>
      </w:r>
      <w:r w:rsidRPr="001416ED">
        <w:rPr>
          <w:lang w:val="uk-UA"/>
        </w:rPr>
        <w:t xml:space="preserve"> пальцях </w:t>
      </w:r>
      <w:r w:rsidR="00C5382C" w:rsidRPr="001416ED">
        <w:rPr>
          <w:lang w:val="uk-UA"/>
        </w:rPr>
        <w:t>ПК</w:t>
      </w:r>
      <w:r w:rsidRPr="001416ED">
        <w:rPr>
          <w:lang w:val="uk-UA"/>
        </w:rPr>
        <w:t xml:space="preserve"> вірогідно частіше зустрічались завитки, дуги і петлі, ніж у практично здорових осіб [1</w:t>
      </w:r>
      <w:r w:rsidR="00916F75" w:rsidRPr="001416ED">
        <w:rPr>
          <w:lang w:val="uk-UA"/>
        </w:rPr>
        <w:t>23</w:t>
      </w:r>
      <w:r w:rsidRPr="001416ED">
        <w:rPr>
          <w:lang w:val="uk-UA"/>
        </w:rPr>
        <w:t>].</w:t>
      </w:r>
      <w:r w:rsidRPr="001416ED">
        <w:rPr>
          <w:lang w:val="uk-UA" w:eastAsia="uk-UA"/>
        </w:rPr>
        <w:t xml:space="preserve"> </w:t>
      </w:r>
      <w:r w:rsidRPr="001416ED">
        <w:rPr>
          <w:lang w:val="uk-UA"/>
        </w:rPr>
        <w:t>У ще одному дослідженні індійської популяції чоловічої і жіночої статі показано, що немає різниці у частоті виявлення завитків та ульнарних петель між практично здоровими особами та пацієнтами з ГХ. Проте, у пацієнтів з ЕГ частота радіальних петель достовірна нижча, а частота дуг достовірно вища ніж у осіб групи контролю [1</w:t>
      </w:r>
      <w:r w:rsidR="00916F75" w:rsidRPr="001416ED">
        <w:rPr>
          <w:lang w:val="uk-UA"/>
        </w:rPr>
        <w:t>55</w:t>
      </w:r>
      <w:r w:rsidRPr="001416ED">
        <w:rPr>
          <w:lang w:val="uk-UA"/>
        </w:rPr>
        <w:t xml:space="preserve">]. В Нігерії було продемонстровано, що відсоток частоти завитків в чоловічій і жіночій групі з ЕГ був вище, ніж у практично здорових представників, а завитки на І пальці </w:t>
      </w:r>
      <w:r w:rsidR="00C5382C" w:rsidRPr="001416ED">
        <w:rPr>
          <w:lang w:val="uk-UA"/>
        </w:rPr>
        <w:t>ПК</w:t>
      </w:r>
      <w:r w:rsidRPr="001416ED">
        <w:rPr>
          <w:lang w:val="uk-UA"/>
        </w:rPr>
        <w:t xml:space="preserve"> були асоційовані з ГХ у чоловіків і жінок (100</w:t>
      </w:r>
      <w:r w:rsidR="00D4219F" w:rsidRPr="001416ED">
        <w:rPr>
          <w:lang w:val="uk-UA"/>
        </w:rPr>
        <w:t xml:space="preserve"> %</w:t>
      </w:r>
      <w:r w:rsidRPr="001416ED">
        <w:rPr>
          <w:lang w:val="uk-UA"/>
        </w:rPr>
        <w:t xml:space="preserve"> і 80,77</w:t>
      </w:r>
      <w:r w:rsidR="00D4219F" w:rsidRPr="001416ED">
        <w:rPr>
          <w:lang w:val="uk-UA"/>
        </w:rPr>
        <w:t xml:space="preserve"> %</w:t>
      </w:r>
      <w:r w:rsidRPr="001416ED">
        <w:rPr>
          <w:lang w:val="uk-UA"/>
        </w:rPr>
        <w:t>, відповідно) [1</w:t>
      </w:r>
      <w:r w:rsidR="00A01E5D" w:rsidRPr="001416ED">
        <w:rPr>
          <w:lang w:val="uk-UA"/>
        </w:rPr>
        <w:t>66</w:t>
      </w:r>
      <w:r w:rsidRPr="001416ED">
        <w:rPr>
          <w:lang w:val="uk-UA"/>
        </w:rPr>
        <w:t xml:space="preserve">]. </w:t>
      </w:r>
    </w:p>
    <w:p w:rsidR="00305CEB" w:rsidRPr="001416ED" w:rsidRDefault="00305CEB" w:rsidP="00305CEB">
      <w:pPr>
        <w:spacing w:line="360" w:lineRule="auto"/>
        <w:ind w:firstLine="851"/>
        <w:jc w:val="both"/>
        <w:rPr>
          <w:lang w:val="uk-UA"/>
        </w:rPr>
      </w:pPr>
      <w:r w:rsidRPr="001416ED">
        <w:rPr>
          <w:lang w:val="uk-UA"/>
        </w:rPr>
        <w:t xml:space="preserve">Наступним кроком стало визначення особливостей ГР, ЗГР, СГР у чоловіків з ГХ при носійстві </w:t>
      </w:r>
      <w:r w:rsidR="00E6164F">
        <w:rPr>
          <w:lang w:val="uk-UA"/>
        </w:rPr>
        <w:t>поліморфних варіантів гена ЕТ–1</w:t>
      </w:r>
      <w:r w:rsidRPr="001416ED">
        <w:rPr>
          <w:lang w:val="uk-UA"/>
        </w:rPr>
        <w:t xml:space="preserve">. Встановлено, що у пацієнтів з ГХ </w:t>
      </w:r>
      <w:r w:rsidR="004A4E68" w:rsidRPr="001416ED">
        <w:rPr>
          <w:lang w:val="uk-UA"/>
        </w:rPr>
        <w:t>ІІ</w:t>
      </w:r>
      <w:r w:rsidR="000C1682" w:rsidRPr="001416ED">
        <w:rPr>
          <w:lang w:val="uk-UA"/>
        </w:rPr>
        <w:t xml:space="preserve"> та ІІІ</w:t>
      </w:r>
      <w:r w:rsidRPr="001416ED">
        <w:rPr>
          <w:lang w:val="uk-UA"/>
        </w:rPr>
        <w:t xml:space="preserve"> ст. між носіями </w:t>
      </w:r>
      <w:r w:rsidR="001F48E7">
        <w:rPr>
          <w:lang w:val="uk-UA"/>
        </w:rPr>
        <w:t>різних</w:t>
      </w:r>
      <w:r w:rsidR="00E6164F">
        <w:rPr>
          <w:lang w:val="uk-UA"/>
        </w:rPr>
        <w:t xml:space="preserve"> варіантів гена ЕТ–1</w:t>
      </w:r>
      <w:r w:rsidRPr="001416ED">
        <w:rPr>
          <w:lang w:val="uk-UA"/>
        </w:rPr>
        <w:t xml:space="preserve"> ГР на пальцях обох кистей, окрім першого пальця </w:t>
      </w:r>
      <w:r w:rsidR="002C5F19" w:rsidRPr="001416ED">
        <w:rPr>
          <w:lang w:val="uk-UA"/>
        </w:rPr>
        <w:t>ЛК</w:t>
      </w:r>
      <w:r w:rsidRPr="001416ED">
        <w:rPr>
          <w:lang w:val="uk-UA"/>
        </w:rPr>
        <w:t xml:space="preserve"> не відрізняється. На першому пальці </w:t>
      </w:r>
      <w:r w:rsidR="002C5F19" w:rsidRPr="001416ED">
        <w:rPr>
          <w:lang w:val="uk-UA"/>
        </w:rPr>
        <w:t>ЛК</w:t>
      </w:r>
      <w:r w:rsidRPr="001416ED">
        <w:rPr>
          <w:lang w:val="uk-UA"/>
        </w:rPr>
        <w:t xml:space="preserve"> у осіб з ГХ ІІ ст. ГР достовірно вище у носіїв алелі Asn, ніж у осіб з генотипом Lys/Lys гена ЕТ</w:t>
      </w:r>
      <w:r w:rsidR="00BC0119" w:rsidRPr="001416ED">
        <w:rPr>
          <w:lang w:val="uk-UA"/>
        </w:rPr>
        <w:t>–</w:t>
      </w:r>
      <w:r w:rsidRPr="001416ED">
        <w:rPr>
          <w:lang w:val="uk-UA"/>
        </w:rPr>
        <w:t xml:space="preserve">1. </w:t>
      </w:r>
    </w:p>
    <w:p w:rsidR="004A2389" w:rsidRPr="001416ED" w:rsidRDefault="00305CEB" w:rsidP="00305CEB">
      <w:pPr>
        <w:spacing w:line="360" w:lineRule="auto"/>
        <w:ind w:firstLine="709"/>
        <w:jc w:val="both"/>
        <w:rPr>
          <w:lang w:val="uk-UA"/>
        </w:rPr>
      </w:pPr>
      <w:r w:rsidRPr="001416ED">
        <w:rPr>
          <w:lang w:val="uk-UA"/>
        </w:rPr>
        <w:t xml:space="preserve">ЗГР між </w:t>
      </w:r>
      <w:r w:rsidR="00564B47" w:rsidRPr="001416ED">
        <w:rPr>
          <w:lang w:val="uk-UA"/>
        </w:rPr>
        <w:t>ПК та ЛК</w:t>
      </w:r>
      <w:r w:rsidRPr="001416ED">
        <w:rPr>
          <w:lang w:val="uk-UA"/>
        </w:rPr>
        <w:t xml:space="preserve"> у носіїв </w:t>
      </w:r>
      <w:r w:rsidR="00E6164F">
        <w:rPr>
          <w:lang w:val="uk-UA"/>
        </w:rPr>
        <w:t>поліморфних варіантів гена ЕТ–1</w:t>
      </w:r>
      <w:r w:rsidRPr="001416ED">
        <w:rPr>
          <w:lang w:val="uk-UA"/>
        </w:rPr>
        <w:t xml:space="preserve"> не відрізняється, проте у осіб з </w:t>
      </w:r>
      <w:r w:rsidR="001F48E7">
        <w:rPr>
          <w:lang w:val="uk-UA"/>
        </w:rPr>
        <w:t>ГХ ІІІ ст.</w:t>
      </w:r>
      <w:r w:rsidR="00EA7C60" w:rsidRPr="001416ED">
        <w:rPr>
          <w:lang w:val="uk-UA"/>
        </w:rPr>
        <w:t xml:space="preserve"> </w:t>
      </w:r>
      <w:r w:rsidRPr="001416ED">
        <w:rPr>
          <w:lang w:val="uk-UA"/>
        </w:rPr>
        <w:t xml:space="preserve">– носіїв алелі Asn ЗГР на </w:t>
      </w:r>
      <w:r w:rsidR="007F0AEB" w:rsidRPr="001416ED">
        <w:rPr>
          <w:lang w:val="uk-UA"/>
        </w:rPr>
        <w:t>ПК</w:t>
      </w:r>
      <w:r w:rsidRPr="001416ED">
        <w:rPr>
          <w:lang w:val="uk-UA"/>
        </w:rPr>
        <w:t xml:space="preserve"> виявився </w:t>
      </w:r>
      <w:r w:rsidRPr="001416ED">
        <w:rPr>
          <w:lang w:val="uk-UA"/>
        </w:rPr>
        <w:lastRenderedPageBreak/>
        <w:t xml:space="preserve">достовірно вище, ніж на </w:t>
      </w:r>
      <w:r w:rsidR="00564B47" w:rsidRPr="001416ED">
        <w:rPr>
          <w:lang w:val="uk-UA"/>
        </w:rPr>
        <w:t>ЛК</w:t>
      </w:r>
      <w:r w:rsidRPr="001416ED">
        <w:rPr>
          <w:lang w:val="uk-UA"/>
        </w:rPr>
        <w:t xml:space="preserve">. Вірогідної різниці у ЗГР в осіб контрольної групи, пацієнтів з ГХ різної </w:t>
      </w:r>
      <w:r w:rsidR="00046A18" w:rsidRPr="001416ED">
        <w:rPr>
          <w:lang w:val="uk-UA"/>
        </w:rPr>
        <w:t>стадії</w:t>
      </w:r>
      <w:r w:rsidRPr="001416ED">
        <w:rPr>
          <w:lang w:val="uk-UA"/>
        </w:rPr>
        <w:t xml:space="preserve"> при носійстві різних варіантів </w:t>
      </w:r>
      <w:r w:rsidR="00F40216">
        <w:rPr>
          <w:lang w:val="uk-UA"/>
        </w:rPr>
        <w:t>гена</w:t>
      </w:r>
      <w:r w:rsidRPr="001416ED">
        <w:rPr>
          <w:lang w:val="uk-UA"/>
        </w:rPr>
        <w:t xml:space="preserve"> ЕТ</w:t>
      </w:r>
      <w:r w:rsidR="00BC0119" w:rsidRPr="001416ED">
        <w:rPr>
          <w:lang w:val="uk-UA"/>
        </w:rPr>
        <w:t>–</w:t>
      </w:r>
      <w:r w:rsidRPr="001416ED">
        <w:rPr>
          <w:lang w:val="uk-UA"/>
        </w:rPr>
        <w:t>1 не виявлено. У пацієнтів з ГХ</w:t>
      </w:r>
      <w:r w:rsidR="000C1682" w:rsidRPr="001416ED">
        <w:rPr>
          <w:lang w:val="uk-UA"/>
        </w:rPr>
        <w:t xml:space="preserve"> ІІ ст.</w:t>
      </w:r>
      <w:r w:rsidRPr="001416ED">
        <w:rPr>
          <w:lang w:val="uk-UA"/>
        </w:rPr>
        <w:t xml:space="preserve"> рівень ЗГР на </w:t>
      </w:r>
      <w:r w:rsidR="00564B47" w:rsidRPr="001416ED">
        <w:rPr>
          <w:lang w:val="uk-UA"/>
        </w:rPr>
        <w:t>ПК</w:t>
      </w:r>
      <w:r w:rsidRPr="001416ED">
        <w:rPr>
          <w:lang w:val="uk-UA"/>
        </w:rPr>
        <w:t xml:space="preserve"> та </w:t>
      </w:r>
      <w:r w:rsidR="007F0AEB" w:rsidRPr="001416ED">
        <w:rPr>
          <w:lang w:val="uk-UA"/>
        </w:rPr>
        <w:t>ЛК</w:t>
      </w:r>
      <w:r w:rsidRPr="001416ED">
        <w:rPr>
          <w:lang w:val="uk-UA"/>
        </w:rPr>
        <w:t xml:space="preserve"> при носійстві всіх варіантів гена ЕТ</w:t>
      </w:r>
      <w:r w:rsidR="00BC0119" w:rsidRPr="001416ED">
        <w:rPr>
          <w:lang w:val="uk-UA"/>
        </w:rPr>
        <w:t>–</w:t>
      </w:r>
      <w:r w:rsidRPr="001416ED">
        <w:rPr>
          <w:lang w:val="uk-UA"/>
        </w:rPr>
        <w:t xml:space="preserve">1 виявився найнижчим в порівнянні з іншими групами дослідження. </w:t>
      </w:r>
    </w:p>
    <w:p w:rsidR="00305CEB" w:rsidRPr="001416ED" w:rsidRDefault="00305CEB" w:rsidP="00305CEB">
      <w:pPr>
        <w:spacing w:line="360" w:lineRule="auto"/>
        <w:ind w:firstLine="709"/>
        <w:jc w:val="both"/>
        <w:rPr>
          <w:lang w:val="uk-UA"/>
        </w:rPr>
      </w:pPr>
      <w:r w:rsidRPr="001416ED">
        <w:rPr>
          <w:lang w:val="uk-UA"/>
        </w:rPr>
        <w:t xml:space="preserve">У чоловіків з ГХ ІІ ст. СГР достовірно найнижчий в порівнянні з пацієнтами з </w:t>
      </w:r>
      <w:r w:rsidR="00C34030" w:rsidRPr="001416ED">
        <w:rPr>
          <w:lang w:val="uk-UA"/>
        </w:rPr>
        <w:t xml:space="preserve">ГХ ІІІ ст. </w:t>
      </w:r>
      <w:r w:rsidRPr="001416ED">
        <w:rPr>
          <w:lang w:val="uk-UA"/>
        </w:rPr>
        <w:t xml:space="preserve">та особами групи контролю. Bulagouda </w:t>
      </w:r>
      <w:r w:rsidR="00211C65" w:rsidRPr="001416ED">
        <w:rPr>
          <w:lang w:val="uk-UA"/>
        </w:rPr>
        <w:t xml:space="preserve">та співавт. </w:t>
      </w:r>
      <w:r w:rsidRPr="001416ED">
        <w:rPr>
          <w:lang w:val="uk-UA"/>
        </w:rPr>
        <w:t>(Індія) показав, що у чоловіків з ГХ рівень СГР вірогідно нижчий, ніж в групі контролю, що відповідає отриманим даним [</w:t>
      </w:r>
      <w:r w:rsidR="00944965" w:rsidRPr="001416ED">
        <w:rPr>
          <w:lang w:val="uk-UA"/>
        </w:rPr>
        <w:t>1</w:t>
      </w:r>
      <w:r w:rsidR="00A01E5D" w:rsidRPr="001416ED">
        <w:rPr>
          <w:lang w:val="uk-UA"/>
        </w:rPr>
        <w:t>14</w:t>
      </w:r>
      <w:r w:rsidRPr="001416ED">
        <w:rPr>
          <w:lang w:val="uk-UA"/>
        </w:rPr>
        <w:t xml:space="preserve">]. У роботах </w:t>
      </w:r>
      <w:r w:rsidR="000C1682" w:rsidRPr="001416ED">
        <w:rPr>
          <w:lang w:val="uk-UA"/>
        </w:rPr>
        <w:t xml:space="preserve">A. A. </w:t>
      </w:r>
      <w:r w:rsidRPr="001416ED">
        <w:rPr>
          <w:lang w:val="uk-UA"/>
        </w:rPr>
        <w:t xml:space="preserve">Lahiri </w:t>
      </w:r>
      <w:r w:rsidR="00211C65" w:rsidRPr="001416ED">
        <w:rPr>
          <w:lang w:val="uk-UA"/>
        </w:rPr>
        <w:t xml:space="preserve">та співавт. </w:t>
      </w:r>
      <w:r w:rsidRPr="001416ED">
        <w:rPr>
          <w:lang w:val="uk-UA"/>
        </w:rPr>
        <w:t xml:space="preserve">(Індія) </w:t>
      </w:r>
      <w:r w:rsidR="00C5382C" w:rsidRPr="001416ED">
        <w:rPr>
          <w:lang w:val="uk-UA"/>
        </w:rPr>
        <w:t>і</w:t>
      </w:r>
      <w:r w:rsidRPr="001416ED">
        <w:rPr>
          <w:lang w:val="uk-UA"/>
        </w:rPr>
        <w:t xml:space="preserve"> Kachhave </w:t>
      </w:r>
      <w:r w:rsidR="00211C65" w:rsidRPr="001416ED">
        <w:rPr>
          <w:lang w:val="uk-UA"/>
        </w:rPr>
        <w:t xml:space="preserve">та співавт. </w:t>
      </w:r>
      <w:r w:rsidRPr="001416ED">
        <w:rPr>
          <w:lang w:val="uk-UA"/>
        </w:rPr>
        <w:t xml:space="preserve">(Індія) показані протилежні результати </w:t>
      </w:r>
      <w:r w:rsidR="00BC0119" w:rsidRPr="001416ED">
        <w:rPr>
          <w:lang w:val="uk-UA"/>
        </w:rPr>
        <w:t>–</w:t>
      </w:r>
      <w:r w:rsidRPr="001416ED">
        <w:rPr>
          <w:lang w:val="uk-UA"/>
        </w:rPr>
        <w:t xml:space="preserve"> СГР у пацієнтів з ГХ вірогідно вищий ніж в групі контролю [</w:t>
      </w:r>
      <w:r w:rsidR="00944965" w:rsidRPr="001416ED">
        <w:rPr>
          <w:lang w:val="uk-UA"/>
        </w:rPr>
        <w:t>1</w:t>
      </w:r>
      <w:r w:rsidR="00A01E5D" w:rsidRPr="001416ED">
        <w:rPr>
          <w:lang w:val="uk-UA"/>
        </w:rPr>
        <w:t>49</w:t>
      </w:r>
      <w:r w:rsidR="00944965" w:rsidRPr="001416ED">
        <w:rPr>
          <w:lang w:val="uk-UA"/>
        </w:rPr>
        <w:t>,</w:t>
      </w:r>
      <w:r w:rsidR="000C1682" w:rsidRPr="001416ED">
        <w:rPr>
          <w:lang w:val="uk-UA"/>
        </w:rPr>
        <w:t xml:space="preserve"> </w:t>
      </w:r>
      <w:r w:rsidRPr="001416ED">
        <w:rPr>
          <w:lang w:val="uk-UA"/>
        </w:rPr>
        <w:t>1</w:t>
      </w:r>
      <w:r w:rsidR="00A01E5D" w:rsidRPr="001416ED">
        <w:rPr>
          <w:lang w:val="uk-UA"/>
        </w:rPr>
        <w:t>55</w:t>
      </w:r>
      <w:r w:rsidRPr="001416ED">
        <w:rPr>
          <w:lang w:val="uk-UA"/>
        </w:rPr>
        <w:t>]. Порівнюючи СГР серед усіх груп дослідження</w:t>
      </w:r>
      <w:r w:rsidRPr="001416ED">
        <w:rPr>
          <w:rFonts w:eastAsiaTheme="minorHAnsi"/>
          <w:sz w:val="16"/>
          <w:szCs w:val="16"/>
          <w:lang w:val="uk-UA" w:eastAsia="en-US"/>
        </w:rPr>
        <w:t xml:space="preserve"> </w:t>
      </w:r>
      <w:r w:rsidRPr="001416ED">
        <w:rPr>
          <w:lang w:val="uk-UA"/>
        </w:rPr>
        <w:t xml:space="preserve">у носіїв </w:t>
      </w:r>
      <w:r w:rsidR="00E6164F">
        <w:rPr>
          <w:lang w:val="uk-UA"/>
        </w:rPr>
        <w:t>поліморфних варіантів гена ЕТ–1</w:t>
      </w:r>
      <w:r w:rsidRPr="001416ED">
        <w:rPr>
          <w:lang w:val="uk-UA"/>
        </w:rPr>
        <w:t xml:space="preserve">, СГР найменший у чоловіків з ГХ ІІ ст. Різниці у СГР між носіями генотипу </w:t>
      </w:r>
      <w:r w:rsidRPr="001416ED">
        <w:rPr>
          <w:lang w:val="en-US"/>
        </w:rPr>
        <w:t>Lys</w:t>
      </w:r>
      <w:r w:rsidRPr="001416ED">
        <w:rPr>
          <w:lang w:val="uk-UA"/>
        </w:rPr>
        <w:t>/</w:t>
      </w:r>
      <w:r w:rsidRPr="001416ED">
        <w:rPr>
          <w:lang w:val="en-US"/>
        </w:rPr>
        <w:t>Lys</w:t>
      </w:r>
      <w:r w:rsidRPr="001416ED">
        <w:rPr>
          <w:lang w:val="uk-UA"/>
        </w:rPr>
        <w:t xml:space="preserve"> та алелі </w:t>
      </w:r>
      <w:r w:rsidRPr="001416ED">
        <w:rPr>
          <w:lang w:val="en-US"/>
        </w:rPr>
        <w:t>Asn</w:t>
      </w:r>
      <w:r w:rsidRPr="001416ED">
        <w:rPr>
          <w:lang w:val="uk-UA"/>
        </w:rPr>
        <w:t xml:space="preserve"> в середині кожної групи не виявлено. Схожих робіт на теренах України та країн світу не проводили.</w:t>
      </w:r>
    </w:p>
    <w:p w:rsidR="00305CEB" w:rsidRPr="001416ED" w:rsidRDefault="00305CEB" w:rsidP="00305CEB">
      <w:pPr>
        <w:spacing w:line="360" w:lineRule="auto"/>
        <w:ind w:firstLine="709"/>
        <w:jc w:val="both"/>
        <w:rPr>
          <w:lang w:val="uk-UA"/>
        </w:rPr>
      </w:pPr>
      <w:r w:rsidRPr="001416ED">
        <w:rPr>
          <w:lang w:val="uk-UA"/>
        </w:rPr>
        <w:t xml:space="preserve">Вперше, для скринінгової діагностики носійства певного </w:t>
      </w:r>
      <w:r w:rsidR="00E6164F">
        <w:rPr>
          <w:lang w:val="uk-UA"/>
        </w:rPr>
        <w:t>варіанту гена</w:t>
      </w:r>
      <w:r w:rsidRPr="001416ED">
        <w:rPr>
          <w:lang w:val="uk-UA"/>
        </w:rPr>
        <w:t xml:space="preserve"> ЕТ</w:t>
      </w:r>
      <w:r w:rsidR="00BC0119" w:rsidRPr="001416ED">
        <w:rPr>
          <w:lang w:val="uk-UA"/>
        </w:rPr>
        <w:t>–</w:t>
      </w:r>
      <w:r w:rsidRPr="001416ED">
        <w:rPr>
          <w:lang w:val="uk-UA"/>
        </w:rPr>
        <w:t xml:space="preserve">1 у осіб чоловічої статі, що мають ГХ, були розроблені формули, що враховують малюнки на певних пальцях </w:t>
      </w:r>
      <w:r w:rsidR="00564B47" w:rsidRPr="001416ED">
        <w:rPr>
          <w:lang w:val="uk-UA"/>
        </w:rPr>
        <w:t>ПК та ЛК</w:t>
      </w:r>
      <w:r w:rsidRPr="001416ED">
        <w:rPr>
          <w:lang w:val="uk-UA"/>
        </w:rPr>
        <w:t>. Окрім того були розроблені 2 патенти на винаходи «Спосіб прогнозування ризику розвитку неускладненої гіпертонічної хвороби у чоловіків віком 40</w:t>
      </w:r>
      <w:r w:rsidR="00BC0119" w:rsidRPr="001416ED">
        <w:rPr>
          <w:lang w:val="uk-UA"/>
        </w:rPr>
        <w:t>–</w:t>
      </w:r>
      <w:r w:rsidRPr="001416ED">
        <w:rPr>
          <w:lang w:val="uk-UA"/>
        </w:rPr>
        <w:t>60 років» та «Спосіб прогнозування ризику розвитку хронічної серцевої недостатності на тлі гіпертонічної хвороби у чоловіків мешканців Подільського регіону 40</w:t>
      </w:r>
      <w:r w:rsidR="00BC0119" w:rsidRPr="001416ED">
        <w:rPr>
          <w:lang w:val="uk-UA"/>
        </w:rPr>
        <w:t>–</w:t>
      </w:r>
      <w:r w:rsidRPr="001416ED">
        <w:rPr>
          <w:lang w:val="uk-UA"/>
        </w:rPr>
        <w:t xml:space="preserve">60 років». Формули включають в себе такі показники </w:t>
      </w:r>
      <w:r w:rsidR="00BC0119" w:rsidRPr="001416ED">
        <w:rPr>
          <w:lang w:val="uk-UA"/>
        </w:rPr>
        <w:t>–</w:t>
      </w:r>
      <w:r w:rsidRPr="001416ED">
        <w:rPr>
          <w:lang w:val="uk-UA"/>
        </w:rPr>
        <w:t xml:space="preserve"> вік, паління, вагу, зріст, ІМТ,</w:t>
      </w:r>
      <w:r w:rsidRPr="001416ED">
        <w:rPr>
          <w:rFonts w:eastAsiaTheme="minorHAnsi"/>
          <w:kern w:val="11"/>
          <w:lang w:val="uk-UA" w:eastAsia="en-US"/>
        </w:rPr>
        <w:t xml:space="preserve"> </w:t>
      </w:r>
      <w:r w:rsidRPr="001416ED">
        <w:rPr>
          <w:lang w:val="uk-UA"/>
        </w:rPr>
        <w:t xml:space="preserve">наявність обтяженої спадковості по ГХ та дерматогліфічні малюнки з певних пальців в залежності від формули, яку використовує лікар. Формули прогнозу розвитку </w:t>
      </w:r>
      <w:r w:rsidR="000C1682" w:rsidRPr="001416ED">
        <w:rPr>
          <w:lang w:val="uk-UA"/>
        </w:rPr>
        <w:t xml:space="preserve">ГХ та ХСН </w:t>
      </w:r>
      <w:r w:rsidRPr="001416ED">
        <w:rPr>
          <w:lang w:val="uk-UA"/>
        </w:rPr>
        <w:t>на її тлі є високочутливими та специфічними, що дає змогу їх використовувати при масових скринінгових обстеженнях людей, для відбору тих осіб, що потребують первинної або вторинної профілактики щодо розвитку вищевказаних захворювань</w:t>
      </w:r>
      <w:r w:rsidR="004A2389" w:rsidRPr="001416ED">
        <w:rPr>
          <w:lang w:val="uk-UA"/>
        </w:rPr>
        <w:t xml:space="preserve"> (див. розділ 4)</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Останнім етапом дослідження стало визначення структурно</w:t>
      </w:r>
      <w:r w:rsidR="00BC0119" w:rsidRPr="001416ED">
        <w:rPr>
          <w:lang w:val="uk-UA"/>
        </w:rPr>
        <w:t>–</w:t>
      </w:r>
      <w:r w:rsidRPr="001416ED">
        <w:rPr>
          <w:lang w:val="uk-UA"/>
        </w:rPr>
        <w:t xml:space="preserve">функціональних змін міокарда та системної гемодинаміки у чоловіків групи </w:t>
      </w:r>
      <w:r w:rsidRPr="001416ED">
        <w:rPr>
          <w:lang w:val="uk-UA"/>
        </w:rPr>
        <w:lastRenderedPageBreak/>
        <w:t xml:space="preserve">контролю та у пацієнтів з ГХ різної </w:t>
      </w:r>
      <w:r w:rsidR="00046A18" w:rsidRPr="001416ED">
        <w:rPr>
          <w:lang w:val="uk-UA"/>
        </w:rPr>
        <w:t>стадії</w:t>
      </w:r>
      <w:r w:rsidRPr="001416ED">
        <w:rPr>
          <w:lang w:val="uk-UA"/>
        </w:rPr>
        <w:t xml:space="preserve"> при носійстві </w:t>
      </w:r>
      <w:r w:rsidR="00E6164F">
        <w:rPr>
          <w:lang w:val="uk-UA"/>
        </w:rPr>
        <w:t>поліморфних варіантів гена ЕТ–1</w:t>
      </w:r>
      <w:r w:rsidRPr="001416ED">
        <w:rPr>
          <w:lang w:val="uk-UA"/>
        </w:rPr>
        <w:t>.</w:t>
      </w:r>
    </w:p>
    <w:p w:rsidR="005F28A0" w:rsidRPr="001416ED" w:rsidRDefault="00305CEB" w:rsidP="00305CEB">
      <w:pPr>
        <w:spacing w:line="360" w:lineRule="auto"/>
        <w:ind w:firstLine="709"/>
        <w:jc w:val="both"/>
        <w:rPr>
          <w:lang w:val="uk-UA"/>
        </w:rPr>
      </w:pPr>
      <w:r w:rsidRPr="001416ED">
        <w:rPr>
          <w:lang w:val="uk-UA"/>
        </w:rPr>
        <w:t xml:space="preserve">Так, встановлено, що усі показники внутрішньосерцевої та системної гемодинаміки у чоловіків без </w:t>
      </w:r>
      <w:r w:rsidR="000C1682" w:rsidRPr="001416ED">
        <w:rPr>
          <w:lang w:val="uk-UA"/>
        </w:rPr>
        <w:t>ССЗ</w:t>
      </w:r>
      <w:r w:rsidRPr="001416ED">
        <w:rPr>
          <w:lang w:val="uk-UA"/>
        </w:rPr>
        <w:t xml:space="preserve"> знаходяться в межах норми. Проте, носійство алелі </w:t>
      </w:r>
      <w:r w:rsidRPr="001416ED">
        <w:rPr>
          <w:lang w:val="en-US"/>
        </w:rPr>
        <w:t>Asn</w:t>
      </w:r>
      <w:r w:rsidRPr="001416ED">
        <w:rPr>
          <w:lang w:val="uk-UA"/>
        </w:rPr>
        <w:t xml:space="preserve"> асоціюється з вищими показниками ДАТ, ЧСС та ЗПСО в порівнянні з володарями генотипу Lys/Lys, що може вказувати на розвиток ГХ в майбутньому та потребує первинної профілактики. </w:t>
      </w:r>
    </w:p>
    <w:p w:rsidR="00305CEB" w:rsidRPr="001416ED" w:rsidRDefault="00305CEB" w:rsidP="00305CEB">
      <w:pPr>
        <w:spacing w:line="360" w:lineRule="auto"/>
        <w:ind w:firstLine="709"/>
        <w:jc w:val="both"/>
        <w:rPr>
          <w:lang w:val="uk-UA"/>
        </w:rPr>
      </w:pPr>
      <w:r w:rsidRPr="001416ED">
        <w:rPr>
          <w:lang w:val="uk-UA"/>
        </w:rPr>
        <w:t xml:space="preserve">Досліджено, що носійство алелі </w:t>
      </w:r>
      <w:r w:rsidRPr="001416ED">
        <w:rPr>
          <w:lang w:val="en-US"/>
        </w:rPr>
        <w:t>Asn</w:t>
      </w:r>
      <w:r w:rsidRPr="001416ED">
        <w:rPr>
          <w:lang w:val="uk-UA"/>
        </w:rPr>
        <w:t xml:space="preserve"> в кожній групі пацієнтів з ГХ асоціюється з більш вираженими змінами міокарда та системної гемодинаміки</w:t>
      </w:r>
      <w:r w:rsidR="005F28A0" w:rsidRPr="001416ED">
        <w:rPr>
          <w:lang w:val="uk-UA"/>
        </w:rPr>
        <w:t xml:space="preserve"> ніж гомозиготи по алелі </w:t>
      </w:r>
      <w:r w:rsidR="005F28A0" w:rsidRPr="001416ED">
        <w:rPr>
          <w:lang w:val="en-US"/>
        </w:rPr>
        <w:t>Asn</w:t>
      </w:r>
      <w:r w:rsidRPr="001416ED">
        <w:rPr>
          <w:lang w:val="uk-UA"/>
        </w:rPr>
        <w:t>. Аналіз показників гемодинаміки у пацієнтів з</w:t>
      </w:r>
      <w:r w:rsidR="00686694" w:rsidRPr="001416ED">
        <w:rPr>
          <w:lang w:val="uk-UA"/>
        </w:rPr>
        <w:t xml:space="preserve"> ГХ ІІІ ст.</w:t>
      </w:r>
      <w:r w:rsidRPr="001416ED">
        <w:rPr>
          <w:lang w:val="uk-UA"/>
        </w:rPr>
        <w:t xml:space="preserve"> та різною ФВ при </w:t>
      </w:r>
      <w:r w:rsidR="00F40216">
        <w:rPr>
          <w:lang w:val="uk-UA"/>
        </w:rPr>
        <w:t>різних варіантах гена</w:t>
      </w:r>
      <w:r w:rsidRPr="001416ED">
        <w:rPr>
          <w:lang w:val="uk-UA"/>
        </w:rPr>
        <w:t xml:space="preserve"> ЕТ</w:t>
      </w:r>
      <w:r w:rsidR="00BC0119" w:rsidRPr="001416ED">
        <w:rPr>
          <w:lang w:val="uk-UA"/>
        </w:rPr>
        <w:t>–</w:t>
      </w:r>
      <w:r w:rsidRPr="001416ED">
        <w:rPr>
          <w:lang w:val="uk-UA"/>
        </w:rPr>
        <w:t xml:space="preserve">1 показав </w:t>
      </w:r>
      <w:r w:rsidR="00686694" w:rsidRPr="001416ED">
        <w:rPr>
          <w:lang w:val="uk-UA"/>
        </w:rPr>
        <w:t xml:space="preserve">виражені </w:t>
      </w:r>
      <w:r w:rsidRPr="001416ED">
        <w:rPr>
          <w:lang w:val="uk-UA"/>
        </w:rPr>
        <w:t>структурно</w:t>
      </w:r>
      <w:r w:rsidR="00BC0119" w:rsidRPr="001416ED">
        <w:rPr>
          <w:lang w:val="uk-UA"/>
        </w:rPr>
        <w:t>–</w:t>
      </w:r>
      <w:r w:rsidRPr="001416ED">
        <w:rPr>
          <w:lang w:val="uk-UA"/>
        </w:rPr>
        <w:t xml:space="preserve">функціональні зміни серця при </w:t>
      </w:r>
      <w:r w:rsidR="00564B47" w:rsidRPr="001416ED">
        <w:rPr>
          <w:lang w:val="uk-UA"/>
        </w:rPr>
        <w:t>ФВ &lt; 45 %</w:t>
      </w:r>
      <w:r w:rsidRPr="001416ED">
        <w:rPr>
          <w:lang w:val="uk-UA"/>
        </w:rPr>
        <w:t xml:space="preserve">, особливо при носійстві алелі </w:t>
      </w:r>
      <w:r w:rsidRPr="001416ED">
        <w:rPr>
          <w:lang w:val="en-US"/>
        </w:rPr>
        <w:t>Asn</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 xml:space="preserve">Аналіз геометричних змін ЛШ у пацієнтів з ГХ ІІ ст. показав, що при носійстві як генотипу Lys/Lys так і алелі </w:t>
      </w:r>
      <w:r w:rsidRPr="001416ED">
        <w:rPr>
          <w:lang w:val="en-US"/>
        </w:rPr>
        <w:t>Asn</w:t>
      </w:r>
      <w:r w:rsidRPr="001416ED">
        <w:rPr>
          <w:lang w:val="uk-UA"/>
        </w:rPr>
        <w:t xml:space="preserve"> гена ЕТ</w:t>
      </w:r>
      <w:r w:rsidR="00BC0119" w:rsidRPr="001416ED">
        <w:rPr>
          <w:lang w:val="uk-UA"/>
        </w:rPr>
        <w:t>–</w:t>
      </w:r>
      <w:r w:rsidRPr="001416ED">
        <w:rPr>
          <w:lang w:val="uk-UA"/>
        </w:rPr>
        <w:t xml:space="preserve">1 найчастіше зустрічається ПГЛШ та КГЛШ, а у чоловіків з </w:t>
      </w:r>
      <w:r w:rsidR="00686694" w:rsidRPr="001416ED">
        <w:rPr>
          <w:lang w:val="uk-UA"/>
        </w:rPr>
        <w:t xml:space="preserve">ГХ ІІІ ст. - </w:t>
      </w:r>
      <w:r w:rsidRPr="001416ED">
        <w:rPr>
          <w:lang w:val="uk-UA"/>
        </w:rPr>
        <w:t xml:space="preserve">ВГЛШ та ЕГЛШ. Тобто, носійство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 xml:space="preserve">1 не асоціюється з варіантом ремоделювання ЛШ. В роботі </w:t>
      </w:r>
      <w:r w:rsidR="00686694" w:rsidRPr="001416ED">
        <w:t>M</w:t>
      </w:r>
      <w:r w:rsidR="00686694" w:rsidRPr="001416ED">
        <w:rPr>
          <w:lang w:val="uk-UA"/>
        </w:rPr>
        <w:t xml:space="preserve">. </w:t>
      </w:r>
      <w:r w:rsidR="00686694" w:rsidRPr="001416ED">
        <w:t>G</w:t>
      </w:r>
      <w:r w:rsidR="00686694" w:rsidRPr="001416ED">
        <w:rPr>
          <w:lang w:val="uk-UA"/>
        </w:rPr>
        <w:t xml:space="preserve">. </w:t>
      </w:r>
      <w:r w:rsidRPr="001416ED">
        <w:t>Castro</w:t>
      </w:r>
      <w:r w:rsidRPr="001416ED">
        <w:rPr>
          <w:lang w:val="uk-UA"/>
        </w:rPr>
        <w:t xml:space="preserve"> </w:t>
      </w:r>
      <w:r w:rsidR="00C5382C" w:rsidRPr="001416ED">
        <w:rPr>
          <w:lang w:val="uk-UA"/>
        </w:rPr>
        <w:t>та співавт.</w:t>
      </w:r>
      <w:r w:rsidRPr="001416ED">
        <w:rPr>
          <w:lang w:val="uk-UA"/>
        </w:rPr>
        <w:t xml:space="preserve"> (Іспанія) показано, що генотип </w:t>
      </w:r>
      <w:r w:rsidRPr="001416ED">
        <w:rPr>
          <w:lang w:val="en-US"/>
        </w:rPr>
        <w:t>Asn</w:t>
      </w:r>
      <w:r w:rsidRPr="001416ED">
        <w:rPr>
          <w:lang w:val="uk-UA"/>
        </w:rPr>
        <w:t>/</w:t>
      </w:r>
      <w:r w:rsidRPr="001416ED">
        <w:rPr>
          <w:lang w:val="en-US"/>
        </w:rPr>
        <w:t>Asn</w:t>
      </w:r>
      <w:r w:rsidRPr="001416ED">
        <w:rPr>
          <w:lang w:val="uk-UA"/>
        </w:rPr>
        <w:t xml:space="preserve"> гена ЕТ</w:t>
      </w:r>
      <w:r w:rsidR="00BC0119" w:rsidRPr="001416ED">
        <w:rPr>
          <w:lang w:val="uk-UA"/>
        </w:rPr>
        <w:t>–</w:t>
      </w:r>
      <w:r w:rsidRPr="001416ED">
        <w:rPr>
          <w:lang w:val="uk-UA"/>
        </w:rPr>
        <w:t>1 асоціюється з розвитком ГЛШ [</w:t>
      </w:r>
      <w:r w:rsidR="00944965" w:rsidRPr="001416ED">
        <w:rPr>
          <w:lang w:val="uk-UA"/>
        </w:rPr>
        <w:t>1</w:t>
      </w:r>
      <w:r w:rsidR="00A01E5D" w:rsidRPr="001416ED">
        <w:rPr>
          <w:lang w:val="uk-UA"/>
        </w:rPr>
        <w:t>18</w:t>
      </w:r>
      <w:r w:rsidRPr="001416ED">
        <w:rPr>
          <w:lang w:val="uk-UA"/>
        </w:rPr>
        <w:t>].</w:t>
      </w:r>
    </w:p>
    <w:p w:rsidR="00305CEB" w:rsidRPr="001416ED" w:rsidRDefault="00305CEB" w:rsidP="00305CEB">
      <w:pPr>
        <w:spacing w:line="360" w:lineRule="auto"/>
        <w:ind w:firstLine="709"/>
        <w:jc w:val="both"/>
        <w:rPr>
          <w:lang w:val="uk-UA"/>
        </w:rPr>
      </w:pPr>
      <w:r w:rsidRPr="001416ED">
        <w:rPr>
          <w:lang w:val="uk-UA"/>
        </w:rPr>
        <w:t xml:space="preserve">У чоловіків з ГХ ІІ ст. частіше виявляється нормальний тип ТМК, а у осіб з </w:t>
      </w:r>
      <w:r w:rsidR="00EA7C60" w:rsidRPr="001416ED">
        <w:rPr>
          <w:lang w:val="uk-UA"/>
        </w:rPr>
        <w:t xml:space="preserve">ГХ ІІІ ст.  </w:t>
      </w:r>
      <w:r w:rsidR="00BC0119" w:rsidRPr="001416ED">
        <w:rPr>
          <w:lang w:val="uk-UA"/>
        </w:rPr>
        <w:t>–</w:t>
      </w:r>
      <w:r w:rsidRPr="001416ED">
        <w:rPr>
          <w:lang w:val="uk-UA"/>
        </w:rPr>
        <w:t xml:space="preserve"> псевдонормальний тип ТМК, при усіх варіантах </w:t>
      </w:r>
      <w:r w:rsidR="00F40216">
        <w:rPr>
          <w:lang w:val="uk-UA"/>
        </w:rPr>
        <w:t>гена</w:t>
      </w:r>
      <w:r w:rsidRPr="001416ED">
        <w:rPr>
          <w:lang w:val="uk-UA"/>
        </w:rPr>
        <w:t xml:space="preserve"> ЕТ</w:t>
      </w:r>
      <w:r w:rsidR="00BC0119" w:rsidRPr="001416ED">
        <w:rPr>
          <w:lang w:val="uk-UA"/>
        </w:rPr>
        <w:t>–</w:t>
      </w:r>
      <w:r w:rsidRPr="001416ED">
        <w:rPr>
          <w:lang w:val="uk-UA"/>
        </w:rPr>
        <w:t>1.</w:t>
      </w:r>
    </w:p>
    <w:p w:rsidR="00305CEB" w:rsidRPr="001416ED" w:rsidRDefault="00305CEB" w:rsidP="00305CEB">
      <w:pPr>
        <w:spacing w:line="360" w:lineRule="auto"/>
        <w:ind w:firstLine="709"/>
        <w:jc w:val="both"/>
        <w:rPr>
          <w:lang w:val="uk-UA"/>
        </w:rPr>
      </w:pPr>
      <w:r w:rsidRPr="001416ED">
        <w:rPr>
          <w:lang w:val="uk-UA"/>
        </w:rPr>
        <w:t>У осіб з ГХ ІІ ст. присутність ДД зумовлює підвищення рівня ЕТ</w:t>
      </w:r>
      <w:r w:rsidR="00BC0119" w:rsidRPr="001416ED">
        <w:rPr>
          <w:lang w:val="uk-UA"/>
        </w:rPr>
        <w:t>–</w:t>
      </w:r>
      <w:r w:rsidRPr="001416ED">
        <w:rPr>
          <w:lang w:val="uk-UA"/>
        </w:rPr>
        <w:t xml:space="preserve">1 в плазмі крові. У </w:t>
      </w:r>
      <w:r w:rsidR="00EB7653" w:rsidRPr="001416ED">
        <w:rPr>
          <w:lang w:val="uk-UA"/>
        </w:rPr>
        <w:t xml:space="preserve">чоловіків з ГХ ІІІ ст. </w:t>
      </w:r>
      <w:r w:rsidRPr="001416ED">
        <w:rPr>
          <w:lang w:val="uk-UA"/>
        </w:rPr>
        <w:t>плазмова концентрація ЕТ</w:t>
      </w:r>
      <w:r w:rsidR="00686694" w:rsidRPr="001416ED">
        <w:rPr>
          <w:lang w:val="uk-UA"/>
        </w:rPr>
        <w:t>-1</w:t>
      </w:r>
      <w:r w:rsidR="00564B47" w:rsidRPr="001416ED">
        <w:rPr>
          <w:lang w:val="uk-UA"/>
        </w:rPr>
        <w:t xml:space="preserve"> ФВ &lt; 45 %</w:t>
      </w:r>
      <w:r w:rsidRPr="001416ED">
        <w:rPr>
          <w:lang w:val="uk-UA"/>
        </w:rPr>
        <w:t xml:space="preserve">, достовірно вища, ніж при ізольованій ДД, при чому найвища концентрація пептиду була у носіїв алелі </w:t>
      </w:r>
      <w:r w:rsidRPr="001416ED">
        <w:rPr>
          <w:lang w:val="en-US"/>
        </w:rPr>
        <w:t>Asn</w:t>
      </w:r>
      <w:r w:rsidRPr="001416ED">
        <w:rPr>
          <w:lang w:val="uk-UA"/>
        </w:rPr>
        <w:t xml:space="preserve">. </w:t>
      </w:r>
    </w:p>
    <w:p w:rsidR="00305CEB" w:rsidRPr="001416ED" w:rsidRDefault="00305CEB" w:rsidP="00305CEB">
      <w:pPr>
        <w:spacing w:line="360" w:lineRule="auto"/>
        <w:ind w:firstLine="709"/>
        <w:jc w:val="both"/>
        <w:rPr>
          <w:lang w:val="uk-UA"/>
        </w:rPr>
      </w:pPr>
      <w:r w:rsidRPr="001416ED">
        <w:rPr>
          <w:lang w:val="uk-UA"/>
        </w:rPr>
        <w:t xml:space="preserve">У чоловіків з ГХ різної </w:t>
      </w:r>
      <w:r w:rsidR="00046A18" w:rsidRPr="001416ED">
        <w:rPr>
          <w:lang w:val="uk-UA"/>
        </w:rPr>
        <w:t>стадії</w:t>
      </w:r>
      <w:r w:rsidRPr="001416ED">
        <w:rPr>
          <w:lang w:val="uk-UA"/>
        </w:rPr>
        <w:t xml:space="preserve"> при ВГЛШ та ЕГЛШ рівень ЕТ</w:t>
      </w:r>
      <w:r w:rsidR="00BC0119" w:rsidRPr="001416ED">
        <w:rPr>
          <w:lang w:val="uk-UA"/>
        </w:rPr>
        <w:t>–</w:t>
      </w:r>
      <w:r w:rsidRPr="001416ED">
        <w:rPr>
          <w:lang w:val="uk-UA"/>
        </w:rPr>
        <w:t xml:space="preserve">1 в плазмі крові був вірогідно вищий, ніж при ПГЛШ та КГЛШ, проте немає різниці у рівні пептиду при різній ФВ у пацієнтів з ХСН </w:t>
      </w:r>
      <w:r w:rsidR="004A4E68" w:rsidRPr="001416ED">
        <w:rPr>
          <w:lang w:val="uk-UA"/>
        </w:rPr>
        <w:t>ІІ А</w:t>
      </w:r>
      <w:r w:rsidRPr="001416ED">
        <w:rPr>
          <w:lang w:val="uk-UA"/>
        </w:rPr>
        <w:t xml:space="preserve"> ст. Подібні результати отримані в роботі </w:t>
      </w:r>
      <w:r w:rsidR="00686694" w:rsidRPr="001416ED">
        <w:rPr>
          <w:lang w:val="uk-UA"/>
        </w:rPr>
        <w:t xml:space="preserve">О. О. </w:t>
      </w:r>
      <w:r w:rsidRPr="001416ED">
        <w:rPr>
          <w:lang w:val="uk-UA"/>
        </w:rPr>
        <w:t xml:space="preserve">Сакович при дослідженні жінок з ГХ ІІ ст. та </w:t>
      </w:r>
      <w:r w:rsidR="00EA7C60" w:rsidRPr="001416ED">
        <w:rPr>
          <w:lang w:val="uk-UA"/>
        </w:rPr>
        <w:t xml:space="preserve">ГХ ІІІ ст.  </w:t>
      </w:r>
      <w:r w:rsidRPr="001416ED">
        <w:rPr>
          <w:lang w:val="uk-UA"/>
        </w:rPr>
        <w:t>[</w:t>
      </w:r>
      <w:r w:rsidR="002979EF" w:rsidRPr="001416ED">
        <w:rPr>
          <w:lang w:val="uk-UA"/>
        </w:rPr>
        <w:t>7</w:t>
      </w:r>
      <w:r w:rsidR="00A01E5D" w:rsidRPr="001416ED">
        <w:rPr>
          <w:lang w:val="uk-UA"/>
        </w:rPr>
        <w:t>3</w:t>
      </w:r>
      <w:r w:rsidRPr="001416ED">
        <w:rPr>
          <w:lang w:val="uk-UA"/>
        </w:rPr>
        <w:t xml:space="preserve">]. У роботі </w:t>
      </w:r>
      <w:r w:rsidR="00686694" w:rsidRPr="001416ED">
        <w:rPr>
          <w:lang w:val="uk-UA"/>
        </w:rPr>
        <w:t xml:space="preserve">В. В. </w:t>
      </w:r>
      <w:r w:rsidRPr="001416ED">
        <w:rPr>
          <w:lang w:val="uk-UA"/>
        </w:rPr>
        <w:t xml:space="preserve">Багрій показані протилежні дані </w:t>
      </w:r>
      <w:r w:rsidR="00BC0119" w:rsidRPr="001416ED">
        <w:rPr>
          <w:lang w:val="uk-UA"/>
        </w:rPr>
        <w:t>–</w:t>
      </w:r>
      <w:r w:rsidRPr="001416ED">
        <w:rPr>
          <w:lang w:val="uk-UA"/>
        </w:rPr>
        <w:t xml:space="preserve"> у жінок з ГХ ІІ ст. рівень ЕТ</w:t>
      </w:r>
      <w:r w:rsidR="00686694" w:rsidRPr="001416ED">
        <w:rPr>
          <w:lang w:val="uk-UA"/>
        </w:rPr>
        <w:t>-1</w:t>
      </w:r>
      <w:r w:rsidRPr="001416ED">
        <w:rPr>
          <w:lang w:val="uk-UA"/>
        </w:rPr>
        <w:t xml:space="preserve"> при вираженій та помірній ГЛШ не відрізняється [</w:t>
      </w:r>
      <w:r w:rsidR="00A01E5D" w:rsidRPr="001416ED">
        <w:rPr>
          <w:lang w:val="uk-UA"/>
        </w:rPr>
        <w:t>4</w:t>
      </w:r>
      <w:r w:rsidRPr="001416ED">
        <w:rPr>
          <w:lang w:val="uk-UA"/>
        </w:rPr>
        <w:t xml:space="preserve">]. </w:t>
      </w:r>
      <w:r w:rsidR="0072666E" w:rsidRPr="001416ED">
        <w:rPr>
          <w:lang w:val="uk-UA"/>
        </w:rPr>
        <w:t>Г.</w:t>
      </w:r>
      <w:r w:rsidR="0072666E" w:rsidRPr="001416ED">
        <w:rPr>
          <w:lang w:val="en-US"/>
        </w:rPr>
        <w:t xml:space="preserve"> </w:t>
      </w:r>
      <w:r w:rsidR="0072666E" w:rsidRPr="001416ED">
        <w:rPr>
          <w:lang w:val="uk-UA"/>
        </w:rPr>
        <w:t xml:space="preserve">В. </w:t>
      </w:r>
      <w:r w:rsidRPr="001416ED">
        <w:rPr>
          <w:lang w:val="uk-UA"/>
        </w:rPr>
        <w:t xml:space="preserve">Вільчинський показав, що у </w:t>
      </w:r>
      <w:r w:rsidRPr="001416ED">
        <w:rPr>
          <w:lang w:val="uk-UA"/>
        </w:rPr>
        <w:lastRenderedPageBreak/>
        <w:t>жінок з ГХ ІІ ст. плазмова концентрація ЕТ</w:t>
      </w:r>
      <w:r w:rsidR="00BC0119" w:rsidRPr="001416ED">
        <w:rPr>
          <w:lang w:val="uk-UA"/>
        </w:rPr>
        <w:t>–</w:t>
      </w:r>
      <w:r w:rsidRPr="001416ED">
        <w:rPr>
          <w:lang w:val="uk-UA"/>
        </w:rPr>
        <w:t>1 при ВГЛШ вірогідно вища, ніж при ПГЛШ, проте у жінок з ГХ ІІІ ст. такої різниці не виявлено [</w:t>
      </w:r>
      <w:r w:rsidR="002979EF" w:rsidRPr="001416ED">
        <w:rPr>
          <w:lang w:val="uk-UA"/>
        </w:rPr>
        <w:t>1</w:t>
      </w:r>
      <w:r w:rsidR="00A01E5D" w:rsidRPr="001416ED">
        <w:rPr>
          <w:lang w:val="uk-UA"/>
        </w:rPr>
        <w:t>5</w:t>
      </w:r>
      <w:r w:rsidRPr="001416ED">
        <w:rPr>
          <w:lang w:val="uk-UA"/>
        </w:rPr>
        <w:t>].</w:t>
      </w:r>
    </w:p>
    <w:p w:rsidR="00305CEB" w:rsidRPr="001416ED" w:rsidRDefault="00305CEB" w:rsidP="00305CEB">
      <w:pPr>
        <w:spacing w:line="360" w:lineRule="auto"/>
        <w:ind w:firstLine="851"/>
        <w:jc w:val="both"/>
        <w:rPr>
          <w:lang w:val="uk-UA"/>
        </w:rPr>
      </w:pPr>
      <w:r w:rsidRPr="001416ED">
        <w:rPr>
          <w:lang w:val="uk-UA"/>
        </w:rPr>
        <w:t xml:space="preserve">У чоловіків з </w:t>
      </w:r>
      <w:r w:rsidR="00EA7C60" w:rsidRPr="001416ED">
        <w:rPr>
          <w:lang w:val="uk-UA"/>
        </w:rPr>
        <w:t xml:space="preserve">ГХ ІІІ ст. </w:t>
      </w:r>
      <w:r w:rsidRPr="001416ED">
        <w:rPr>
          <w:lang w:val="uk-UA"/>
        </w:rPr>
        <w:t>при різній ФВ ЛШ найбільша плазмова концентрація СНП та СНП/ЕТ</w:t>
      </w:r>
      <w:r w:rsidR="00BC0119" w:rsidRPr="001416ED">
        <w:rPr>
          <w:lang w:val="uk-UA"/>
        </w:rPr>
        <w:t>–</w:t>
      </w:r>
      <w:r w:rsidRPr="001416ED">
        <w:rPr>
          <w:lang w:val="uk-UA"/>
        </w:rPr>
        <w:t xml:space="preserve">1 спостерігається у носіїв алелі </w:t>
      </w:r>
      <w:r w:rsidRPr="001416ED">
        <w:rPr>
          <w:lang w:val="en-US"/>
        </w:rPr>
        <w:t>Asn</w:t>
      </w:r>
      <w:r w:rsidRPr="001416ED">
        <w:rPr>
          <w:lang w:val="uk-UA"/>
        </w:rPr>
        <w:t>, що може вказувати на компенсаторну реакцію ендотелію на стійкий вазоспазм. Різниці у рівнях СНП та СНП/ЕТ</w:t>
      </w:r>
      <w:r w:rsidR="00BC0119" w:rsidRPr="001416ED">
        <w:rPr>
          <w:lang w:val="uk-UA"/>
        </w:rPr>
        <w:t>–</w:t>
      </w:r>
      <w:r w:rsidRPr="001416ED">
        <w:rPr>
          <w:lang w:val="uk-UA"/>
        </w:rPr>
        <w:t>1 між особами з ФВ</w:t>
      </w:r>
      <w:r w:rsidR="00085D86" w:rsidRPr="001416ED">
        <w:rPr>
          <w:lang w:val="uk-UA"/>
        </w:rPr>
        <w:t xml:space="preserve"> &gt; 45 % та ФВ &lt; 45 %</w:t>
      </w:r>
      <w:r w:rsidRPr="001416ED">
        <w:rPr>
          <w:lang w:val="uk-UA"/>
        </w:rPr>
        <w:t xml:space="preserve"> при носійстві </w:t>
      </w:r>
      <w:r w:rsidR="00E6164F">
        <w:rPr>
          <w:lang w:val="uk-UA"/>
        </w:rPr>
        <w:t>поліморфних варіантів гена ЕТ–1</w:t>
      </w:r>
      <w:r w:rsidRPr="001416ED">
        <w:rPr>
          <w:lang w:val="uk-UA"/>
        </w:rPr>
        <w:t xml:space="preserve"> не встановлено.</w:t>
      </w:r>
    </w:p>
    <w:p w:rsidR="00305CEB" w:rsidRPr="001416ED" w:rsidRDefault="00305CEB" w:rsidP="00305CEB">
      <w:pPr>
        <w:spacing w:line="360" w:lineRule="auto"/>
        <w:ind w:firstLine="851"/>
        <w:jc w:val="both"/>
        <w:rPr>
          <w:lang w:val="uk-UA"/>
        </w:rPr>
      </w:pPr>
      <w:r w:rsidRPr="001416ED">
        <w:rPr>
          <w:lang w:val="uk-UA"/>
        </w:rPr>
        <w:t xml:space="preserve">Досліджено, що у осіб чоловічої статі з </w:t>
      </w:r>
      <w:r w:rsidR="00F425A8" w:rsidRPr="001416ED">
        <w:rPr>
          <w:lang w:val="uk-UA"/>
        </w:rPr>
        <w:t xml:space="preserve">ГХ ІІ та ІІІ ст. </w:t>
      </w:r>
      <w:r w:rsidRPr="001416ED">
        <w:rPr>
          <w:lang w:val="uk-UA"/>
        </w:rPr>
        <w:t xml:space="preserve"> показник СНП та СНП/ЕТ</w:t>
      </w:r>
      <w:r w:rsidR="00BC0119" w:rsidRPr="001416ED">
        <w:rPr>
          <w:lang w:val="uk-UA"/>
        </w:rPr>
        <w:t>–</w:t>
      </w:r>
      <w:r w:rsidRPr="001416ED">
        <w:rPr>
          <w:lang w:val="uk-UA"/>
        </w:rPr>
        <w:t>1 в плазмі крові як і ЕТ</w:t>
      </w:r>
      <w:r w:rsidR="00BC0119" w:rsidRPr="001416ED">
        <w:rPr>
          <w:lang w:val="uk-UA"/>
        </w:rPr>
        <w:t>–</w:t>
      </w:r>
      <w:r w:rsidRPr="001416ED">
        <w:rPr>
          <w:lang w:val="uk-UA"/>
        </w:rPr>
        <w:t>1 вищі при ЕГЛШ та ВГЛШ, ніж при КГЛШ та ПГЛШ, при чому найбільші рівні СНП, на відміну від СНП/ЕТ</w:t>
      </w:r>
      <w:r w:rsidR="00BC0119" w:rsidRPr="001416ED">
        <w:rPr>
          <w:lang w:val="uk-UA"/>
        </w:rPr>
        <w:t>–</w:t>
      </w:r>
      <w:r w:rsidRPr="001416ED">
        <w:rPr>
          <w:lang w:val="uk-UA"/>
        </w:rPr>
        <w:t>1, виявлені у чоловіків з ГХ</w:t>
      </w:r>
      <w:r w:rsidR="00F425A8" w:rsidRPr="001416ED">
        <w:rPr>
          <w:lang w:val="uk-UA"/>
        </w:rPr>
        <w:t xml:space="preserve"> ІІІ ст</w:t>
      </w:r>
      <w:r w:rsidRPr="001416ED">
        <w:rPr>
          <w:lang w:val="uk-UA"/>
        </w:rPr>
        <w:t>. Плазмова концентрація СНП та коефіцієнт СНП/ЕТ</w:t>
      </w:r>
      <w:r w:rsidR="00BC0119" w:rsidRPr="001416ED">
        <w:rPr>
          <w:lang w:val="uk-UA"/>
        </w:rPr>
        <w:t>–</w:t>
      </w:r>
      <w:r w:rsidRPr="001416ED">
        <w:rPr>
          <w:lang w:val="uk-UA"/>
        </w:rPr>
        <w:t>1, як і ЕТ</w:t>
      </w:r>
      <w:r w:rsidR="00BC0119" w:rsidRPr="001416ED">
        <w:rPr>
          <w:lang w:val="uk-UA"/>
        </w:rPr>
        <w:t>–</w:t>
      </w:r>
      <w:r w:rsidR="00085D86" w:rsidRPr="001416ED">
        <w:rPr>
          <w:lang w:val="uk-UA"/>
        </w:rPr>
        <w:t xml:space="preserve">1 у чоловіків з </w:t>
      </w:r>
      <w:r w:rsidRPr="001416ED">
        <w:rPr>
          <w:lang w:val="uk-UA"/>
        </w:rPr>
        <w:t>ФВ</w:t>
      </w:r>
      <w:r w:rsidR="00085D86" w:rsidRPr="001416ED">
        <w:rPr>
          <w:lang w:val="uk-UA"/>
        </w:rPr>
        <w:t xml:space="preserve"> &gt; 45 % та ФВ &lt; 45 %</w:t>
      </w:r>
      <w:r w:rsidRPr="001416ED">
        <w:rPr>
          <w:lang w:val="uk-UA"/>
        </w:rPr>
        <w:t xml:space="preserve"> не різняться. Подібні результати отримані у жінок, мешканок Вінницької області з ГХ ІІ та ІІІ ст. (що мают</w:t>
      </w:r>
      <w:r w:rsidR="00A1375F" w:rsidRPr="001416ED">
        <w:rPr>
          <w:lang w:val="uk-UA"/>
        </w:rPr>
        <w:t xml:space="preserve">ь ХСН </w:t>
      </w:r>
      <w:r w:rsidR="004A4E68" w:rsidRPr="001416ED">
        <w:rPr>
          <w:lang w:val="uk-UA"/>
        </w:rPr>
        <w:t>ІІ А</w:t>
      </w:r>
      <w:r w:rsidR="00A1375F" w:rsidRPr="001416ED">
        <w:rPr>
          <w:lang w:val="uk-UA"/>
        </w:rPr>
        <w:t xml:space="preserve"> ст.) [7</w:t>
      </w:r>
      <w:r w:rsidR="00A01E5D" w:rsidRPr="001416ED">
        <w:rPr>
          <w:lang w:val="uk-UA"/>
        </w:rPr>
        <w:t>3</w:t>
      </w:r>
      <w:r w:rsidRPr="001416ED">
        <w:rPr>
          <w:lang w:val="uk-UA"/>
        </w:rPr>
        <w:t xml:space="preserve">].  У осіб жіночої статі, мешканок Вінницької області з ІМ на тлі ГХ та з ГХ ІІ ст. плазмова концентрація СНП при ВГЛШ достовірно більша ніж при ПГЛШ, проте при МІ на фоні ГХ цей показник не відрізнявся У роботі </w:t>
      </w:r>
      <w:r w:rsidR="00F425A8" w:rsidRPr="001416ED">
        <w:rPr>
          <w:lang w:val="uk-UA"/>
        </w:rPr>
        <w:t xml:space="preserve">В. В. </w:t>
      </w:r>
      <w:r w:rsidRPr="001416ED">
        <w:rPr>
          <w:lang w:val="uk-UA"/>
        </w:rPr>
        <w:t>Багрій продемонстровано, що рівень СНП у жінок з ГХ ІІ ст. при ВГЛШ вірогідно вище, ніж при ПГЛШ, проте у показнику СНП/ЕТ</w:t>
      </w:r>
      <w:r w:rsidR="00BC0119" w:rsidRPr="001416ED">
        <w:rPr>
          <w:lang w:val="uk-UA"/>
        </w:rPr>
        <w:t>–</w:t>
      </w:r>
      <w:r w:rsidRPr="001416ED">
        <w:rPr>
          <w:lang w:val="uk-UA"/>
        </w:rPr>
        <w:t>1 такої різниці не встановлено.</w:t>
      </w:r>
    </w:p>
    <w:p w:rsidR="00197D0C" w:rsidRPr="001416ED" w:rsidRDefault="00305CEB" w:rsidP="00305CEB">
      <w:pPr>
        <w:spacing w:line="360" w:lineRule="auto"/>
        <w:ind w:firstLine="851"/>
        <w:jc w:val="both"/>
        <w:rPr>
          <w:lang w:val="uk-UA"/>
        </w:rPr>
      </w:pPr>
      <w:r w:rsidRPr="001416ED">
        <w:rPr>
          <w:lang w:val="uk-UA"/>
        </w:rPr>
        <w:t xml:space="preserve">У чоловіків з </w:t>
      </w:r>
      <w:r w:rsidR="00A63A7A" w:rsidRPr="001416ED">
        <w:rPr>
          <w:lang w:val="uk-UA"/>
        </w:rPr>
        <w:t>ГХ ІІІ ст</w:t>
      </w:r>
      <w:r w:rsidR="00F425A8" w:rsidRPr="001416ED">
        <w:rPr>
          <w:lang w:val="uk-UA"/>
        </w:rPr>
        <w:t xml:space="preserve">. та </w:t>
      </w:r>
      <w:r w:rsidR="00564B47" w:rsidRPr="001416ED">
        <w:rPr>
          <w:lang w:val="uk-UA"/>
        </w:rPr>
        <w:t xml:space="preserve">ФВ &lt; 45 % </w:t>
      </w:r>
      <w:r w:rsidRPr="001416ED">
        <w:rPr>
          <w:lang w:val="uk-UA"/>
        </w:rPr>
        <w:t xml:space="preserve">плазмова концентрація СНП виявилась найвищою в порівнянні з пацієнтами, що мають ХСН </w:t>
      </w:r>
      <w:r w:rsidR="004A4E68" w:rsidRPr="001416ED">
        <w:rPr>
          <w:lang w:val="uk-UA"/>
        </w:rPr>
        <w:t>ІІ А</w:t>
      </w:r>
      <w:r w:rsidRPr="001416ED">
        <w:rPr>
          <w:lang w:val="uk-UA"/>
        </w:rPr>
        <w:t xml:space="preserve"> ст. та ізольован</w:t>
      </w:r>
      <w:r w:rsidR="00197D0C" w:rsidRPr="001416ED">
        <w:rPr>
          <w:lang w:val="uk-UA"/>
        </w:rPr>
        <w:t>у</w:t>
      </w:r>
      <w:r w:rsidRPr="001416ED">
        <w:rPr>
          <w:lang w:val="uk-UA"/>
        </w:rPr>
        <w:t xml:space="preserve"> ДД та чоловіками з ГХ ІІ ст. Схожі дані отримані у Сакович О.О., при дослідженні жінок з </w:t>
      </w:r>
      <w:r w:rsidR="00F425A8" w:rsidRPr="001416ED">
        <w:rPr>
          <w:lang w:val="uk-UA"/>
        </w:rPr>
        <w:t xml:space="preserve">ГХ ІІ та ІІІ ст. </w:t>
      </w:r>
      <w:r w:rsidRPr="001416ED">
        <w:rPr>
          <w:lang w:val="uk-UA"/>
        </w:rPr>
        <w:t>[</w:t>
      </w:r>
      <w:r w:rsidR="00821502" w:rsidRPr="001416ED">
        <w:rPr>
          <w:lang w:val="uk-UA"/>
        </w:rPr>
        <w:t>7</w:t>
      </w:r>
      <w:r w:rsidR="00A01E5D" w:rsidRPr="001416ED">
        <w:rPr>
          <w:lang w:val="uk-UA"/>
        </w:rPr>
        <w:t>3</w:t>
      </w:r>
      <w:r w:rsidRPr="001416ED">
        <w:rPr>
          <w:lang w:val="uk-UA"/>
        </w:rPr>
        <w:t xml:space="preserve">], </w:t>
      </w:r>
      <w:r w:rsidR="00197D0C" w:rsidRPr="001416ED">
        <w:rPr>
          <w:lang w:val="uk-UA"/>
        </w:rPr>
        <w:t xml:space="preserve">однак, в роботі </w:t>
      </w:r>
      <w:r w:rsidR="00F425A8" w:rsidRPr="001416ED">
        <w:rPr>
          <w:lang w:val="uk-UA"/>
        </w:rPr>
        <w:t xml:space="preserve">Г. В. </w:t>
      </w:r>
      <w:r w:rsidR="00197D0C" w:rsidRPr="001416ED">
        <w:rPr>
          <w:lang w:val="uk-UA"/>
        </w:rPr>
        <w:t xml:space="preserve">Вільчинського </w:t>
      </w:r>
      <w:r w:rsidRPr="001416ED">
        <w:rPr>
          <w:lang w:val="uk-UA"/>
        </w:rPr>
        <w:t>у жінок з МІ та ІМ так</w:t>
      </w:r>
      <w:r w:rsidR="00197D0C" w:rsidRPr="001416ED">
        <w:rPr>
          <w:lang w:val="uk-UA"/>
        </w:rPr>
        <w:t>ої відмінності  не встановлено</w:t>
      </w:r>
      <w:r w:rsidR="00F425A8" w:rsidRPr="001416ED">
        <w:rPr>
          <w:lang w:val="uk-UA"/>
        </w:rPr>
        <w:t xml:space="preserve"> [1</w:t>
      </w:r>
      <w:r w:rsidR="00A01E5D" w:rsidRPr="001416ED">
        <w:rPr>
          <w:lang w:val="uk-UA"/>
        </w:rPr>
        <w:t>5</w:t>
      </w:r>
      <w:r w:rsidR="00F425A8" w:rsidRPr="001416ED">
        <w:rPr>
          <w:lang w:val="uk-UA"/>
        </w:rPr>
        <w:t>].</w:t>
      </w:r>
    </w:p>
    <w:p w:rsidR="00305CEB" w:rsidRPr="001416ED" w:rsidRDefault="00305CEB" w:rsidP="00305CEB">
      <w:pPr>
        <w:spacing w:line="360" w:lineRule="auto"/>
        <w:ind w:firstLine="851"/>
        <w:jc w:val="both"/>
        <w:rPr>
          <w:lang w:val="uk-UA"/>
        </w:rPr>
      </w:pPr>
      <w:r w:rsidRPr="001416ED">
        <w:rPr>
          <w:lang w:val="uk-UA"/>
        </w:rPr>
        <w:t xml:space="preserve">Отже, у осіб без </w:t>
      </w:r>
      <w:r w:rsidR="00F425A8" w:rsidRPr="001416ED">
        <w:rPr>
          <w:lang w:val="uk-UA"/>
        </w:rPr>
        <w:t>ССЗ</w:t>
      </w:r>
      <w:r w:rsidRPr="001416ED">
        <w:rPr>
          <w:lang w:val="uk-UA"/>
        </w:rPr>
        <w:t xml:space="preserve"> та у пацієнтів з ГХ ІІ ст. та з </w:t>
      </w:r>
      <w:r w:rsidR="00F425A8" w:rsidRPr="001416ED">
        <w:rPr>
          <w:lang w:val="uk-UA"/>
        </w:rPr>
        <w:t>ГХ ІІІ ст.</w:t>
      </w:r>
      <w:r w:rsidR="00EA7C60" w:rsidRPr="001416ED">
        <w:rPr>
          <w:lang w:val="uk-UA"/>
        </w:rPr>
        <w:t xml:space="preserve"> </w:t>
      </w:r>
      <w:r w:rsidRPr="001416ED">
        <w:rPr>
          <w:lang w:val="uk-UA"/>
        </w:rPr>
        <w:t xml:space="preserve">зустрічається переважно генотип </w:t>
      </w:r>
      <w:r w:rsidRPr="001416ED">
        <w:rPr>
          <w:lang w:val="en-US"/>
        </w:rPr>
        <w:t>Lys</w:t>
      </w:r>
      <w:r w:rsidRPr="001416ED">
        <w:rPr>
          <w:lang w:val="uk-UA"/>
        </w:rPr>
        <w:t>/</w:t>
      </w:r>
      <w:r w:rsidRPr="001416ED">
        <w:rPr>
          <w:lang w:val="en-US"/>
        </w:rPr>
        <w:t>Lys</w:t>
      </w:r>
      <w:r w:rsidRPr="001416ED">
        <w:rPr>
          <w:lang w:val="uk-UA"/>
        </w:rPr>
        <w:t xml:space="preserve"> та алель </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Носійство алелі </w:t>
      </w:r>
      <w:r w:rsidRPr="001416ED">
        <w:rPr>
          <w:lang w:val="en-US"/>
        </w:rPr>
        <w:t>Asn</w:t>
      </w:r>
      <w:r w:rsidRPr="001416ED">
        <w:rPr>
          <w:lang w:val="uk-UA"/>
        </w:rPr>
        <w:t xml:space="preserve"> асоціюється з 3 ступенем АГ.</w:t>
      </w:r>
    </w:p>
    <w:p w:rsidR="00305CEB" w:rsidRPr="001416ED" w:rsidRDefault="00305CEB" w:rsidP="00305CEB">
      <w:pPr>
        <w:spacing w:line="360" w:lineRule="auto"/>
        <w:ind w:firstLine="851"/>
        <w:jc w:val="both"/>
        <w:rPr>
          <w:lang w:val="uk-UA"/>
        </w:rPr>
      </w:pPr>
      <w:r w:rsidRPr="001416ED">
        <w:rPr>
          <w:lang w:val="uk-UA"/>
        </w:rPr>
        <w:t xml:space="preserve">Встановлено, що у пацієнтів з ГХ різної </w:t>
      </w:r>
      <w:r w:rsidR="00046A18" w:rsidRPr="001416ED">
        <w:rPr>
          <w:lang w:val="uk-UA"/>
        </w:rPr>
        <w:t>стадії</w:t>
      </w:r>
      <w:r w:rsidRPr="001416ED">
        <w:rPr>
          <w:lang w:val="uk-UA"/>
        </w:rPr>
        <w:t xml:space="preserve"> рівень ЕТ</w:t>
      </w:r>
      <w:r w:rsidR="00BC0119" w:rsidRPr="001416ED">
        <w:rPr>
          <w:lang w:val="uk-UA"/>
        </w:rPr>
        <w:t>–</w:t>
      </w:r>
      <w:r w:rsidRPr="001416ED">
        <w:rPr>
          <w:lang w:val="uk-UA"/>
        </w:rPr>
        <w:t xml:space="preserve">1 в плазмі крові вірогідно вище, ніж в групі контролю, при чому найвищий він в пацієнтів, що мають ХСН </w:t>
      </w:r>
      <w:r w:rsidR="004A4E68" w:rsidRPr="001416ED">
        <w:rPr>
          <w:lang w:val="uk-UA"/>
        </w:rPr>
        <w:t>ІІ А</w:t>
      </w:r>
      <w:r w:rsidRPr="001416ED">
        <w:rPr>
          <w:lang w:val="uk-UA"/>
        </w:rPr>
        <w:t xml:space="preserve"> ст. Плазмова концентрація СНП виявилась вірогідно вище у </w:t>
      </w:r>
      <w:r w:rsidRPr="001416ED">
        <w:rPr>
          <w:lang w:val="uk-UA"/>
        </w:rPr>
        <w:lastRenderedPageBreak/>
        <w:t xml:space="preserve">чоловіків з </w:t>
      </w:r>
      <w:r w:rsidR="00F425A8" w:rsidRPr="001416ED">
        <w:rPr>
          <w:lang w:val="uk-UA"/>
        </w:rPr>
        <w:t xml:space="preserve">ГХ ІІ та ІІІ ст. </w:t>
      </w:r>
      <w:r w:rsidRPr="001416ED">
        <w:rPr>
          <w:lang w:val="uk-UA"/>
        </w:rPr>
        <w:t xml:space="preserve">ніж в групі контролю, проте між пацієнтами з ГХ різниці не виявлено. </w:t>
      </w:r>
    </w:p>
    <w:p w:rsidR="00305CEB" w:rsidRPr="001416ED" w:rsidRDefault="00305CEB" w:rsidP="00305CEB">
      <w:pPr>
        <w:spacing w:line="360" w:lineRule="auto"/>
        <w:ind w:firstLine="851"/>
        <w:jc w:val="both"/>
        <w:rPr>
          <w:lang w:val="uk-UA"/>
        </w:rPr>
      </w:pPr>
      <w:r w:rsidRPr="001416ED">
        <w:rPr>
          <w:lang w:val="uk-UA"/>
        </w:rPr>
        <w:t xml:space="preserve">У чоловіків з ГХ </w:t>
      </w:r>
      <w:r w:rsidR="00BC0119" w:rsidRPr="001416ED">
        <w:rPr>
          <w:lang w:val="uk-UA"/>
        </w:rPr>
        <w:t>–</w:t>
      </w:r>
      <w:r w:rsidRPr="001416ED">
        <w:rPr>
          <w:lang w:val="uk-UA"/>
        </w:rPr>
        <w:t xml:space="preserve"> володарів алелі </w:t>
      </w:r>
      <w:r w:rsidRPr="001416ED">
        <w:rPr>
          <w:lang w:val="en-US"/>
        </w:rPr>
        <w:t>Asn</w:t>
      </w:r>
      <w:r w:rsidRPr="001416ED">
        <w:rPr>
          <w:lang w:val="uk-UA"/>
        </w:rPr>
        <w:t xml:space="preserve"> плазмова концентрація ЕТ</w:t>
      </w:r>
      <w:r w:rsidR="00BC0119" w:rsidRPr="001416ED">
        <w:rPr>
          <w:lang w:val="uk-UA"/>
        </w:rPr>
        <w:t>–</w:t>
      </w:r>
      <w:r w:rsidRPr="001416ED">
        <w:rPr>
          <w:lang w:val="uk-UA"/>
        </w:rPr>
        <w:t xml:space="preserve">1 та його фізіологічного антагоніста </w:t>
      </w:r>
      <w:r w:rsidR="00BC0119" w:rsidRPr="001416ED">
        <w:rPr>
          <w:lang w:val="uk-UA"/>
        </w:rPr>
        <w:t>–</w:t>
      </w:r>
      <w:r w:rsidRPr="001416ED">
        <w:rPr>
          <w:lang w:val="uk-UA"/>
        </w:rPr>
        <w:t xml:space="preserve"> СНП були вищими ніж при генотипі </w:t>
      </w:r>
      <w:r w:rsidRPr="001416ED">
        <w:rPr>
          <w:lang w:val="en-US"/>
        </w:rPr>
        <w:t>Lys</w:t>
      </w:r>
      <w:r w:rsidRPr="001416ED">
        <w:rPr>
          <w:lang w:val="uk-UA"/>
        </w:rPr>
        <w:t>/</w:t>
      </w:r>
      <w:r w:rsidRPr="001416ED">
        <w:rPr>
          <w:lang w:val="en-US"/>
        </w:rPr>
        <w:t>Lys</w:t>
      </w:r>
      <w:r w:rsidRPr="001416ED">
        <w:rPr>
          <w:lang w:val="uk-UA"/>
        </w:rPr>
        <w:t xml:space="preserve">, що говорить про можливу захисну роль алелі </w:t>
      </w:r>
      <w:r w:rsidRPr="001416ED">
        <w:rPr>
          <w:lang w:val="en-US"/>
        </w:rPr>
        <w:t>Lys</w:t>
      </w:r>
      <w:r w:rsidRPr="001416ED">
        <w:rPr>
          <w:lang w:val="uk-UA"/>
        </w:rPr>
        <w:t>. Слід відмітити, що рівень ЕТ</w:t>
      </w:r>
      <w:r w:rsidR="00BC0119" w:rsidRPr="001416ED">
        <w:rPr>
          <w:lang w:val="uk-UA"/>
        </w:rPr>
        <w:t>–</w:t>
      </w:r>
      <w:r w:rsidRPr="001416ED">
        <w:rPr>
          <w:lang w:val="uk-UA"/>
        </w:rPr>
        <w:t>1 та СНП не змінюється у пацієнтів при наявності ожиріння, що надає їм перевагу над іншими пептидами при обстеженні осіб з різним ІМТ.</w:t>
      </w:r>
    </w:p>
    <w:p w:rsidR="00305CEB" w:rsidRPr="001416ED" w:rsidRDefault="00305CEB" w:rsidP="00305CEB">
      <w:pPr>
        <w:spacing w:line="360" w:lineRule="auto"/>
        <w:ind w:firstLine="851"/>
        <w:jc w:val="both"/>
        <w:rPr>
          <w:lang w:val="uk-UA"/>
        </w:rPr>
      </w:pPr>
      <w:r w:rsidRPr="001416ED">
        <w:rPr>
          <w:lang w:val="uk-UA"/>
        </w:rPr>
        <w:t xml:space="preserve">Для прогнозу виникнення ГХ та ХСН на її тлі були розроблені формули що враховують </w:t>
      </w:r>
      <w:r w:rsidR="00F425A8" w:rsidRPr="001416ED">
        <w:rPr>
          <w:lang w:val="uk-UA"/>
        </w:rPr>
        <w:t xml:space="preserve">фактори, що </w:t>
      </w:r>
      <w:r w:rsidRPr="001416ED">
        <w:rPr>
          <w:lang w:val="uk-UA"/>
        </w:rPr>
        <w:t>модифікую</w:t>
      </w:r>
      <w:r w:rsidR="00F425A8" w:rsidRPr="001416ED">
        <w:rPr>
          <w:lang w:val="uk-UA"/>
        </w:rPr>
        <w:t>ться</w:t>
      </w:r>
      <w:r w:rsidRPr="001416ED">
        <w:rPr>
          <w:lang w:val="uk-UA"/>
        </w:rPr>
        <w:t xml:space="preserve"> та не</w:t>
      </w:r>
      <w:r w:rsidR="00F425A8" w:rsidRPr="001416ED">
        <w:rPr>
          <w:lang w:val="uk-UA"/>
        </w:rPr>
        <w:t xml:space="preserve"> </w:t>
      </w:r>
      <w:r w:rsidRPr="001416ED">
        <w:rPr>
          <w:lang w:val="uk-UA"/>
        </w:rPr>
        <w:t>модифікую</w:t>
      </w:r>
      <w:r w:rsidR="00F425A8" w:rsidRPr="001416ED">
        <w:rPr>
          <w:lang w:val="uk-UA"/>
        </w:rPr>
        <w:t>ться</w:t>
      </w:r>
      <w:r w:rsidRPr="001416ED">
        <w:rPr>
          <w:lang w:val="uk-UA"/>
        </w:rPr>
        <w:t xml:space="preserve"> та дерматогліфічні малюнки пальців обох кистей. Окрім того, визначені межові рівні ЕТ</w:t>
      </w:r>
      <w:r w:rsidR="00BC0119" w:rsidRPr="001416ED">
        <w:rPr>
          <w:lang w:val="uk-UA"/>
        </w:rPr>
        <w:t>–</w:t>
      </w:r>
      <w:r w:rsidRPr="001416ED">
        <w:rPr>
          <w:lang w:val="uk-UA"/>
        </w:rPr>
        <w:t xml:space="preserve">1 в плазмі крові для скринінгової діагностики вірогідного носійства певного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для відбору тих пацієнтів, які потребуватимуть більш детального обстеження</w:t>
      </w:r>
      <w:r w:rsidR="00564B47" w:rsidRPr="001416ED">
        <w:rPr>
          <w:lang w:val="uk-UA"/>
        </w:rPr>
        <w:t xml:space="preserve"> для встановлення стадії ГХ</w:t>
      </w:r>
      <w:r w:rsidRPr="001416ED">
        <w:rPr>
          <w:lang w:val="uk-UA"/>
        </w:rPr>
        <w:t xml:space="preserve">. Для </w:t>
      </w:r>
      <w:r w:rsidR="00564B47" w:rsidRPr="001416ED">
        <w:rPr>
          <w:lang w:val="uk-UA"/>
        </w:rPr>
        <w:t>визначення</w:t>
      </w:r>
      <w:r w:rsidRPr="001416ED">
        <w:rPr>
          <w:lang w:val="uk-UA"/>
        </w:rPr>
        <w:t xml:space="preserve"> можливого носійства </w:t>
      </w:r>
      <w:r w:rsidR="00E6164F">
        <w:rPr>
          <w:lang w:val="uk-UA"/>
        </w:rPr>
        <w:t>поліморфного варіанту гена</w:t>
      </w:r>
      <w:r w:rsidRPr="001416ED">
        <w:rPr>
          <w:lang w:val="uk-UA"/>
        </w:rPr>
        <w:t xml:space="preserve"> ЕТ</w:t>
      </w:r>
      <w:r w:rsidR="00BC0119" w:rsidRPr="001416ED">
        <w:rPr>
          <w:lang w:val="uk-UA"/>
        </w:rPr>
        <w:t>–</w:t>
      </w:r>
      <w:r w:rsidRPr="001416ED">
        <w:rPr>
          <w:lang w:val="uk-UA"/>
        </w:rPr>
        <w:t>1 серед великих контингентів людей були розроблені моделі, що враховують малюнки на окремих пальцях обох кистей, та які потребуватимуть первинної чи вторинної профілактики розвитку ускладнень ГХ.</w:t>
      </w:r>
    </w:p>
    <w:p w:rsidR="00305CEB" w:rsidRPr="001416ED" w:rsidRDefault="00305CEB" w:rsidP="00305CEB">
      <w:pPr>
        <w:spacing w:line="360" w:lineRule="auto"/>
        <w:ind w:firstLine="851"/>
        <w:jc w:val="both"/>
        <w:rPr>
          <w:lang w:val="uk-UA"/>
        </w:rPr>
      </w:pPr>
      <w:r w:rsidRPr="001416ED">
        <w:rPr>
          <w:lang w:val="uk-UA"/>
        </w:rPr>
        <w:t xml:space="preserve">У чоловіків з ГХ різної </w:t>
      </w:r>
      <w:r w:rsidR="00046A18" w:rsidRPr="001416ED">
        <w:rPr>
          <w:lang w:val="uk-UA"/>
        </w:rPr>
        <w:t>стадії</w:t>
      </w:r>
      <w:r w:rsidRPr="001416ED">
        <w:rPr>
          <w:lang w:val="uk-UA"/>
        </w:rPr>
        <w:t xml:space="preserve"> при носійстві алелі </w:t>
      </w:r>
      <w:r w:rsidRPr="001416ED">
        <w:rPr>
          <w:lang w:val="en-US"/>
        </w:rPr>
        <w:t>Asn</w:t>
      </w:r>
      <w:r w:rsidRPr="001416ED">
        <w:rPr>
          <w:lang w:val="uk-UA"/>
        </w:rPr>
        <w:t xml:space="preserve"> спостерігається більш </w:t>
      </w:r>
      <w:r w:rsidR="00F425A8" w:rsidRPr="001416ED">
        <w:rPr>
          <w:lang w:val="uk-UA"/>
        </w:rPr>
        <w:t>виражені</w:t>
      </w:r>
      <w:r w:rsidRPr="001416ED">
        <w:rPr>
          <w:lang w:val="uk-UA"/>
        </w:rPr>
        <w:t xml:space="preserve"> структурно</w:t>
      </w:r>
      <w:r w:rsidR="00BC0119" w:rsidRPr="001416ED">
        <w:rPr>
          <w:lang w:val="uk-UA"/>
        </w:rPr>
        <w:t>–</w:t>
      </w:r>
      <w:r w:rsidRPr="001416ED">
        <w:rPr>
          <w:lang w:val="uk-UA"/>
        </w:rPr>
        <w:t xml:space="preserve">функціональні зміни міокарда, ніж при генотипі </w:t>
      </w:r>
      <w:r w:rsidRPr="001416ED">
        <w:rPr>
          <w:lang w:val="en-US"/>
        </w:rPr>
        <w:t>Lys</w:t>
      </w:r>
      <w:r w:rsidRPr="001416ED">
        <w:rPr>
          <w:lang w:val="uk-UA"/>
        </w:rPr>
        <w:t>/</w:t>
      </w:r>
      <w:r w:rsidRPr="001416ED">
        <w:rPr>
          <w:lang w:val="en-US"/>
        </w:rPr>
        <w:t>Lys</w:t>
      </w:r>
      <w:r w:rsidRPr="001416ED">
        <w:rPr>
          <w:lang w:val="uk-UA"/>
        </w:rPr>
        <w:t xml:space="preserve"> гена ЕТ</w:t>
      </w:r>
      <w:r w:rsidR="00BC0119" w:rsidRPr="001416ED">
        <w:rPr>
          <w:lang w:val="uk-UA"/>
        </w:rPr>
        <w:t>–</w:t>
      </w:r>
      <w:r w:rsidRPr="001416ED">
        <w:rPr>
          <w:lang w:val="uk-UA"/>
        </w:rPr>
        <w:t xml:space="preserve">1. Визначено, що у пацієнтів з </w:t>
      </w:r>
      <w:r w:rsidR="00F425A8" w:rsidRPr="001416ED">
        <w:rPr>
          <w:lang w:val="uk-UA"/>
        </w:rPr>
        <w:t xml:space="preserve">ГХ ІІІ ст. </w:t>
      </w:r>
      <w:r w:rsidRPr="001416ED">
        <w:rPr>
          <w:lang w:val="uk-UA"/>
        </w:rPr>
        <w:t>при</w:t>
      </w:r>
      <w:r w:rsidR="00564B47" w:rsidRPr="001416ED">
        <w:rPr>
          <w:lang w:val="uk-UA"/>
        </w:rPr>
        <w:t xml:space="preserve"> ФВ &gt; 45 % та</w:t>
      </w:r>
      <w:r w:rsidRPr="001416ED">
        <w:rPr>
          <w:lang w:val="uk-UA"/>
        </w:rPr>
        <w:t xml:space="preserve"> </w:t>
      </w:r>
      <w:r w:rsidR="00564B47" w:rsidRPr="001416ED">
        <w:rPr>
          <w:lang w:val="uk-UA"/>
        </w:rPr>
        <w:t xml:space="preserve">ФВ &lt; 45 % </w:t>
      </w:r>
      <w:r w:rsidRPr="001416ED">
        <w:rPr>
          <w:lang w:val="uk-UA"/>
        </w:rPr>
        <w:t>рівень як ЕТ</w:t>
      </w:r>
      <w:r w:rsidR="00BC0119" w:rsidRPr="001416ED">
        <w:rPr>
          <w:lang w:val="uk-UA"/>
        </w:rPr>
        <w:t>–</w:t>
      </w:r>
      <w:r w:rsidRPr="001416ED">
        <w:rPr>
          <w:lang w:val="uk-UA"/>
        </w:rPr>
        <w:t xml:space="preserve">1 так і СНП вірогідно вищий при носійстві алелі </w:t>
      </w:r>
      <w:r w:rsidRPr="001416ED">
        <w:rPr>
          <w:lang w:val="en-US"/>
        </w:rPr>
        <w:t>Asn</w:t>
      </w:r>
      <w:r w:rsidRPr="001416ED">
        <w:rPr>
          <w:lang w:val="uk-UA"/>
        </w:rPr>
        <w:t>. У чоловіків з ГХ ІІ ст. при будь</w:t>
      </w:r>
      <w:r w:rsidR="00BC0119" w:rsidRPr="001416ED">
        <w:rPr>
          <w:lang w:val="uk-UA"/>
        </w:rPr>
        <w:t>–</w:t>
      </w:r>
      <w:r w:rsidRPr="001416ED">
        <w:rPr>
          <w:lang w:val="uk-UA"/>
        </w:rPr>
        <w:t>якому генотипі гена ЕТ</w:t>
      </w:r>
      <w:r w:rsidR="00BC0119" w:rsidRPr="001416ED">
        <w:rPr>
          <w:lang w:val="uk-UA"/>
        </w:rPr>
        <w:t>–</w:t>
      </w:r>
      <w:r w:rsidRPr="001416ED">
        <w:rPr>
          <w:lang w:val="uk-UA"/>
        </w:rPr>
        <w:t xml:space="preserve">1 вірогідно частіше зустрічається КГЛШ та ПГЛШ, а у осіб з </w:t>
      </w:r>
      <w:r w:rsidR="00564B47" w:rsidRPr="001416ED">
        <w:rPr>
          <w:lang w:val="uk-UA"/>
        </w:rPr>
        <w:t>ГХ ІІІ ст.</w:t>
      </w:r>
      <w:r w:rsidR="00EA7C60" w:rsidRPr="001416ED">
        <w:rPr>
          <w:lang w:val="uk-UA"/>
        </w:rPr>
        <w:t xml:space="preserve"> </w:t>
      </w:r>
      <w:r w:rsidRPr="001416ED">
        <w:rPr>
          <w:lang w:val="uk-UA"/>
        </w:rPr>
        <w:t>– ЕГЛШ та ВГЛШ. Останній тип ремоделювання ЛШ асоціюється з більш високим рівнем ЕТ</w:t>
      </w:r>
      <w:r w:rsidR="00BC0119" w:rsidRPr="001416ED">
        <w:rPr>
          <w:lang w:val="uk-UA"/>
        </w:rPr>
        <w:t>–</w:t>
      </w:r>
      <w:r w:rsidRPr="001416ED">
        <w:rPr>
          <w:lang w:val="uk-UA"/>
        </w:rPr>
        <w:t>1, СНП та СНП/ЕТ</w:t>
      </w:r>
      <w:r w:rsidR="00BC0119" w:rsidRPr="001416ED">
        <w:rPr>
          <w:lang w:val="uk-UA"/>
        </w:rPr>
        <w:t>–</w:t>
      </w:r>
      <w:r w:rsidRPr="001416ED">
        <w:rPr>
          <w:lang w:val="uk-UA"/>
        </w:rPr>
        <w:t>1 в плазмі крові</w:t>
      </w:r>
      <w:r w:rsidR="00F425A8" w:rsidRPr="001416ED">
        <w:rPr>
          <w:lang w:val="uk-UA"/>
        </w:rPr>
        <w:t xml:space="preserve"> та є факторами ризику щодо зниження ФВ ЛШ та раптової серцевої смерті</w:t>
      </w:r>
      <w:r w:rsidRPr="001416ED">
        <w:rPr>
          <w:lang w:val="uk-UA"/>
        </w:rPr>
        <w:t xml:space="preserve">. ДД у чоловіків з ГХ ІІ ст. та </w:t>
      </w:r>
      <w:r w:rsidR="00A933AE" w:rsidRPr="001416ED">
        <w:rPr>
          <w:lang w:val="uk-UA"/>
        </w:rPr>
        <w:t>ФВ &lt; 45 %</w:t>
      </w:r>
      <w:r w:rsidR="00A933AE" w:rsidRPr="001416ED">
        <w:t xml:space="preserve"> </w:t>
      </w:r>
      <w:r w:rsidRPr="001416ED">
        <w:rPr>
          <w:lang w:val="uk-UA"/>
        </w:rPr>
        <w:t xml:space="preserve"> у осіб з </w:t>
      </w:r>
      <w:r w:rsidR="00F425A8" w:rsidRPr="001416ED">
        <w:rPr>
          <w:lang w:val="uk-UA"/>
        </w:rPr>
        <w:t>ГХ ІІІ</w:t>
      </w:r>
      <w:r w:rsidRPr="001416ED">
        <w:rPr>
          <w:lang w:val="uk-UA"/>
        </w:rPr>
        <w:t xml:space="preserve"> ст. зумовлює значне підвищення концентрації ЕТ</w:t>
      </w:r>
      <w:r w:rsidR="00BC0119" w:rsidRPr="001416ED">
        <w:rPr>
          <w:lang w:val="uk-UA"/>
        </w:rPr>
        <w:t>–</w:t>
      </w:r>
      <w:r w:rsidRPr="001416ED">
        <w:rPr>
          <w:lang w:val="uk-UA"/>
        </w:rPr>
        <w:t xml:space="preserve">1 в плазмі крові, а рівень СНП вірогідно найвищий при </w:t>
      </w:r>
      <w:r w:rsidR="00F425A8" w:rsidRPr="001416ED">
        <w:rPr>
          <w:lang w:val="uk-UA"/>
        </w:rPr>
        <w:t>ГХ ІІІ</w:t>
      </w:r>
      <w:r w:rsidR="00564B47" w:rsidRPr="001416ED">
        <w:rPr>
          <w:lang w:val="uk-UA"/>
        </w:rPr>
        <w:t xml:space="preserve"> ст. з ФВ &lt; 45 %</w:t>
      </w:r>
      <w:r w:rsidR="00564B47" w:rsidRPr="001416ED">
        <w:t xml:space="preserve"> </w:t>
      </w:r>
      <w:r w:rsidRPr="001416ED">
        <w:rPr>
          <w:lang w:val="uk-UA"/>
        </w:rPr>
        <w:t>, проте між пацієнтами з ГХ ІІ ст. рівень судинного НУП, на відміну від ЕТ</w:t>
      </w:r>
      <w:r w:rsidR="00BC0119" w:rsidRPr="001416ED">
        <w:rPr>
          <w:lang w:val="uk-UA"/>
        </w:rPr>
        <w:t>–</w:t>
      </w:r>
      <w:r w:rsidRPr="001416ED">
        <w:rPr>
          <w:lang w:val="uk-UA"/>
        </w:rPr>
        <w:t>1 не відрізняється</w:t>
      </w:r>
      <w:r w:rsidR="009F0C3E" w:rsidRPr="001416ED">
        <w:rPr>
          <w:lang w:val="uk-UA"/>
        </w:rPr>
        <w:t>.</w:t>
      </w:r>
    </w:p>
    <w:p w:rsidR="001F48E7" w:rsidRDefault="001F48E7" w:rsidP="00C82D1D">
      <w:pPr>
        <w:spacing w:after="240" w:line="360" w:lineRule="auto"/>
        <w:jc w:val="center"/>
        <w:rPr>
          <w:rFonts w:eastAsia="Calibri"/>
          <w:b/>
          <w:lang w:val="uk-UA" w:eastAsia="en-US"/>
        </w:rPr>
      </w:pPr>
    </w:p>
    <w:p w:rsidR="00855E87" w:rsidRPr="00855E87" w:rsidRDefault="00855E87" w:rsidP="00855E87">
      <w:pPr>
        <w:spacing w:before="240" w:after="240" w:line="360" w:lineRule="auto"/>
        <w:jc w:val="center"/>
        <w:rPr>
          <w:b/>
          <w:lang w:val="uk-UA"/>
        </w:rPr>
      </w:pPr>
      <w:r w:rsidRPr="00855E87">
        <w:rPr>
          <w:b/>
          <w:lang w:val="uk-UA"/>
        </w:rPr>
        <w:lastRenderedPageBreak/>
        <w:t>ВИСНОВКИ</w:t>
      </w:r>
    </w:p>
    <w:p w:rsidR="00516D03" w:rsidRPr="00516D03" w:rsidRDefault="00516D03" w:rsidP="00516D03">
      <w:pPr>
        <w:spacing w:line="360" w:lineRule="auto"/>
        <w:jc w:val="both"/>
        <w:rPr>
          <w:lang w:val="uk-UA"/>
        </w:rPr>
      </w:pPr>
      <w:r>
        <w:rPr>
          <w:lang w:val="uk-UA"/>
        </w:rPr>
        <w:t xml:space="preserve"> </w:t>
      </w:r>
      <w:r w:rsidR="00855E87">
        <w:rPr>
          <w:lang w:val="uk-UA"/>
        </w:rPr>
        <w:t xml:space="preserve">1. </w:t>
      </w:r>
      <w:r w:rsidRPr="00516D03">
        <w:rPr>
          <w:lang w:val="uk-UA"/>
        </w:rPr>
        <w:t>У дисертаційній роботі представлено нове рішення актуальної задачі сучасної кардіології – подальше з’ясування ролі спадкових факторів в діагностиці та прогнозуванні перебігу ГХ. Зокрема, серед останніх маловивченим є можливий вплив носійства поліморфних варіантів гена ЕТ–1 (</w:t>
      </w:r>
      <w:r w:rsidRPr="00516D03">
        <w:rPr>
          <w:lang w:val="en-US"/>
        </w:rPr>
        <w:t>Lys</w:t>
      </w:r>
      <w:r w:rsidRPr="00516D03">
        <w:rPr>
          <w:lang w:val="uk-UA"/>
        </w:rPr>
        <w:t>198</w:t>
      </w:r>
      <w:r w:rsidRPr="00516D03">
        <w:rPr>
          <w:lang w:val="en-US"/>
        </w:rPr>
        <w:t>Asn</w:t>
      </w:r>
      <w:r w:rsidRPr="00516D03">
        <w:rPr>
          <w:lang w:val="uk-UA"/>
        </w:rPr>
        <w:t>) на плазмовий рівень відомого вазоконстриктора – ЕТ–1 та його фізіологічного антагоніста – С–натрійуретичного пептиду. Не з’ясованими залишаються асоціації між носійством окремих варіантів генів ЕТ–1 (</w:t>
      </w:r>
      <w:r w:rsidRPr="00516D03">
        <w:rPr>
          <w:lang w:val="en-US"/>
        </w:rPr>
        <w:t>Lys</w:t>
      </w:r>
      <w:r w:rsidRPr="00516D03">
        <w:rPr>
          <w:lang w:val="uk-UA"/>
        </w:rPr>
        <w:t>198</w:t>
      </w:r>
      <w:r w:rsidRPr="00516D03">
        <w:rPr>
          <w:lang w:val="en-US"/>
        </w:rPr>
        <w:t>Asn</w:t>
      </w:r>
      <w:r w:rsidRPr="00516D03">
        <w:rPr>
          <w:lang w:val="uk-UA"/>
        </w:rPr>
        <w:t>) та АТ1–Р (А1166С), з якими пов’язують схильність до виникнення ГХ та ХСН.</w:t>
      </w:r>
    </w:p>
    <w:p w:rsidR="00516D03" w:rsidRPr="00516D03" w:rsidRDefault="00516D03" w:rsidP="00516D03">
      <w:pPr>
        <w:pStyle w:val="ae"/>
        <w:numPr>
          <w:ilvl w:val="0"/>
          <w:numId w:val="13"/>
        </w:numPr>
        <w:spacing w:line="360" w:lineRule="auto"/>
        <w:ind w:left="0" w:firstLine="0"/>
        <w:jc w:val="both"/>
        <w:rPr>
          <w:i/>
          <w:sz w:val="28"/>
          <w:szCs w:val="28"/>
          <w:lang w:val="uk-UA"/>
        </w:rPr>
      </w:pPr>
      <w:r w:rsidRPr="00516D03">
        <w:rPr>
          <w:sz w:val="28"/>
          <w:szCs w:val="28"/>
          <w:lang w:val="uk-UA"/>
        </w:rPr>
        <w:t xml:space="preserve">У чоловіків без ССЗ віком 40–60 років, мешканців Подільського регіону України домінує генотип </w:t>
      </w:r>
      <w:r w:rsidRPr="00516D03">
        <w:rPr>
          <w:sz w:val="28"/>
          <w:szCs w:val="28"/>
        </w:rPr>
        <w:t>Lys</w:t>
      </w:r>
      <w:r w:rsidRPr="00516D03">
        <w:rPr>
          <w:sz w:val="28"/>
          <w:szCs w:val="28"/>
          <w:lang w:val="uk-UA"/>
        </w:rPr>
        <w:t>/</w:t>
      </w:r>
      <w:r w:rsidRPr="00516D03">
        <w:rPr>
          <w:sz w:val="28"/>
          <w:szCs w:val="28"/>
        </w:rPr>
        <w:t>Lys</w:t>
      </w:r>
      <w:r w:rsidRPr="00516D03">
        <w:rPr>
          <w:sz w:val="28"/>
          <w:szCs w:val="28"/>
          <w:lang w:val="uk-UA"/>
        </w:rPr>
        <w:t xml:space="preserve"> (65,82 %) та алель </w:t>
      </w:r>
      <w:r w:rsidRPr="00516D03">
        <w:rPr>
          <w:sz w:val="28"/>
          <w:szCs w:val="28"/>
        </w:rPr>
        <w:t>Lys</w:t>
      </w:r>
      <w:r w:rsidRPr="00516D03">
        <w:rPr>
          <w:sz w:val="28"/>
          <w:szCs w:val="28"/>
          <w:lang w:val="uk-UA"/>
        </w:rPr>
        <w:t xml:space="preserve"> (79,75 %) гена ЕТ–1. У носіїв алелі Asn (генотипи </w:t>
      </w:r>
      <w:r w:rsidRPr="00516D03">
        <w:rPr>
          <w:sz w:val="28"/>
          <w:szCs w:val="28"/>
        </w:rPr>
        <w:t>Lys</w:t>
      </w:r>
      <w:r w:rsidRPr="00516D03">
        <w:rPr>
          <w:sz w:val="28"/>
          <w:szCs w:val="28"/>
          <w:lang w:val="uk-UA"/>
        </w:rPr>
        <w:t xml:space="preserve">/Asn та Asn/Asn) вірогідно частіше виявляється благоприємний у відношенні розвитку ГХ та ХСН генотип АА гена АТ1–Р, проте, у носіїв генотипу </w:t>
      </w:r>
      <w:r w:rsidRPr="00516D03">
        <w:rPr>
          <w:sz w:val="28"/>
          <w:szCs w:val="28"/>
        </w:rPr>
        <w:t>Lys</w:t>
      </w:r>
      <w:r w:rsidRPr="00516D03">
        <w:rPr>
          <w:sz w:val="28"/>
          <w:szCs w:val="28"/>
          <w:lang w:val="uk-UA"/>
        </w:rPr>
        <w:t>/</w:t>
      </w:r>
      <w:r w:rsidRPr="00516D03">
        <w:rPr>
          <w:sz w:val="28"/>
          <w:szCs w:val="28"/>
        </w:rPr>
        <w:t>Lys</w:t>
      </w:r>
      <w:r w:rsidRPr="00516D03">
        <w:rPr>
          <w:sz w:val="28"/>
          <w:szCs w:val="28"/>
          <w:lang w:val="uk-UA"/>
        </w:rPr>
        <w:t xml:space="preserve">, різниці між частотою носійства генотипу АА та алелю С гена АТ1–Р немає. Носійство алелі Asn (генотипи </w:t>
      </w:r>
      <w:r w:rsidRPr="00516D03">
        <w:rPr>
          <w:sz w:val="28"/>
          <w:szCs w:val="28"/>
        </w:rPr>
        <w:t>Lys</w:t>
      </w:r>
      <w:r w:rsidRPr="00516D03">
        <w:rPr>
          <w:sz w:val="28"/>
          <w:szCs w:val="28"/>
          <w:lang w:val="uk-UA"/>
        </w:rPr>
        <w:t xml:space="preserve">/Asn та Asn/Asn) визначає вищий плазмовий рівень ЕТ–1 (2,53 ± 0,12) фмоль/мл фмоль/мл) та СНП (2,98 ± 0,08) пмоль/мл), ніж при генотипі Lys/Lys гена ЕТ–1 (1,41 ± 0,05) фмоль/мл) та (2,02 ± 0,29) пмоль/мл), відповідно). </w:t>
      </w:r>
    </w:p>
    <w:p w:rsidR="00516D03" w:rsidRPr="00516D03" w:rsidRDefault="00516D03" w:rsidP="00516D03">
      <w:pPr>
        <w:numPr>
          <w:ilvl w:val="0"/>
          <w:numId w:val="13"/>
        </w:numPr>
        <w:spacing w:line="360" w:lineRule="auto"/>
        <w:ind w:left="0" w:firstLine="0"/>
        <w:jc w:val="both"/>
        <w:rPr>
          <w:lang w:val="uk-UA"/>
        </w:rPr>
      </w:pPr>
      <w:r w:rsidRPr="00516D03">
        <w:rPr>
          <w:lang w:val="uk-UA"/>
        </w:rPr>
        <w:t xml:space="preserve">У чоловіків з ГХ ІІ ст. переважає носійство генотипу Lys/Lys (56,45 %) та алель Lys (73,39 %) гена ЕТ–1. Відмінності між частотою генотипу АА та алелю С гена АТ1–Р у осіб з поліморфними варіантами гена ЕТ–1 не встановлено. При ГХ ІІ ст. рівень ЕТ–1 та СНП в плазмі крові достовірно вище, а коефіцієнт СНП/ЕТ–1 нижче (0,40 ± 0,003)  ум.од. та (0,42 ± 0,004) ум. од., відповідно), ніж в групі контролю (1,49 ± 0,04) ум.од. та (1,22 ± 0,05) ум. од., відповідно). У носіїв алелі Asn (генотипи </w:t>
      </w:r>
      <w:r w:rsidRPr="00516D03">
        <w:rPr>
          <w:lang w:val="en-US"/>
        </w:rPr>
        <w:t>Lys</w:t>
      </w:r>
      <w:r w:rsidRPr="00516D03">
        <w:rPr>
          <w:lang w:val="uk-UA"/>
        </w:rPr>
        <w:t xml:space="preserve">/Asn та Asn/Asn) рівень ЕТ–1 та СНП в плазмі крові вірогідно вищий, ніж у гомозигот Lys/Lys гена ЕТ–1 (р&lt;0,0001). </w:t>
      </w:r>
    </w:p>
    <w:p w:rsidR="00516D03" w:rsidRPr="00516D03" w:rsidRDefault="00516D03" w:rsidP="00516D03">
      <w:pPr>
        <w:numPr>
          <w:ilvl w:val="0"/>
          <w:numId w:val="13"/>
        </w:numPr>
        <w:spacing w:line="360" w:lineRule="auto"/>
        <w:ind w:left="0" w:firstLine="0"/>
        <w:jc w:val="both"/>
        <w:rPr>
          <w:lang w:val="uk-UA"/>
        </w:rPr>
      </w:pPr>
      <w:r w:rsidRPr="00516D03">
        <w:rPr>
          <w:lang w:val="uk-UA"/>
        </w:rPr>
        <w:t xml:space="preserve">У пацієнтів з ГХ ІІІ ст., як і в групі контролю та у чоловіків з ГХ ІІ ст., превалює генотип Lys/Lys (66,66 %) та алель Lys (80,00 %) гена ЕТ–1. Відмінності між частотою генотипу АА та алелю С гена АТ1–Р у осіб з поліморфними </w:t>
      </w:r>
      <w:r w:rsidRPr="00516D03">
        <w:rPr>
          <w:lang w:val="uk-UA"/>
        </w:rPr>
        <w:lastRenderedPageBreak/>
        <w:t xml:space="preserve">варіантами гена ЕТ–1 не виявлено. У чоловіків з ГХ ІІІ ст., незалежно від носійства варіанту гена ЕТ–1 рівень ЕТ–1 та СНП в плазмі крові достовірно вище, а коефіцієнт СНП/ЕТ–1 нижче ніж в групі контролю (р&lt;0,0001). У носіїв алелі Asn гена ЕТ–1 (генотипи </w:t>
      </w:r>
      <w:r w:rsidRPr="00516D03">
        <w:rPr>
          <w:lang w:val="en-US"/>
        </w:rPr>
        <w:t>Lys</w:t>
      </w:r>
      <w:r w:rsidRPr="00516D03">
        <w:rPr>
          <w:lang w:val="uk-UA"/>
        </w:rPr>
        <w:t xml:space="preserve">/Asn та Asn/Asn) плазмова концентрація ЕТ–1 та СНП достовірно вища, ніж у гомозигот Lys/Lys (р&lt;0,0001). </w:t>
      </w:r>
    </w:p>
    <w:p w:rsidR="00516D03" w:rsidRPr="00516D03" w:rsidRDefault="00516D03" w:rsidP="00516D03">
      <w:pPr>
        <w:numPr>
          <w:ilvl w:val="0"/>
          <w:numId w:val="13"/>
        </w:numPr>
        <w:spacing w:line="360" w:lineRule="auto"/>
        <w:ind w:left="0" w:firstLine="0"/>
        <w:jc w:val="both"/>
        <w:rPr>
          <w:lang w:val="uk-UA"/>
        </w:rPr>
      </w:pPr>
      <w:r w:rsidRPr="00516D03">
        <w:rPr>
          <w:lang w:val="uk-UA"/>
        </w:rPr>
        <w:t xml:space="preserve">Носійство алелі Asn гена ЕТ–1 (генотипи </w:t>
      </w:r>
      <w:r w:rsidRPr="00516D03">
        <w:rPr>
          <w:lang w:val="en-US"/>
        </w:rPr>
        <w:t>Lys</w:t>
      </w:r>
      <w:r w:rsidRPr="00516D03">
        <w:rPr>
          <w:lang w:val="uk-UA"/>
        </w:rPr>
        <w:t xml:space="preserve">/Asn та Asn/Asn) у чоловіків з ГХ як ІІ так і ІІІ стадій асоціюється з 3 ступенем АГ та більш вираженими негативними структурно–функціональними змінами міокарду, ніж у гомозигот Lys/Lys. Наявність ДД ЛШ у чоловіків з ГХ ІІ ст. фіксується при підвищенні плазмової концентрації ЕТ–1 та СНП; ФВ &lt; 45 % у пацієнтів з ГХ ІІІ ст. – лише при підвищенні плазмової концентрації ЕТ–1. У носіїв алелі Asn (генотипи </w:t>
      </w:r>
      <w:r w:rsidRPr="00516D03">
        <w:rPr>
          <w:lang w:val="en-US"/>
        </w:rPr>
        <w:t>Lys</w:t>
      </w:r>
      <w:r w:rsidRPr="00516D03">
        <w:rPr>
          <w:lang w:val="uk-UA"/>
        </w:rPr>
        <w:t>/Asn та Asn/Asn), які увійшли як до контрольної так і до основних груп дослідження – рівні проатерогенних фракцій ліпідів вірогідно вищі (ХС, ТГ, ХСЛПНЩ, ХЛПДНЩ), а рівень антиатерогенного ХСЛВЩ нижче, ніж у носіїв  генотипу Lys/Lys гена ЕТ–1.</w:t>
      </w:r>
    </w:p>
    <w:p w:rsidR="00516D03" w:rsidRPr="00516D03" w:rsidRDefault="00516D03" w:rsidP="00516D03">
      <w:pPr>
        <w:numPr>
          <w:ilvl w:val="0"/>
          <w:numId w:val="13"/>
        </w:numPr>
        <w:spacing w:after="200" w:line="360" w:lineRule="auto"/>
        <w:ind w:left="0" w:firstLine="0"/>
        <w:jc w:val="both"/>
        <w:rPr>
          <w:lang w:val="uk-UA"/>
        </w:rPr>
      </w:pPr>
      <w:r w:rsidRPr="00516D03">
        <w:rPr>
          <w:lang w:val="uk-UA"/>
        </w:rPr>
        <w:t xml:space="preserve">Розроблені  моделі, що дають можливість на основі дерматогліфічних малюнків віднести чоловіків без серцево–судинної патології до носіїв генотипу Lys/Lys з чутливістю 94,2 %,  носіїв алелі Asn (генотипи </w:t>
      </w:r>
      <w:r w:rsidRPr="00516D03">
        <w:rPr>
          <w:lang w:val="en-US"/>
        </w:rPr>
        <w:t>Lys</w:t>
      </w:r>
      <w:r w:rsidRPr="00516D03">
        <w:rPr>
          <w:lang w:val="uk-UA"/>
        </w:rPr>
        <w:t xml:space="preserve">/Asn та Asn/Asn) – 82,2 %, осіб з ГХ ІІ ст. до носіїв генотипу Lys/Lys з чутливістю 80,0 %, носіїв алелі Asn (генотипи </w:t>
      </w:r>
      <w:r w:rsidRPr="00516D03">
        <w:rPr>
          <w:lang w:val="en-US"/>
        </w:rPr>
        <w:t>Lys</w:t>
      </w:r>
      <w:r w:rsidRPr="00516D03">
        <w:rPr>
          <w:lang w:val="uk-UA"/>
        </w:rPr>
        <w:t>/Asn та Asn/Asn) – 85,5 %.</w:t>
      </w:r>
    </w:p>
    <w:p w:rsidR="006B66B3" w:rsidRDefault="006B66B3" w:rsidP="00516D03">
      <w:pPr>
        <w:spacing w:before="240" w:after="240" w:line="360" w:lineRule="auto"/>
        <w:jc w:val="center"/>
        <w:rPr>
          <w:rFonts w:eastAsia="Calibri"/>
          <w:b/>
          <w:lang w:val="uk-UA" w:eastAsia="en-US"/>
        </w:rPr>
      </w:pPr>
    </w:p>
    <w:p w:rsidR="006B66B3" w:rsidRDefault="006B66B3" w:rsidP="00012EFD">
      <w:pPr>
        <w:spacing w:before="240" w:after="240" w:line="360" w:lineRule="auto"/>
        <w:jc w:val="center"/>
        <w:rPr>
          <w:rFonts w:eastAsia="Calibri"/>
          <w:b/>
          <w:lang w:val="uk-UA" w:eastAsia="en-US"/>
        </w:rPr>
      </w:pPr>
    </w:p>
    <w:p w:rsidR="00516D03" w:rsidRDefault="00516D03" w:rsidP="00012EFD">
      <w:pPr>
        <w:spacing w:before="240" w:after="240" w:line="360" w:lineRule="auto"/>
        <w:jc w:val="center"/>
        <w:rPr>
          <w:rFonts w:eastAsia="Calibri"/>
          <w:b/>
          <w:lang w:val="uk-UA" w:eastAsia="en-US"/>
        </w:rPr>
      </w:pPr>
    </w:p>
    <w:p w:rsidR="00516D03" w:rsidRDefault="00516D03" w:rsidP="00012EFD">
      <w:pPr>
        <w:spacing w:before="240" w:after="240" w:line="360" w:lineRule="auto"/>
        <w:jc w:val="center"/>
        <w:rPr>
          <w:rFonts w:eastAsia="Calibri"/>
          <w:b/>
          <w:lang w:val="uk-UA" w:eastAsia="en-US"/>
        </w:rPr>
      </w:pPr>
    </w:p>
    <w:p w:rsidR="00516D03" w:rsidRDefault="00516D03" w:rsidP="00012EFD">
      <w:pPr>
        <w:spacing w:before="240" w:after="240" w:line="360" w:lineRule="auto"/>
        <w:jc w:val="center"/>
        <w:rPr>
          <w:rFonts w:eastAsia="Calibri"/>
          <w:b/>
          <w:lang w:val="uk-UA" w:eastAsia="en-US"/>
        </w:rPr>
      </w:pPr>
    </w:p>
    <w:p w:rsidR="00516D03" w:rsidRDefault="00516D03" w:rsidP="00012EFD">
      <w:pPr>
        <w:spacing w:before="240" w:after="240" w:line="360" w:lineRule="auto"/>
        <w:jc w:val="center"/>
        <w:rPr>
          <w:rFonts w:eastAsia="Calibri"/>
          <w:b/>
          <w:lang w:val="uk-UA" w:eastAsia="en-US"/>
        </w:rPr>
      </w:pPr>
    </w:p>
    <w:p w:rsidR="00373E1B" w:rsidRPr="00373E1B" w:rsidRDefault="00373E1B" w:rsidP="00373E1B">
      <w:pPr>
        <w:spacing w:before="240" w:after="200"/>
        <w:ind w:firstLine="567"/>
        <w:jc w:val="center"/>
        <w:rPr>
          <w:b/>
          <w:lang w:val="uk-UA"/>
        </w:rPr>
      </w:pPr>
      <w:r w:rsidRPr="00373E1B">
        <w:rPr>
          <w:b/>
          <w:lang w:val="uk-UA"/>
        </w:rPr>
        <w:lastRenderedPageBreak/>
        <w:t>ПРАКТИЧНІ РЕКОМЕНДАЦІЇ</w:t>
      </w:r>
    </w:p>
    <w:p w:rsidR="00373E1B" w:rsidRPr="00373E1B" w:rsidRDefault="00373E1B" w:rsidP="00373E1B">
      <w:pPr>
        <w:numPr>
          <w:ilvl w:val="0"/>
          <w:numId w:val="16"/>
        </w:numPr>
        <w:tabs>
          <w:tab w:val="num" w:pos="0"/>
        </w:tabs>
        <w:spacing w:before="240" w:after="200" w:line="360" w:lineRule="auto"/>
        <w:ind w:left="0" w:firstLine="0"/>
        <w:jc w:val="both"/>
        <w:rPr>
          <w:lang w:val="uk-UA"/>
        </w:rPr>
      </w:pPr>
      <w:r w:rsidRPr="00373E1B">
        <w:rPr>
          <w:lang w:val="uk-UA"/>
        </w:rPr>
        <w:t xml:space="preserve">Для вторинної профілактики ГХ у чоловіків 40–60 років рекомендується виявлення носіїв алелі Asn (генотипи </w:t>
      </w:r>
      <w:r w:rsidRPr="00373E1B">
        <w:rPr>
          <w:lang w:val="en-US"/>
        </w:rPr>
        <w:t>Lys</w:t>
      </w:r>
      <w:r w:rsidRPr="00373E1B">
        <w:rPr>
          <w:lang w:val="uk-UA"/>
        </w:rPr>
        <w:t>/Asn та Asn/Asn) гена ЕТ–1 (</w:t>
      </w:r>
      <w:r w:rsidRPr="00373E1B">
        <w:rPr>
          <w:lang w:val="en-US"/>
        </w:rPr>
        <w:t>Lys</w:t>
      </w:r>
      <w:r w:rsidRPr="00373E1B">
        <w:rPr>
          <w:lang w:val="uk-UA"/>
        </w:rPr>
        <w:t>198</w:t>
      </w:r>
      <w:r w:rsidRPr="00373E1B">
        <w:rPr>
          <w:lang w:val="en-US"/>
        </w:rPr>
        <w:t>Asn</w:t>
      </w:r>
      <w:r w:rsidRPr="00373E1B">
        <w:rPr>
          <w:lang w:val="uk-UA"/>
        </w:rPr>
        <w:t xml:space="preserve">), адже її носійство асоціюється з високим рівнем в плазмі крові потужного вазоконстриктора ЕТ–1, що супроводжується розвитком АГ третього ступеня, підвищенням показників проатерогенних  фракцій у ліпідному спектрі крові, а також більш вираженими негативними змінами параметрів внутрішньосерцевої та системної гемодинаміки. </w:t>
      </w:r>
    </w:p>
    <w:p w:rsidR="00373E1B" w:rsidRPr="00373E1B" w:rsidRDefault="00373E1B" w:rsidP="00373E1B">
      <w:pPr>
        <w:numPr>
          <w:ilvl w:val="0"/>
          <w:numId w:val="16"/>
        </w:numPr>
        <w:tabs>
          <w:tab w:val="num" w:pos="0"/>
        </w:tabs>
        <w:spacing w:after="200" w:line="360" w:lineRule="auto"/>
        <w:ind w:left="0" w:firstLine="0"/>
        <w:jc w:val="both"/>
        <w:rPr>
          <w:lang w:val="uk-UA"/>
        </w:rPr>
      </w:pPr>
      <w:r w:rsidRPr="00373E1B">
        <w:rPr>
          <w:lang w:val="uk-UA"/>
        </w:rPr>
        <w:t xml:space="preserve">Рекомендуються межові рівні ЕТ–1 в плазмі крові, які можна використовувати для  орієнтовної діагностики носійства відповідного варіанту гена ЕТ–1 у чоловіків на фоні лікувальних заходів: </w:t>
      </w:r>
    </w:p>
    <w:p w:rsidR="00373E1B" w:rsidRPr="00373E1B" w:rsidRDefault="00373E1B" w:rsidP="00373E1B">
      <w:pPr>
        <w:spacing w:line="360" w:lineRule="auto"/>
        <w:jc w:val="both"/>
        <w:rPr>
          <w:lang w:val="uk-UA"/>
        </w:rPr>
      </w:pPr>
      <w:r w:rsidRPr="00373E1B">
        <w:rPr>
          <w:lang w:val="uk-UA"/>
        </w:rPr>
        <w:t xml:space="preserve">– у чоловіків без серцево–судинної патології концентрація ЕТ–1 ≥1,90 фмоль/мл в плазмі крові дає можливість визначити носіїв алелі </w:t>
      </w:r>
      <w:r w:rsidRPr="00373E1B">
        <w:rPr>
          <w:lang w:val="en-US"/>
        </w:rPr>
        <w:t>Asn</w:t>
      </w:r>
      <w:r w:rsidRPr="00373E1B">
        <w:rPr>
          <w:lang w:val="uk-UA"/>
        </w:rPr>
        <w:t xml:space="preserve"> (генотипи </w:t>
      </w:r>
      <w:r w:rsidRPr="00373E1B">
        <w:rPr>
          <w:lang w:val="en-US"/>
        </w:rPr>
        <w:t>Lys</w:t>
      </w:r>
      <w:r w:rsidRPr="00373E1B">
        <w:rPr>
          <w:lang w:val="uk-UA"/>
        </w:rPr>
        <w:t>/Asn та Asn/Asn)  гена ЕТ–1 (чутливість – 81,70  %, специфічність – 74,05 %);</w:t>
      </w:r>
    </w:p>
    <w:p w:rsidR="00373E1B" w:rsidRPr="00373E1B" w:rsidRDefault="00373E1B" w:rsidP="00373E1B">
      <w:pPr>
        <w:spacing w:line="360" w:lineRule="auto"/>
        <w:jc w:val="both"/>
        <w:rPr>
          <w:lang w:val="uk-UA"/>
        </w:rPr>
      </w:pPr>
      <w:r w:rsidRPr="00373E1B">
        <w:rPr>
          <w:lang w:val="uk-UA"/>
        </w:rPr>
        <w:t xml:space="preserve">– плазмова концентрація ЕТ–1 ≥12,75 фмоль/мл дозволяє діагностувати носіїв алелі </w:t>
      </w:r>
      <w:r w:rsidRPr="00373E1B">
        <w:rPr>
          <w:lang w:val="en-US"/>
        </w:rPr>
        <w:t>Asn</w:t>
      </w:r>
      <w:r w:rsidRPr="00373E1B">
        <w:rPr>
          <w:lang w:val="uk-UA"/>
        </w:rPr>
        <w:t xml:space="preserve"> (генотипи </w:t>
      </w:r>
      <w:r w:rsidRPr="00373E1B">
        <w:rPr>
          <w:lang w:val="en-US"/>
        </w:rPr>
        <w:t>Lys</w:t>
      </w:r>
      <w:r w:rsidRPr="00373E1B">
        <w:rPr>
          <w:lang w:val="uk-UA"/>
        </w:rPr>
        <w:t>/Asn та Asn/Asn) гена ЕТ–1 у чоловіків з ГХ ІІ ст. (чутливість – 82,77  %, специфічність – 84,29 %).</w:t>
      </w:r>
    </w:p>
    <w:p w:rsidR="00373E1B" w:rsidRPr="00373E1B" w:rsidRDefault="00373E1B" w:rsidP="00373E1B">
      <w:pPr>
        <w:spacing w:line="360" w:lineRule="auto"/>
        <w:jc w:val="both"/>
        <w:rPr>
          <w:lang w:val="uk-UA"/>
        </w:rPr>
      </w:pPr>
      <w:r w:rsidRPr="00373E1B">
        <w:rPr>
          <w:lang w:val="uk-UA"/>
        </w:rPr>
        <w:t xml:space="preserve">– рівень ЕТ–1 ≥13,38 фмоль/мл дає змогу виявити носіїв алелі Asn (генотипи </w:t>
      </w:r>
      <w:r w:rsidRPr="00373E1B">
        <w:rPr>
          <w:lang w:val="en-US"/>
        </w:rPr>
        <w:t>Lys</w:t>
      </w:r>
      <w:r w:rsidRPr="00373E1B">
        <w:rPr>
          <w:lang w:val="uk-UA"/>
        </w:rPr>
        <w:t>/Asn та Asn/Asn)  гена ЕТ–1 у чоловіків з ГХ ІІІ ст. (що ускладнена ХСН ІІ А ст.) (чутливість - 95,08 %, специфічність - 88,39 %).</w:t>
      </w:r>
    </w:p>
    <w:p w:rsidR="00FF368E" w:rsidRPr="00FF368E" w:rsidRDefault="00FF368E" w:rsidP="00373E1B">
      <w:pPr>
        <w:spacing w:after="200" w:line="360" w:lineRule="auto"/>
        <w:rPr>
          <w:rFonts w:eastAsia="Calibri"/>
          <w:spacing w:val="-20"/>
          <w:lang w:eastAsia="en-US"/>
        </w:rPr>
      </w:pPr>
    </w:p>
    <w:p w:rsidR="00196FD7" w:rsidRDefault="00196FD7" w:rsidP="00373E1B">
      <w:pPr>
        <w:spacing w:before="240" w:after="200" w:line="360" w:lineRule="auto"/>
        <w:ind w:left="426"/>
        <w:contextualSpacing/>
        <w:jc w:val="both"/>
        <w:rPr>
          <w:rFonts w:eastAsia="Calibri"/>
          <w:lang w:val="uk-UA" w:eastAsia="en-US"/>
        </w:rPr>
      </w:pPr>
    </w:p>
    <w:p w:rsidR="00196FD7" w:rsidRDefault="00196FD7" w:rsidP="00373E1B">
      <w:pPr>
        <w:spacing w:before="240" w:after="200" w:line="360" w:lineRule="auto"/>
        <w:ind w:left="426"/>
        <w:contextualSpacing/>
        <w:jc w:val="both"/>
        <w:rPr>
          <w:rFonts w:eastAsia="Calibri"/>
          <w:lang w:val="uk-UA" w:eastAsia="en-US"/>
        </w:rPr>
      </w:pPr>
    </w:p>
    <w:p w:rsidR="00196FD7" w:rsidRDefault="00196FD7" w:rsidP="00373E1B">
      <w:pPr>
        <w:spacing w:before="240" w:after="200" w:line="360" w:lineRule="auto"/>
        <w:ind w:left="426"/>
        <w:contextualSpacing/>
        <w:jc w:val="both"/>
        <w:rPr>
          <w:rFonts w:eastAsia="Calibri"/>
          <w:lang w:val="uk-UA" w:eastAsia="en-US"/>
        </w:rPr>
      </w:pPr>
    </w:p>
    <w:p w:rsidR="00196FD7" w:rsidRDefault="00196FD7" w:rsidP="005534E8">
      <w:pPr>
        <w:spacing w:before="240" w:after="200" w:line="360" w:lineRule="auto"/>
        <w:ind w:left="426"/>
        <w:contextualSpacing/>
        <w:jc w:val="both"/>
        <w:rPr>
          <w:rFonts w:eastAsia="Calibri"/>
          <w:lang w:val="uk-UA" w:eastAsia="en-US"/>
        </w:rPr>
      </w:pPr>
    </w:p>
    <w:p w:rsidR="00196FD7" w:rsidRDefault="00196FD7" w:rsidP="005534E8">
      <w:pPr>
        <w:spacing w:before="240" w:after="200" w:line="360" w:lineRule="auto"/>
        <w:ind w:left="426"/>
        <w:contextualSpacing/>
        <w:jc w:val="both"/>
        <w:rPr>
          <w:rFonts w:eastAsia="Calibri"/>
          <w:lang w:val="uk-UA" w:eastAsia="en-US"/>
        </w:rPr>
      </w:pPr>
    </w:p>
    <w:p w:rsidR="00196FD7" w:rsidRDefault="00196FD7" w:rsidP="005534E8">
      <w:pPr>
        <w:spacing w:before="240" w:after="200" w:line="360" w:lineRule="auto"/>
        <w:ind w:left="426"/>
        <w:contextualSpacing/>
        <w:jc w:val="both"/>
        <w:rPr>
          <w:rFonts w:eastAsia="Calibri"/>
          <w:lang w:val="uk-UA" w:eastAsia="en-US"/>
        </w:rPr>
      </w:pPr>
    </w:p>
    <w:p w:rsidR="00196FD7" w:rsidRDefault="00196FD7" w:rsidP="005534E8">
      <w:pPr>
        <w:spacing w:before="240" w:after="200" w:line="360" w:lineRule="auto"/>
        <w:ind w:left="426"/>
        <w:contextualSpacing/>
        <w:jc w:val="both"/>
        <w:rPr>
          <w:rFonts w:eastAsia="Calibri"/>
          <w:lang w:val="uk-UA" w:eastAsia="en-US"/>
        </w:rPr>
      </w:pPr>
    </w:p>
    <w:p w:rsidR="005107A1" w:rsidRPr="001416ED" w:rsidRDefault="005107A1" w:rsidP="005107A1">
      <w:pPr>
        <w:shd w:val="clear" w:color="auto" w:fill="FFFFFF"/>
        <w:autoSpaceDE w:val="0"/>
        <w:autoSpaceDN w:val="0"/>
        <w:adjustRightInd w:val="0"/>
        <w:spacing w:before="100" w:beforeAutospacing="1" w:after="240" w:line="360" w:lineRule="auto"/>
        <w:ind w:left="426" w:right="-1"/>
        <w:contextualSpacing/>
        <w:jc w:val="center"/>
        <w:outlineLvl w:val="0"/>
        <w:rPr>
          <w:rFonts w:eastAsia="Candara"/>
          <w:b/>
          <w:iCs/>
          <w:kern w:val="11"/>
          <w:lang w:val="uk-UA" w:eastAsia="en-US"/>
        </w:rPr>
      </w:pPr>
      <w:r w:rsidRPr="001416ED">
        <w:rPr>
          <w:rFonts w:eastAsia="Candara"/>
          <w:b/>
          <w:iCs/>
          <w:kern w:val="11"/>
          <w:lang w:val="uk-UA" w:eastAsia="en-US"/>
        </w:rPr>
        <w:lastRenderedPageBreak/>
        <w:t xml:space="preserve">СПИСОК ВИКОРИСТАНИХ ДЖЕРЕЛ </w:t>
      </w:r>
    </w:p>
    <w:p w:rsidR="005107A1" w:rsidRPr="001416ED" w:rsidRDefault="005107A1" w:rsidP="0012229A">
      <w:pPr>
        <w:numPr>
          <w:ilvl w:val="0"/>
          <w:numId w:val="10"/>
        </w:numPr>
        <w:shd w:val="clear" w:color="auto" w:fill="FFFFFF"/>
        <w:autoSpaceDE w:val="0"/>
        <w:autoSpaceDN w:val="0"/>
        <w:adjustRightInd w:val="0"/>
        <w:spacing w:before="100" w:beforeAutospacing="1" w:after="200" w:afterAutospacing="1" w:line="360" w:lineRule="auto"/>
        <w:ind w:left="0" w:right="-1" w:firstLine="0"/>
        <w:contextualSpacing/>
        <w:jc w:val="both"/>
        <w:outlineLvl w:val="0"/>
        <w:rPr>
          <w:rFonts w:eastAsia="Calibri"/>
          <w:kern w:val="11"/>
          <w:lang w:val="uk-UA" w:eastAsia="en-US"/>
        </w:rPr>
      </w:pPr>
      <w:r w:rsidRPr="001416ED">
        <w:rPr>
          <w:rFonts w:eastAsia="Calibri"/>
          <w:kern w:val="11"/>
          <w:lang w:val="uk-UA" w:eastAsia="en-US"/>
        </w:rPr>
        <w:t>Абрагамович О. О. Механізми розвитку дисфункції ендотелію та її роль у патогенезі ішемічної хвороби серця / О. О. Абрагамович, А. Ф. Файник, О. В. Нечай [та ін.] // Укр. кардіол. журн.</w:t>
      </w:r>
      <w:r w:rsidRPr="001416ED">
        <w:rPr>
          <w:rFonts w:eastAsia="Calibri"/>
          <w:kern w:val="11"/>
          <w:shd w:val="clear" w:color="auto" w:fill="FFFFFF"/>
          <w:lang w:val="uk-UA" w:eastAsia="en-US"/>
        </w:rPr>
        <w:t xml:space="preserve"> – </w:t>
      </w:r>
      <w:r w:rsidRPr="001416ED">
        <w:rPr>
          <w:rFonts w:eastAsia="Calibri"/>
          <w:kern w:val="11"/>
          <w:lang w:val="uk-UA" w:eastAsia="en-US"/>
        </w:rPr>
        <w:t xml:space="preserve">2007. </w:t>
      </w:r>
      <w:r w:rsidRPr="001416ED">
        <w:rPr>
          <w:rFonts w:eastAsia="Calibri"/>
          <w:kern w:val="11"/>
          <w:shd w:val="clear" w:color="auto" w:fill="FFFFFF"/>
          <w:lang w:val="uk-UA" w:eastAsia="en-US"/>
        </w:rPr>
        <w:t xml:space="preserve">– </w:t>
      </w:r>
      <w:r w:rsidRPr="001416ED">
        <w:rPr>
          <w:rFonts w:eastAsia="Calibri"/>
          <w:kern w:val="11"/>
          <w:lang w:val="uk-UA" w:eastAsia="en-US"/>
        </w:rPr>
        <w:t xml:space="preserve">№ 4. </w:t>
      </w:r>
      <w:r w:rsidRPr="001416ED">
        <w:rPr>
          <w:rFonts w:eastAsia="Calibri"/>
          <w:kern w:val="11"/>
          <w:shd w:val="clear" w:color="auto" w:fill="FFFFFF"/>
          <w:lang w:val="uk-UA" w:eastAsia="en-US"/>
        </w:rPr>
        <w:t xml:space="preserve">– </w:t>
      </w:r>
      <w:r w:rsidRPr="001416ED">
        <w:rPr>
          <w:rFonts w:eastAsia="Calibri"/>
          <w:kern w:val="11"/>
          <w:lang w:val="uk-UA" w:eastAsia="en-US"/>
        </w:rPr>
        <w:t xml:space="preserve"> С. 81</w:t>
      </w:r>
      <w:r w:rsidRPr="001416ED">
        <w:rPr>
          <w:rFonts w:eastAsia="Calibri"/>
          <w:kern w:val="11"/>
          <w:shd w:val="clear" w:color="auto" w:fill="FFFFFF"/>
          <w:lang w:val="uk-UA" w:eastAsia="en-US"/>
        </w:rPr>
        <w:t>–</w:t>
      </w:r>
      <w:r w:rsidRPr="001416ED">
        <w:rPr>
          <w:rFonts w:eastAsia="Calibri"/>
          <w:kern w:val="11"/>
          <w:lang w:val="uk-UA" w:eastAsia="en-US"/>
        </w:rPr>
        <w:softHyphen/>
        <w:t>87.</w:t>
      </w:r>
    </w:p>
    <w:p w:rsidR="005107A1" w:rsidRPr="001416ED" w:rsidRDefault="005107A1" w:rsidP="0012229A">
      <w:pPr>
        <w:numPr>
          <w:ilvl w:val="0"/>
          <w:numId w:val="10"/>
        </w:numPr>
        <w:tabs>
          <w:tab w:val="left" w:pos="284"/>
        </w:tabs>
        <w:autoSpaceDE w:val="0"/>
        <w:autoSpaceDN w:val="0"/>
        <w:adjustRightInd w:val="0"/>
        <w:spacing w:before="90" w:after="200" w:line="360" w:lineRule="auto"/>
        <w:ind w:left="0" w:right="33" w:firstLine="0"/>
        <w:contextualSpacing/>
        <w:jc w:val="both"/>
        <w:textAlignment w:val="baseline"/>
        <w:outlineLvl w:val="0"/>
        <w:rPr>
          <w:rFonts w:eastAsia="PragmaticaC"/>
          <w:lang w:val="uk-UA" w:eastAsia="en-US"/>
        </w:rPr>
      </w:pPr>
      <w:r w:rsidRPr="001416ED">
        <w:rPr>
          <w:rFonts w:eastAsia="Calibri"/>
          <w:kern w:val="11"/>
          <w:lang w:val="uk-UA" w:eastAsia="en-US"/>
        </w:rPr>
        <w:t xml:space="preserve">Айсаева Х. М. Дерматоглифические особенности у больных гипертонической болезнью с осложненным и неосложненным течением / Х. М. Айсаева, С. Ш. Ахмедханов // Успехи современного естествознания. </w:t>
      </w:r>
      <w:r w:rsidRPr="001416ED">
        <w:rPr>
          <w:rFonts w:eastAsia="Calibri"/>
          <w:kern w:val="11"/>
          <w:shd w:val="clear" w:color="auto" w:fill="FFFFFF"/>
          <w:lang w:val="uk-UA" w:eastAsia="en-US"/>
        </w:rPr>
        <w:t xml:space="preserve">– </w:t>
      </w:r>
      <w:r w:rsidRPr="001416ED">
        <w:rPr>
          <w:rFonts w:eastAsia="Calibri"/>
          <w:kern w:val="11"/>
          <w:lang w:val="uk-UA" w:eastAsia="en-US"/>
        </w:rPr>
        <w:t xml:space="preserve">2008. </w:t>
      </w:r>
      <w:r w:rsidRPr="001416ED">
        <w:rPr>
          <w:rFonts w:eastAsia="Calibri"/>
          <w:kern w:val="11"/>
          <w:shd w:val="clear" w:color="auto" w:fill="FFFFFF"/>
          <w:lang w:val="uk-UA" w:eastAsia="en-US"/>
        </w:rPr>
        <w:t xml:space="preserve">– </w:t>
      </w:r>
      <w:r w:rsidRPr="001416ED">
        <w:rPr>
          <w:rFonts w:eastAsia="Calibri"/>
          <w:kern w:val="11"/>
          <w:lang w:val="uk-UA" w:eastAsia="en-US"/>
        </w:rPr>
        <w:t xml:space="preserve"> № 8. – С. 50.</w:t>
      </w:r>
    </w:p>
    <w:p w:rsidR="005107A1" w:rsidRPr="001416ED" w:rsidRDefault="005107A1" w:rsidP="0012229A">
      <w:pPr>
        <w:numPr>
          <w:ilvl w:val="0"/>
          <w:numId w:val="10"/>
        </w:numPr>
        <w:shd w:val="clear" w:color="auto" w:fill="FFFFFF"/>
        <w:spacing w:after="200" w:line="360" w:lineRule="auto"/>
        <w:ind w:left="0" w:firstLine="0"/>
        <w:contextualSpacing/>
        <w:jc w:val="both"/>
        <w:rPr>
          <w:rFonts w:eastAsia="Calibri"/>
          <w:kern w:val="11"/>
          <w:lang w:eastAsia="uk-UA"/>
        </w:rPr>
      </w:pPr>
      <w:r w:rsidRPr="001416ED">
        <w:rPr>
          <w:rFonts w:eastAsia="Calibri"/>
          <w:kern w:val="11"/>
          <w:lang w:eastAsia="uk-UA"/>
        </w:rPr>
        <w:t>Амосова Е.</w:t>
      </w:r>
      <w:r w:rsidRPr="001416ED">
        <w:rPr>
          <w:rFonts w:eastAsia="Calibri"/>
          <w:kern w:val="11"/>
          <w:lang w:val="uk-UA" w:eastAsia="uk-UA"/>
        </w:rPr>
        <w:t xml:space="preserve"> </w:t>
      </w:r>
      <w:r w:rsidRPr="001416ED">
        <w:rPr>
          <w:rFonts w:eastAsia="Calibri"/>
          <w:kern w:val="11"/>
          <w:lang w:eastAsia="uk-UA"/>
        </w:rPr>
        <w:t>Н.</w:t>
      </w:r>
      <w:r w:rsidRPr="001416ED">
        <w:rPr>
          <w:rFonts w:eastAsia="Calibri"/>
          <w:kern w:val="11"/>
          <w:lang w:val="uk-UA" w:eastAsia="uk-UA"/>
        </w:rPr>
        <w:t> </w:t>
      </w:r>
      <w:r w:rsidRPr="001416ED">
        <w:rPr>
          <w:rFonts w:eastAsia="Calibri"/>
          <w:kern w:val="11"/>
          <w:lang w:eastAsia="uk-UA"/>
        </w:rPr>
        <w:t xml:space="preserve"> Метаболическая</w:t>
      </w:r>
      <w:r w:rsidRPr="001416ED">
        <w:rPr>
          <w:rFonts w:eastAsia="Calibri"/>
          <w:kern w:val="11"/>
          <w:lang w:val="uk-UA" w:eastAsia="uk-UA"/>
        </w:rPr>
        <w:t> </w:t>
      </w:r>
      <w:r w:rsidRPr="001416ED">
        <w:rPr>
          <w:rFonts w:eastAsia="Calibri"/>
          <w:kern w:val="11"/>
          <w:lang w:eastAsia="uk-UA"/>
        </w:rPr>
        <w:t>терапия повреждений миокарда, обусловленных</w:t>
      </w:r>
      <w:r w:rsidRPr="001416ED">
        <w:rPr>
          <w:rFonts w:eastAsia="Calibri"/>
          <w:kern w:val="11"/>
          <w:lang w:val="uk-UA" w:eastAsia="uk-UA"/>
        </w:rPr>
        <w:t> </w:t>
      </w:r>
      <w:r w:rsidRPr="001416ED">
        <w:rPr>
          <w:rFonts w:eastAsia="Calibri"/>
          <w:kern w:val="11"/>
          <w:lang w:eastAsia="uk-UA"/>
        </w:rPr>
        <w:t>ишемией: новый подход к лечению</w:t>
      </w:r>
      <w:r w:rsidRPr="001416ED">
        <w:rPr>
          <w:rFonts w:eastAsia="Calibri"/>
          <w:kern w:val="11"/>
          <w:lang w:val="uk-UA" w:eastAsia="uk-UA"/>
        </w:rPr>
        <w:t> </w:t>
      </w:r>
      <w:r w:rsidRPr="001416ED">
        <w:rPr>
          <w:rFonts w:eastAsia="Calibri"/>
          <w:kern w:val="11"/>
          <w:lang w:eastAsia="uk-UA"/>
        </w:rPr>
        <w:t>ИБС</w:t>
      </w:r>
      <w:r w:rsidRPr="001416ED">
        <w:rPr>
          <w:rFonts w:eastAsia="Calibri"/>
          <w:kern w:val="11"/>
          <w:lang w:val="uk-UA" w:eastAsia="uk-UA"/>
        </w:rPr>
        <w:t> </w:t>
      </w:r>
      <w:r w:rsidRPr="001416ED">
        <w:rPr>
          <w:rFonts w:eastAsia="Calibri"/>
          <w:kern w:val="11"/>
          <w:lang w:eastAsia="uk-UA"/>
        </w:rPr>
        <w:t xml:space="preserve">и сердечной недостаточности / Е. Н. Амосова </w:t>
      </w:r>
      <w:r w:rsidRPr="001416ED">
        <w:rPr>
          <w:rFonts w:eastAsia="Calibri"/>
          <w:kern w:val="11"/>
          <w:lang w:val="uk-UA" w:eastAsia="uk-UA"/>
        </w:rPr>
        <w:t>//</w:t>
      </w:r>
      <w:r w:rsidRPr="001416ED">
        <w:rPr>
          <w:rFonts w:eastAsia="Calibri"/>
          <w:kern w:val="11"/>
          <w:lang w:eastAsia="uk-UA"/>
        </w:rPr>
        <w:t xml:space="preserve"> Серия "В помощь практическому</w:t>
      </w:r>
      <w:r w:rsidRPr="001416ED">
        <w:rPr>
          <w:rFonts w:eastAsia="Calibri"/>
          <w:kern w:val="11"/>
          <w:lang w:val="uk-UA" w:eastAsia="uk-UA"/>
        </w:rPr>
        <w:t> </w:t>
      </w:r>
      <w:r w:rsidRPr="001416ED">
        <w:rPr>
          <w:rFonts w:eastAsia="Calibri"/>
          <w:kern w:val="11"/>
          <w:lang w:eastAsia="uk-UA"/>
        </w:rPr>
        <w:t xml:space="preserve">врачу". </w:t>
      </w:r>
      <w:r w:rsidRPr="001416ED">
        <w:rPr>
          <w:rFonts w:eastAsia="Calibri"/>
          <w:kern w:val="11"/>
          <w:shd w:val="clear" w:color="auto" w:fill="FFFFFF"/>
          <w:lang w:val="uk-UA" w:eastAsia="en-US"/>
        </w:rPr>
        <w:t>–</w:t>
      </w:r>
      <w:r w:rsidRPr="001416ED">
        <w:rPr>
          <w:rFonts w:eastAsia="Calibri"/>
          <w:kern w:val="11"/>
          <w:lang w:eastAsia="uk-UA"/>
        </w:rPr>
        <w:t xml:space="preserve"> Киев: 2010. Вып. 2. </w:t>
      </w:r>
      <w:r w:rsidRPr="001416ED">
        <w:rPr>
          <w:rFonts w:eastAsia="Calibri"/>
          <w:kern w:val="11"/>
          <w:shd w:val="clear" w:color="auto" w:fill="FFFFFF"/>
          <w:lang w:val="uk-UA" w:eastAsia="en-US"/>
        </w:rPr>
        <w:t>–</w:t>
      </w:r>
      <w:r w:rsidRPr="001416ED">
        <w:rPr>
          <w:rFonts w:eastAsia="Calibri"/>
          <w:kern w:val="11"/>
          <w:lang w:val="uk-UA" w:eastAsia="en-US"/>
        </w:rPr>
        <w:t xml:space="preserve"> </w:t>
      </w:r>
      <w:r w:rsidRPr="001416ED">
        <w:rPr>
          <w:rFonts w:eastAsia="Calibri"/>
          <w:kern w:val="11"/>
          <w:lang w:eastAsia="uk-UA"/>
        </w:rPr>
        <w:t>8 с.</w:t>
      </w:r>
    </w:p>
    <w:p w:rsidR="005107A1" w:rsidRPr="001416ED" w:rsidRDefault="005107A1" w:rsidP="0012229A">
      <w:pPr>
        <w:numPr>
          <w:ilvl w:val="0"/>
          <w:numId w:val="10"/>
        </w:numPr>
        <w:shd w:val="clear" w:color="auto" w:fill="FFFFFF"/>
        <w:spacing w:after="200" w:line="360" w:lineRule="auto"/>
        <w:ind w:left="0" w:firstLine="0"/>
        <w:contextualSpacing/>
        <w:jc w:val="both"/>
        <w:rPr>
          <w:rFonts w:eastAsia="Calibri"/>
          <w:kern w:val="11"/>
          <w:lang w:val="uk-UA" w:eastAsia="uk-UA"/>
        </w:rPr>
      </w:pPr>
      <w:r w:rsidRPr="001416ED">
        <w:rPr>
          <w:rFonts w:eastAsia="Candara"/>
          <w:iCs/>
          <w:kern w:val="11"/>
          <w:lang w:val="uk-UA" w:eastAsia="en-US"/>
        </w:rPr>
        <w:t>Багрій В. В. Неускладнена гіпертонічна хвороба у жінок, клініко – діагностичне значення поліморфізму гена ППАР–γ та плазмової концентрації судинорухових пептидів:</w:t>
      </w:r>
      <w:r w:rsidRPr="001416ED">
        <w:rPr>
          <w:rFonts w:eastAsia="Calibri"/>
          <w:kern w:val="11"/>
          <w:lang w:val="uk-UA" w:eastAsia="uk-UA"/>
        </w:rPr>
        <w:t xml:space="preserve"> Автореф. дис. .... канд. мед. наук : 14.01.11 / В.</w:t>
      </w:r>
      <w:r w:rsidR="0095642D" w:rsidRPr="001416ED">
        <w:rPr>
          <w:rFonts w:eastAsia="Calibri"/>
          <w:kern w:val="11"/>
          <w:lang w:val="uk-UA" w:eastAsia="uk-UA"/>
        </w:rPr>
        <w:t xml:space="preserve"> </w:t>
      </w:r>
      <w:r w:rsidRPr="001416ED">
        <w:rPr>
          <w:rFonts w:eastAsia="Calibri"/>
          <w:kern w:val="11"/>
          <w:lang w:val="uk-UA" w:eastAsia="uk-UA"/>
        </w:rPr>
        <w:t>В. Багрій. – Івано–Франківськ, 2015. – 20 с.</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kern w:val="11"/>
          <w:shd w:val="clear" w:color="auto" w:fill="FFFFFF"/>
          <w:lang w:val="uk-UA" w:eastAsia="en-US"/>
        </w:rPr>
        <w:t>Беленков Ю. Н. Клинико–гемодинамические и нейрогуморальные эффекты длительной терапии бета–адреноблокатором бисопрололом больных с тяжелой хронической сердечной недостаточностью / Ю. Н.  Беленков, В. Ю. Мареев, А. А. Скворцов // Кардиология. – 2003. –  № 10. – С. 11–22. </w:t>
      </w:r>
    </w:p>
    <w:p w:rsidR="005107A1" w:rsidRPr="001416ED" w:rsidRDefault="005107A1" w:rsidP="0012229A">
      <w:pPr>
        <w:numPr>
          <w:ilvl w:val="0"/>
          <w:numId w:val="10"/>
        </w:numPr>
        <w:shd w:val="clear" w:color="auto" w:fill="FFFFFF"/>
        <w:autoSpaceDE w:val="0"/>
        <w:autoSpaceDN w:val="0"/>
        <w:adjustRightInd w:val="0"/>
        <w:spacing w:before="90" w:after="90" w:line="360" w:lineRule="auto"/>
        <w:ind w:left="0" w:right="33" w:firstLine="0"/>
        <w:contextualSpacing/>
        <w:jc w:val="both"/>
        <w:textAlignment w:val="baseline"/>
        <w:outlineLvl w:val="0"/>
        <w:rPr>
          <w:rFonts w:eastAsia="Calibri"/>
          <w:lang w:val="uk-UA" w:eastAsia="en-US"/>
        </w:rPr>
      </w:pPr>
      <w:r w:rsidRPr="001416ED">
        <w:rPr>
          <w:rFonts w:eastAsia="Calibri"/>
          <w:kern w:val="11"/>
          <w:lang w:val="uk-UA" w:eastAsia="en-US"/>
        </w:rPr>
        <w:t xml:space="preserve">Березикова Е. Н. </w:t>
      </w:r>
      <w:r w:rsidRPr="001416ED">
        <w:rPr>
          <w:rFonts w:eastAsia="Calibri"/>
          <w:bCs/>
          <w:kern w:val="11"/>
          <w:lang w:val="uk-UA" w:eastAsia="en-US"/>
        </w:rPr>
        <w:t xml:space="preserve">Клинико–генетические и нейрогормональные механизмы развития ишемического ремоделирования, апоптоза миокарда и сердечной недостаточности: инновационная стратегия персонализированной диагностики, профилактики и лечения: </w:t>
      </w:r>
      <w:r w:rsidRPr="001416ED">
        <w:rPr>
          <w:kern w:val="11"/>
          <w:lang w:val="uk-UA" w:eastAsia="uk-UA"/>
        </w:rPr>
        <w:t>Автореф. дис. .</w:t>
      </w:r>
      <w:r w:rsidRPr="001416ED">
        <w:rPr>
          <w:lang w:val="uk-UA" w:eastAsia="uk-UA"/>
        </w:rPr>
        <w:t xml:space="preserve">... </w:t>
      </w:r>
      <w:r w:rsidRPr="001416ED">
        <w:rPr>
          <w:kern w:val="11"/>
          <w:lang w:val="uk-UA" w:eastAsia="uk-UA"/>
        </w:rPr>
        <w:t xml:space="preserve">докт. мед. наук : </w:t>
      </w:r>
      <w:hyperlink r:id="rId41" w:history="1">
        <w:r w:rsidRPr="001416ED">
          <w:rPr>
            <w:rFonts w:eastAsia="Calibri"/>
            <w:kern w:val="11"/>
            <w:shd w:val="clear" w:color="auto" w:fill="FFFFFF"/>
            <w:lang w:val="uk-UA" w:eastAsia="en-US"/>
          </w:rPr>
          <w:t>14.01.05</w:t>
        </w:r>
      </w:hyperlink>
      <w:r w:rsidRPr="001416ED">
        <w:rPr>
          <w:rFonts w:eastAsia="Calibri"/>
          <w:kern w:val="11"/>
          <w:sz w:val="11"/>
          <w:szCs w:val="11"/>
          <w:lang w:val="uk-UA" w:eastAsia="en-US"/>
        </w:rPr>
        <w:t xml:space="preserve"> </w:t>
      </w:r>
      <w:r w:rsidRPr="001416ED">
        <w:rPr>
          <w:kern w:val="11"/>
          <w:lang w:val="uk-UA" w:eastAsia="uk-UA"/>
        </w:rPr>
        <w:t xml:space="preserve">/ </w:t>
      </w:r>
      <w:r w:rsidRPr="001416ED">
        <w:rPr>
          <w:rFonts w:eastAsia="Calibri"/>
          <w:kern w:val="11"/>
          <w:lang w:val="uk-UA" w:eastAsia="en-US"/>
        </w:rPr>
        <w:t xml:space="preserve">Е. Н. Березикова. – Томск, 2014. </w:t>
      </w:r>
      <w:r w:rsidRPr="001416ED">
        <w:rPr>
          <w:rFonts w:eastAsia="Calibri"/>
          <w:kern w:val="11"/>
          <w:shd w:val="clear" w:color="auto" w:fill="FFFFFF"/>
          <w:lang w:val="uk-UA" w:eastAsia="en-US"/>
        </w:rPr>
        <w:t>–</w:t>
      </w:r>
      <w:r w:rsidRPr="001416ED">
        <w:rPr>
          <w:rFonts w:eastAsia="Calibri"/>
          <w:kern w:val="11"/>
          <w:lang w:val="uk-UA" w:eastAsia="en-US"/>
        </w:rPr>
        <w:t xml:space="preserve"> 49 с.</w:t>
      </w:r>
    </w:p>
    <w:p w:rsidR="005107A1" w:rsidRPr="001416ED" w:rsidRDefault="005107A1" w:rsidP="00C04BC3">
      <w:pPr>
        <w:numPr>
          <w:ilvl w:val="0"/>
          <w:numId w:val="10"/>
        </w:numPr>
        <w:shd w:val="clear" w:color="auto" w:fill="FFFFFF"/>
        <w:tabs>
          <w:tab w:val="left" w:pos="709"/>
        </w:tabs>
        <w:autoSpaceDE w:val="0"/>
        <w:autoSpaceDN w:val="0"/>
        <w:adjustRightInd w:val="0"/>
        <w:spacing w:line="360" w:lineRule="auto"/>
        <w:ind w:left="0" w:right="-1" w:firstLine="0"/>
        <w:jc w:val="both"/>
        <w:rPr>
          <w:rFonts w:eastAsia="Calibri"/>
          <w:bCs/>
          <w:lang w:val="uk-UA" w:eastAsia="en-US"/>
        </w:rPr>
      </w:pPr>
      <w:r w:rsidRPr="001416ED">
        <w:rPr>
          <w:rFonts w:eastAsia="Calibri"/>
          <w:kern w:val="11"/>
          <w:lang w:val="uk-UA" w:eastAsia="en-US"/>
        </w:rPr>
        <w:t xml:space="preserve">Бланар О. Л. Поліморфізм гена АТ1Р та судинорухова функція ендотелію у хворих на хронічну серцеву недостатність, яка ускладнила перебіг гіпертонічної хвороби / О. Л. Бланар, В. М. Жебель // </w:t>
      </w:r>
      <w:r w:rsidRPr="001416ED">
        <w:rPr>
          <w:rFonts w:eastAsia="Calibri"/>
          <w:noProof/>
          <w:kern w:val="11"/>
          <w:lang w:val="uk-UA" w:eastAsia="en-US"/>
        </w:rPr>
        <w:t xml:space="preserve">Науковий вісник Ужгородського університету. Серія медицина. – 2009. </w:t>
      </w:r>
      <w:r w:rsidRPr="001416ED">
        <w:rPr>
          <w:rFonts w:eastAsia="Calibri"/>
          <w:kern w:val="11"/>
          <w:shd w:val="clear" w:color="auto" w:fill="FFFFFF"/>
          <w:lang w:val="uk-UA" w:eastAsia="en-US"/>
        </w:rPr>
        <w:t>–</w:t>
      </w:r>
      <w:r w:rsidRPr="001416ED">
        <w:rPr>
          <w:rFonts w:eastAsia="Calibri"/>
          <w:noProof/>
          <w:kern w:val="11"/>
          <w:lang w:val="uk-UA" w:eastAsia="en-US"/>
        </w:rPr>
        <w:t xml:space="preserve"> № 35. – С. 39</w:t>
      </w:r>
      <w:r w:rsidRPr="001416ED">
        <w:rPr>
          <w:rFonts w:eastAsia="Calibri"/>
          <w:kern w:val="11"/>
          <w:shd w:val="clear" w:color="auto" w:fill="FFFFFF"/>
          <w:lang w:val="uk-UA" w:eastAsia="en-US"/>
        </w:rPr>
        <w:t>–</w:t>
      </w:r>
      <w:r w:rsidRPr="001416ED">
        <w:rPr>
          <w:rFonts w:eastAsia="Calibri"/>
          <w:noProof/>
          <w:kern w:val="11"/>
          <w:lang w:val="uk-UA" w:eastAsia="en-US"/>
        </w:rPr>
        <w:t>43.</w:t>
      </w:r>
    </w:p>
    <w:p w:rsidR="005107A1" w:rsidRPr="001416ED" w:rsidRDefault="005107A1" w:rsidP="0012229A">
      <w:pPr>
        <w:numPr>
          <w:ilvl w:val="0"/>
          <w:numId w:val="10"/>
        </w:numPr>
        <w:shd w:val="clear" w:color="auto" w:fill="FFFFFF"/>
        <w:tabs>
          <w:tab w:val="left" w:pos="709"/>
        </w:tabs>
        <w:spacing w:before="100" w:beforeAutospacing="1" w:after="100" w:afterAutospacing="1" w:line="360" w:lineRule="auto"/>
        <w:ind w:left="0" w:firstLine="0"/>
        <w:jc w:val="both"/>
        <w:rPr>
          <w:lang w:val="uk-UA" w:eastAsia="uk-UA"/>
        </w:rPr>
      </w:pPr>
      <w:r w:rsidRPr="001416ED">
        <w:rPr>
          <w:bCs/>
          <w:lang w:val="uk-UA" w:eastAsia="uk-UA"/>
        </w:rPr>
        <w:lastRenderedPageBreak/>
        <w:t xml:space="preserve">Богатирьова Р. В. </w:t>
      </w:r>
      <w:r w:rsidRPr="001416ED">
        <w:rPr>
          <w:lang w:val="uk-UA" w:eastAsia="uk-UA"/>
        </w:rPr>
        <w:t xml:space="preserve">Національна стратегія профілактики і лікування артеріальної гіпертензії в Україні / </w:t>
      </w:r>
      <w:r w:rsidRPr="001416ED">
        <w:rPr>
          <w:bCs/>
          <w:lang w:val="uk-UA" w:eastAsia="uk-UA"/>
        </w:rPr>
        <w:t>Р. В. Богатирьова, В. М. Коваленко (ред.).</w:t>
      </w:r>
      <w:r w:rsidRPr="001416ED">
        <w:rPr>
          <w:lang w:val="uk-UA" w:eastAsia="uk-UA"/>
        </w:rPr>
        <w:t xml:space="preserve"> </w:t>
      </w:r>
      <w:r w:rsidRPr="001416ED">
        <w:rPr>
          <w:rFonts w:eastAsia="Calibri"/>
          <w:kern w:val="11"/>
          <w:shd w:val="clear" w:color="auto" w:fill="FFFFFF"/>
          <w:lang w:val="uk-UA" w:eastAsia="en-US"/>
        </w:rPr>
        <w:t>–</w:t>
      </w:r>
      <w:r w:rsidRPr="001416ED">
        <w:rPr>
          <w:lang w:val="uk-UA" w:eastAsia="uk-UA"/>
        </w:rPr>
        <w:t xml:space="preserve"> Київ, МОРІОН, 2012. </w:t>
      </w:r>
      <w:r w:rsidRPr="001416ED">
        <w:rPr>
          <w:rFonts w:eastAsia="Calibri"/>
          <w:kern w:val="11"/>
          <w:shd w:val="clear" w:color="auto" w:fill="FFFFFF"/>
          <w:lang w:val="uk-UA" w:eastAsia="en-US"/>
        </w:rPr>
        <w:t xml:space="preserve">– </w:t>
      </w:r>
      <w:r w:rsidRPr="001416ED">
        <w:rPr>
          <w:lang w:val="uk-UA" w:eastAsia="uk-UA"/>
        </w:rPr>
        <w:t>120 с.</w:t>
      </w:r>
    </w:p>
    <w:p w:rsidR="005107A1" w:rsidRPr="001416ED" w:rsidRDefault="005107A1" w:rsidP="0012229A">
      <w:pPr>
        <w:numPr>
          <w:ilvl w:val="0"/>
          <w:numId w:val="10"/>
        </w:numPr>
        <w:spacing w:before="100" w:beforeAutospacing="1" w:after="100" w:afterAutospacing="1" w:line="360" w:lineRule="auto"/>
        <w:ind w:left="0" w:firstLine="0"/>
        <w:jc w:val="both"/>
        <w:rPr>
          <w:rFonts w:eastAsia="Calibri"/>
          <w:kern w:val="11"/>
          <w:lang w:val="uk-UA" w:eastAsia="en-US"/>
        </w:rPr>
      </w:pPr>
      <w:r w:rsidRPr="001416ED">
        <w:rPr>
          <w:rFonts w:eastAsia="Calibri"/>
          <w:kern w:val="11"/>
          <w:lang w:val="uk-UA" w:eastAsia="en-US"/>
        </w:rPr>
        <w:t xml:space="preserve">Болховитина О. А. Значение эндотелина–1 в генезе патологических процессов при хронической сердечной недостаточности у пожилых больных / О. А.   Болховитина, Т. В.   Павлова, В. И. Поляков // Современные проблемы науки и образования. – 2011. – № 6. </w:t>
      </w:r>
      <w:r w:rsidRPr="001416ED">
        <w:rPr>
          <w:rFonts w:eastAsia="Calibri"/>
          <w:kern w:val="11"/>
          <w:shd w:val="clear" w:color="auto" w:fill="FFFFFF"/>
          <w:lang w:val="uk-UA" w:eastAsia="en-US"/>
        </w:rPr>
        <w:t>–</w:t>
      </w:r>
      <w:r w:rsidRPr="001416ED">
        <w:rPr>
          <w:rFonts w:eastAsia="Calibri"/>
          <w:kern w:val="11"/>
          <w:lang w:val="uk-UA" w:eastAsia="en-US"/>
        </w:rPr>
        <w:t xml:space="preserve"> С. 12</w:t>
      </w:r>
      <w:r w:rsidRPr="001416ED">
        <w:rPr>
          <w:rFonts w:eastAsia="Calibri"/>
          <w:kern w:val="11"/>
          <w:shd w:val="clear" w:color="auto" w:fill="FFFFFF"/>
          <w:lang w:val="uk-UA" w:eastAsia="en-US"/>
        </w:rPr>
        <w:t>–</w:t>
      </w:r>
      <w:r w:rsidRPr="001416ED">
        <w:rPr>
          <w:rFonts w:eastAsia="Calibri"/>
          <w:kern w:val="11"/>
          <w:lang w:val="uk-UA" w:eastAsia="en-US"/>
        </w:rPr>
        <w:t>15.</w:t>
      </w:r>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rFonts w:eastAsia="Calibri"/>
          <w:kern w:val="11"/>
          <w:lang w:val="uk-UA" w:eastAsia="en-US"/>
        </w:rPr>
        <w:t>Братусь В. В. Оксид азота как регулятор защитных и гомеостатических реакций организма</w:t>
      </w:r>
      <w:r w:rsidR="0095642D" w:rsidRPr="001416ED">
        <w:rPr>
          <w:rFonts w:eastAsia="Calibri"/>
          <w:kern w:val="11"/>
          <w:lang w:val="uk-UA" w:eastAsia="en-US"/>
        </w:rPr>
        <w:t xml:space="preserve"> / </w:t>
      </w:r>
      <w:r w:rsidRPr="001416ED">
        <w:rPr>
          <w:rFonts w:eastAsia="Calibri"/>
          <w:kern w:val="11"/>
          <w:lang w:val="uk-UA" w:eastAsia="en-US"/>
        </w:rPr>
        <w:t xml:space="preserve"> </w:t>
      </w:r>
      <w:r w:rsidR="0095642D" w:rsidRPr="001416ED">
        <w:rPr>
          <w:rFonts w:eastAsia="Calibri"/>
          <w:kern w:val="11"/>
          <w:lang w:val="uk-UA" w:eastAsia="en-US"/>
        </w:rPr>
        <w:t xml:space="preserve">В. В. Братусь </w:t>
      </w:r>
      <w:r w:rsidRPr="001416ED">
        <w:rPr>
          <w:rFonts w:eastAsia="Calibri"/>
          <w:kern w:val="11"/>
          <w:lang w:val="uk-UA" w:eastAsia="en-US"/>
        </w:rPr>
        <w:t>// Укр. ревматол. журн. – 2003. – № 4. – С. 3</w:t>
      </w:r>
      <w:r w:rsidRPr="001416ED">
        <w:rPr>
          <w:rFonts w:eastAsia="Calibri"/>
          <w:kern w:val="11"/>
          <w:shd w:val="clear" w:color="auto" w:fill="FFFFFF"/>
          <w:lang w:val="uk-UA" w:eastAsia="en-US"/>
        </w:rPr>
        <w:t>–</w:t>
      </w:r>
      <w:r w:rsidRPr="001416ED">
        <w:rPr>
          <w:rFonts w:eastAsia="Calibri"/>
          <w:kern w:val="11"/>
          <w:lang w:val="uk-UA" w:eastAsia="en-US"/>
        </w:rPr>
        <w:t>11.</w:t>
      </w:r>
    </w:p>
    <w:p w:rsidR="005107A1" w:rsidRPr="001416ED" w:rsidRDefault="005107A1" w:rsidP="0012229A">
      <w:pPr>
        <w:numPr>
          <w:ilvl w:val="0"/>
          <w:numId w:val="10"/>
        </w:numPr>
        <w:tabs>
          <w:tab w:val="left" w:pos="709"/>
        </w:tabs>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 xml:space="preserve">Варавка І. П. Роль натрійуретичних пептидів у ремоделюванні серця та судин у хворих на гіперонічну хворобу: автореф. дис на здобуття наукового ступеня канд. мед. наук: спец. 14.01.11 / І. П. Варавка. </w:t>
      </w:r>
      <w:r w:rsidRPr="001416ED">
        <w:rPr>
          <w:rFonts w:eastAsia="Calibri"/>
          <w:kern w:val="11"/>
          <w:shd w:val="clear" w:color="auto" w:fill="FFFFFF"/>
          <w:lang w:val="uk-UA" w:eastAsia="en-US"/>
        </w:rPr>
        <w:t>–</w:t>
      </w:r>
      <w:r w:rsidRPr="001416ED">
        <w:rPr>
          <w:rFonts w:eastAsia="Calibri"/>
          <w:kern w:val="11"/>
          <w:lang w:val="uk-UA" w:eastAsia="en-US"/>
        </w:rPr>
        <w:t xml:space="preserve"> Донецьк, 2009. </w:t>
      </w:r>
      <w:r w:rsidRPr="001416ED">
        <w:rPr>
          <w:rFonts w:eastAsia="Calibri"/>
          <w:kern w:val="11"/>
          <w:shd w:val="clear" w:color="auto" w:fill="FFFFFF"/>
          <w:lang w:val="uk-UA" w:eastAsia="en-US"/>
        </w:rPr>
        <w:t>–</w:t>
      </w:r>
      <w:r w:rsidRPr="001416ED">
        <w:rPr>
          <w:rFonts w:eastAsia="Calibri"/>
          <w:kern w:val="11"/>
          <w:lang w:val="uk-UA" w:eastAsia="en-US"/>
        </w:rPr>
        <w:t xml:space="preserve"> 19 с.</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 xml:space="preserve">Ватутин Н. Т.  Эндотелины и сердечно–сосудистая патология / Н. Т.  Ватутин, Н. В. Калинкина, А. Л. Демидова // Укр. кардіол. журн. </w:t>
      </w:r>
      <w:r w:rsidRPr="001416ED">
        <w:rPr>
          <w:rFonts w:eastAsia="Calibri"/>
          <w:kern w:val="11"/>
          <w:shd w:val="clear" w:color="auto" w:fill="FFFFFF"/>
          <w:lang w:val="uk-UA" w:eastAsia="en-US"/>
        </w:rPr>
        <w:t xml:space="preserve">– </w:t>
      </w:r>
      <w:r w:rsidRPr="001416ED">
        <w:rPr>
          <w:rFonts w:eastAsia="Calibri"/>
          <w:kern w:val="11"/>
          <w:lang w:val="uk-UA" w:eastAsia="en-US"/>
        </w:rPr>
        <w:t xml:space="preserve">2006. </w:t>
      </w:r>
      <w:r w:rsidRPr="001416ED">
        <w:rPr>
          <w:rFonts w:eastAsia="Calibri"/>
          <w:kern w:val="11"/>
          <w:shd w:val="clear" w:color="auto" w:fill="FFFFFF"/>
          <w:lang w:val="uk-UA" w:eastAsia="en-US"/>
        </w:rPr>
        <w:t>–</w:t>
      </w:r>
      <w:r w:rsidRPr="001416ED">
        <w:rPr>
          <w:rFonts w:eastAsia="Calibri"/>
          <w:kern w:val="11"/>
          <w:lang w:val="uk-UA" w:eastAsia="en-US"/>
        </w:rPr>
        <w:t xml:space="preserve"> № 1. </w:t>
      </w:r>
      <w:r w:rsidRPr="001416ED">
        <w:rPr>
          <w:rFonts w:eastAsia="Calibri"/>
          <w:kern w:val="11"/>
          <w:shd w:val="clear" w:color="auto" w:fill="FFFFFF"/>
          <w:lang w:val="uk-UA" w:eastAsia="en-US"/>
        </w:rPr>
        <w:t>–</w:t>
      </w:r>
      <w:r w:rsidRPr="001416ED">
        <w:rPr>
          <w:rFonts w:eastAsia="Calibri"/>
          <w:kern w:val="11"/>
          <w:lang w:val="uk-UA" w:eastAsia="en-US"/>
        </w:rPr>
        <w:t xml:space="preserve"> С. 101–106.</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rPr>
          <w:lang w:val="uk-UA" w:eastAsia="uk-UA"/>
        </w:rPr>
      </w:pPr>
      <w:r w:rsidRPr="001416ED">
        <w:rPr>
          <w:lang w:val="uk-UA" w:eastAsia="uk-UA"/>
        </w:rPr>
        <w:t>Визир</w:t>
      </w:r>
      <w:r w:rsidRPr="001416ED">
        <w:rPr>
          <w:bCs/>
          <w:lang w:val="uk-UA" w:eastAsia="uk-UA"/>
        </w:rPr>
        <w:t xml:space="preserve"> </w:t>
      </w:r>
      <w:r w:rsidRPr="001416ED">
        <w:rPr>
          <w:lang w:val="uk-UA" w:eastAsia="uk-UA"/>
        </w:rPr>
        <w:t xml:space="preserve">В. А. </w:t>
      </w:r>
      <w:r w:rsidRPr="001416ED">
        <w:rPr>
          <w:bCs/>
          <w:lang w:val="uk-UA" w:eastAsia="uk-UA"/>
        </w:rPr>
        <w:t>Взаимосвязь между активностью эндотелина–1 плазмы крови и состоянием мозгового кровотока у больных с артериальной гипертензией</w:t>
      </w:r>
      <w:r w:rsidRPr="001416ED">
        <w:rPr>
          <w:bCs/>
          <w:i/>
          <w:lang w:val="uk-UA" w:eastAsia="uk-UA"/>
        </w:rPr>
        <w:t>,</w:t>
      </w:r>
      <w:r w:rsidRPr="001416ED">
        <w:rPr>
          <w:bCs/>
          <w:lang w:val="uk-UA" w:eastAsia="uk-UA"/>
        </w:rPr>
        <w:t xml:space="preserve"> сочетающейся со стенотическими поражениями брахиоцефальных артерій / </w:t>
      </w:r>
      <w:r w:rsidRPr="001416ED">
        <w:rPr>
          <w:lang w:val="uk-UA" w:eastAsia="uk-UA"/>
        </w:rPr>
        <w:t>В. А. Визир,</w:t>
      </w:r>
      <w:r w:rsidRPr="001416ED">
        <w:rPr>
          <w:bCs/>
          <w:lang w:val="uk-UA" w:eastAsia="uk-UA"/>
        </w:rPr>
        <w:t xml:space="preserve"> </w:t>
      </w:r>
      <w:r w:rsidRPr="001416ED">
        <w:rPr>
          <w:lang w:val="uk-UA" w:eastAsia="uk-UA"/>
        </w:rPr>
        <w:t>А. Е. Березин, Е. И. Попленкин</w:t>
      </w:r>
      <w:r w:rsidRPr="001416ED">
        <w:rPr>
          <w:bCs/>
          <w:lang w:val="uk-UA" w:eastAsia="uk-UA"/>
        </w:rPr>
        <w:t xml:space="preserve"> // </w:t>
      </w:r>
      <w:r w:rsidRPr="001416ED">
        <w:rPr>
          <w:rFonts w:eastAsia="Calibri"/>
          <w:kern w:val="11"/>
          <w:lang w:val="uk-UA" w:eastAsia="en-US"/>
        </w:rPr>
        <w:t>Український кардіологічний журнал. – 2004. – №2. – С. 14</w:t>
      </w:r>
      <w:r w:rsidRPr="001416ED">
        <w:rPr>
          <w:rFonts w:eastAsia="Calibri"/>
          <w:kern w:val="11"/>
          <w:shd w:val="clear" w:color="auto" w:fill="FFFFFF"/>
          <w:lang w:val="uk-UA" w:eastAsia="en-US"/>
        </w:rPr>
        <w:t>–</w:t>
      </w:r>
      <w:r w:rsidRPr="001416ED">
        <w:rPr>
          <w:rFonts w:eastAsia="Calibri"/>
          <w:kern w:val="11"/>
          <w:lang w:val="uk-UA" w:eastAsia="en-US"/>
        </w:rPr>
        <w:t>17.</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Вільчинський Г. В. Плазмові концентрації С–натрійуретичного пептиду та ендотеліну–1 у жінок післяменопаузального віку, хворих на гіпертонічну хворобу різної стадії / Г. В. Вільчинський, С. В. Франчук, В. М. Жебель // Вісник проблем біології та медицини. – 2012. –  №1(91). – С. 100–103.</w:t>
      </w:r>
    </w:p>
    <w:p w:rsidR="005107A1" w:rsidRPr="001416ED" w:rsidRDefault="005107A1" w:rsidP="0012229A">
      <w:pPr>
        <w:numPr>
          <w:ilvl w:val="0"/>
          <w:numId w:val="10"/>
        </w:numPr>
        <w:autoSpaceDE w:val="0"/>
        <w:autoSpaceDN w:val="0"/>
        <w:adjustRightInd w:val="0"/>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Вільчинський Г. В. Поліморфізм гена пероксисом проліфератор–активуючих рецепторів–γ у жінок з гіпертонічною хворобою, які перенесли інфаркт міокарда та мозковий інсульт : автореф. дис. … канд. мед. наук : 14.01.11 / Г. В. Вільчинський, Київ, 2013. – 19 с.</w:t>
      </w:r>
    </w:p>
    <w:p w:rsidR="005107A1" w:rsidRPr="001416ED" w:rsidRDefault="005107A1" w:rsidP="0012229A">
      <w:pPr>
        <w:numPr>
          <w:ilvl w:val="0"/>
          <w:numId w:val="10"/>
        </w:numPr>
        <w:autoSpaceDE w:val="0"/>
        <w:autoSpaceDN w:val="0"/>
        <w:adjustRightInd w:val="0"/>
        <w:spacing w:after="200" w:line="360" w:lineRule="auto"/>
        <w:ind w:left="0" w:firstLine="0"/>
        <w:contextualSpacing/>
        <w:jc w:val="both"/>
        <w:rPr>
          <w:rFonts w:eastAsia="Calibri"/>
          <w:kern w:val="11"/>
          <w:lang w:val="uk-UA" w:eastAsia="en-US"/>
        </w:rPr>
      </w:pPr>
      <w:r w:rsidRPr="001416ED">
        <w:rPr>
          <w:lang w:val="uk-UA"/>
        </w:rPr>
        <w:t xml:space="preserve">Воронков Л. Г. Рекомендації Української асоціації кардіологів з діагностики, лікування та профілактики хронічної серцевої недостатності у дорослих / Л. Г. </w:t>
      </w:r>
      <w:r w:rsidRPr="001416ED">
        <w:rPr>
          <w:lang w:val="uk-UA"/>
        </w:rPr>
        <w:lastRenderedPageBreak/>
        <w:t xml:space="preserve">Воронков, К. М. Амосова, А. Е. Багрій [та ін.] // Український кардіологічний журнал. </w:t>
      </w:r>
      <w:r w:rsidRPr="001416ED">
        <w:rPr>
          <w:rFonts w:eastAsia="Calibri"/>
          <w:kern w:val="11"/>
          <w:lang w:val="uk-UA" w:eastAsia="en-US"/>
        </w:rPr>
        <w:t xml:space="preserve">– </w:t>
      </w:r>
      <w:r w:rsidRPr="001416ED">
        <w:rPr>
          <w:lang w:val="uk-UA"/>
        </w:rPr>
        <w:t xml:space="preserve">2006. </w:t>
      </w:r>
      <w:r w:rsidRPr="001416ED">
        <w:rPr>
          <w:rFonts w:eastAsia="Calibri"/>
          <w:kern w:val="11"/>
          <w:lang w:val="uk-UA" w:eastAsia="en-US"/>
        </w:rPr>
        <w:t xml:space="preserve">– </w:t>
      </w:r>
      <w:r w:rsidRPr="001416ED">
        <w:rPr>
          <w:lang w:val="uk-UA"/>
        </w:rPr>
        <w:t>№ 4.</w:t>
      </w:r>
      <w:r w:rsidRPr="001416ED">
        <w:rPr>
          <w:rFonts w:eastAsia="Calibri"/>
          <w:kern w:val="11"/>
          <w:lang w:val="uk-UA" w:eastAsia="en-US"/>
        </w:rPr>
        <w:t xml:space="preserve"> – </w:t>
      </w:r>
      <w:r w:rsidRPr="001416ED">
        <w:rPr>
          <w:lang w:val="uk-UA"/>
        </w:rPr>
        <w:t>С. 114</w:t>
      </w:r>
      <w:r w:rsidRPr="001416ED">
        <w:rPr>
          <w:rFonts w:eastAsia="Calibri"/>
          <w:kern w:val="11"/>
          <w:lang w:val="uk-UA" w:eastAsia="en-US"/>
        </w:rPr>
        <w:t>–</w:t>
      </w:r>
      <w:r w:rsidRPr="001416ED">
        <w:rPr>
          <w:lang w:val="uk-UA"/>
        </w:rPr>
        <w:t>121.</w:t>
      </w:r>
    </w:p>
    <w:p w:rsidR="005107A1" w:rsidRPr="001416ED" w:rsidRDefault="005107A1" w:rsidP="0012229A">
      <w:pPr>
        <w:numPr>
          <w:ilvl w:val="0"/>
          <w:numId w:val="10"/>
        </w:numPr>
        <w:tabs>
          <w:tab w:val="left" w:pos="709"/>
        </w:tabs>
        <w:autoSpaceDE w:val="0"/>
        <w:autoSpaceDN w:val="0"/>
        <w:adjustRightInd w:val="0"/>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 xml:space="preserve">Гладкова Т. Д. Элементы кожного рельефа пальцев и ладоней в группах родственников / Т. Д. Гладкова. –  М. : Наука, 1964. – 11 с. </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bCs/>
          <w:kern w:val="11"/>
          <w:lang w:val="uk-UA" w:eastAsia="en-US"/>
        </w:rPr>
        <w:t>Гладкова Т. Д. </w:t>
      </w:r>
      <w:r w:rsidRPr="001416ED">
        <w:rPr>
          <w:rFonts w:eastAsia="Calibri"/>
          <w:kern w:val="11"/>
          <w:lang w:val="uk-UA" w:eastAsia="en-US"/>
        </w:rPr>
        <w:t>Явление симметрии и асимметрии у человека в свете изучения дерматоглифики // Вопр. антропологии. – Вып. 10. – М. : Медицина, 2002. –</w:t>
      </w:r>
      <w:r w:rsidRPr="001416ED">
        <w:rPr>
          <w:rFonts w:eastAsia="Calibri"/>
          <w:kern w:val="11"/>
          <w:shd w:val="clear" w:color="auto" w:fill="FAFAFA"/>
          <w:lang w:val="uk-UA" w:eastAsia="en-US"/>
        </w:rPr>
        <w:t xml:space="preserve"> 64 с.</w:t>
      </w:r>
    </w:p>
    <w:p w:rsidR="005107A1" w:rsidRPr="001416ED" w:rsidRDefault="005107A1" w:rsidP="0012229A">
      <w:pPr>
        <w:numPr>
          <w:ilvl w:val="0"/>
          <w:numId w:val="10"/>
        </w:numPr>
        <w:tabs>
          <w:tab w:val="left" w:pos="709"/>
        </w:tabs>
        <w:spacing w:before="100" w:beforeAutospacing="1" w:after="100" w:afterAutospacing="1" w:line="360" w:lineRule="auto"/>
        <w:ind w:left="0" w:firstLine="0"/>
        <w:jc w:val="both"/>
        <w:rPr>
          <w:lang w:val="uk-UA" w:eastAsia="uk-UA"/>
        </w:rPr>
      </w:pPr>
      <w:r w:rsidRPr="001416ED">
        <w:rPr>
          <w:lang w:val="uk-UA" w:eastAsia="uk-UA"/>
        </w:rPr>
        <w:t>Гозмаков О. А. Система эндотелиновых пептидов: механизмы эндоваскулярных патологий / О. А. Гозмаков // Кардиология. – 2000. – № 1. – С. 32–39.</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 xml:space="preserve">Голяченко </w:t>
      </w:r>
      <w:r w:rsidRPr="001416ED">
        <w:rPr>
          <w:rFonts w:eastAsia="Bookman Old Style"/>
          <w:kern w:val="11"/>
          <w:lang w:val="uk-UA" w:bidi="ru-RU"/>
        </w:rPr>
        <w:t>О. М.</w:t>
      </w:r>
      <w:r w:rsidRPr="001416ED">
        <w:rPr>
          <w:rFonts w:eastAsia="Bookman Old Style"/>
          <w:kern w:val="11"/>
          <w:lang w:val="uk-UA" w:eastAsia="uk-UA" w:bidi="uk-UA"/>
        </w:rPr>
        <w:t xml:space="preserve"> Демографічні про</w:t>
      </w:r>
      <w:r w:rsidRPr="001416ED">
        <w:rPr>
          <w:rFonts w:eastAsia="Bookman Old Style"/>
          <w:kern w:val="11"/>
          <w:lang w:val="uk-UA" w:eastAsia="uk-UA" w:bidi="uk-UA"/>
        </w:rPr>
        <w:softHyphen/>
        <w:t xml:space="preserve">цеси в Україні в роки незалежності / </w:t>
      </w:r>
      <w:r w:rsidRPr="001416ED">
        <w:rPr>
          <w:rFonts w:eastAsia="Bookman Old Style"/>
          <w:kern w:val="11"/>
          <w:lang w:val="uk-UA" w:bidi="ru-RU"/>
        </w:rPr>
        <w:t xml:space="preserve">О. М. </w:t>
      </w:r>
      <w:r w:rsidRPr="001416ED">
        <w:rPr>
          <w:rFonts w:eastAsia="Bookman Old Style"/>
          <w:kern w:val="11"/>
          <w:lang w:val="uk-UA" w:eastAsia="uk-UA" w:bidi="uk-UA"/>
        </w:rPr>
        <w:t>Голяченко,  А. О. Голяченко // Вісник науко</w:t>
      </w:r>
      <w:r w:rsidRPr="001416ED">
        <w:rPr>
          <w:rFonts w:eastAsia="Bookman Old Style"/>
          <w:kern w:val="11"/>
          <w:lang w:val="uk-UA" w:eastAsia="uk-UA" w:bidi="uk-UA"/>
        </w:rPr>
        <w:softHyphen/>
        <w:t xml:space="preserve">вих досліджень (Тернопільська державна медична академія ім. І. Я. Горбачевського). </w:t>
      </w:r>
      <w:r w:rsidRPr="001416ED">
        <w:rPr>
          <w:rFonts w:eastAsia="Calibri"/>
          <w:kern w:val="11"/>
          <w:lang w:val="uk-UA" w:eastAsia="en-US"/>
        </w:rPr>
        <w:t xml:space="preserve">– </w:t>
      </w:r>
      <w:r w:rsidRPr="001416ED">
        <w:rPr>
          <w:rFonts w:eastAsia="Bookman Old Style"/>
          <w:kern w:val="11"/>
          <w:lang w:val="uk-UA" w:eastAsia="uk-UA" w:bidi="uk-UA"/>
        </w:rPr>
        <w:t xml:space="preserve">2011. </w:t>
      </w:r>
      <w:r w:rsidRPr="001416ED">
        <w:rPr>
          <w:rFonts w:eastAsia="Calibri"/>
          <w:kern w:val="11"/>
          <w:lang w:val="uk-UA" w:eastAsia="en-US"/>
        </w:rPr>
        <w:t xml:space="preserve">– </w:t>
      </w:r>
      <w:r w:rsidRPr="001416ED">
        <w:rPr>
          <w:rFonts w:eastAsia="Bookman Old Style"/>
          <w:kern w:val="11"/>
          <w:lang w:val="uk-UA" w:eastAsia="uk-UA" w:bidi="uk-UA"/>
        </w:rPr>
        <w:t xml:space="preserve"> № 4. </w:t>
      </w:r>
      <w:r w:rsidRPr="001416ED">
        <w:rPr>
          <w:rFonts w:eastAsia="Calibri"/>
          <w:kern w:val="11"/>
          <w:lang w:val="uk-UA" w:eastAsia="en-US"/>
        </w:rPr>
        <w:t xml:space="preserve">– </w:t>
      </w:r>
      <w:r w:rsidRPr="001416ED">
        <w:rPr>
          <w:rFonts w:eastAsia="Bookman Old Style"/>
          <w:kern w:val="11"/>
          <w:lang w:val="uk-UA" w:eastAsia="uk-UA" w:bidi="uk-UA"/>
        </w:rPr>
        <w:t>С. 38</w:t>
      </w:r>
      <w:r w:rsidRPr="001416ED">
        <w:rPr>
          <w:rFonts w:eastAsia="Calibri"/>
          <w:kern w:val="11"/>
          <w:lang w:val="uk-UA" w:eastAsia="en-US"/>
        </w:rPr>
        <w:t>–</w:t>
      </w:r>
      <w:r w:rsidRPr="001416ED">
        <w:rPr>
          <w:rFonts w:eastAsia="Bookman Old Style"/>
          <w:kern w:val="11"/>
          <w:lang w:val="uk-UA" w:eastAsia="uk-UA" w:bidi="uk-UA"/>
        </w:rPr>
        <w:t>41.</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 xml:space="preserve">Горбась І. </w:t>
      </w:r>
      <w:r w:rsidRPr="001416ED">
        <w:rPr>
          <w:rFonts w:eastAsia="Bookman Old Style"/>
          <w:kern w:val="11"/>
          <w:lang w:val="uk-UA" w:bidi="ru-RU"/>
        </w:rPr>
        <w:t xml:space="preserve">М. </w:t>
      </w:r>
      <w:r w:rsidRPr="001416ED">
        <w:rPr>
          <w:rFonts w:eastAsia="Bookman Old Style"/>
          <w:kern w:val="11"/>
          <w:lang w:val="uk-UA" w:eastAsia="uk-UA" w:bidi="uk-UA"/>
        </w:rPr>
        <w:t>Оцінка ефективності «Програми про</w:t>
      </w:r>
      <w:r w:rsidRPr="001416ED">
        <w:rPr>
          <w:rFonts w:eastAsia="Bookman Old Style"/>
          <w:kern w:val="11"/>
          <w:lang w:val="uk-UA" w:eastAsia="uk-UA" w:bidi="uk-UA"/>
        </w:rPr>
        <w:softHyphen/>
        <w:t xml:space="preserve">філактики і лікування артеріальної гіпертензії в Україні» за даними епідеміологічних досліджень / І. </w:t>
      </w:r>
      <w:r w:rsidRPr="001416ED">
        <w:rPr>
          <w:rFonts w:eastAsia="Bookman Old Style"/>
          <w:kern w:val="11"/>
          <w:lang w:val="uk-UA" w:bidi="ru-RU"/>
        </w:rPr>
        <w:t xml:space="preserve">М. </w:t>
      </w:r>
      <w:r w:rsidRPr="001416ED">
        <w:rPr>
          <w:rFonts w:eastAsia="Bookman Old Style"/>
          <w:kern w:val="11"/>
          <w:lang w:val="uk-UA" w:eastAsia="uk-UA" w:bidi="uk-UA"/>
        </w:rPr>
        <w:t xml:space="preserve">Горбась, І. </w:t>
      </w:r>
      <w:r w:rsidRPr="001416ED">
        <w:rPr>
          <w:rFonts w:eastAsia="Bookman Old Style"/>
          <w:kern w:val="11"/>
          <w:lang w:val="uk-UA" w:bidi="ru-RU"/>
        </w:rPr>
        <w:t xml:space="preserve">П. Смирнова, О. О. </w:t>
      </w:r>
      <w:r w:rsidRPr="001416ED">
        <w:rPr>
          <w:rFonts w:eastAsia="Bookman Old Style"/>
          <w:kern w:val="11"/>
          <w:lang w:val="uk-UA" w:eastAsia="uk-UA" w:bidi="uk-UA"/>
        </w:rPr>
        <w:t xml:space="preserve">Кваша [та ін.] // </w:t>
      </w:r>
      <w:r w:rsidRPr="001416ED">
        <w:rPr>
          <w:rFonts w:eastAsia="Bookman Old Style"/>
          <w:kern w:val="11"/>
          <w:lang w:val="uk-UA" w:bidi="ru-RU"/>
        </w:rPr>
        <w:t xml:space="preserve">Артериальная гипертензия. </w:t>
      </w:r>
      <w:r w:rsidRPr="001416ED">
        <w:rPr>
          <w:rFonts w:eastAsia="Bookman Old Style"/>
          <w:kern w:val="11"/>
          <w:lang w:val="uk-UA" w:eastAsia="uk-UA" w:bidi="uk-UA"/>
        </w:rPr>
        <w:t xml:space="preserve">– 2010. </w:t>
      </w:r>
      <w:r w:rsidRPr="001416ED">
        <w:rPr>
          <w:rFonts w:eastAsia="Calibri"/>
          <w:kern w:val="11"/>
          <w:lang w:val="uk-UA" w:eastAsia="en-US"/>
        </w:rPr>
        <w:t xml:space="preserve">– </w:t>
      </w:r>
      <w:r w:rsidRPr="001416ED">
        <w:rPr>
          <w:rFonts w:eastAsia="Bookman Old Style"/>
          <w:kern w:val="11"/>
          <w:lang w:val="uk-UA" w:eastAsia="uk-UA" w:bidi="uk-UA"/>
        </w:rPr>
        <w:t xml:space="preserve">№ 6 (14). </w:t>
      </w:r>
      <w:r w:rsidRPr="001416ED">
        <w:rPr>
          <w:rFonts w:eastAsia="Calibri"/>
          <w:kern w:val="11"/>
          <w:lang w:val="uk-UA" w:eastAsia="en-US"/>
        </w:rPr>
        <w:t xml:space="preserve">– </w:t>
      </w:r>
      <w:r w:rsidRPr="001416ED">
        <w:rPr>
          <w:rFonts w:eastAsia="Bookman Old Style"/>
          <w:kern w:val="11"/>
          <w:lang w:val="uk-UA" w:bidi="ru-RU"/>
        </w:rPr>
        <w:t xml:space="preserve">С. </w:t>
      </w:r>
      <w:r w:rsidRPr="001416ED">
        <w:rPr>
          <w:rFonts w:eastAsia="Bookman Old Style"/>
          <w:kern w:val="11"/>
          <w:lang w:val="uk-UA" w:eastAsia="uk-UA" w:bidi="uk-UA"/>
        </w:rPr>
        <w:t>51</w:t>
      </w:r>
      <w:r w:rsidRPr="001416ED">
        <w:rPr>
          <w:rFonts w:eastAsia="Calibri"/>
          <w:kern w:val="11"/>
          <w:lang w:val="uk-UA" w:eastAsia="en-US"/>
        </w:rPr>
        <w:t>–</w:t>
      </w:r>
      <w:r w:rsidRPr="001416ED">
        <w:rPr>
          <w:rFonts w:eastAsia="Bookman Old Style"/>
          <w:kern w:val="11"/>
          <w:lang w:val="uk-UA" w:eastAsia="uk-UA" w:bidi="uk-UA"/>
        </w:rPr>
        <w:t>82.</w:t>
      </w:r>
    </w:p>
    <w:p w:rsidR="005107A1" w:rsidRPr="001416ED" w:rsidRDefault="005107A1" w:rsidP="0012229A">
      <w:pPr>
        <w:numPr>
          <w:ilvl w:val="0"/>
          <w:numId w:val="10"/>
        </w:numPr>
        <w:tabs>
          <w:tab w:val="left" w:pos="709"/>
        </w:tabs>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Гусева И. С. Вопросы о наследовании гребневого счета / И. С. Гусева // Вопросы антропологии. – 1973. – № 45. – С. 67–76.</w:t>
      </w:r>
    </w:p>
    <w:p w:rsidR="005107A1" w:rsidRPr="001416ED" w:rsidRDefault="005107A1" w:rsidP="0012229A">
      <w:pPr>
        <w:numPr>
          <w:ilvl w:val="0"/>
          <w:numId w:val="10"/>
        </w:numPr>
        <w:tabs>
          <w:tab w:val="left" w:pos="709"/>
        </w:tabs>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Гусева И. С. Дерматоглифика как конституциональный маркер при мультифакторной патологии / И.</w:t>
      </w:r>
      <w:r w:rsidRPr="001416ED">
        <w:rPr>
          <w:rFonts w:eastAsia="Calibri"/>
          <w:kern w:val="11"/>
          <w:lang w:eastAsia="en-US"/>
        </w:rPr>
        <w:t xml:space="preserve"> </w:t>
      </w:r>
      <w:r w:rsidRPr="001416ED">
        <w:rPr>
          <w:rFonts w:eastAsia="Calibri"/>
          <w:kern w:val="11"/>
          <w:lang w:val="uk-UA" w:eastAsia="en-US"/>
        </w:rPr>
        <w:t xml:space="preserve">С. Гусева, Т. Т. Сорокина // Вопросы антропологии. – 1998. – Вып. 89. – С. 99–111. </w:t>
      </w:r>
    </w:p>
    <w:p w:rsidR="005107A1" w:rsidRPr="001416ED" w:rsidRDefault="005107A1" w:rsidP="0012229A">
      <w:pPr>
        <w:numPr>
          <w:ilvl w:val="0"/>
          <w:numId w:val="10"/>
        </w:numPr>
        <w:tabs>
          <w:tab w:val="left" w:pos="709"/>
        </w:tabs>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 xml:space="preserve">Гусева И. С. Фрагменты по изучению генетики папиллярного узора пальцев / И. С. Гусева // Вопросы антропологии. – 1966. – Вып. 24. – С. 21–37. </w:t>
      </w:r>
    </w:p>
    <w:p w:rsidR="005107A1" w:rsidRPr="001416ED" w:rsidRDefault="005107A1" w:rsidP="0012229A">
      <w:pPr>
        <w:numPr>
          <w:ilvl w:val="0"/>
          <w:numId w:val="10"/>
        </w:numPr>
        <w:spacing w:before="240" w:after="200" w:line="360" w:lineRule="auto"/>
        <w:ind w:left="0" w:right="-1" w:firstLine="0"/>
        <w:contextualSpacing/>
        <w:jc w:val="both"/>
        <w:rPr>
          <w:rFonts w:eastAsia="Calibri"/>
          <w:bCs/>
          <w:caps/>
          <w:kern w:val="11"/>
          <w:lang w:val="uk-UA" w:eastAsia="en-US"/>
        </w:rPr>
      </w:pPr>
      <w:r w:rsidRPr="001416ED">
        <w:rPr>
          <w:rFonts w:eastAsia="Calibri"/>
          <w:kern w:val="11"/>
          <w:lang w:val="uk-UA" w:eastAsia="en-US"/>
        </w:rPr>
        <w:t>Дзвіняцька О. Ф.</w:t>
      </w:r>
      <w:r w:rsidRPr="001416ED">
        <w:rPr>
          <w:rFonts w:eastAsia="Calibri"/>
          <w:bCs/>
          <w:caps/>
          <w:kern w:val="11"/>
          <w:lang w:val="uk-UA" w:eastAsia="en-US"/>
        </w:rPr>
        <w:t xml:space="preserve"> </w:t>
      </w:r>
      <w:r w:rsidRPr="001416ED">
        <w:rPr>
          <w:rFonts w:eastAsia="Calibri"/>
          <w:bCs/>
          <w:kern w:val="11"/>
          <w:lang w:val="uk-UA" w:eastAsia="en-US"/>
        </w:rPr>
        <w:t>Клініко–діагностичні маркери формування та перебігу артеріальної гіпертензії:</w:t>
      </w:r>
      <w:r w:rsidRPr="001416ED">
        <w:rPr>
          <w:kern w:val="11"/>
          <w:lang w:val="uk-UA" w:eastAsia="uk-UA"/>
        </w:rPr>
        <w:t xml:space="preserve"> Автореф. дис. .</w:t>
      </w:r>
      <w:r w:rsidRPr="001416ED">
        <w:rPr>
          <w:lang w:val="uk-UA" w:eastAsia="uk-UA"/>
        </w:rPr>
        <w:t xml:space="preserve">... </w:t>
      </w:r>
      <w:r w:rsidRPr="001416ED">
        <w:rPr>
          <w:kern w:val="11"/>
          <w:lang w:val="uk-UA" w:eastAsia="uk-UA"/>
        </w:rPr>
        <w:t xml:space="preserve">канд. мед. Наук : 14.01.02 / </w:t>
      </w:r>
      <w:r w:rsidRPr="001416ED">
        <w:rPr>
          <w:rFonts w:eastAsia="Calibri"/>
          <w:kern w:val="11"/>
          <w:lang w:val="uk-UA" w:eastAsia="en-US"/>
        </w:rPr>
        <w:t>О. Ф. Дзвіняцька. – Івано–Франківськ, 2000. – 16 с.</w:t>
      </w:r>
    </w:p>
    <w:p w:rsidR="005107A1" w:rsidRPr="001416ED" w:rsidRDefault="005107A1" w:rsidP="00716B20">
      <w:pPr>
        <w:numPr>
          <w:ilvl w:val="0"/>
          <w:numId w:val="10"/>
        </w:numPr>
        <w:tabs>
          <w:tab w:val="left" w:pos="709"/>
        </w:tabs>
        <w:spacing w:line="360" w:lineRule="auto"/>
        <w:ind w:left="0" w:right="-1" w:firstLine="0"/>
        <w:jc w:val="both"/>
        <w:rPr>
          <w:rFonts w:eastAsia="Calibri"/>
          <w:kern w:val="11"/>
          <w:lang w:val="uk-UA" w:eastAsia="en-US"/>
        </w:rPr>
      </w:pPr>
      <w:r w:rsidRPr="001416ED">
        <w:rPr>
          <w:rFonts w:eastAsia="Calibri"/>
          <w:kern w:val="11"/>
          <w:lang w:val="uk-UA" w:eastAsia="en-US"/>
        </w:rPr>
        <w:t>Дзяк Г. В. Генотипические «ансамбли» полиморфных маркеров генов ренин–ангиотензиновой системы у больных c гипертонической болезнью / Г. В. Дзяк, Т. В.  Колесник</w:t>
      </w:r>
      <w:r w:rsidRPr="001416ED">
        <w:rPr>
          <w:rFonts w:eastAsia="MS Mincho"/>
          <w:kern w:val="11"/>
          <w:lang w:val="uk-UA" w:eastAsia="ja-JP"/>
        </w:rPr>
        <w:t xml:space="preserve"> </w:t>
      </w:r>
      <w:r w:rsidRPr="001416ED">
        <w:rPr>
          <w:rFonts w:eastAsia="Calibri"/>
          <w:kern w:val="11"/>
          <w:lang w:val="uk-UA" w:eastAsia="en-US"/>
        </w:rPr>
        <w:t>// УКЖ. – 2008. – № 4. – С.</w:t>
      </w:r>
      <w:r w:rsidR="00421D10" w:rsidRPr="001416ED">
        <w:rPr>
          <w:rFonts w:eastAsia="Calibri"/>
          <w:kern w:val="11"/>
          <w:lang w:val="uk-UA" w:eastAsia="en-US"/>
        </w:rPr>
        <w:t xml:space="preserve"> </w:t>
      </w:r>
      <w:r w:rsidRPr="001416ED">
        <w:rPr>
          <w:rFonts w:eastAsia="Calibri"/>
          <w:kern w:val="11"/>
          <w:lang w:val="uk-UA" w:eastAsia="en-US"/>
        </w:rPr>
        <w:t>34–39.</w:t>
      </w:r>
    </w:p>
    <w:p w:rsidR="005107A1" w:rsidRPr="001416ED" w:rsidRDefault="005107A1" w:rsidP="0012229A">
      <w:pPr>
        <w:numPr>
          <w:ilvl w:val="0"/>
          <w:numId w:val="10"/>
        </w:numPr>
        <w:shd w:val="clear" w:color="auto" w:fill="FFFFFF"/>
        <w:tabs>
          <w:tab w:val="left" w:pos="709"/>
        </w:tabs>
        <w:autoSpaceDE w:val="0"/>
        <w:autoSpaceDN w:val="0"/>
        <w:adjustRightInd w:val="0"/>
        <w:spacing w:before="90" w:after="90" w:line="360" w:lineRule="auto"/>
        <w:ind w:left="0" w:firstLine="0"/>
        <w:contextualSpacing/>
        <w:jc w:val="both"/>
        <w:rPr>
          <w:rFonts w:eastAsia="Calibri"/>
          <w:kern w:val="11"/>
          <w:lang w:val="uk-UA" w:eastAsia="en-US"/>
        </w:rPr>
      </w:pPr>
      <w:r w:rsidRPr="001416ED">
        <w:rPr>
          <w:rFonts w:eastAsia="Calibri"/>
          <w:kern w:val="11"/>
          <w:lang w:val="uk-UA" w:eastAsia="en-US"/>
        </w:rPr>
        <w:lastRenderedPageBreak/>
        <w:t>Дзяк Г. В. Лечение больных с артериальной гипертензией в сочетании с сахарным диабетом 2 типа: опыт использования хомвиотензина  / Г.</w:t>
      </w:r>
      <w:r w:rsidRPr="001416ED">
        <w:rPr>
          <w:rFonts w:eastAsia="Calibri"/>
          <w:kern w:val="11"/>
          <w:lang w:eastAsia="en-US"/>
        </w:rPr>
        <w:t xml:space="preserve"> </w:t>
      </w:r>
      <w:r w:rsidRPr="001416ED">
        <w:rPr>
          <w:rFonts w:eastAsia="Calibri"/>
          <w:kern w:val="11"/>
          <w:lang w:val="uk-UA" w:eastAsia="en-US"/>
        </w:rPr>
        <w:t>В. Дзяк, Т.</w:t>
      </w:r>
      <w:r w:rsidRPr="001416ED">
        <w:rPr>
          <w:rFonts w:eastAsia="Calibri"/>
          <w:kern w:val="11"/>
          <w:lang w:eastAsia="en-US"/>
        </w:rPr>
        <w:t xml:space="preserve"> </w:t>
      </w:r>
      <w:r w:rsidRPr="001416ED">
        <w:rPr>
          <w:rFonts w:eastAsia="Calibri"/>
          <w:kern w:val="11"/>
          <w:lang w:val="uk-UA" w:eastAsia="en-US"/>
        </w:rPr>
        <w:t xml:space="preserve">В. Колесник, М. А. Альхамс // Ліки України. </w:t>
      </w:r>
      <w:r w:rsidRPr="001416ED">
        <w:rPr>
          <w:rFonts w:eastAsia="Calibri"/>
          <w:kern w:val="11"/>
          <w:lang w:eastAsia="en-US"/>
        </w:rPr>
        <w:t>–</w:t>
      </w:r>
      <w:r w:rsidRPr="001416ED">
        <w:rPr>
          <w:rFonts w:eastAsia="Calibri"/>
          <w:kern w:val="11"/>
          <w:lang w:val="uk-UA" w:eastAsia="en-US"/>
        </w:rPr>
        <w:softHyphen/>
        <w:t xml:space="preserve"> 2008. </w:t>
      </w:r>
      <w:r w:rsidRPr="001416ED">
        <w:rPr>
          <w:rFonts w:eastAsia="Calibri"/>
          <w:kern w:val="11"/>
          <w:lang w:eastAsia="en-US"/>
        </w:rPr>
        <w:t>– №</w:t>
      </w:r>
      <w:r w:rsidRPr="001416ED">
        <w:rPr>
          <w:rFonts w:eastAsia="Calibri"/>
          <w:kern w:val="11"/>
          <w:lang w:val="uk-UA" w:eastAsia="en-US"/>
        </w:rPr>
        <w:t xml:space="preserve"> 1. </w:t>
      </w:r>
      <w:r w:rsidRPr="001416ED">
        <w:rPr>
          <w:rFonts w:eastAsia="Calibri"/>
          <w:kern w:val="11"/>
          <w:lang w:val="uk-UA" w:eastAsia="en-US"/>
        </w:rPr>
        <w:softHyphen/>
      </w:r>
      <w:r w:rsidRPr="001416ED">
        <w:rPr>
          <w:rFonts w:eastAsia="Calibri"/>
          <w:kern w:val="11"/>
          <w:lang w:eastAsia="en-US"/>
        </w:rPr>
        <w:t>–</w:t>
      </w:r>
      <w:r w:rsidRPr="001416ED">
        <w:rPr>
          <w:rFonts w:eastAsia="Calibri"/>
          <w:kern w:val="11"/>
          <w:lang w:val="uk-UA" w:eastAsia="en-US"/>
        </w:rPr>
        <w:t xml:space="preserve"> С. 47</w:t>
      </w:r>
      <w:r w:rsidRPr="001416ED">
        <w:rPr>
          <w:rFonts w:eastAsia="Calibri"/>
          <w:kern w:val="11"/>
          <w:lang w:eastAsia="en-US"/>
        </w:rPr>
        <w:t>–</w:t>
      </w:r>
      <w:r w:rsidRPr="001416ED">
        <w:rPr>
          <w:rFonts w:eastAsia="Calibri"/>
          <w:kern w:val="11"/>
          <w:lang w:val="uk-UA" w:eastAsia="en-US"/>
        </w:rPr>
        <w:softHyphen/>
        <w:t>50</w:t>
      </w:r>
      <w:r w:rsidRPr="001416ED">
        <w:rPr>
          <w:rFonts w:eastAsia="Calibri"/>
          <w:kern w:val="11"/>
          <w:lang w:eastAsia="en-US"/>
        </w:rPr>
        <w:t>.</w:t>
      </w:r>
    </w:p>
    <w:p w:rsidR="005107A1" w:rsidRPr="001416ED" w:rsidRDefault="005107A1" w:rsidP="0012229A">
      <w:pPr>
        <w:numPr>
          <w:ilvl w:val="0"/>
          <w:numId w:val="10"/>
        </w:numPr>
        <w:spacing w:before="100" w:beforeAutospacing="1" w:after="100" w:afterAutospacing="1" w:line="360" w:lineRule="auto"/>
        <w:ind w:left="0" w:firstLine="0"/>
        <w:jc w:val="both"/>
        <w:rPr>
          <w:sz w:val="27"/>
          <w:szCs w:val="27"/>
          <w:lang w:val="uk-UA" w:eastAsia="uk-UA"/>
        </w:rPr>
      </w:pPr>
      <w:r w:rsidRPr="001416ED">
        <w:rPr>
          <w:lang w:val="uk-UA" w:eastAsia="uk-UA"/>
        </w:rPr>
        <w:t xml:space="preserve"> Долженко М. Н. Эндотелиальная дисфункция: что нового? / Долженко М. Н. // Здоров’я України. – 2005. – № 18. – С. 12–13</w:t>
      </w:r>
      <w:r w:rsidRPr="001416ED">
        <w:rPr>
          <w:sz w:val="20"/>
          <w:szCs w:val="20"/>
          <w:lang w:val="uk-UA" w:eastAsia="uk-UA"/>
        </w:rPr>
        <w:t>.</w:t>
      </w:r>
    </w:p>
    <w:p w:rsidR="005107A1" w:rsidRPr="001416ED" w:rsidRDefault="005107A1" w:rsidP="0012229A">
      <w:pPr>
        <w:numPr>
          <w:ilvl w:val="0"/>
          <w:numId w:val="10"/>
        </w:numPr>
        <w:spacing w:before="100" w:beforeAutospacing="1" w:after="100" w:afterAutospacing="1" w:line="360" w:lineRule="auto"/>
        <w:ind w:left="0" w:right="-1" w:firstLine="0"/>
        <w:contextualSpacing/>
        <w:jc w:val="both"/>
        <w:outlineLvl w:val="0"/>
        <w:rPr>
          <w:rFonts w:eastAsia="Candara"/>
          <w:iCs/>
          <w:kern w:val="11"/>
          <w:lang w:val="uk-UA" w:eastAsia="en-US"/>
        </w:rPr>
      </w:pPr>
      <w:r w:rsidRPr="001416ED">
        <w:rPr>
          <w:rFonts w:eastAsia="Candara"/>
          <w:iCs/>
          <w:kern w:val="11"/>
          <w:lang w:val="uk-UA" w:eastAsia="en-US"/>
        </w:rPr>
        <w:t>Дорогой А. П. Термін виконання «Програми профілактики і лікування артеріальної гіпертензії в Україні» закінчився, проблеми залишилися. Що далі? / А. П. Дорогой // Артериальная гипертензия. – 2011. – № 3 (17). – С. 29–56.</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outlineLvl w:val="0"/>
        <w:rPr>
          <w:rFonts w:eastAsia="MyriadPro-Regular"/>
          <w:sz w:val="14"/>
          <w:szCs w:val="14"/>
          <w:lang w:val="uk-UA" w:eastAsia="en-US"/>
        </w:rPr>
      </w:pPr>
      <w:r w:rsidRPr="001416ED">
        <w:rPr>
          <w:rFonts w:eastAsia="Calibri"/>
          <w:kern w:val="11"/>
          <w:lang w:val="uk-UA" w:eastAsia="en-US"/>
        </w:rPr>
        <w:t>Дядык А. И.  Натрийуретические пептиды (гормоны) в современной кардиологии: от теории к практике / А. И.  Дядык, А. Э. Багрий, А. С. Воробьева // Ліки України. – 2008. – № 5 (121). – С. 40–42.</w:t>
      </w:r>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lang w:val="uk-UA" w:eastAsia="uk-UA"/>
        </w:rPr>
        <w:t>Жарінов О. Й. Тридцять років використання </w:t>
      </w:r>
      <w:r w:rsidR="00421D10" w:rsidRPr="001416ED">
        <w:rPr>
          <w:lang w:val="uk-UA" w:eastAsia="uk-UA"/>
        </w:rPr>
        <w:t>β</w:t>
      </w:r>
      <w:r w:rsidRPr="001416ED">
        <w:rPr>
          <w:lang w:val="uk-UA" w:eastAsia="uk-UA"/>
        </w:rPr>
        <w:t>–адреноблокаторів для лікування хронічної серцевої недостатності: чи поставлені крапки над “і”? / О. Й. Жарінов // Укр. кардіол. журн. – 2005. – № 4. – С. 15–24.</w:t>
      </w:r>
    </w:p>
    <w:p w:rsidR="005107A1" w:rsidRPr="001416ED" w:rsidRDefault="005107A1" w:rsidP="0012229A">
      <w:pPr>
        <w:numPr>
          <w:ilvl w:val="0"/>
          <w:numId w:val="10"/>
        </w:numPr>
        <w:shd w:val="clear" w:color="auto" w:fill="FFFFFF"/>
        <w:tabs>
          <w:tab w:val="left" w:pos="709"/>
        </w:tabs>
        <w:spacing w:line="360" w:lineRule="auto"/>
        <w:ind w:left="0" w:firstLine="0"/>
        <w:jc w:val="both"/>
        <w:rPr>
          <w:b/>
          <w:bCs/>
          <w:lang w:val="uk-UA" w:eastAsia="uk-UA"/>
        </w:rPr>
      </w:pPr>
      <w:r w:rsidRPr="001416ED">
        <w:rPr>
          <w:shd w:val="clear" w:color="auto" w:fill="FFFFFF"/>
          <w:lang w:val="uk-UA" w:eastAsia="uk-UA"/>
        </w:rPr>
        <w:t>Жебель В. М. Генотип рецептора до ангіотензину II 1–го типу як фактор впливу на структуру та функцію міокарда у хворих на гіпертонічну хворобу різної стадії / В. М. Жебель, О. Л. Старжинська, Ю. О. Гефтер [та ін.] // Артериальная гипертензия. – 2009. – №1. – С. 24–29.</w:t>
      </w:r>
    </w:p>
    <w:p w:rsidR="005107A1" w:rsidRPr="001416ED" w:rsidRDefault="005107A1" w:rsidP="0012229A">
      <w:pPr>
        <w:numPr>
          <w:ilvl w:val="0"/>
          <w:numId w:val="10"/>
        </w:numPr>
        <w:spacing w:after="200" w:line="360" w:lineRule="auto"/>
        <w:ind w:left="0" w:right="-1" w:firstLine="0"/>
        <w:contextualSpacing/>
        <w:jc w:val="both"/>
        <w:rPr>
          <w:rFonts w:eastAsia="Calibri"/>
          <w:kern w:val="11"/>
          <w:lang w:val="uk-UA" w:eastAsia="en-US"/>
        </w:rPr>
      </w:pPr>
      <w:r w:rsidRPr="001416ED">
        <w:rPr>
          <w:rFonts w:eastAsia="Calibri"/>
          <w:bCs/>
          <w:kern w:val="11"/>
          <w:lang w:val="uk-UA" w:eastAsia="en-US"/>
        </w:rPr>
        <w:t>Жебель В. М. Ефективність прогнозування ішемічної хвороби серця за допомогою розробленої таблиці комбінацій дерматогліфічних малюнків пальців рук</w:t>
      </w:r>
      <w:r w:rsidRPr="001416ED">
        <w:rPr>
          <w:rFonts w:eastAsia="Calibri"/>
          <w:kern w:val="11"/>
          <w:lang w:val="uk-UA" w:eastAsia="en-US"/>
        </w:rPr>
        <w:t xml:space="preserve"> / В. М. Жебель, О. А. Ковальська // </w:t>
      </w:r>
      <w:r w:rsidRPr="001416ED">
        <w:rPr>
          <w:bCs/>
          <w:kern w:val="11"/>
          <w:lang w:val="uk-UA"/>
        </w:rPr>
        <w:t>Журнал</w:t>
      </w:r>
      <w:r w:rsidRPr="001416ED">
        <w:rPr>
          <w:kern w:val="11"/>
          <w:lang w:val="uk-UA"/>
        </w:rPr>
        <w:t xml:space="preserve"> </w:t>
      </w:r>
      <w:r w:rsidRPr="001416ED">
        <w:rPr>
          <w:bCs/>
          <w:kern w:val="11"/>
          <w:lang w:val="uk-UA"/>
        </w:rPr>
        <w:t>Вісник Вінницького держ. мед. ун–ту. –</w:t>
      </w:r>
      <w:r w:rsidRPr="001416ED">
        <w:rPr>
          <w:rFonts w:eastAsia="Calibri"/>
          <w:kern w:val="11"/>
          <w:lang w:val="uk-UA" w:eastAsia="en-US"/>
        </w:rPr>
        <w:t xml:space="preserve"> </w:t>
      </w:r>
      <w:r w:rsidRPr="001416ED">
        <w:rPr>
          <w:rFonts w:eastAsia="Calibri"/>
          <w:bCs/>
          <w:kern w:val="11"/>
          <w:lang w:val="uk-UA" w:eastAsia="en-US"/>
        </w:rPr>
        <w:t xml:space="preserve">2003. – </w:t>
      </w:r>
      <w:r w:rsidRPr="001416ED">
        <w:rPr>
          <w:rFonts w:eastAsia="Calibri"/>
          <w:kern w:val="11"/>
          <w:lang w:val="uk-UA" w:eastAsia="en-US"/>
        </w:rPr>
        <w:t xml:space="preserve"> </w:t>
      </w:r>
      <w:r w:rsidRPr="001416ED">
        <w:rPr>
          <w:rFonts w:eastAsia="Calibri"/>
          <w:bCs/>
          <w:kern w:val="11"/>
          <w:lang w:val="uk-UA" w:eastAsia="en-US"/>
        </w:rPr>
        <w:t xml:space="preserve">Т. 7. – №1/1. – </w:t>
      </w:r>
      <w:r w:rsidRPr="001416ED">
        <w:rPr>
          <w:rFonts w:eastAsia="Calibri"/>
          <w:kern w:val="11"/>
          <w:lang w:val="uk-UA" w:eastAsia="en-US"/>
        </w:rPr>
        <w:t>С. 137–138</w:t>
      </w:r>
      <w:r w:rsidRPr="001416ED">
        <w:rPr>
          <w:rFonts w:eastAsia="Calibri"/>
          <w:bCs/>
          <w:kern w:val="11"/>
          <w:lang w:val="uk-UA" w:eastAsia="en-US"/>
        </w:rPr>
        <w:t xml:space="preserve">. </w:t>
      </w:r>
    </w:p>
    <w:p w:rsidR="005107A1" w:rsidRPr="001416ED" w:rsidRDefault="005107A1" w:rsidP="0012229A">
      <w:pPr>
        <w:numPr>
          <w:ilvl w:val="0"/>
          <w:numId w:val="10"/>
        </w:numPr>
        <w:shd w:val="clear" w:color="auto" w:fill="FFFFFF"/>
        <w:autoSpaceDE w:val="0"/>
        <w:autoSpaceDN w:val="0"/>
        <w:adjustRightInd w:val="0"/>
        <w:spacing w:before="90" w:after="90" w:line="360" w:lineRule="auto"/>
        <w:ind w:left="0" w:right="33" w:firstLine="0"/>
        <w:contextualSpacing/>
        <w:jc w:val="both"/>
        <w:textAlignment w:val="baseline"/>
        <w:outlineLvl w:val="0"/>
        <w:rPr>
          <w:rFonts w:eastAsia="Calibri"/>
          <w:lang w:val="uk-UA" w:eastAsia="en-US"/>
        </w:rPr>
      </w:pPr>
      <w:r w:rsidRPr="001416ED">
        <w:rPr>
          <w:rFonts w:eastAsia="Calibri"/>
          <w:kern w:val="11"/>
          <w:lang w:val="uk-UA" w:eastAsia="en-US"/>
        </w:rPr>
        <w:t>Зарубина Е. Г. Роль генетической предрасположенности в развитии сердечно–сосудистой патологии у лиц молодого возраста с нарушением режима труда и отдыха / Е. Г. Зарубина, Е. В. Асеева // Фундаментальные исследования. – 2013. – №11. – С. 51–55.</w:t>
      </w:r>
    </w:p>
    <w:p w:rsidR="005107A1" w:rsidRPr="001416ED" w:rsidRDefault="005107A1" w:rsidP="0012229A">
      <w:pPr>
        <w:numPr>
          <w:ilvl w:val="0"/>
          <w:numId w:val="10"/>
        </w:numPr>
        <w:shd w:val="clear" w:color="auto" w:fill="FFFFFF"/>
        <w:tabs>
          <w:tab w:val="left" w:pos="709"/>
        </w:tabs>
        <w:spacing w:after="140" w:line="360" w:lineRule="auto"/>
        <w:ind w:left="0" w:right="-1" w:firstLine="0"/>
        <w:contextualSpacing/>
        <w:jc w:val="both"/>
        <w:outlineLvl w:val="0"/>
        <w:rPr>
          <w:rFonts w:eastAsia="Calibri"/>
          <w:kern w:val="11"/>
          <w:lang w:val="uk-UA" w:eastAsia="en-US"/>
        </w:rPr>
      </w:pPr>
      <w:r w:rsidRPr="001416ED">
        <w:rPr>
          <w:rFonts w:eastAsia="Calibri"/>
          <w:kern w:val="11"/>
          <w:lang w:val="uk-UA" w:eastAsia="en-US"/>
        </w:rPr>
        <w:t xml:space="preserve">Кайдашев И. П. Молекулярно – биологические аспекты гипертонической болезни: роль полиморфизма белков ренин–ангиотензиновой системы и рецепторов, активирующих пролиферацию пероксидом / И. П. Кайдашев, В. М. Ждан, М. С. Расин </w:t>
      </w:r>
      <w:r w:rsidRPr="001416ED">
        <w:rPr>
          <w:rFonts w:eastAsia="Calibri"/>
          <w:kern w:val="11"/>
          <w:lang w:eastAsia="en-US"/>
        </w:rPr>
        <w:t>[</w:t>
      </w:r>
      <w:r w:rsidRPr="001416ED">
        <w:rPr>
          <w:rFonts w:eastAsia="Calibri"/>
          <w:kern w:val="11"/>
          <w:lang w:val="uk-UA" w:eastAsia="en-US"/>
        </w:rPr>
        <w:t>и др.</w:t>
      </w:r>
      <w:r w:rsidRPr="001416ED">
        <w:rPr>
          <w:rFonts w:eastAsia="Calibri"/>
          <w:kern w:val="11"/>
          <w:lang w:eastAsia="en-US"/>
        </w:rPr>
        <w:t>]</w:t>
      </w:r>
      <w:r w:rsidRPr="001416ED">
        <w:rPr>
          <w:rFonts w:eastAsia="Calibri"/>
          <w:kern w:val="11"/>
          <w:lang w:val="uk-UA" w:eastAsia="en-US"/>
        </w:rPr>
        <w:t xml:space="preserve"> // Укр. кардіол. журн. – 2010. – Додаток 1.</w:t>
      </w:r>
    </w:p>
    <w:p w:rsidR="005107A1" w:rsidRPr="001416ED" w:rsidRDefault="00A9327B" w:rsidP="0012229A">
      <w:pPr>
        <w:numPr>
          <w:ilvl w:val="0"/>
          <w:numId w:val="10"/>
        </w:numPr>
        <w:shd w:val="clear" w:color="auto" w:fill="FFFFFF"/>
        <w:tabs>
          <w:tab w:val="left" w:pos="709"/>
        </w:tabs>
        <w:autoSpaceDE w:val="0"/>
        <w:autoSpaceDN w:val="0"/>
        <w:adjustRightInd w:val="0"/>
        <w:spacing w:before="90" w:after="200" w:line="360" w:lineRule="auto"/>
        <w:ind w:left="0" w:firstLine="0"/>
        <w:contextualSpacing/>
        <w:jc w:val="both"/>
        <w:rPr>
          <w:rFonts w:eastAsia="Calibri"/>
          <w:bCs/>
          <w:lang w:val="uk-UA" w:eastAsia="en-US"/>
        </w:rPr>
      </w:pPr>
      <w:hyperlink r:id="rId42" w:tooltip="Пошук за автором" w:history="1">
        <w:r w:rsidR="005107A1" w:rsidRPr="001416ED">
          <w:rPr>
            <w:lang w:val="uk-UA" w:eastAsia="uk-UA"/>
          </w:rPr>
          <w:t>Кайдашев И. П.</w:t>
        </w:r>
      </w:hyperlink>
      <w:r w:rsidR="005107A1" w:rsidRPr="001416ED">
        <w:rPr>
          <w:lang w:val="uk-UA" w:eastAsia="uk-UA"/>
        </w:rPr>
        <w:t> </w:t>
      </w:r>
      <w:r w:rsidR="005107A1" w:rsidRPr="001416ED">
        <w:rPr>
          <w:bCs/>
          <w:lang w:val="uk-UA" w:eastAsia="uk-UA"/>
        </w:rPr>
        <w:t>Полиморфизм рецептора ангиотензина II 1–го типа у больных эссенциальной гипертензией в украинской популяции</w:t>
      </w:r>
      <w:r w:rsidR="005107A1" w:rsidRPr="001416ED">
        <w:rPr>
          <w:lang w:val="uk-UA" w:eastAsia="uk-UA"/>
        </w:rPr>
        <w:t> / И. П. Кайдашев, М. С. </w:t>
      </w:r>
      <w:r w:rsidR="005107A1" w:rsidRPr="001416ED">
        <w:rPr>
          <w:bCs/>
          <w:lang w:val="uk-UA" w:eastAsia="uk-UA"/>
        </w:rPr>
        <w:t>Расин</w:t>
      </w:r>
      <w:r w:rsidR="005107A1" w:rsidRPr="001416ED">
        <w:rPr>
          <w:lang w:val="uk-UA" w:eastAsia="uk-UA"/>
        </w:rPr>
        <w:t>, Л. Г. Савченко [и др.</w:t>
      </w:r>
      <w:r w:rsidR="005107A1" w:rsidRPr="001416ED">
        <w:rPr>
          <w:rFonts w:eastAsia="Calibri"/>
          <w:kern w:val="11"/>
          <w:lang w:eastAsia="en-US"/>
        </w:rPr>
        <w:t>]</w:t>
      </w:r>
      <w:r w:rsidR="005107A1" w:rsidRPr="001416ED">
        <w:rPr>
          <w:lang w:val="uk-UA" w:eastAsia="uk-UA"/>
        </w:rPr>
        <w:t xml:space="preserve"> // </w:t>
      </w:r>
      <w:hyperlink r:id="rId43" w:tooltip="Пошук за серією" w:history="1">
        <w:r w:rsidR="005107A1" w:rsidRPr="001416ED">
          <w:rPr>
            <w:lang w:val="uk-UA" w:eastAsia="uk-UA"/>
          </w:rPr>
          <w:t>Цитология и генетика</w:t>
        </w:r>
      </w:hyperlink>
      <w:r w:rsidR="005107A1" w:rsidRPr="001416ED">
        <w:rPr>
          <w:lang w:val="uk-UA" w:eastAsia="uk-UA"/>
        </w:rPr>
        <w:t>. – 2005.</w:t>
      </w:r>
      <w:r w:rsidR="005107A1" w:rsidRPr="001416ED">
        <w:rPr>
          <w:bCs/>
          <w:lang w:val="uk-UA" w:eastAsia="uk-UA"/>
        </w:rPr>
        <w:t xml:space="preserve"> – </w:t>
      </w:r>
      <w:r w:rsidR="005107A1" w:rsidRPr="001416ED">
        <w:rPr>
          <w:lang w:val="uk-UA" w:eastAsia="uk-UA"/>
        </w:rPr>
        <w:t>№ 5. – С. 51–55.</w:t>
      </w:r>
    </w:p>
    <w:p w:rsidR="005107A1" w:rsidRPr="001416ED" w:rsidRDefault="005107A1" w:rsidP="0012229A">
      <w:pPr>
        <w:numPr>
          <w:ilvl w:val="0"/>
          <w:numId w:val="10"/>
        </w:numPr>
        <w:spacing w:line="360" w:lineRule="auto"/>
        <w:ind w:left="0" w:firstLine="0"/>
        <w:jc w:val="both"/>
        <w:rPr>
          <w:rFonts w:eastAsia="Calibri"/>
          <w:iCs/>
          <w:kern w:val="11"/>
          <w:lang w:val="uk-UA" w:eastAsia="en-US"/>
        </w:rPr>
      </w:pPr>
      <w:r w:rsidRPr="001416ED">
        <w:rPr>
          <w:rFonts w:eastAsia="Calibri"/>
          <w:kern w:val="11"/>
          <w:lang w:val="uk-UA" w:eastAsia="en-US"/>
        </w:rPr>
        <w:t>Камышников В. С. Клинико–биохимическая лабораторная діагностика / Камышников В. С.</w:t>
      </w:r>
      <w:r w:rsidRPr="001416ED">
        <w:rPr>
          <w:rFonts w:eastAsia="Calibri"/>
          <w:spacing w:val="-1"/>
          <w:kern w:val="11"/>
          <w:lang w:val="uk-UA" w:eastAsia="en-US"/>
        </w:rPr>
        <w:t xml:space="preserve">  – М. : Интерпрессервис,</w:t>
      </w:r>
      <w:r w:rsidRPr="001416ED">
        <w:rPr>
          <w:rFonts w:eastAsia="Calibri"/>
          <w:kern w:val="11"/>
          <w:lang w:val="uk-UA" w:eastAsia="en-US"/>
        </w:rPr>
        <w:t xml:space="preserve"> 2003. – 463 с.</w:t>
      </w:r>
    </w:p>
    <w:p w:rsidR="005107A1" w:rsidRPr="001416ED" w:rsidRDefault="005107A1" w:rsidP="0012229A">
      <w:pPr>
        <w:numPr>
          <w:ilvl w:val="0"/>
          <w:numId w:val="10"/>
        </w:numPr>
        <w:autoSpaceDE w:val="0"/>
        <w:autoSpaceDN w:val="0"/>
        <w:adjustRightInd w:val="0"/>
        <w:spacing w:line="360" w:lineRule="auto"/>
        <w:ind w:left="0" w:right="-1" w:firstLine="0"/>
        <w:jc w:val="both"/>
        <w:rPr>
          <w:rFonts w:eastAsia="Calibri"/>
          <w:bCs/>
          <w:lang w:val="uk-UA" w:eastAsia="en-US"/>
        </w:rPr>
      </w:pPr>
      <w:r w:rsidRPr="001416ED">
        <w:rPr>
          <w:rFonts w:eastAsia="Calibri"/>
          <w:iCs/>
          <w:kern w:val="11"/>
          <w:shd w:val="clear" w:color="auto" w:fill="FFFFFF"/>
          <w:lang w:val="uk-UA" w:eastAsia="en-US"/>
        </w:rPr>
        <w:t xml:space="preserve">Карсанов Н. В. </w:t>
      </w:r>
      <w:r w:rsidRPr="001416ED">
        <w:rPr>
          <w:rFonts w:eastAsia="Calibri"/>
          <w:kern w:val="11"/>
          <w:lang w:val="uk-UA" w:eastAsia="en-US"/>
        </w:rPr>
        <w:t>Эндотелиальная дисфункция, редокс–потенциал системы энергетического обеспечения и синтез альдостерона при хронической сердечной недостаточности  с мерцательной аритмией и без нее</w:t>
      </w:r>
      <w:r w:rsidRPr="001416ED">
        <w:rPr>
          <w:rFonts w:eastAsia="Calibri"/>
          <w:kern w:val="11"/>
          <w:lang w:eastAsia="en-US"/>
        </w:rPr>
        <w:t xml:space="preserve"> /</w:t>
      </w:r>
      <w:r w:rsidRPr="001416ED">
        <w:rPr>
          <w:rFonts w:eastAsia="Calibri"/>
          <w:i/>
          <w:iCs/>
          <w:kern w:val="11"/>
          <w:sz w:val="11"/>
          <w:szCs w:val="11"/>
          <w:shd w:val="clear" w:color="auto" w:fill="FFFFFF"/>
          <w:lang w:val="uk-UA" w:eastAsia="en-US"/>
        </w:rPr>
        <w:t xml:space="preserve"> </w:t>
      </w:r>
      <w:r w:rsidRPr="001416ED">
        <w:rPr>
          <w:rFonts w:eastAsia="Calibri"/>
          <w:iCs/>
          <w:kern w:val="11"/>
          <w:shd w:val="clear" w:color="auto" w:fill="FFFFFF"/>
          <w:lang w:val="uk-UA" w:eastAsia="en-US"/>
        </w:rPr>
        <w:t>Н. В. Карсанов, Г. В.</w:t>
      </w:r>
      <w:r w:rsidRPr="001416ED">
        <w:rPr>
          <w:rFonts w:eastAsia="Calibri"/>
          <w:iCs/>
          <w:kern w:val="11"/>
          <w:shd w:val="clear" w:color="auto" w:fill="FFFFFF"/>
          <w:lang w:eastAsia="en-US"/>
        </w:rPr>
        <w:t xml:space="preserve"> </w:t>
      </w:r>
      <w:r w:rsidRPr="001416ED">
        <w:rPr>
          <w:rFonts w:eastAsia="Calibri"/>
          <w:iCs/>
          <w:kern w:val="11"/>
          <w:shd w:val="clear" w:color="auto" w:fill="FFFFFF"/>
          <w:lang w:val="uk-UA" w:eastAsia="en-US"/>
        </w:rPr>
        <w:t>Сукоян, И. К.</w:t>
      </w:r>
      <w:r w:rsidRPr="001416ED">
        <w:rPr>
          <w:rFonts w:eastAsia="Calibri"/>
          <w:iCs/>
          <w:kern w:val="11"/>
          <w:shd w:val="clear" w:color="auto" w:fill="FFFFFF"/>
          <w:lang w:eastAsia="en-US"/>
        </w:rPr>
        <w:t xml:space="preserve"> </w:t>
      </w:r>
      <w:r w:rsidRPr="001416ED">
        <w:rPr>
          <w:rFonts w:eastAsia="Calibri"/>
          <w:iCs/>
          <w:kern w:val="11"/>
          <w:shd w:val="clear" w:color="auto" w:fill="FFFFFF"/>
          <w:lang w:val="uk-UA" w:eastAsia="en-US"/>
        </w:rPr>
        <w:t>Кавадзе [</w:t>
      </w:r>
      <w:r w:rsidRPr="001416ED">
        <w:rPr>
          <w:rFonts w:eastAsia="Calibri"/>
          <w:iCs/>
          <w:kern w:val="11"/>
          <w:shd w:val="clear" w:color="auto" w:fill="FFFFFF"/>
          <w:lang w:eastAsia="en-US"/>
        </w:rPr>
        <w:t xml:space="preserve">и др.] // </w:t>
      </w:r>
      <w:hyperlink r:id="rId44" w:history="1">
        <w:r w:rsidRPr="001416ED">
          <w:rPr>
            <w:rFonts w:eastAsia="Calibri"/>
            <w:bCs/>
            <w:kern w:val="11"/>
            <w:shd w:val="clear" w:color="auto" w:fill="FFFFFF"/>
            <w:lang w:val="uk-UA" w:eastAsia="en-US"/>
          </w:rPr>
          <w:t>Российский кардиологический журнал</w:t>
        </w:r>
        <w:r w:rsidRPr="001416ED">
          <w:rPr>
            <w:rFonts w:eastAsia="Calibri"/>
            <w:bCs/>
            <w:kern w:val="11"/>
            <w:shd w:val="clear" w:color="auto" w:fill="FFFFFF"/>
            <w:lang w:eastAsia="en-US"/>
          </w:rPr>
          <w:t>. – 2003. – №</w:t>
        </w:r>
        <w:r w:rsidRPr="001416ED">
          <w:rPr>
            <w:rFonts w:eastAsia="Calibri"/>
            <w:bCs/>
            <w:kern w:val="11"/>
            <w:shd w:val="clear" w:color="auto" w:fill="FFFFFF"/>
            <w:lang w:val="uk-UA" w:eastAsia="en-US"/>
          </w:rPr>
          <w:t xml:space="preserve"> </w:t>
        </w:r>
        <w:r w:rsidRPr="001416ED">
          <w:rPr>
            <w:rFonts w:eastAsia="Calibri"/>
            <w:bCs/>
            <w:kern w:val="11"/>
            <w:shd w:val="clear" w:color="auto" w:fill="FFFFFF"/>
            <w:lang w:eastAsia="en-US"/>
          </w:rPr>
          <w:t>4. – С. 28–32.</w:t>
        </w:r>
        <w:r w:rsidRPr="001416ED">
          <w:rPr>
            <w:rFonts w:eastAsia="Calibri"/>
            <w:bCs/>
            <w:kern w:val="11"/>
            <w:shd w:val="clear" w:color="auto" w:fill="FFFFFF"/>
            <w:lang w:val="uk-UA" w:eastAsia="en-US"/>
          </w:rPr>
          <w:t> </w:t>
        </w:r>
      </w:hyperlink>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lang w:val="uk-UA" w:eastAsia="uk-UA"/>
        </w:rPr>
        <w:t xml:space="preserve">Князькова И. И. </w:t>
      </w:r>
      <w:r w:rsidR="006C3531" w:rsidRPr="006C3531">
        <w:rPr>
          <w:lang w:eastAsia="uk-UA"/>
        </w:rPr>
        <w:t>Функция эндотелия: фокус на оксид азота</w:t>
      </w:r>
      <w:r w:rsidR="006C3531">
        <w:rPr>
          <w:lang w:val="uk-UA" w:eastAsia="uk-UA"/>
        </w:rPr>
        <w:t xml:space="preserve"> </w:t>
      </w:r>
      <w:r w:rsidRPr="001416ED">
        <w:rPr>
          <w:lang w:val="uk-UA" w:eastAsia="uk-UA"/>
        </w:rPr>
        <w:t xml:space="preserve">/ И. И. Князькова, А. </w:t>
      </w:r>
      <w:r w:rsidR="006C3531">
        <w:rPr>
          <w:lang w:val="uk-UA" w:eastAsia="uk-UA"/>
        </w:rPr>
        <w:t>Н. Биловол</w:t>
      </w:r>
      <w:r w:rsidRPr="001416ED">
        <w:rPr>
          <w:lang w:val="uk-UA" w:eastAsia="uk-UA"/>
        </w:rPr>
        <w:t xml:space="preserve"> // </w:t>
      </w:r>
      <w:r w:rsidR="00DB1FC3">
        <w:rPr>
          <w:lang w:val="uk-UA" w:eastAsia="uk-UA"/>
        </w:rPr>
        <w:t>Здоров</w:t>
      </w:r>
      <w:r w:rsidR="00DB1FC3">
        <w:rPr>
          <w:lang w:val="en-US" w:eastAsia="uk-UA"/>
        </w:rPr>
        <w:t>’</w:t>
      </w:r>
      <w:r w:rsidR="00DB1FC3">
        <w:rPr>
          <w:lang w:val="uk-UA" w:eastAsia="uk-UA"/>
        </w:rPr>
        <w:t>я України</w:t>
      </w:r>
      <w:r w:rsidRPr="001416ED">
        <w:rPr>
          <w:lang w:val="uk-UA" w:eastAsia="uk-UA"/>
        </w:rPr>
        <w:t xml:space="preserve"> – 20</w:t>
      </w:r>
      <w:r w:rsidR="00DB1FC3">
        <w:rPr>
          <w:lang w:val="uk-UA" w:eastAsia="uk-UA"/>
        </w:rPr>
        <w:t>12</w:t>
      </w:r>
      <w:r w:rsidRPr="001416ED">
        <w:rPr>
          <w:lang w:val="uk-UA" w:eastAsia="uk-UA"/>
        </w:rPr>
        <w:t xml:space="preserve">. – № 7. – С. </w:t>
      </w:r>
      <w:r w:rsidR="00DB1FC3">
        <w:rPr>
          <w:lang w:val="uk-UA" w:eastAsia="uk-UA"/>
        </w:rPr>
        <w:t>50</w:t>
      </w:r>
      <w:r w:rsidRPr="001416ED">
        <w:rPr>
          <w:lang w:val="uk-UA" w:eastAsia="uk-UA"/>
        </w:rPr>
        <w:t>–</w:t>
      </w:r>
      <w:r w:rsidR="00DB1FC3">
        <w:rPr>
          <w:lang w:val="uk-UA" w:eastAsia="uk-UA"/>
        </w:rPr>
        <w:t>51</w:t>
      </w:r>
      <w:r w:rsidRPr="001416ED">
        <w:rPr>
          <w:lang w:val="uk-UA" w:eastAsia="uk-UA"/>
        </w:rPr>
        <w:t>.</w:t>
      </w:r>
    </w:p>
    <w:p w:rsidR="005107A1" w:rsidRPr="001416ED" w:rsidRDefault="005107A1" w:rsidP="0012229A">
      <w:pPr>
        <w:numPr>
          <w:ilvl w:val="0"/>
          <w:numId w:val="10"/>
        </w:numPr>
        <w:shd w:val="clear" w:color="auto" w:fill="FFFFFF"/>
        <w:tabs>
          <w:tab w:val="left" w:pos="709"/>
        </w:tabs>
        <w:autoSpaceDE w:val="0"/>
        <w:autoSpaceDN w:val="0"/>
        <w:adjustRightInd w:val="0"/>
        <w:spacing w:before="187" w:after="200" w:line="360" w:lineRule="auto"/>
        <w:ind w:left="0" w:right="-1" w:firstLine="0"/>
        <w:contextualSpacing/>
        <w:jc w:val="both"/>
        <w:outlineLvl w:val="0"/>
        <w:rPr>
          <w:rFonts w:eastAsia="Calibri"/>
          <w:bCs/>
          <w:lang w:val="uk-UA" w:eastAsia="en-US"/>
        </w:rPr>
      </w:pPr>
      <w:r w:rsidRPr="001416ED">
        <w:rPr>
          <w:rFonts w:eastAsia="Calibri"/>
          <w:kern w:val="11"/>
          <w:shd w:val="clear" w:color="auto" w:fill="FFFFFF"/>
          <w:lang w:val="uk-UA" w:eastAsia="en-US"/>
        </w:rPr>
        <w:t xml:space="preserve"> </w:t>
      </w:r>
      <w:r w:rsidRPr="001416ED">
        <w:rPr>
          <w:rFonts w:eastAsia="Calibri"/>
          <w:bCs/>
          <w:lang w:val="uk-UA" w:eastAsia="en-US"/>
        </w:rPr>
        <w:t>Коваленко В. М. Роль емоційного стресу у виникненні артеріальної гіпертензії: факти і невирішені питання / В. М. Коваленко, Ю. М. Сіренко, Г. Д. Радченко // Наука і практика. – 2014. – № 1(2). – С. 116–128.</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 xml:space="preserve">Коваленко В. </w:t>
      </w:r>
      <w:r w:rsidRPr="001416ED">
        <w:rPr>
          <w:rFonts w:eastAsia="Bookman Old Style"/>
          <w:kern w:val="11"/>
          <w:lang w:bidi="ru-RU"/>
        </w:rPr>
        <w:t xml:space="preserve">М., </w:t>
      </w:r>
      <w:r w:rsidRPr="001416ED">
        <w:rPr>
          <w:rFonts w:eastAsia="Bookman Old Style"/>
          <w:kern w:val="11"/>
          <w:lang w:val="uk-UA" w:eastAsia="uk-UA" w:bidi="uk-UA"/>
        </w:rPr>
        <w:t>Корнацький В. М. та співавт. Ди</w:t>
      </w:r>
      <w:r w:rsidRPr="001416ED">
        <w:rPr>
          <w:rFonts w:eastAsia="Bookman Old Style"/>
          <w:kern w:val="11"/>
          <w:lang w:val="uk-UA" w:eastAsia="uk-UA" w:bidi="uk-UA"/>
        </w:rPr>
        <w:softHyphen/>
        <w:t>наміка стану здоров’я народу України та регіональні особливості / Аналітично–статистичний посібник. Київ, 2012 р. – 211 с.</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 xml:space="preserve">Коваленко В. </w:t>
      </w:r>
      <w:r w:rsidRPr="001416ED">
        <w:rPr>
          <w:rFonts w:eastAsia="Bookman Old Style"/>
          <w:kern w:val="11"/>
          <w:lang w:bidi="ru-RU"/>
        </w:rPr>
        <w:t xml:space="preserve">М., </w:t>
      </w:r>
      <w:r w:rsidRPr="001416ED">
        <w:rPr>
          <w:rFonts w:eastAsia="Bookman Old Style"/>
          <w:kern w:val="11"/>
          <w:lang w:val="uk-UA" w:eastAsia="uk-UA" w:bidi="uk-UA"/>
        </w:rPr>
        <w:t>Корнацький В. М. та співавт. Медико–соціальні аспекти хвороб системи крово</w:t>
      </w:r>
      <w:r w:rsidRPr="001416ED">
        <w:rPr>
          <w:rFonts w:eastAsia="Bookman Old Style"/>
          <w:kern w:val="11"/>
          <w:lang w:val="uk-UA" w:eastAsia="uk-UA" w:bidi="uk-UA"/>
        </w:rPr>
        <w:softHyphen/>
        <w:t>обігу / Аналітично–статистичний посібник. Київ. – 2010 р. – 144 с.</w:t>
      </w:r>
    </w:p>
    <w:p w:rsidR="005107A1" w:rsidRPr="001416ED" w:rsidRDefault="005107A1" w:rsidP="0012229A">
      <w:pPr>
        <w:numPr>
          <w:ilvl w:val="0"/>
          <w:numId w:val="10"/>
        </w:numPr>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Коваленко В. М. Особливості структурно–функціонального стану лівих відділів серця у пацієнтів з гіпертонічною хворобою з різними типами ремоделювання / В. М. Коваленко, О. Г. Несукай, Є. Ю. Тітов [та ін.] // Український кардіологічний журнал. – 2014. – № 5. – С. 44 – 49.</w:t>
      </w:r>
    </w:p>
    <w:p w:rsidR="005107A1" w:rsidRPr="001416ED" w:rsidRDefault="005107A1" w:rsidP="0012229A">
      <w:pPr>
        <w:numPr>
          <w:ilvl w:val="0"/>
          <w:numId w:val="10"/>
        </w:numPr>
        <w:tabs>
          <w:tab w:val="left" w:pos="567"/>
        </w:tabs>
        <w:autoSpaceDE w:val="0"/>
        <w:autoSpaceDN w:val="0"/>
        <w:adjustRightInd w:val="0"/>
        <w:spacing w:before="90" w:after="200" w:line="360" w:lineRule="auto"/>
        <w:ind w:left="0" w:right="33" w:firstLine="0"/>
        <w:contextualSpacing/>
        <w:jc w:val="both"/>
        <w:textAlignment w:val="baseline"/>
        <w:outlineLvl w:val="0"/>
        <w:rPr>
          <w:rFonts w:eastAsia="PragmaticaC"/>
          <w:lang w:val="uk-UA" w:eastAsia="en-US"/>
        </w:rPr>
      </w:pPr>
      <w:r w:rsidRPr="001416ED">
        <w:rPr>
          <w:rFonts w:eastAsia="Calibri"/>
          <w:kern w:val="11"/>
          <w:lang w:val="uk-UA" w:eastAsia="en-US"/>
        </w:rPr>
        <w:t>Коваленко В. Н. Эхокардиография в кардиологии / В. Н. Коваленко, С. И. Деяк, Т. В. Гетьман / Руководство по кардиологии // под ред. В.Н. Коваленко. – К. : Морион, 2008. – С. 330–364.</w:t>
      </w:r>
    </w:p>
    <w:p w:rsidR="005107A1" w:rsidRPr="001416ED" w:rsidRDefault="005107A1" w:rsidP="0012229A">
      <w:pPr>
        <w:numPr>
          <w:ilvl w:val="0"/>
          <w:numId w:val="10"/>
        </w:numPr>
        <w:autoSpaceDE w:val="0"/>
        <w:autoSpaceDN w:val="0"/>
        <w:adjustRightInd w:val="0"/>
        <w:spacing w:line="360" w:lineRule="auto"/>
        <w:ind w:left="0" w:right="-1" w:firstLine="0"/>
        <w:jc w:val="both"/>
        <w:rPr>
          <w:rFonts w:eastAsia="PragmaticaC"/>
          <w:lang w:val="uk-UA" w:eastAsia="en-US"/>
        </w:rPr>
      </w:pPr>
      <w:r w:rsidRPr="001416ED">
        <w:rPr>
          <w:rFonts w:eastAsia="PragmaticaC"/>
          <w:lang w:val="uk-UA" w:eastAsia="en-US"/>
        </w:rPr>
        <w:t xml:space="preserve">Костина Н. Л. Возможности коррекции показателей липидного спектра крови и эндотелиальной дисфункции у больных ИБС в сочетании с облитерирующим </w:t>
      </w:r>
      <w:r w:rsidRPr="001416ED">
        <w:rPr>
          <w:rFonts w:eastAsia="PragmaticaC"/>
          <w:lang w:val="uk-UA" w:eastAsia="en-US"/>
        </w:rPr>
        <w:lastRenderedPageBreak/>
        <w:t>атеросклерозом нижних конечностей на фоне комплексной терапии омакором</w:t>
      </w:r>
      <w:r w:rsidRPr="001416ED">
        <w:rPr>
          <w:rFonts w:eastAsia="Calibri"/>
          <w:kern w:val="11"/>
          <w:sz w:val="11"/>
          <w:szCs w:val="11"/>
          <w:lang w:val="uk-UA" w:eastAsia="en-US"/>
        </w:rPr>
        <w:t xml:space="preserve"> </w:t>
      </w:r>
      <w:r w:rsidRPr="001416ED">
        <w:rPr>
          <w:rFonts w:eastAsia="PragmaticaC"/>
          <w:lang w:val="uk-UA" w:eastAsia="en-US"/>
        </w:rPr>
        <w:t>[</w:t>
      </w:r>
      <w:r w:rsidRPr="001416ED">
        <w:rPr>
          <w:rFonts w:eastAsia="PragmaticaC"/>
          <w:lang w:eastAsia="en-US"/>
        </w:rPr>
        <w:t>Э</w:t>
      </w:r>
      <w:r w:rsidRPr="001416ED">
        <w:rPr>
          <w:rFonts w:eastAsia="PragmaticaC"/>
          <w:lang w:val="uk-UA" w:eastAsia="en-US"/>
        </w:rPr>
        <w:t>лектронный ресурс] /</w:t>
      </w:r>
      <w:r w:rsidRPr="001416ED">
        <w:rPr>
          <w:rFonts w:eastAsia="Calibri"/>
          <w:kern w:val="11"/>
          <w:sz w:val="19"/>
          <w:szCs w:val="19"/>
          <w:shd w:val="clear" w:color="auto" w:fill="FAFAFA"/>
          <w:lang w:val="uk-UA" w:eastAsia="en-US"/>
        </w:rPr>
        <w:t xml:space="preserve"> </w:t>
      </w:r>
      <w:r w:rsidRPr="001416ED">
        <w:rPr>
          <w:rFonts w:eastAsia="PragmaticaC"/>
          <w:lang w:val="uk-UA" w:eastAsia="en-US"/>
        </w:rPr>
        <w:t>Н. Л.  </w:t>
      </w:r>
      <w:r w:rsidRPr="001416ED">
        <w:rPr>
          <w:rFonts w:eastAsia="Calibri"/>
          <w:kern w:val="11"/>
          <w:shd w:val="clear" w:color="auto" w:fill="FAFAFA"/>
          <w:lang w:val="uk-UA" w:eastAsia="en-US"/>
        </w:rPr>
        <w:t>К</w:t>
      </w:r>
      <w:r w:rsidRPr="001416ED">
        <w:rPr>
          <w:rFonts w:eastAsia="PragmaticaC"/>
          <w:lang w:val="uk-UA" w:eastAsia="en-US"/>
        </w:rPr>
        <w:t>остина, В. П.  Михин, М. А.  Чернятина [</w:t>
      </w:r>
      <w:r w:rsidRPr="001416ED">
        <w:rPr>
          <w:rFonts w:eastAsia="PragmaticaC"/>
          <w:bCs/>
          <w:lang w:val="uk-UA" w:eastAsia="en-US"/>
        </w:rPr>
        <w:t>и др.]</w:t>
      </w:r>
      <w:r w:rsidRPr="001416ED">
        <w:rPr>
          <w:rFonts w:eastAsia="PragmaticaC"/>
          <w:lang w:val="uk-UA" w:eastAsia="en-US"/>
        </w:rPr>
        <w:t>  //</w:t>
      </w:r>
      <w:r w:rsidRPr="001416ED">
        <w:rPr>
          <w:rFonts w:eastAsia="Calibri"/>
          <w:kern w:val="11"/>
          <w:sz w:val="11"/>
          <w:szCs w:val="11"/>
          <w:lang w:val="uk-UA" w:eastAsia="en-US"/>
        </w:rPr>
        <w:t xml:space="preserve"> </w:t>
      </w:r>
      <w:r w:rsidRPr="001416ED">
        <w:rPr>
          <w:rFonts w:eastAsia="PragmaticaC"/>
          <w:lang w:val="uk-UA" w:eastAsia="en-US"/>
        </w:rPr>
        <w:t>Современные проблемы науки и образования.  – 2011. – № 6. Режим доступа к журн.: http://www.science-education.ru/ru/article/view?id=5150</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rPr>
          <w:lang w:val="uk-UA" w:eastAsia="uk-UA"/>
        </w:rPr>
      </w:pPr>
      <w:r w:rsidRPr="001416ED">
        <w:rPr>
          <w:rFonts w:eastAsia="TimesNewRomanPSMT"/>
          <w:lang w:val="uk-UA" w:eastAsia="en-US"/>
        </w:rPr>
        <w:t>Кравченко О. І. Метаболічні особливості гемодинамічних порушень при гіпертонічній хворобі у робочих машинобудування : автореф. дис. на здобуття наук. ступеня к.мед.н. : 14.01.11 / О.</w:t>
      </w:r>
      <w:r w:rsidR="00421D10" w:rsidRPr="001416ED">
        <w:rPr>
          <w:rFonts w:eastAsia="TimesNewRomanPSMT"/>
          <w:lang w:val="uk-UA" w:eastAsia="en-US"/>
        </w:rPr>
        <w:t xml:space="preserve"> </w:t>
      </w:r>
      <w:r w:rsidRPr="001416ED">
        <w:rPr>
          <w:rFonts w:eastAsia="TimesNewRomanPSMT"/>
          <w:lang w:val="uk-UA" w:eastAsia="en-US"/>
        </w:rPr>
        <w:t>І. Кравченко. – Харків, 2004. – 20 с.</w:t>
      </w:r>
    </w:p>
    <w:p w:rsidR="005107A1" w:rsidRPr="001416ED" w:rsidRDefault="005107A1" w:rsidP="0012229A">
      <w:pPr>
        <w:numPr>
          <w:ilvl w:val="0"/>
          <w:numId w:val="10"/>
        </w:numPr>
        <w:spacing w:line="360" w:lineRule="auto"/>
        <w:ind w:left="0" w:right="-1" w:firstLine="0"/>
        <w:jc w:val="both"/>
        <w:rPr>
          <w:rFonts w:eastAsia="Calibri"/>
          <w:kern w:val="11"/>
          <w:lang w:val="uk-UA" w:eastAsia="en-US"/>
        </w:rPr>
      </w:pPr>
      <w:r w:rsidRPr="001416ED">
        <w:rPr>
          <w:rFonts w:eastAsia="Calibri"/>
          <w:iCs/>
          <w:spacing w:val="2"/>
          <w:kern w:val="11"/>
          <w:shd w:val="clear" w:color="auto" w:fill="FFFFFF"/>
          <w:lang w:val="uk-UA" w:eastAsia="en-US"/>
        </w:rPr>
        <w:t>Краснова О. А. Взаимосвязь гена ангиотензиногена М235Т с клинико–функциональными показателями и 5–летним прогнозом у больных с хронической сердечной недостаточностью / О. А. Краснова, С. Г. Иванов, М. Ю. Ситникова // Сердечная недостаточность. – 2010. – № 3 (59). – С. 153–156.</w:t>
      </w:r>
    </w:p>
    <w:p w:rsidR="005107A1" w:rsidRPr="001416ED" w:rsidRDefault="005107A1" w:rsidP="0012229A">
      <w:pPr>
        <w:numPr>
          <w:ilvl w:val="0"/>
          <w:numId w:val="10"/>
        </w:numPr>
        <w:autoSpaceDE w:val="0"/>
        <w:autoSpaceDN w:val="0"/>
        <w:adjustRightInd w:val="0"/>
        <w:spacing w:after="200" w:line="360" w:lineRule="auto"/>
        <w:ind w:left="0" w:right="-1" w:firstLine="0"/>
        <w:contextualSpacing/>
        <w:jc w:val="both"/>
        <w:rPr>
          <w:rFonts w:eastAsia="PragmaticaC"/>
          <w:lang w:val="uk-UA" w:eastAsia="en-US"/>
        </w:rPr>
      </w:pPr>
      <w:r w:rsidRPr="001416ED">
        <w:rPr>
          <w:rFonts w:eastAsia="PragmaticaC"/>
          <w:lang w:val="uk-UA" w:eastAsia="en-US"/>
        </w:rPr>
        <w:t>Кузьминова Н. В.</w:t>
      </w:r>
      <w:r w:rsidRPr="001416ED">
        <w:rPr>
          <w:rFonts w:eastAsia="Calibri"/>
          <w:kern w:val="11"/>
          <w:sz w:val="11"/>
          <w:szCs w:val="11"/>
          <w:lang w:val="uk-UA" w:eastAsia="en-US"/>
        </w:rPr>
        <w:t xml:space="preserve"> </w:t>
      </w:r>
      <w:r w:rsidRPr="001416ED">
        <w:rPr>
          <w:rFonts w:eastAsia="PragmaticaC"/>
          <w:lang w:val="uk-UA" w:eastAsia="en-US"/>
        </w:rPr>
        <w:t>Функциональное состояние сосудистого эндотелия у больных гипертонической болезнью / Н. В. Кузьминова, В. К. Сєркова // Український терапевтичний журнал. – 2008. – №2. – С. 21–27.</w:t>
      </w:r>
    </w:p>
    <w:p w:rsidR="005107A1" w:rsidRPr="001416ED" w:rsidRDefault="005107A1" w:rsidP="0012229A">
      <w:pPr>
        <w:numPr>
          <w:ilvl w:val="0"/>
          <w:numId w:val="10"/>
        </w:numPr>
        <w:shd w:val="clear" w:color="auto" w:fill="FFFFFF"/>
        <w:spacing w:after="200" w:line="360" w:lineRule="auto"/>
        <w:ind w:left="0" w:firstLine="0"/>
        <w:contextualSpacing/>
        <w:jc w:val="both"/>
        <w:rPr>
          <w:rFonts w:eastAsia="Calibri"/>
          <w:kern w:val="11"/>
          <w:lang w:val="uk-UA" w:eastAsia="uk-UA"/>
        </w:rPr>
      </w:pPr>
      <w:r w:rsidRPr="001416ED">
        <w:rPr>
          <w:rFonts w:eastAsia="Candara"/>
          <w:iCs/>
          <w:kern w:val="11"/>
          <w:lang w:val="uk-UA" w:eastAsia="en-US"/>
        </w:rPr>
        <w:t>Кузьмінова Н. В. Гемодинамічні, судинні і нейрогуморальні механізми ремоделювання міокарда у хворих на гіпертонічну хворобу та можливості їх медикаментозної корекції:</w:t>
      </w:r>
      <w:r w:rsidRPr="001416ED">
        <w:rPr>
          <w:rFonts w:eastAsia="Calibri"/>
          <w:kern w:val="11"/>
          <w:lang w:val="uk-UA" w:eastAsia="uk-UA"/>
        </w:rPr>
        <w:t xml:space="preserve"> Автореф. дис. .... докт. мед. наук : 14.01.11 / </w:t>
      </w:r>
      <w:r w:rsidRPr="001416ED">
        <w:rPr>
          <w:rFonts w:eastAsia="Candara"/>
          <w:iCs/>
          <w:kern w:val="11"/>
          <w:lang w:val="uk-UA" w:eastAsia="en-US"/>
        </w:rPr>
        <w:t xml:space="preserve">Н. В. Кузьмінова </w:t>
      </w:r>
      <w:r w:rsidRPr="001416ED">
        <w:rPr>
          <w:rFonts w:eastAsia="Calibri"/>
          <w:kern w:val="11"/>
          <w:lang w:val="uk-UA" w:eastAsia="uk-UA"/>
        </w:rPr>
        <w:t>– Харків, 2009. – 44 с.</w:t>
      </w:r>
    </w:p>
    <w:p w:rsidR="005107A1" w:rsidRPr="001416ED" w:rsidRDefault="005107A1" w:rsidP="0012229A">
      <w:pPr>
        <w:numPr>
          <w:ilvl w:val="0"/>
          <w:numId w:val="10"/>
        </w:numPr>
        <w:tabs>
          <w:tab w:val="left" w:pos="567"/>
        </w:tabs>
        <w:autoSpaceDE w:val="0"/>
        <w:autoSpaceDN w:val="0"/>
        <w:adjustRightInd w:val="0"/>
        <w:spacing w:before="90" w:after="200" w:line="360" w:lineRule="auto"/>
        <w:ind w:left="0" w:right="33" w:firstLine="0"/>
        <w:contextualSpacing/>
        <w:jc w:val="both"/>
        <w:textAlignment w:val="baseline"/>
        <w:outlineLvl w:val="0"/>
        <w:rPr>
          <w:rFonts w:eastAsia="PragmaticaC"/>
          <w:lang w:val="uk-UA" w:eastAsia="en-US"/>
        </w:rPr>
      </w:pPr>
      <w:r w:rsidRPr="001416ED">
        <w:rPr>
          <w:rFonts w:eastAsia="Calibri"/>
          <w:bCs/>
          <w:lang w:val="uk-UA" w:eastAsia="en-US"/>
        </w:rPr>
        <w:t>Кулішов С. К. Застосування дерматогліфіки для діагностики ішемічної хвороби серця / С. К. Кулішов, І. П. Кудря, В. С. Буцький [та ін.] // Вісник проблем біології і медицини. – 2015. – №2 (3). – С. 157–159.</w:t>
      </w:r>
    </w:p>
    <w:p w:rsidR="005107A1" w:rsidRPr="001416ED" w:rsidRDefault="005107A1" w:rsidP="0012229A">
      <w:pPr>
        <w:numPr>
          <w:ilvl w:val="0"/>
          <w:numId w:val="10"/>
        </w:numPr>
        <w:tabs>
          <w:tab w:val="left" w:pos="709"/>
        </w:tabs>
        <w:spacing w:line="360" w:lineRule="auto"/>
        <w:ind w:left="0" w:firstLine="0"/>
        <w:jc w:val="both"/>
        <w:outlineLvl w:val="0"/>
        <w:rPr>
          <w:lang w:val="uk-UA" w:eastAsia="uk-UA"/>
        </w:rPr>
      </w:pPr>
      <w:r w:rsidRPr="001416ED">
        <w:rPr>
          <w:rFonts w:eastAsia="Calibri"/>
          <w:iCs/>
          <w:kern w:val="11"/>
          <w:lang w:val="uk-UA" w:eastAsia="uk-UA"/>
        </w:rPr>
        <w:t xml:space="preserve">Лапшина Л. А. Эндотелиальная дисфункция при начальных стадиях артериальной гипертензии и способы ее немедикаментозной коррекции / Л. А. Лапшина, В. И. Молодан, О. С. Шевченко </w:t>
      </w:r>
      <w:r w:rsidRPr="001416ED">
        <w:rPr>
          <w:rFonts w:eastAsia="Calibri"/>
          <w:iCs/>
          <w:kern w:val="11"/>
          <w:lang w:eastAsia="uk-UA"/>
        </w:rPr>
        <w:t>[</w:t>
      </w:r>
      <w:r w:rsidRPr="001416ED">
        <w:rPr>
          <w:rFonts w:eastAsia="Calibri"/>
          <w:iCs/>
          <w:kern w:val="11"/>
          <w:lang w:val="uk-UA" w:eastAsia="uk-UA"/>
        </w:rPr>
        <w:t>и др.</w:t>
      </w:r>
      <w:r w:rsidRPr="001416ED">
        <w:rPr>
          <w:rFonts w:eastAsia="Calibri"/>
          <w:iCs/>
          <w:kern w:val="11"/>
          <w:lang w:eastAsia="uk-UA"/>
        </w:rPr>
        <w:t xml:space="preserve">] </w:t>
      </w:r>
      <w:r w:rsidRPr="001416ED">
        <w:rPr>
          <w:rFonts w:eastAsia="Calibri"/>
          <w:iCs/>
          <w:kern w:val="11"/>
          <w:lang w:val="uk-UA" w:eastAsia="uk-UA"/>
        </w:rPr>
        <w:t>// Укр. терапевт. журн. – 2011. – Т. 3, № 4. – С. 39–42.</w:t>
      </w:r>
    </w:p>
    <w:p w:rsidR="005107A1" w:rsidRPr="001416ED" w:rsidRDefault="005107A1" w:rsidP="0012229A">
      <w:pPr>
        <w:numPr>
          <w:ilvl w:val="0"/>
          <w:numId w:val="10"/>
        </w:numPr>
        <w:spacing w:before="100" w:beforeAutospacing="1" w:after="100" w:afterAutospacing="1" w:line="360" w:lineRule="auto"/>
        <w:ind w:left="0" w:firstLine="0"/>
        <w:contextualSpacing/>
        <w:jc w:val="both"/>
        <w:textAlignment w:val="baseline"/>
        <w:rPr>
          <w:kern w:val="11"/>
          <w:lang w:val="uk-UA" w:eastAsia="uk-UA"/>
        </w:rPr>
      </w:pPr>
      <w:r w:rsidRPr="001416ED">
        <w:rPr>
          <w:rFonts w:eastAsia="Calibri"/>
          <w:iCs/>
          <w:kern w:val="11"/>
          <w:lang w:eastAsia="uk-UA"/>
        </w:rPr>
        <w:t xml:space="preserve"> Лизогуб В. Г. Ишемическая болезнь сердца / В. Г. Лизогуб, Н. В. Кузько. – К. : Здоров’я, 2007. – С. 7–14.</w:t>
      </w:r>
    </w:p>
    <w:p w:rsidR="005107A1" w:rsidRPr="001416ED" w:rsidRDefault="005107A1" w:rsidP="0012229A">
      <w:pPr>
        <w:numPr>
          <w:ilvl w:val="0"/>
          <w:numId w:val="10"/>
        </w:numPr>
        <w:suppressAutoHyphens/>
        <w:spacing w:line="360" w:lineRule="auto"/>
        <w:ind w:left="0" w:firstLine="0"/>
        <w:jc w:val="both"/>
        <w:rPr>
          <w:rFonts w:eastAsia="Calibri"/>
          <w:kern w:val="11"/>
          <w:lang w:eastAsia="en-US"/>
        </w:rPr>
      </w:pPr>
      <w:r w:rsidRPr="001416ED">
        <w:rPr>
          <w:rFonts w:eastAsia="Calibri"/>
          <w:kern w:val="11"/>
          <w:lang w:eastAsia="en-US"/>
        </w:rPr>
        <w:t xml:space="preserve">Лутай М. И. Роль дисфункции эндотелия, воспаления и дислипидемии в атерогенезе / М. И. Лутай, И. П. Голикова, В. А. Слободской // Украинский кардиол. журн. – 2007. – № 5. </w:t>
      </w:r>
      <w:r w:rsidRPr="001416ED">
        <w:rPr>
          <w:rFonts w:eastAsia="Calibri"/>
          <w:iCs/>
          <w:kern w:val="11"/>
          <w:lang w:eastAsia="uk-UA"/>
        </w:rPr>
        <w:t>–</w:t>
      </w:r>
      <w:r w:rsidRPr="001416ED">
        <w:rPr>
          <w:rFonts w:eastAsia="Calibri"/>
          <w:kern w:val="11"/>
          <w:lang w:eastAsia="en-US"/>
        </w:rPr>
        <w:t xml:space="preserve"> С. 37–47.</w:t>
      </w:r>
    </w:p>
    <w:p w:rsidR="005107A1" w:rsidRPr="001416ED" w:rsidRDefault="005107A1" w:rsidP="0012229A">
      <w:pPr>
        <w:numPr>
          <w:ilvl w:val="0"/>
          <w:numId w:val="10"/>
        </w:numPr>
        <w:autoSpaceDE w:val="0"/>
        <w:autoSpaceDN w:val="0"/>
        <w:adjustRightInd w:val="0"/>
        <w:spacing w:line="360" w:lineRule="auto"/>
        <w:ind w:left="0" w:right="-1" w:firstLine="0"/>
        <w:jc w:val="both"/>
        <w:rPr>
          <w:rFonts w:eastAsia="Calibri"/>
          <w:bCs/>
          <w:lang w:val="uk-UA" w:eastAsia="en-US"/>
        </w:rPr>
      </w:pPr>
      <w:r w:rsidRPr="001416ED">
        <w:rPr>
          <w:rFonts w:eastAsia="Calibri"/>
          <w:kern w:val="11"/>
          <w:lang w:val="uk-UA" w:eastAsia="en-US"/>
        </w:rPr>
        <w:lastRenderedPageBreak/>
        <w:t xml:space="preserve">Магдалиц Т. И. Дисфункция эндотелия при хронической сердечной недостаточности и влияние на нее ингибиторов ренин–ангиотензиновой системы / Т. И. Магдалиц // </w:t>
      </w:r>
      <w:hyperlink r:id="rId45" w:history="1">
        <w:r w:rsidRPr="001416ED">
          <w:rPr>
            <w:rFonts w:eastAsia="Calibri"/>
            <w:kern w:val="11"/>
            <w:lang w:val="uk-UA" w:eastAsia="en-US"/>
          </w:rPr>
          <w:t>Вестник Харьковского национального университета имени В. Н. Каразина. Серия «Медицина»</w:t>
        </w:r>
      </w:hyperlink>
      <w:r w:rsidRPr="001416ED">
        <w:rPr>
          <w:rFonts w:eastAsia="Calibri"/>
          <w:kern w:val="11"/>
          <w:lang w:val="uk-UA" w:eastAsia="en-US"/>
        </w:rPr>
        <w:t>. – 2005. – №10 (658). – С. 5–10.</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Медико–демографічна ситуація та основні показни</w:t>
      </w:r>
      <w:r w:rsidRPr="001416ED">
        <w:rPr>
          <w:rFonts w:eastAsia="Bookman Old Style"/>
          <w:kern w:val="11"/>
          <w:lang w:val="uk-UA" w:eastAsia="uk-UA" w:bidi="uk-UA"/>
        </w:rPr>
        <w:softHyphen/>
        <w:t>ки медичної допомоги населенню в регіональному аспекті: 2012 рік / МОЗ України, ДУ «Український інститут стратегічних досліджень МОЗ України», Київ, 2013 р. – 190 с.</w:t>
      </w:r>
    </w:p>
    <w:p w:rsidR="005107A1" w:rsidRPr="001416ED" w:rsidRDefault="005107A1" w:rsidP="0012229A">
      <w:pPr>
        <w:numPr>
          <w:ilvl w:val="0"/>
          <w:numId w:val="10"/>
        </w:numPr>
        <w:spacing w:before="100" w:beforeAutospacing="1" w:after="100" w:afterAutospacing="1" w:line="360" w:lineRule="auto"/>
        <w:ind w:left="0" w:firstLine="0"/>
        <w:jc w:val="both"/>
        <w:rPr>
          <w:rFonts w:eastAsia="Calibri"/>
          <w:kern w:val="11"/>
          <w:lang w:eastAsia="uk-UA"/>
        </w:rPr>
      </w:pPr>
      <w:r w:rsidRPr="001416ED">
        <w:rPr>
          <w:rFonts w:eastAsia="Calibri"/>
          <w:kern w:val="11"/>
          <w:lang w:eastAsia="uk-UA"/>
        </w:rPr>
        <w:t xml:space="preserve"> Минушкина Л. О. Генетические аспекты регуляции эндотелиальной функции при гепертонии / Л. О. Минушкина, Д. А. Затейщиков, Б. А. Сидоренко // Кардиология. – 2000. – № 3. – С. 68–76.</w:t>
      </w:r>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lang w:val="uk-UA" w:eastAsia="uk-UA"/>
        </w:rPr>
        <w:t>Мордовин В. Ф. Динамика показателей эндотелийзависимой вазодилатации и гипотензивная эффективность эналаприла у пациентов с артериальной гипертензией / В. Ф. Мордовин, Т. М. Рипп, С. Е. Соколов [и др.] // Кардиология. – 2001. – № 6. – С. 31–33.</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Bookman Old Style"/>
          <w:kern w:val="11"/>
          <w:lang w:val="uk-UA" w:eastAsia="uk-UA" w:bidi="uk-UA"/>
        </w:rPr>
        <w:t>Наказ МОЗ України № 384 від 24 05. 2012 року «Про затвердження та впровадження медико– технологічних документів зі стандартизації медич</w:t>
      </w:r>
      <w:r w:rsidRPr="001416ED">
        <w:rPr>
          <w:rFonts w:eastAsia="Bookman Old Style"/>
          <w:kern w:val="11"/>
          <w:lang w:val="uk-UA" w:eastAsia="uk-UA" w:bidi="uk-UA"/>
        </w:rPr>
        <w:softHyphen/>
        <w:t>ної допомоги при артеріальній гіпертензії». – 71 с.</w:t>
      </w:r>
    </w:p>
    <w:p w:rsidR="005107A1" w:rsidRPr="001416ED" w:rsidRDefault="005107A1" w:rsidP="0012229A">
      <w:pPr>
        <w:numPr>
          <w:ilvl w:val="0"/>
          <w:numId w:val="10"/>
        </w:numPr>
        <w:autoSpaceDE w:val="0"/>
        <w:autoSpaceDN w:val="0"/>
        <w:adjustRightInd w:val="0"/>
        <w:spacing w:after="200" w:line="360" w:lineRule="auto"/>
        <w:ind w:left="0" w:right="-1" w:firstLine="0"/>
        <w:contextualSpacing/>
        <w:jc w:val="both"/>
        <w:rPr>
          <w:rFonts w:eastAsia="PragmaticaC"/>
          <w:bCs/>
          <w:lang w:val="uk-UA" w:eastAsia="en-US"/>
        </w:rPr>
      </w:pPr>
      <w:r w:rsidRPr="001416ED">
        <w:rPr>
          <w:rFonts w:eastAsia="PragmaticaC"/>
          <w:bCs/>
          <w:lang w:val="uk-UA" w:eastAsia="en-US"/>
        </w:rPr>
        <w:t>Олешко Т. Б. Аналіз зв’язку Lys198Asn поліморфних варіантів гена ендотеліну–1 (</w:t>
      </w:r>
      <w:r w:rsidRPr="001416ED">
        <w:rPr>
          <w:rFonts w:eastAsia="PragmaticaC"/>
          <w:bCs/>
          <w:lang w:val="en-US" w:eastAsia="en-US"/>
        </w:rPr>
        <w:t>EDN</w:t>
      </w:r>
      <w:r w:rsidRPr="001416ED">
        <w:rPr>
          <w:rFonts w:eastAsia="PragmaticaC"/>
          <w:bCs/>
          <w:lang w:val="uk-UA" w:eastAsia="en-US"/>
        </w:rPr>
        <w:t>–1) з ішемічним атеротромботичним інсультом в осіб різної статі / Т. Б. Олешко, Д. Ю. Свириденко, В. Ю. Гарбузова // Клінічна та експериментальна патологія. – 2016. – №1 (55). – С. 99–103.</w:t>
      </w:r>
    </w:p>
    <w:p w:rsidR="005107A1" w:rsidRPr="001416ED" w:rsidRDefault="005107A1" w:rsidP="00716B20">
      <w:pPr>
        <w:numPr>
          <w:ilvl w:val="0"/>
          <w:numId w:val="10"/>
        </w:numPr>
        <w:spacing w:line="360" w:lineRule="auto"/>
        <w:ind w:left="0" w:right="-1" w:firstLine="0"/>
        <w:jc w:val="both"/>
        <w:rPr>
          <w:rFonts w:eastAsia="Calibri"/>
          <w:kern w:val="11"/>
          <w:lang w:val="uk-UA" w:eastAsia="en-US"/>
        </w:rPr>
      </w:pPr>
      <w:r w:rsidRPr="001416ED">
        <w:rPr>
          <w:rFonts w:eastAsia="Calibri"/>
          <w:kern w:val="11"/>
          <w:lang w:val="uk-UA" w:eastAsia="en-US"/>
        </w:rPr>
        <w:t xml:space="preserve">Пат. 67486 Україна, МПК </w:t>
      </w:r>
      <w:r w:rsidRPr="001416ED">
        <w:rPr>
          <w:rFonts w:eastAsia="Calibri"/>
          <w:kern w:val="11"/>
          <w:lang w:val="en-US" w:eastAsia="en-US"/>
        </w:rPr>
        <w:t>G</w:t>
      </w:r>
      <w:r w:rsidRPr="001416ED">
        <w:rPr>
          <w:rFonts w:eastAsia="Calibri"/>
          <w:kern w:val="11"/>
          <w:lang w:val="uk-UA" w:eastAsia="en-US"/>
        </w:rPr>
        <w:t>01</w:t>
      </w:r>
      <w:r w:rsidRPr="001416ED">
        <w:rPr>
          <w:rFonts w:eastAsia="Calibri"/>
          <w:kern w:val="11"/>
          <w:lang w:val="en-US" w:eastAsia="en-US"/>
        </w:rPr>
        <w:t>N</w:t>
      </w:r>
      <w:r w:rsidRPr="001416ED">
        <w:rPr>
          <w:rFonts w:eastAsia="Calibri"/>
          <w:kern w:val="11"/>
          <w:lang w:val="uk-UA" w:eastAsia="en-US"/>
        </w:rPr>
        <w:t xml:space="preserve"> 33/48 (2006.01). Спосіб діагностики хронічної серцевої недостатності у жінок післяменопаузального віку, хворих на гіпертонічну хворобу / Жебель В. М, Сакович О. О., Вільчинський Г. В., Сінгх О.</w:t>
      </w:r>
      <w:r w:rsidR="00421D10" w:rsidRPr="001416ED">
        <w:rPr>
          <w:rFonts w:eastAsia="Calibri"/>
          <w:kern w:val="11"/>
          <w:lang w:val="uk-UA" w:eastAsia="en-US"/>
        </w:rPr>
        <w:t xml:space="preserve"> </w:t>
      </w:r>
      <w:r w:rsidRPr="001416ED">
        <w:rPr>
          <w:rFonts w:eastAsia="Calibri"/>
          <w:kern w:val="11"/>
          <w:lang w:val="uk-UA" w:eastAsia="en-US"/>
        </w:rPr>
        <w:t>О.; Заявник та власник Вінницький національний медичний університет ім. М.І. Пирогова. –  №</w:t>
      </w:r>
      <w:r w:rsidRPr="001416ED">
        <w:rPr>
          <w:rFonts w:eastAsia="Calibri"/>
          <w:kern w:val="11"/>
          <w:lang w:val="en-US" w:eastAsia="en-US"/>
        </w:rPr>
        <w:t>u201108789</w:t>
      </w:r>
      <w:r w:rsidRPr="001416ED">
        <w:rPr>
          <w:rFonts w:eastAsia="Calibri"/>
          <w:kern w:val="11"/>
          <w:lang w:val="uk-UA" w:eastAsia="en-US"/>
        </w:rPr>
        <w:t>; заявл. 12.07.11; опубл. 27.02.12, Бюл. №4</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outlineLvl w:val="0"/>
        <w:rPr>
          <w:rFonts w:eastAsia="Calibri"/>
          <w:b/>
          <w:i/>
          <w:kern w:val="11"/>
          <w:lang w:val="uk-UA" w:eastAsia="en-US"/>
        </w:rPr>
      </w:pPr>
      <w:r w:rsidRPr="001416ED">
        <w:rPr>
          <w:rFonts w:eastAsia="Calibri"/>
          <w:kern w:val="11"/>
          <w:lang w:val="uk-UA" w:eastAsia="en-US"/>
        </w:rPr>
        <w:t xml:space="preserve">Пахомя Н. С. Роль полиморфизмов некоторых генов в реализации артериальной гипертензии / Н. С. Пахомя, О. М. Урясьев, А. В. Шаханов // Земский врач. – 2014. – № 3–4 (24). – С. 21–24. </w:t>
      </w:r>
    </w:p>
    <w:p w:rsidR="005107A1" w:rsidRPr="001416ED" w:rsidRDefault="005107A1" w:rsidP="0012229A">
      <w:pPr>
        <w:numPr>
          <w:ilvl w:val="0"/>
          <w:numId w:val="10"/>
        </w:numPr>
        <w:autoSpaceDE w:val="0"/>
        <w:autoSpaceDN w:val="0"/>
        <w:adjustRightInd w:val="0"/>
        <w:spacing w:after="200" w:line="360" w:lineRule="auto"/>
        <w:ind w:left="0" w:firstLine="0"/>
        <w:contextualSpacing/>
        <w:jc w:val="both"/>
        <w:rPr>
          <w:rFonts w:eastAsia="Calibri"/>
          <w:kern w:val="11"/>
          <w:lang w:val="uk-UA" w:eastAsia="en-US"/>
        </w:rPr>
      </w:pPr>
      <w:r w:rsidRPr="001416ED">
        <w:rPr>
          <w:rFonts w:eastAsia="PragmaticaC"/>
          <w:bCs/>
          <w:lang w:val="uk-UA" w:eastAsia="en-US"/>
        </w:rPr>
        <w:lastRenderedPageBreak/>
        <w:t xml:space="preserve">Петрова Е. Б. </w:t>
      </w:r>
      <w:r w:rsidRPr="001416ED">
        <w:rPr>
          <w:rFonts w:eastAsia="Calibri"/>
          <w:kern w:val="11"/>
          <w:lang w:val="uk-UA" w:eastAsia="en-US"/>
        </w:rPr>
        <w:t>Функциональное состояние эндотелия и особенности атеросклеротического поражения коронарніх артерий у пациентов с постинфарктным кардиосклерозом на фоне висцерального типа ожирения /</w:t>
      </w:r>
      <w:r w:rsidRPr="001416ED">
        <w:rPr>
          <w:rFonts w:eastAsia="PragmaticaC"/>
          <w:bCs/>
          <w:lang w:val="uk-UA" w:eastAsia="en-US"/>
        </w:rPr>
        <w:t xml:space="preserve"> Е. Б. Петрова, Н. П. Митьковская, Е. А. Григоренко [и др.] // Научно–практические аспект</w:t>
      </w:r>
      <w:r w:rsidRPr="001416ED">
        <w:rPr>
          <w:rFonts w:eastAsia="PragmaticaC"/>
          <w:bCs/>
          <w:lang w:eastAsia="en-US"/>
        </w:rPr>
        <w:t>ы кардиологии и внутренних болезней : сб. науч. тр., посвящ. 5–летию 3–й каф. внутренних болезней УО Белорус. гос. мед. ун–т ; под ред. Н. П. Митьковской, Н. Л. Цапаевой. – Минск : АЛЬТИОРА–Живые краски, 2013. – 257–262.</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outlineLvl w:val="0"/>
        <w:rPr>
          <w:rFonts w:eastAsia="Calibri"/>
          <w:kern w:val="11"/>
          <w:lang w:val="uk-UA" w:eastAsia="en-US"/>
        </w:rPr>
      </w:pPr>
      <w:r w:rsidRPr="001416ED">
        <w:rPr>
          <w:rFonts w:eastAsia="Calibri"/>
          <w:kern w:val="11"/>
          <w:lang w:val="uk-UA" w:eastAsia="en-US"/>
        </w:rPr>
        <w:t xml:space="preserve">Петрова И. Р. </w:t>
      </w:r>
      <w:r w:rsidRPr="001416ED">
        <w:rPr>
          <w:rFonts w:eastAsia="Calibri"/>
          <w:kern w:val="11"/>
          <w:shd w:val="clear" w:color="auto" w:fill="FFFFFF"/>
          <w:lang w:val="uk-UA" w:eastAsia="en-US"/>
        </w:rPr>
        <w:t>Клинические и генетические особенности гипертонической болезни в якутской популяции:</w:t>
      </w:r>
      <w:r w:rsidRPr="001416ED">
        <w:rPr>
          <w:kern w:val="11"/>
          <w:lang w:val="uk-UA" w:eastAsia="uk-UA"/>
        </w:rPr>
        <w:t xml:space="preserve"> Автореф. дис. .</w:t>
      </w:r>
      <w:r w:rsidRPr="001416ED">
        <w:rPr>
          <w:lang w:val="uk-UA" w:eastAsia="uk-UA"/>
        </w:rPr>
        <w:t xml:space="preserve">... </w:t>
      </w:r>
      <w:r w:rsidRPr="001416ED">
        <w:rPr>
          <w:kern w:val="11"/>
          <w:lang w:val="uk-UA" w:eastAsia="uk-UA"/>
        </w:rPr>
        <w:t>канд. мед. наук</w:t>
      </w:r>
      <w:r w:rsidRPr="001416ED">
        <w:rPr>
          <w:rFonts w:eastAsia="Calibri"/>
          <w:kern w:val="11"/>
          <w:shd w:val="clear" w:color="auto" w:fill="FFFFFF"/>
          <w:lang w:val="uk-UA" w:eastAsia="en-US"/>
        </w:rPr>
        <w:t xml:space="preserve"> : 14.00.06 / </w:t>
      </w:r>
      <w:r w:rsidRPr="001416ED">
        <w:rPr>
          <w:rFonts w:eastAsia="Calibri"/>
          <w:kern w:val="11"/>
          <w:lang w:val="uk-UA" w:eastAsia="en-US"/>
        </w:rPr>
        <w:t>И. Р. Петрова. – Москва, 2004. – 45 с.</w:t>
      </w:r>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lang w:val="uk-UA" w:eastAsia="uk-UA"/>
        </w:rPr>
        <w:t>Петровська В. В.</w:t>
      </w:r>
      <w:r w:rsidRPr="001416ED">
        <w:rPr>
          <w:rFonts w:eastAsia="Calibri"/>
          <w:kern w:val="11"/>
          <w:sz w:val="11"/>
          <w:szCs w:val="11"/>
          <w:lang w:val="uk-UA" w:eastAsia="en-US"/>
        </w:rPr>
        <w:t xml:space="preserve"> </w:t>
      </w:r>
      <w:r w:rsidRPr="001416ED">
        <w:rPr>
          <w:rFonts w:eastAsia="Calibri"/>
          <w:kern w:val="11"/>
          <w:lang w:val="uk-UA" w:eastAsia="en-US"/>
        </w:rPr>
        <w:t xml:space="preserve">Паралелі структурно–функціональних показників міокарда та концентрації у плазмі С–натрійуретичного пептиду й ендотеліну–1 у жінок із неускладненою гіпертонічною хворобою / </w:t>
      </w:r>
      <w:r w:rsidRPr="001416ED">
        <w:rPr>
          <w:lang w:val="uk-UA" w:eastAsia="uk-UA"/>
        </w:rPr>
        <w:t xml:space="preserve">В. В. Петровська, В. М. Жебель // </w:t>
      </w:r>
      <w:r w:rsidRPr="001416ED">
        <w:rPr>
          <w:rFonts w:eastAsia="Calibri"/>
          <w:bCs/>
          <w:lang w:val="uk-UA" w:eastAsia="en-US"/>
        </w:rPr>
        <w:t>А</w:t>
      </w:r>
      <w:r w:rsidRPr="001416ED">
        <w:rPr>
          <w:rFonts w:eastAsia="Calibri"/>
          <w:lang w:val="uk-UA" w:eastAsia="en-US"/>
        </w:rPr>
        <w:t>ктуальні питання фармацевтичної і медичної науки та практики.</w:t>
      </w:r>
      <w:r w:rsidRPr="001416ED">
        <w:rPr>
          <w:lang w:val="uk-UA" w:eastAsia="uk-UA"/>
        </w:rPr>
        <w:t xml:space="preserve"> – 2014. –   </w:t>
      </w:r>
      <w:r w:rsidRPr="001416ED">
        <w:rPr>
          <w:rFonts w:eastAsia="Calibri"/>
          <w:kern w:val="11"/>
          <w:lang w:val="uk-UA" w:eastAsia="en-US"/>
        </w:rPr>
        <w:t>№ 3 (16). – С. 84–87.</w:t>
      </w:r>
    </w:p>
    <w:p w:rsidR="005107A1" w:rsidRPr="001416ED" w:rsidRDefault="005107A1" w:rsidP="0012229A">
      <w:pPr>
        <w:numPr>
          <w:ilvl w:val="0"/>
          <w:numId w:val="10"/>
        </w:numPr>
        <w:spacing w:before="240" w:after="200" w:line="360" w:lineRule="auto"/>
        <w:ind w:left="0" w:right="-1" w:firstLine="0"/>
        <w:contextualSpacing/>
        <w:jc w:val="both"/>
        <w:rPr>
          <w:rFonts w:eastAsia="Calibri"/>
          <w:b/>
          <w:bCs/>
          <w:caps/>
          <w:kern w:val="11"/>
          <w:sz w:val="24"/>
          <w:szCs w:val="24"/>
          <w:lang w:val="uk-UA" w:eastAsia="en-US"/>
        </w:rPr>
      </w:pPr>
      <w:r w:rsidRPr="001416ED">
        <w:rPr>
          <w:rFonts w:eastAsia="Calibri"/>
          <w:kern w:val="11"/>
          <w:lang w:val="uk-UA" w:eastAsia="en-US"/>
        </w:rPr>
        <w:t xml:space="preserve">Погоріла І. В. Нові підходи до формування груп ризику відносно виникнення гіпертонічної хвороби шляхом орієнтовного визначення генотипу рецепторів до ангіотензину ІІ першого типу за допомогою індивідуальних пальцевих візерунків / І. В. Погоріла, В. М. Жебель // </w:t>
      </w:r>
      <w:hyperlink r:id="rId46" w:tgtFrame="_blank" w:history="1">
        <w:r w:rsidRPr="001416ED">
          <w:rPr>
            <w:rFonts w:eastAsia="Calibri"/>
            <w:kern w:val="11"/>
            <w:lang w:val="uk-UA" w:eastAsia="en-US"/>
          </w:rPr>
          <w:t>Biomedical and Biosocial Anthropology</w:t>
        </w:r>
      </w:hyperlink>
      <w:r w:rsidRPr="001416ED">
        <w:rPr>
          <w:rFonts w:eastAsia="Calibri"/>
          <w:kern w:val="11"/>
          <w:lang w:val="uk-UA" w:eastAsia="en-US"/>
        </w:rPr>
        <w:t>. – 2006. – № 6. – С. 14–17.</w:t>
      </w:r>
    </w:p>
    <w:p w:rsidR="005107A1" w:rsidRPr="001416ED" w:rsidRDefault="005107A1" w:rsidP="0012229A">
      <w:pPr>
        <w:numPr>
          <w:ilvl w:val="0"/>
          <w:numId w:val="10"/>
        </w:numPr>
        <w:spacing w:line="360" w:lineRule="auto"/>
        <w:ind w:left="0" w:right="-1" w:firstLine="0"/>
        <w:jc w:val="both"/>
        <w:rPr>
          <w:rFonts w:eastAsia="Calibri"/>
          <w:kern w:val="11"/>
          <w:lang w:val="uk-UA" w:eastAsia="en-US"/>
        </w:rPr>
      </w:pPr>
      <w:r w:rsidRPr="001416ED">
        <w:rPr>
          <w:rFonts w:eastAsia="Calibri"/>
          <w:kern w:val="11"/>
          <w:lang w:val="uk-UA" w:eastAsia="en-US"/>
        </w:rPr>
        <w:t>Поливода С. Н. Поражение сердца при гипертонической болезни: клиническая и патофизиологическая значимость семейства натрийуретических пептидов / С. Н.  Поливода, А. А. Черепок, Р. А. Сычев [и др.] // Український кардіологічний журнал. – 2004. – №5. – С.</w:t>
      </w:r>
      <w:r w:rsidRPr="001416ED">
        <w:rPr>
          <w:rFonts w:eastAsia="Calibri"/>
          <w:kern w:val="11"/>
          <w:lang w:eastAsia="en-US"/>
        </w:rPr>
        <w:t xml:space="preserve"> </w:t>
      </w:r>
      <w:r w:rsidRPr="001416ED">
        <w:rPr>
          <w:rFonts w:eastAsia="Calibri"/>
          <w:kern w:val="11"/>
          <w:lang w:val="uk-UA" w:eastAsia="en-US"/>
        </w:rPr>
        <w:t>30–35.</w:t>
      </w:r>
    </w:p>
    <w:p w:rsidR="005107A1" w:rsidRPr="001416ED" w:rsidRDefault="005107A1" w:rsidP="0012229A">
      <w:pPr>
        <w:numPr>
          <w:ilvl w:val="0"/>
          <w:numId w:val="10"/>
        </w:numPr>
        <w:autoSpaceDE w:val="0"/>
        <w:autoSpaceDN w:val="0"/>
        <w:adjustRightInd w:val="0"/>
        <w:spacing w:after="200" w:line="360" w:lineRule="auto"/>
        <w:ind w:left="0" w:right="-1" w:firstLine="0"/>
        <w:contextualSpacing/>
        <w:jc w:val="both"/>
        <w:rPr>
          <w:rFonts w:eastAsia="PragmaticaC"/>
          <w:bCs/>
          <w:lang w:val="uk-UA" w:eastAsia="en-US"/>
        </w:rPr>
      </w:pPr>
      <w:r w:rsidRPr="001416ED">
        <w:rPr>
          <w:rFonts w:eastAsia="PragmaticaC"/>
          <w:bCs/>
          <w:lang w:val="uk-UA" w:eastAsia="en-US"/>
        </w:rPr>
        <w:t>Поливода С. Н.</w:t>
      </w:r>
      <w:r w:rsidRPr="001416ED">
        <w:rPr>
          <w:rFonts w:eastAsia="PragmaticaC"/>
          <w:bCs/>
          <w:lang w:eastAsia="en-US"/>
        </w:rPr>
        <w:t xml:space="preserve"> Р</w:t>
      </w:r>
      <w:r w:rsidRPr="001416ED">
        <w:rPr>
          <w:rFonts w:eastAsia="PragmaticaC"/>
          <w:bCs/>
          <w:lang w:val="uk-UA" w:eastAsia="en-US"/>
        </w:rPr>
        <w:t>емоделирование артериальных сосудов у больных гипертонической болезнью – взгляд сквозь призму молекулярных механизмо</w:t>
      </w:r>
      <w:r w:rsidRPr="001416ED">
        <w:rPr>
          <w:rFonts w:eastAsia="PragmaticaC"/>
          <w:bCs/>
          <w:lang w:eastAsia="en-US"/>
        </w:rPr>
        <w:t xml:space="preserve">в </w:t>
      </w:r>
      <w:r w:rsidRPr="001416ED">
        <w:rPr>
          <w:rFonts w:eastAsia="PragmaticaC"/>
          <w:bCs/>
          <w:lang w:val="uk-UA" w:eastAsia="en-US"/>
        </w:rPr>
        <w:t xml:space="preserve">[Электронный ресурс] </w:t>
      </w:r>
      <w:r w:rsidRPr="001416ED">
        <w:rPr>
          <w:rFonts w:eastAsia="PragmaticaC"/>
          <w:bCs/>
          <w:lang w:eastAsia="en-US"/>
        </w:rPr>
        <w:t xml:space="preserve"> / </w:t>
      </w:r>
      <w:r w:rsidRPr="001416ED">
        <w:rPr>
          <w:rFonts w:eastAsia="PragmaticaC"/>
          <w:bCs/>
          <w:lang w:val="uk-UA" w:eastAsia="en-US"/>
        </w:rPr>
        <w:t>С. Н. Поливода</w:t>
      </w:r>
      <w:r w:rsidRPr="001416ED">
        <w:rPr>
          <w:rFonts w:eastAsia="PragmaticaC"/>
          <w:bCs/>
          <w:lang w:eastAsia="en-US"/>
        </w:rPr>
        <w:t xml:space="preserve"> // А</w:t>
      </w:r>
      <w:r w:rsidRPr="001416ED">
        <w:rPr>
          <w:rFonts w:eastAsia="PragmaticaC"/>
          <w:bCs/>
          <w:lang w:val="uk-UA" w:eastAsia="en-US"/>
        </w:rPr>
        <w:t>ртериальная гипертензия</w:t>
      </w:r>
      <w:r w:rsidRPr="001416ED">
        <w:rPr>
          <w:rFonts w:eastAsia="PragmaticaC"/>
          <w:bCs/>
          <w:lang w:eastAsia="en-US"/>
        </w:rPr>
        <w:t xml:space="preserve">. – </w:t>
      </w:r>
      <w:r w:rsidRPr="001416ED">
        <w:rPr>
          <w:rFonts w:eastAsia="PragmaticaC"/>
          <w:bCs/>
          <w:lang w:val="uk-UA" w:eastAsia="en-US"/>
        </w:rPr>
        <w:t>2009</w:t>
      </w:r>
      <w:r w:rsidRPr="001416ED">
        <w:rPr>
          <w:rFonts w:eastAsia="PragmaticaC"/>
          <w:bCs/>
          <w:lang w:eastAsia="en-US"/>
        </w:rPr>
        <w:t xml:space="preserve">. –№ </w:t>
      </w:r>
      <w:r w:rsidRPr="001416ED">
        <w:rPr>
          <w:rFonts w:eastAsia="PragmaticaC"/>
          <w:bCs/>
          <w:lang w:val="uk-UA" w:eastAsia="en-US"/>
        </w:rPr>
        <w:t>4(6)</w:t>
      </w:r>
      <w:r w:rsidRPr="001416ED">
        <w:rPr>
          <w:rFonts w:eastAsia="PragmaticaC"/>
          <w:bCs/>
          <w:lang w:eastAsia="en-US"/>
        </w:rPr>
        <w:t xml:space="preserve">. </w:t>
      </w:r>
      <w:r w:rsidRPr="001416ED">
        <w:rPr>
          <w:rFonts w:eastAsia="PragmaticaC"/>
          <w:bCs/>
          <w:lang w:val="uk-UA" w:eastAsia="en-US"/>
        </w:rPr>
        <w:t xml:space="preserve"> Режим доступа к журн.:</w:t>
      </w:r>
      <w:r w:rsidRPr="001416ED">
        <w:t xml:space="preserve"> </w:t>
      </w:r>
      <w:r w:rsidRPr="001416ED">
        <w:rPr>
          <w:rFonts w:eastAsia="PragmaticaC"/>
          <w:bCs/>
          <w:lang w:val="uk-UA" w:eastAsia="en-US"/>
        </w:rPr>
        <w:t>http://www.mif-ua.com/archive/article/10123</w:t>
      </w:r>
    </w:p>
    <w:p w:rsidR="005107A1" w:rsidRPr="001416ED" w:rsidRDefault="005107A1" w:rsidP="0012229A">
      <w:pPr>
        <w:numPr>
          <w:ilvl w:val="0"/>
          <w:numId w:val="10"/>
        </w:numPr>
        <w:tabs>
          <w:tab w:val="left" w:pos="709"/>
        </w:tabs>
        <w:spacing w:line="360" w:lineRule="auto"/>
        <w:ind w:left="0" w:firstLine="0"/>
        <w:jc w:val="both"/>
        <w:outlineLvl w:val="0"/>
        <w:rPr>
          <w:bCs/>
          <w:kern w:val="36"/>
          <w:lang w:val="uk-UA" w:eastAsia="uk-UA"/>
        </w:rPr>
      </w:pPr>
      <w:r w:rsidRPr="001416ED">
        <w:rPr>
          <w:bCs/>
          <w:kern w:val="36"/>
          <w:lang w:eastAsia="uk-UA"/>
        </w:rPr>
        <w:lastRenderedPageBreak/>
        <w:t>Полушк</w:t>
      </w:r>
      <w:r w:rsidRPr="001416ED">
        <w:rPr>
          <w:bCs/>
          <w:kern w:val="36"/>
          <w:lang w:val="uk-UA" w:eastAsia="uk-UA"/>
        </w:rPr>
        <w:t xml:space="preserve">ин П. М. </w:t>
      </w:r>
      <w:r w:rsidRPr="001416ED">
        <w:rPr>
          <w:kern w:val="36"/>
          <w:lang w:val="uk-UA" w:eastAsia="uk-UA"/>
        </w:rPr>
        <w:t xml:space="preserve">Современное состояние и перспективы исследования дерматоглифики в практике медико–психологического обследования студентов и молодежи / П. М. Полушкин, Е. В. Асибай, Е. В. Неровная </w:t>
      </w:r>
      <w:r w:rsidRPr="001416ED">
        <w:rPr>
          <w:kern w:val="36"/>
          <w:lang w:eastAsia="uk-UA"/>
        </w:rPr>
        <w:t>[</w:t>
      </w:r>
      <w:r w:rsidRPr="001416ED">
        <w:rPr>
          <w:kern w:val="36"/>
          <w:lang w:val="uk-UA" w:eastAsia="uk-UA"/>
        </w:rPr>
        <w:t>и др.</w:t>
      </w:r>
      <w:r w:rsidRPr="001416ED">
        <w:rPr>
          <w:kern w:val="36"/>
          <w:lang w:eastAsia="uk-UA"/>
        </w:rPr>
        <w:t>]</w:t>
      </w:r>
      <w:r w:rsidRPr="001416ED">
        <w:rPr>
          <w:kern w:val="36"/>
          <w:lang w:val="uk-UA" w:eastAsia="uk-UA"/>
        </w:rPr>
        <w:t xml:space="preserve"> // </w:t>
      </w:r>
      <w:hyperlink r:id="rId47" w:history="1">
        <w:r w:rsidRPr="001416ED">
          <w:rPr>
            <w:bCs/>
            <w:kern w:val="36"/>
            <w:lang w:val="uk-UA" w:eastAsia="uk-UA"/>
          </w:rPr>
          <w:t>Вісник Дніпропетровського університету. Біологія, медицина</w:t>
        </w:r>
      </w:hyperlink>
      <w:r w:rsidRPr="001416ED">
        <w:rPr>
          <w:bCs/>
          <w:kern w:val="36"/>
          <w:lang w:val="uk-UA" w:eastAsia="uk-UA"/>
        </w:rPr>
        <w:t>. – 2012. – № 3–1. – С. 91–97.</w:t>
      </w:r>
    </w:p>
    <w:p w:rsidR="005107A1" w:rsidRPr="001416ED" w:rsidRDefault="005107A1" w:rsidP="0012229A">
      <w:pPr>
        <w:numPr>
          <w:ilvl w:val="0"/>
          <w:numId w:val="10"/>
        </w:numPr>
        <w:spacing w:after="200" w:line="360" w:lineRule="auto"/>
        <w:ind w:left="0" w:firstLine="0"/>
        <w:contextualSpacing/>
        <w:jc w:val="both"/>
        <w:rPr>
          <w:rFonts w:eastAsia="Calibri"/>
          <w:kern w:val="11"/>
          <w:lang w:val="uk-UA" w:eastAsia="en-US"/>
        </w:rPr>
      </w:pPr>
      <w:r w:rsidRPr="001416ED">
        <w:rPr>
          <w:rFonts w:eastAsia="PragmaticaC"/>
          <w:lang w:val="uk-UA" w:eastAsia="en-US"/>
        </w:rPr>
        <w:t xml:space="preserve">Рамазанова Л. И.   Дерматоглифический анализ больных ИБС среди коренных жителей Ростовской популяции [Электронный ресурс] / Л. И.   Рамазанова // Актуальные проблемы биологии, медицины и экологии.  – 2004. – №1. </w:t>
      </w:r>
      <w:r w:rsidRPr="001416ED">
        <w:rPr>
          <w:bCs/>
          <w:kern w:val="36"/>
          <w:lang w:val="uk-UA" w:eastAsia="uk-UA"/>
        </w:rPr>
        <w:t>– С. 101–108.</w:t>
      </w:r>
    </w:p>
    <w:p w:rsidR="005107A1" w:rsidRPr="001416ED" w:rsidRDefault="005107A1" w:rsidP="0012229A">
      <w:pPr>
        <w:numPr>
          <w:ilvl w:val="0"/>
          <w:numId w:val="10"/>
        </w:numPr>
        <w:spacing w:before="100" w:beforeAutospacing="1" w:after="100" w:afterAutospacing="1" w:line="360" w:lineRule="auto"/>
        <w:ind w:left="0" w:firstLine="0"/>
        <w:jc w:val="both"/>
        <w:rPr>
          <w:rFonts w:eastAsia="Calibri"/>
          <w:kern w:val="11"/>
          <w:lang w:eastAsia="uk-UA"/>
        </w:rPr>
      </w:pPr>
      <w:r w:rsidRPr="001416ED">
        <w:rPr>
          <w:rFonts w:eastAsia="Calibri"/>
          <w:kern w:val="11"/>
          <w:lang w:eastAsia="uk-UA"/>
        </w:rPr>
        <w:t xml:space="preserve"> </w:t>
      </w:r>
      <w:r w:rsidRPr="001416ED">
        <w:rPr>
          <w:rFonts w:eastAsia="Calibri"/>
          <w:kern w:val="11"/>
          <w:lang w:val="uk-UA" w:eastAsia="uk-UA"/>
        </w:rPr>
        <w:t xml:space="preserve">Ратманова А. О. </w:t>
      </w:r>
      <w:r w:rsidRPr="001416ED">
        <w:rPr>
          <w:rFonts w:eastAsia="Calibri"/>
          <w:kern w:val="11"/>
          <w:lang w:eastAsia="uk-UA"/>
        </w:rPr>
        <w:t xml:space="preserve">Сердечно–сосудистая заболеваемость и смертность – статистика по европейским странам (2008) / А. </w:t>
      </w:r>
      <w:r w:rsidR="00421D10" w:rsidRPr="001416ED">
        <w:rPr>
          <w:rFonts w:eastAsia="Calibri"/>
          <w:kern w:val="11"/>
          <w:lang w:val="uk-UA" w:eastAsia="uk-UA"/>
        </w:rPr>
        <w:t xml:space="preserve">О. </w:t>
      </w:r>
      <w:r w:rsidRPr="001416ED">
        <w:rPr>
          <w:rFonts w:eastAsia="Calibri"/>
          <w:kern w:val="11"/>
          <w:lang w:eastAsia="uk-UA"/>
        </w:rPr>
        <w:t xml:space="preserve">Ратаманова // </w:t>
      </w:r>
      <w:r w:rsidRPr="001416ED">
        <w:rPr>
          <w:rFonts w:eastAsia="Calibri"/>
          <w:kern w:val="11"/>
          <w:lang w:val="uk-UA" w:eastAsia="uk-UA"/>
        </w:rPr>
        <w:t>Medicine</w:t>
      </w:r>
      <w:r w:rsidRPr="001416ED">
        <w:rPr>
          <w:rFonts w:eastAsia="Calibri"/>
          <w:kern w:val="11"/>
          <w:lang w:eastAsia="uk-UA"/>
        </w:rPr>
        <w:t xml:space="preserve"> </w:t>
      </w:r>
      <w:r w:rsidRPr="001416ED">
        <w:rPr>
          <w:rFonts w:eastAsia="Calibri"/>
          <w:kern w:val="11"/>
          <w:lang w:val="uk-UA" w:eastAsia="uk-UA"/>
        </w:rPr>
        <w:t>review</w:t>
      </w:r>
      <w:r w:rsidRPr="001416ED">
        <w:rPr>
          <w:rFonts w:eastAsia="Calibri"/>
          <w:kern w:val="11"/>
          <w:lang w:eastAsia="uk-UA"/>
        </w:rPr>
        <w:t xml:space="preserve">. – 2009. – № 1(06) – </w:t>
      </w:r>
      <w:r w:rsidRPr="001416ED">
        <w:rPr>
          <w:rFonts w:eastAsia="Calibri"/>
          <w:kern w:val="11"/>
          <w:lang w:val="uk-UA" w:eastAsia="uk-UA"/>
        </w:rPr>
        <w:t>C</w:t>
      </w:r>
      <w:r w:rsidRPr="001416ED">
        <w:rPr>
          <w:rFonts w:eastAsia="Calibri"/>
          <w:kern w:val="11"/>
          <w:lang w:eastAsia="uk-UA"/>
        </w:rPr>
        <w:t>. 6–12.</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right="-1" w:firstLine="0"/>
        <w:contextualSpacing/>
        <w:jc w:val="both"/>
        <w:rPr>
          <w:rFonts w:eastAsia="Calibri"/>
          <w:kern w:val="11"/>
          <w:lang w:val="uk-UA" w:eastAsia="en-US"/>
        </w:rPr>
      </w:pPr>
      <w:r w:rsidRPr="001416ED">
        <w:rPr>
          <w:rFonts w:eastAsia="Calibri"/>
          <w:kern w:val="11"/>
          <w:lang w:val="uk-UA" w:eastAsia="en-US"/>
        </w:rPr>
        <w:t xml:space="preserve">Ребров А. П. </w:t>
      </w:r>
      <w:r w:rsidRPr="001416ED">
        <w:rPr>
          <w:rFonts w:eastAsia="Calibri"/>
          <w:bCs/>
          <w:kern w:val="11"/>
          <w:lang w:val="uk-UA" w:eastAsia="en-US"/>
        </w:rPr>
        <w:t>Диагностически значимые маркеры эндотелиальной дисфункции у больных молодого возраста с артериальной гипертонией</w:t>
      </w:r>
      <w:r w:rsidRPr="001416ED">
        <w:rPr>
          <w:rFonts w:eastAsia="Calibri"/>
          <w:b/>
          <w:bCs/>
          <w:kern w:val="11"/>
          <w:lang w:val="uk-UA" w:eastAsia="en-US"/>
        </w:rPr>
        <w:t xml:space="preserve"> / </w:t>
      </w:r>
      <w:r w:rsidRPr="001416ED">
        <w:rPr>
          <w:rFonts w:eastAsia="Calibri"/>
          <w:kern w:val="11"/>
          <w:lang w:val="uk-UA" w:eastAsia="en-US"/>
        </w:rPr>
        <w:t xml:space="preserve"> А. П. Ребров, С. В. Лямина, Н. П. Лямина [</w:t>
      </w:r>
      <w:r w:rsidRPr="001416ED">
        <w:rPr>
          <w:rFonts w:eastAsia="Calibri"/>
          <w:kern w:val="11"/>
          <w:lang w:eastAsia="en-US"/>
        </w:rPr>
        <w:t>и др</w:t>
      </w:r>
      <w:r w:rsidRPr="001416ED">
        <w:rPr>
          <w:rFonts w:eastAsia="Calibri"/>
          <w:kern w:val="11"/>
          <w:lang w:val="uk-UA" w:eastAsia="en-US"/>
        </w:rPr>
        <w:t>.] // Регионарное кровообращение и микроциркуляция. – 2007.– № 3. – С. 59–65.</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jc w:val="both"/>
        <w:rPr>
          <w:rFonts w:eastAsia="Calibri"/>
          <w:bCs/>
          <w:lang w:val="uk-UA" w:eastAsia="en-US"/>
        </w:rPr>
      </w:pPr>
      <w:r w:rsidRPr="001416ED">
        <w:rPr>
          <w:rFonts w:eastAsia="Calibri"/>
          <w:bCs/>
          <w:iCs/>
          <w:kern w:val="11"/>
          <w:lang w:val="uk-UA" w:eastAsia="en-US"/>
        </w:rPr>
        <w:t>Сакович О. О.</w:t>
      </w:r>
      <w:r w:rsidRPr="001416ED">
        <w:rPr>
          <w:rFonts w:eastAsia="Calibri"/>
          <w:kern w:val="11"/>
          <w:shd w:val="clear" w:color="auto" w:fill="FFFFFF"/>
          <w:lang w:val="uk-UA" w:eastAsia="en-US"/>
        </w:rPr>
        <w:t xml:space="preserve"> Успадкування </w:t>
      </w:r>
      <w:r w:rsidR="00FF5C21">
        <w:rPr>
          <w:rFonts w:eastAsia="Calibri"/>
          <w:kern w:val="11"/>
          <w:shd w:val="clear" w:color="auto" w:fill="FFFFFF"/>
          <w:lang w:val="uk-UA" w:eastAsia="en-US"/>
        </w:rPr>
        <w:t>поліморфних варіантів гена</w:t>
      </w:r>
      <w:r w:rsidRPr="001416ED">
        <w:rPr>
          <w:rFonts w:eastAsia="Calibri"/>
          <w:kern w:val="11"/>
          <w:shd w:val="clear" w:color="auto" w:fill="FFFFFF"/>
          <w:lang w:val="uk-UA" w:eastAsia="en-US"/>
        </w:rPr>
        <w:t xml:space="preserve"> рецептора ангіотензину ІІ 1–го типу та фактори ризику розвитку гіпертонічної хвороби у жінок, які проживають у Вінницькій області /</w:t>
      </w:r>
      <w:r w:rsidRPr="001416ED">
        <w:rPr>
          <w:rFonts w:eastAsia="Calibri"/>
          <w:bCs/>
          <w:iCs/>
          <w:kern w:val="11"/>
          <w:lang w:val="uk-UA" w:eastAsia="en-US"/>
        </w:rPr>
        <w:t xml:space="preserve"> О. О. Сакович, В. М. Жебель, А. Ф. Гуменюк // Запорожский медицинский журнал. – 2011. – №4 (13). – С. 44–47.</w:t>
      </w:r>
    </w:p>
    <w:p w:rsidR="005107A1" w:rsidRPr="001416ED" w:rsidRDefault="005107A1" w:rsidP="0012229A">
      <w:pPr>
        <w:numPr>
          <w:ilvl w:val="0"/>
          <w:numId w:val="10"/>
        </w:numPr>
        <w:suppressAutoHyphens/>
        <w:spacing w:after="200" w:line="360" w:lineRule="auto"/>
        <w:ind w:left="0" w:firstLine="0"/>
        <w:contextualSpacing/>
        <w:jc w:val="both"/>
        <w:rPr>
          <w:rFonts w:eastAsia="Candara"/>
          <w:iCs/>
          <w:kern w:val="11"/>
          <w:lang w:val="uk-UA" w:eastAsia="en-US"/>
        </w:rPr>
      </w:pPr>
      <w:r w:rsidRPr="001416ED">
        <w:rPr>
          <w:rFonts w:eastAsia="Candara"/>
          <w:iCs/>
          <w:kern w:val="11"/>
          <w:lang w:val="uk-UA" w:eastAsia="en-US"/>
        </w:rPr>
        <w:t>Сакович О. О. Поліморфізм гена рецептора ангіотензину ІІ першого типу та рівні натрійуретичних пептидів у жінок післяменопаузального віку з гіпертонічною хворобою: неускладненою та ускладненою хронічною серцевою недостатністю: Автореф. дис. .... канд. мед. наук : 14.01.11 / О. О. Сакович. – Київ, 2012. – 20 с.</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outlineLvl w:val="0"/>
        <w:rPr>
          <w:rFonts w:eastAsia="PragmaticaC"/>
          <w:sz w:val="16"/>
          <w:szCs w:val="16"/>
          <w:lang w:val="uk-UA" w:eastAsia="en-US"/>
        </w:rPr>
      </w:pPr>
      <w:r w:rsidRPr="001416ED">
        <w:rPr>
          <w:rFonts w:eastAsia="PragmaticaC"/>
          <w:lang w:val="uk-UA" w:eastAsia="en-US"/>
        </w:rPr>
        <w:t>Сапатий А. Л. Метаболічні особливості оксиду азоту у формуванні ендотеліальної дисфункції за серцево–судинних захворювань / А. Л. Сапатий, І. Г. Купновицька // Ліки України. – 2008. – №6 (122). – С. 82–86.</w:t>
      </w:r>
    </w:p>
    <w:p w:rsidR="005107A1" w:rsidRPr="001416ED" w:rsidRDefault="00A9327B" w:rsidP="0012229A">
      <w:pPr>
        <w:numPr>
          <w:ilvl w:val="0"/>
          <w:numId w:val="10"/>
        </w:numPr>
        <w:tabs>
          <w:tab w:val="left" w:pos="709"/>
        </w:tabs>
        <w:spacing w:line="360" w:lineRule="auto"/>
        <w:ind w:left="0" w:firstLine="0"/>
        <w:jc w:val="both"/>
        <w:outlineLvl w:val="0"/>
        <w:rPr>
          <w:bCs/>
          <w:kern w:val="36"/>
          <w:lang w:val="uk-UA" w:eastAsia="uk-UA"/>
        </w:rPr>
      </w:pPr>
      <w:hyperlink r:id="rId48" w:tooltip="Пошук за автором" w:history="1">
        <w:r w:rsidR="005107A1" w:rsidRPr="001416ED">
          <w:rPr>
            <w:kern w:val="36"/>
            <w:lang w:val="uk-UA" w:eastAsia="uk-UA"/>
          </w:rPr>
          <w:t>Свищенко</w:t>
        </w:r>
        <w:r w:rsidR="005107A1" w:rsidRPr="001416ED">
          <w:rPr>
            <w:bCs/>
            <w:kern w:val="36"/>
            <w:lang w:val="uk-UA" w:eastAsia="uk-UA"/>
          </w:rPr>
          <w:t> Е. П.</w:t>
        </w:r>
      </w:hyperlink>
      <w:r w:rsidR="005107A1" w:rsidRPr="001416ED">
        <w:rPr>
          <w:bCs/>
          <w:kern w:val="36"/>
          <w:shd w:val="clear" w:color="auto" w:fill="F9F9F9"/>
          <w:lang w:val="uk-UA" w:eastAsia="uk-UA"/>
        </w:rPr>
        <w:t> </w:t>
      </w:r>
      <w:r w:rsidR="005107A1" w:rsidRPr="001416ED">
        <w:rPr>
          <w:kern w:val="36"/>
          <w:lang w:val="uk-UA" w:eastAsia="uk-UA"/>
        </w:rPr>
        <w:t>Гипертоническая болезнь. Вторичные гипертензии</w:t>
      </w:r>
      <w:r w:rsidR="005107A1" w:rsidRPr="001416ED">
        <w:rPr>
          <w:bCs/>
          <w:kern w:val="36"/>
          <w:lang w:val="uk-UA" w:eastAsia="uk-UA"/>
        </w:rPr>
        <w:t> / Е.</w:t>
      </w:r>
      <w:r w:rsidR="005107A1" w:rsidRPr="001416ED">
        <w:rPr>
          <w:bCs/>
          <w:kern w:val="36"/>
          <w:shd w:val="clear" w:color="auto" w:fill="F9F9F9"/>
          <w:lang w:val="uk-UA" w:eastAsia="uk-UA"/>
        </w:rPr>
        <w:t xml:space="preserve"> </w:t>
      </w:r>
      <w:r w:rsidR="005107A1" w:rsidRPr="001416ED">
        <w:rPr>
          <w:bCs/>
          <w:kern w:val="36"/>
          <w:lang w:val="uk-UA" w:eastAsia="uk-UA"/>
        </w:rPr>
        <w:t>П. </w:t>
      </w:r>
      <w:r w:rsidR="005107A1" w:rsidRPr="001416ED">
        <w:rPr>
          <w:kern w:val="36"/>
          <w:lang w:val="uk-UA" w:eastAsia="uk-UA"/>
        </w:rPr>
        <w:t>Свищенко</w:t>
      </w:r>
      <w:r w:rsidR="005107A1" w:rsidRPr="001416ED">
        <w:rPr>
          <w:bCs/>
          <w:kern w:val="36"/>
          <w:lang w:val="uk-UA" w:eastAsia="uk-UA"/>
        </w:rPr>
        <w:t>, В. Н. Коваленко; ред.: В. Н. Коваленко. – К. : Либідь, 2002. –</w:t>
      </w:r>
      <w:r w:rsidR="005107A1" w:rsidRPr="001416ED">
        <w:rPr>
          <w:bCs/>
          <w:kern w:val="36"/>
          <w:shd w:val="clear" w:color="auto" w:fill="F9F9F9"/>
          <w:lang w:val="uk-UA" w:eastAsia="uk-UA"/>
        </w:rPr>
        <w:t xml:space="preserve"> </w:t>
      </w:r>
      <w:r w:rsidR="005107A1" w:rsidRPr="001416ED">
        <w:rPr>
          <w:bCs/>
          <w:kern w:val="36"/>
          <w:lang w:val="uk-UA" w:eastAsia="uk-UA"/>
        </w:rPr>
        <w:t>502 c.</w:t>
      </w:r>
      <w:r w:rsidR="005107A1" w:rsidRPr="001416ED">
        <w:rPr>
          <w:bCs/>
          <w:kern w:val="36"/>
          <w:shd w:val="clear" w:color="auto" w:fill="F9F9F9"/>
          <w:lang w:val="uk-UA" w:eastAsia="uk-UA"/>
        </w:rPr>
        <w:t xml:space="preserve"> </w:t>
      </w:r>
    </w:p>
    <w:p w:rsidR="005107A1" w:rsidRPr="001416ED" w:rsidRDefault="005107A1" w:rsidP="0012229A">
      <w:pPr>
        <w:numPr>
          <w:ilvl w:val="0"/>
          <w:numId w:val="10"/>
        </w:numPr>
        <w:autoSpaceDE w:val="0"/>
        <w:autoSpaceDN w:val="0"/>
        <w:adjustRightInd w:val="0"/>
        <w:spacing w:after="200" w:line="360" w:lineRule="auto"/>
        <w:ind w:left="0" w:right="-1" w:firstLine="0"/>
        <w:contextualSpacing/>
        <w:jc w:val="both"/>
        <w:rPr>
          <w:rFonts w:eastAsia="PragmaticaC"/>
          <w:lang w:val="uk-UA" w:eastAsia="en-US"/>
        </w:rPr>
      </w:pPr>
      <w:r w:rsidRPr="001416ED">
        <w:rPr>
          <w:rFonts w:eastAsia="PragmaticaC"/>
          <w:lang w:val="uk-UA" w:eastAsia="en-US"/>
        </w:rPr>
        <w:lastRenderedPageBreak/>
        <w:t>Сєркова В. К. Рівень ендотеліну–1 в крові хворих на гіпертонічну хворобу та при артеріальній гіпертензії, зумовленій захворюваннями нирок / В. К. Сєркова, Н. М. Горобець // Український терапевтичний журнал. – 2005. – № 1. – С. 8–10.</w:t>
      </w:r>
    </w:p>
    <w:p w:rsidR="005107A1" w:rsidRPr="001416ED" w:rsidRDefault="005107A1" w:rsidP="0012229A">
      <w:pPr>
        <w:numPr>
          <w:ilvl w:val="0"/>
          <w:numId w:val="10"/>
        </w:numPr>
        <w:shd w:val="clear" w:color="auto" w:fill="FFFFFF"/>
        <w:tabs>
          <w:tab w:val="left" w:pos="709"/>
        </w:tabs>
        <w:autoSpaceDE w:val="0"/>
        <w:autoSpaceDN w:val="0"/>
        <w:adjustRightInd w:val="0"/>
        <w:spacing w:before="90" w:after="200" w:line="360" w:lineRule="auto"/>
        <w:ind w:left="0" w:right="-1" w:firstLine="0"/>
        <w:contextualSpacing/>
        <w:jc w:val="both"/>
        <w:rPr>
          <w:rFonts w:eastAsia="Calibri"/>
          <w:kern w:val="11"/>
          <w:lang w:val="uk-UA" w:eastAsia="en-US"/>
        </w:rPr>
      </w:pPr>
      <w:r w:rsidRPr="001416ED">
        <w:rPr>
          <w:rFonts w:eastAsia="Calibri"/>
          <w:kern w:val="11"/>
          <w:lang w:val="uk-UA" w:eastAsia="en-US"/>
        </w:rPr>
        <w:t>Сидорчук Л. П. Показники ехокардіограми та геометричні моделі міокарда лівого шлуночка у хворих на артеріальну гіпертензію залежно від поліморфізму п’яти генів / Л. П. Сидорчук // Український терапевтичний журнал. – 2008. – № 2. – С. 13–20.</w:t>
      </w:r>
    </w:p>
    <w:p w:rsidR="005107A1" w:rsidRPr="001416ED" w:rsidRDefault="005107A1" w:rsidP="0012229A">
      <w:pPr>
        <w:numPr>
          <w:ilvl w:val="0"/>
          <w:numId w:val="10"/>
        </w:numPr>
        <w:suppressAutoHyphens/>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Старжинська О. Л. Клініко–діагностичне значення плазмової концентрації В – натрійуретичного пептиду та поліморфізму генів рецепторів ангіотензину ІІ у хворих на гіпертонічну хворобу: Автореф. дис. … канд. мед. наук : 14.01.11 / О. Л. Старжинська. – Київ, 2006. – 23 с.</w:t>
      </w:r>
    </w:p>
    <w:p w:rsidR="005107A1" w:rsidRPr="001416ED" w:rsidRDefault="005107A1" w:rsidP="0012229A">
      <w:pPr>
        <w:numPr>
          <w:ilvl w:val="0"/>
          <w:numId w:val="10"/>
        </w:numPr>
        <w:shd w:val="clear" w:color="auto" w:fill="FFFFFF"/>
        <w:autoSpaceDE w:val="0"/>
        <w:autoSpaceDN w:val="0"/>
        <w:adjustRightInd w:val="0"/>
        <w:spacing w:before="90" w:after="90" w:line="360" w:lineRule="auto"/>
        <w:ind w:left="0" w:right="33" w:firstLine="0"/>
        <w:contextualSpacing/>
        <w:jc w:val="both"/>
        <w:textAlignment w:val="baseline"/>
        <w:outlineLvl w:val="0"/>
        <w:rPr>
          <w:rFonts w:eastAsia="Calibri"/>
          <w:kern w:val="11"/>
          <w:lang w:val="uk-UA" w:eastAsia="en-US"/>
        </w:rPr>
      </w:pPr>
      <w:r w:rsidRPr="001416ED">
        <w:rPr>
          <w:lang w:val="uk-UA" w:eastAsia="uk-UA"/>
        </w:rPr>
        <w:t xml:space="preserve">Степанець С. О. </w:t>
      </w:r>
      <w:r w:rsidRPr="001416ED">
        <w:rPr>
          <w:rFonts w:eastAsia="Calibri"/>
          <w:bCs/>
          <w:lang w:val="uk-UA" w:eastAsia="en-US"/>
        </w:rPr>
        <w:t>Плазмові концентрації С–натрійуретичного пептиду та ендотеліну–1 у чоловіків хворих на гіпертонічну хворобу з різними генотипами пироксисом проліфератор–активуючих рецепторів гамма</w:t>
      </w:r>
      <w:r w:rsidRPr="001416ED">
        <w:rPr>
          <w:rFonts w:eastAsia="Calibri"/>
          <w:lang w:val="uk-UA" w:eastAsia="en-US"/>
        </w:rPr>
        <w:t xml:space="preserve"> / </w:t>
      </w:r>
      <w:r w:rsidRPr="001416ED">
        <w:rPr>
          <w:lang w:val="uk-UA" w:eastAsia="uk-UA"/>
        </w:rPr>
        <w:t>С. О. Степанець //</w:t>
      </w:r>
      <w:r w:rsidRPr="001416ED">
        <w:rPr>
          <w:rFonts w:eastAsia="Calibri"/>
          <w:iCs/>
          <w:lang w:val="uk-UA" w:eastAsia="en-US"/>
        </w:rPr>
        <w:t xml:space="preserve"> Вiomedical and biosocial anthropology.</w:t>
      </w:r>
      <w:r w:rsidRPr="001416ED">
        <w:rPr>
          <w:lang w:val="uk-UA" w:eastAsia="uk-UA"/>
        </w:rPr>
        <w:t xml:space="preserve"> – 2013. – №21. – С. 180–184.</w:t>
      </w:r>
    </w:p>
    <w:p w:rsidR="005107A1" w:rsidRPr="001416ED" w:rsidRDefault="005107A1" w:rsidP="0012229A">
      <w:pPr>
        <w:numPr>
          <w:ilvl w:val="0"/>
          <w:numId w:val="10"/>
        </w:numPr>
        <w:tabs>
          <w:tab w:val="left" w:pos="709"/>
        </w:tabs>
        <w:autoSpaceDE w:val="0"/>
        <w:autoSpaceDN w:val="0"/>
        <w:adjustRightInd w:val="0"/>
        <w:spacing w:after="200" w:line="360" w:lineRule="auto"/>
        <w:ind w:left="0" w:firstLine="0"/>
        <w:contextualSpacing/>
        <w:jc w:val="both"/>
        <w:rPr>
          <w:rFonts w:eastAsia="Calibri"/>
          <w:kern w:val="11"/>
          <w:lang w:eastAsia="uk-UA"/>
        </w:rPr>
      </w:pPr>
      <w:r w:rsidRPr="001416ED">
        <w:rPr>
          <w:rFonts w:eastAsia="Calibri"/>
          <w:iCs/>
          <w:kern w:val="11"/>
          <w:lang w:eastAsia="uk-UA"/>
        </w:rPr>
        <w:t>Сторожаков Г. И. Эндотелиальная дисфункция при артериальной гипертонии у пациентов пожилого возраста / Г. И. Сторожаков, Г. С. Верещагина, Н. В. Малышева  // Клиническая геронтология. – 2007. – Т. 9, № 1. – С. 23–28.</w:t>
      </w:r>
    </w:p>
    <w:p w:rsidR="005107A1" w:rsidRPr="001416ED" w:rsidRDefault="005107A1" w:rsidP="0012229A">
      <w:pPr>
        <w:widowControl w:val="0"/>
        <w:numPr>
          <w:ilvl w:val="0"/>
          <w:numId w:val="10"/>
        </w:numPr>
        <w:tabs>
          <w:tab w:val="left" w:pos="709"/>
        </w:tabs>
        <w:spacing w:line="360" w:lineRule="auto"/>
        <w:ind w:left="0" w:right="20" w:firstLine="0"/>
        <w:jc w:val="both"/>
        <w:rPr>
          <w:rFonts w:eastAsia="Calibri"/>
          <w:kern w:val="11"/>
          <w:lang w:val="uk-UA" w:eastAsia="en-US"/>
        </w:rPr>
      </w:pPr>
      <w:r w:rsidRPr="001416ED">
        <w:rPr>
          <w:rFonts w:eastAsia="Calibri"/>
          <w:bCs/>
          <w:kern w:val="11"/>
          <w:shd w:val="clear" w:color="auto" w:fill="FFFFFF"/>
          <w:lang w:val="uk-UA" w:eastAsia="en-US"/>
        </w:rPr>
        <w:t>Стрес і хвороби системи кровообігу</w:t>
      </w:r>
      <w:r w:rsidRPr="001416ED">
        <w:rPr>
          <w:rFonts w:eastAsia="Calibri"/>
          <w:kern w:val="11"/>
          <w:shd w:val="clear" w:color="auto" w:fill="FFFFFF"/>
          <w:lang w:val="uk-UA" w:eastAsia="en-US"/>
        </w:rPr>
        <w:t xml:space="preserve"> : посібник / В. М. Корнацький, Т. С. Манойленко, А. Г. Кириченко [та ін.] ; під ред. В. М. Коваленка, В. М. Корнацького ; Національний науковий центр "Інститут кардіології імені М. Д. Стражеска". − Київ : Коломіцин В. Ю., 2015. – 352 с. </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kern w:val="11"/>
          <w:shd w:val="clear" w:color="auto" w:fill="FFFFFF"/>
          <w:lang w:val="uk-UA" w:eastAsia="en-US"/>
        </w:rPr>
        <w:t>Сыволап В. Д. Уровень эндотелина–1 при осложненном течении инфаркта миокарда / В. Д. Сыволап, С. Н. Пивоваров, В. В. Сыволап // Лікарська справа. – 2012. – № 2. – С. 139–140.</w:t>
      </w:r>
    </w:p>
    <w:p w:rsidR="005107A1" w:rsidRPr="001416ED" w:rsidRDefault="005107A1" w:rsidP="0012229A">
      <w:pPr>
        <w:numPr>
          <w:ilvl w:val="0"/>
          <w:numId w:val="10"/>
        </w:numPr>
        <w:shd w:val="clear" w:color="auto" w:fill="FFFFFF"/>
        <w:tabs>
          <w:tab w:val="left" w:pos="709"/>
        </w:tabs>
        <w:autoSpaceDE w:val="0"/>
        <w:autoSpaceDN w:val="0"/>
        <w:adjustRightInd w:val="0"/>
        <w:spacing w:before="90" w:after="200" w:line="360" w:lineRule="auto"/>
        <w:ind w:left="0" w:firstLine="0"/>
        <w:contextualSpacing/>
        <w:jc w:val="both"/>
        <w:rPr>
          <w:rFonts w:eastAsia="Calibri"/>
          <w:bCs/>
          <w:lang w:val="uk-UA" w:eastAsia="en-US"/>
        </w:rPr>
      </w:pPr>
      <w:r w:rsidRPr="001416ED">
        <w:rPr>
          <w:rFonts w:eastAsia="Calibri"/>
          <w:kern w:val="11"/>
          <w:lang w:val="uk-UA" w:eastAsia="en-US"/>
        </w:rPr>
        <w:t>Тихонова С. А. Полиморфизм генов рецептора ангиотензина ІІ 1–го типа и синтазы альдостерона у молодых мужчин с разными уровнями артериального давления и наследственным анамнезом по гипертонической болезни / С. А. Тихонова //  Український терапевтичний журнал. – 2008. – № 3. – С. 61–66.</w:t>
      </w:r>
    </w:p>
    <w:p w:rsidR="005107A1" w:rsidRPr="001416ED" w:rsidRDefault="005107A1" w:rsidP="0012229A">
      <w:pPr>
        <w:numPr>
          <w:ilvl w:val="0"/>
          <w:numId w:val="10"/>
        </w:numPr>
        <w:spacing w:before="100" w:beforeAutospacing="1" w:after="100" w:afterAutospacing="1" w:line="360" w:lineRule="auto"/>
        <w:ind w:left="0" w:firstLine="0"/>
        <w:jc w:val="both"/>
        <w:rPr>
          <w:lang w:val="uk-UA" w:eastAsia="uk-UA"/>
        </w:rPr>
      </w:pPr>
      <w:r w:rsidRPr="001416ED">
        <w:rPr>
          <w:rFonts w:eastAsia="Calibri"/>
          <w:bCs/>
          <w:kern w:val="11"/>
          <w:lang w:val="uk-UA" w:eastAsia="en-US"/>
        </w:rPr>
        <w:lastRenderedPageBreak/>
        <w:t>Треумова С. І. Клініко–патогенетична роль ендотеліальної дисфункції у розвитку хронічного легеневого серця на фоні хронічного обструктивного захворювання легень, поєднаного з гіпертонічною хворобою в осіб літнього віку / С. І. Треумова // Український пульмонологічний журнал. – 2011. – № 1. – С. 46–48.</w:t>
      </w:r>
    </w:p>
    <w:p w:rsidR="005107A1" w:rsidRPr="001416ED" w:rsidRDefault="005107A1" w:rsidP="0012229A">
      <w:pPr>
        <w:numPr>
          <w:ilvl w:val="0"/>
          <w:numId w:val="10"/>
        </w:numPr>
        <w:tabs>
          <w:tab w:val="left" w:pos="709"/>
        </w:tabs>
        <w:spacing w:after="200" w:line="360" w:lineRule="auto"/>
        <w:ind w:left="0" w:firstLine="0"/>
        <w:contextualSpacing/>
        <w:jc w:val="both"/>
        <w:rPr>
          <w:rFonts w:eastAsia="Calibri"/>
          <w:kern w:val="11"/>
          <w:lang w:val="uk-UA" w:eastAsia="en-US"/>
        </w:rPr>
      </w:pPr>
      <w:r w:rsidRPr="001416ED">
        <w:rPr>
          <w:rFonts w:eastAsia="Calibri"/>
          <w:kern w:val="11"/>
          <w:lang w:val="uk-UA" w:eastAsia="en-US"/>
        </w:rPr>
        <w:t xml:space="preserve">Франчук С. В. Плазмові концентрації С–натрійуретичного пептиду та ендотеліну–1 у жінок, які перенесли судинні події на фоні гіпертонічної хвороби, при успадкуванні різних варіантів гена рецептора ангіотензину ІІ першого типу / С. В. Франчук, О. Л. Старжинська // </w:t>
      </w:r>
      <w:r w:rsidRPr="001416ED">
        <w:rPr>
          <w:rFonts w:eastAsia="Calibri"/>
          <w:bCs/>
          <w:iCs/>
          <w:kern w:val="11"/>
          <w:lang w:val="uk-UA" w:eastAsia="en-US"/>
        </w:rPr>
        <w:t>Запорожский медицинский журнал. – 2013. – №1 (76). – С. 45–49.</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right="-1" w:firstLine="0"/>
        <w:contextualSpacing/>
        <w:jc w:val="both"/>
        <w:rPr>
          <w:rFonts w:eastAsia="Calibri"/>
          <w:bCs/>
          <w:lang w:val="uk-UA" w:eastAsia="en-US"/>
        </w:rPr>
      </w:pPr>
      <w:r w:rsidRPr="001416ED">
        <w:rPr>
          <w:rFonts w:eastAsia="Calibri"/>
          <w:kern w:val="11"/>
          <w:lang w:val="uk-UA" w:eastAsia="en-US"/>
        </w:rPr>
        <w:t>Франчук С. В. Успадкування гена рецептора ангіотензину II першого типу та плазмові рівні натрійуретичних пептидів у жінок з гіпертонічною хворобою, які перенесли інфаркт міокарда або мозковий інсульт, роль в прогнозуванні та діагностиці: автореф. дис. …. канд. мед. Наук : 14.00.11 / </w:t>
      </w:r>
      <w:hyperlink r:id="rId49" w:history="1">
        <w:r w:rsidRPr="001416ED">
          <w:rPr>
            <w:rFonts w:eastAsia="Calibri"/>
            <w:bCs/>
            <w:kern w:val="11"/>
            <w:lang w:val="uk-UA" w:eastAsia="en-US"/>
          </w:rPr>
          <w:t>С. В. Франчук</w:t>
        </w:r>
      </w:hyperlink>
      <w:r w:rsidRPr="001416ED">
        <w:rPr>
          <w:rFonts w:eastAsia="Calibri"/>
          <w:kern w:val="11"/>
          <w:lang w:val="uk-UA" w:eastAsia="en-US"/>
        </w:rPr>
        <w:t>. – Запоріжжя, 2013. – 22 с.</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jc w:val="both"/>
        <w:rPr>
          <w:rFonts w:eastAsia="Calibri"/>
          <w:bCs/>
          <w:lang w:val="uk-UA" w:eastAsia="en-US"/>
        </w:rPr>
      </w:pPr>
      <w:r w:rsidRPr="001416ED">
        <w:rPr>
          <w:rFonts w:eastAsia="Calibri"/>
          <w:kern w:val="11"/>
          <w:shd w:val="clear" w:color="auto" w:fill="FFFFFF"/>
          <w:lang w:val="uk-UA" w:eastAsia="en-US"/>
        </w:rPr>
        <w:t>Хвороби системи кровообігу як медико – соціальна і суспільно – політична проблема. / під ред. Коваленка В. М., Корнацького В. М, – Київ: 2014. – 280 с.</w:t>
      </w:r>
    </w:p>
    <w:p w:rsidR="005107A1" w:rsidRPr="001416ED" w:rsidRDefault="005107A1" w:rsidP="0012229A">
      <w:pPr>
        <w:numPr>
          <w:ilvl w:val="0"/>
          <w:numId w:val="10"/>
        </w:numPr>
        <w:spacing w:after="200" w:line="360" w:lineRule="auto"/>
        <w:ind w:left="0" w:firstLine="0"/>
        <w:contextualSpacing/>
        <w:jc w:val="both"/>
        <w:textAlignment w:val="baseline"/>
        <w:rPr>
          <w:rFonts w:eastAsia="Calibri"/>
          <w:kern w:val="11"/>
          <w:lang w:val="uk-UA" w:eastAsia="uk-UA"/>
        </w:rPr>
      </w:pPr>
      <w:r w:rsidRPr="001416ED">
        <w:rPr>
          <w:rFonts w:eastAsia="Calibri"/>
          <w:iCs/>
          <w:kern w:val="11"/>
          <w:lang w:val="uk-UA" w:eastAsia="uk-UA"/>
        </w:rPr>
        <w:t xml:space="preserve"> Хромов О. С. Механізми порушень системної гемодинаміки при артеріальній гіпертензії та сучасні підходи до ії профілактики та лікування (огляд літератури) / О. С. Хромов, Л. Б. Доломан, Н. В. Добреля [та ін.] // Ліки. – 2004. – № 5–6. – С. 16–22.</w:t>
      </w:r>
    </w:p>
    <w:p w:rsidR="005107A1" w:rsidRPr="001416ED" w:rsidRDefault="005107A1" w:rsidP="0012229A">
      <w:pPr>
        <w:numPr>
          <w:ilvl w:val="0"/>
          <w:numId w:val="10"/>
        </w:numPr>
        <w:tabs>
          <w:tab w:val="left" w:pos="709"/>
        </w:tabs>
        <w:spacing w:after="200" w:line="360" w:lineRule="auto"/>
        <w:ind w:left="0" w:right="-1" w:firstLine="0"/>
        <w:contextualSpacing/>
        <w:jc w:val="both"/>
        <w:outlineLvl w:val="0"/>
        <w:rPr>
          <w:rFonts w:eastAsia="Calibri"/>
          <w:kern w:val="11"/>
          <w:lang w:val="uk-UA" w:eastAsia="en-US"/>
        </w:rPr>
      </w:pPr>
      <w:r w:rsidRPr="001416ED">
        <w:rPr>
          <w:rFonts w:eastAsia="Calibri"/>
          <w:kern w:val="11"/>
          <w:shd w:val="clear" w:color="auto" w:fill="FFFFFF"/>
          <w:lang w:val="uk-UA" w:eastAsia="en-US"/>
        </w:rPr>
        <w:t>Целуйко В. И. Генетические аспекты инфаркта міокарда / В. И. Целуйко, Е. И. Попова // Серце і судини. – 2008. – № 1. – С. 47–53.</w:t>
      </w:r>
    </w:p>
    <w:p w:rsidR="005107A1" w:rsidRPr="001416ED" w:rsidRDefault="005107A1" w:rsidP="0012229A">
      <w:pPr>
        <w:numPr>
          <w:ilvl w:val="0"/>
          <w:numId w:val="10"/>
        </w:numPr>
        <w:tabs>
          <w:tab w:val="left" w:pos="567"/>
        </w:tabs>
        <w:autoSpaceDE w:val="0"/>
        <w:autoSpaceDN w:val="0"/>
        <w:adjustRightInd w:val="0"/>
        <w:spacing w:before="90" w:after="200" w:line="360" w:lineRule="auto"/>
        <w:ind w:left="0" w:right="33" w:firstLine="0"/>
        <w:contextualSpacing/>
        <w:jc w:val="both"/>
        <w:textAlignment w:val="baseline"/>
        <w:outlineLvl w:val="0"/>
        <w:rPr>
          <w:rFonts w:eastAsia="PragmaticaC"/>
          <w:lang w:val="uk-UA" w:eastAsia="en-US"/>
        </w:rPr>
      </w:pPr>
      <w:r w:rsidRPr="001416ED">
        <w:rPr>
          <w:rFonts w:eastAsia="Calibri"/>
          <w:kern w:val="11"/>
          <w:lang w:val="uk-UA" w:eastAsia="en-US"/>
        </w:rPr>
        <w:t>Штандель С. А. Особенности дерматоглифики при гипертонической болезни / С. А. Штандель, С. Н. Коваль, Ю. И. Караченцев [и др.] // Проблеми ендокринної патології : Мед.наук.</w:t>
      </w:r>
      <w:r w:rsidRPr="001416ED">
        <w:rPr>
          <w:rFonts w:eastAsia="Calibri"/>
          <w:kern w:val="11"/>
          <w:lang w:val="uk-UA" w:eastAsia="en-US"/>
        </w:rPr>
        <w:softHyphen/>
        <w:t xml:space="preserve">практ.журн. </w:t>
      </w:r>
      <w:r w:rsidRPr="001416ED">
        <w:rPr>
          <w:rFonts w:eastAsia="Calibri"/>
          <w:kern w:val="11"/>
          <w:lang w:val="uk-UA" w:eastAsia="en-US"/>
        </w:rPr>
        <w:softHyphen/>
        <w:t xml:space="preserve"> – 2005. –</w:t>
      </w:r>
      <w:r w:rsidRPr="001416ED">
        <w:rPr>
          <w:rFonts w:eastAsia="Calibri"/>
          <w:kern w:val="11"/>
          <w:lang w:val="uk-UA" w:eastAsia="en-US"/>
        </w:rPr>
        <w:softHyphen/>
        <w:t xml:space="preserve"> № 2. </w:t>
      </w:r>
      <w:r w:rsidRPr="001416ED">
        <w:rPr>
          <w:rFonts w:eastAsia="Calibri"/>
          <w:kern w:val="11"/>
          <w:lang w:val="uk-UA" w:eastAsia="en-US"/>
        </w:rPr>
        <w:softHyphen/>
        <w:t>– С. 46</w:t>
      </w:r>
      <w:r w:rsidRPr="001416ED">
        <w:rPr>
          <w:rFonts w:eastAsia="Calibri"/>
          <w:kern w:val="11"/>
          <w:lang w:val="uk-UA" w:eastAsia="en-US"/>
        </w:rPr>
        <w:softHyphen/>
        <w:t xml:space="preserve">–55. </w:t>
      </w:r>
    </w:p>
    <w:p w:rsidR="005107A1" w:rsidRPr="001416ED" w:rsidRDefault="005107A1" w:rsidP="0012229A">
      <w:pPr>
        <w:numPr>
          <w:ilvl w:val="0"/>
          <w:numId w:val="10"/>
        </w:numPr>
        <w:shd w:val="clear" w:color="auto" w:fill="FFFFFF"/>
        <w:autoSpaceDE w:val="0"/>
        <w:autoSpaceDN w:val="0"/>
        <w:adjustRightInd w:val="0"/>
        <w:spacing w:before="83" w:after="200" w:line="360" w:lineRule="auto"/>
        <w:ind w:left="0" w:right="33" w:firstLine="0"/>
        <w:contextualSpacing/>
        <w:jc w:val="both"/>
        <w:textAlignment w:val="baseline"/>
        <w:outlineLvl w:val="0"/>
        <w:rPr>
          <w:rFonts w:eastAsia="Calibri"/>
          <w:kern w:val="11"/>
          <w:lang w:val="uk-UA" w:eastAsia="en-US"/>
        </w:rPr>
      </w:pPr>
      <w:r w:rsidRPr="001416ED">
        <w:rPr>
          <w:rFonts w:eastAsia="Calibri"/>
          <w:kern w:val="11"/>
          <w:lang w:val="uk-UA" w:eastAsia="en-US"/>
        </w:rPr>
        <w:t>Щеглова Е. В.</w:t>
      </w:r>
      <w:r w:rsidRPr="001416ED">
        <w:rPr>
          <w:rFonts w:eastAsia="Calibri"/>
          <w:kern w:val="11"/>
          <w:shd w:val="clear" w:color="auto" w:fill="FFFFFF"/>
          <w:lang w:val="uk-UA" w:eastAsia="en-US"/>
        </w:rPr>
        <w:t xml:space="preserve"> Клиническое и прогностическое значение полиморфизма некоторых генов–кандидатов и маркёров эндотелиальной дисфункции у больных, перенёсших острый коронарный синдром: </w:t>
      </w:r>
      <w:r w:rsidRPr="001416ED">
        <w:rPr>
          <w:kern w:val="11"/>
          <w:lang w:val="uk-UA" w:eastAsia="uk-UA"/>
        </w:rPr>
        <w:t>Автореф. дис. .</w:t>
      </w:r>
      <w:r w:rsidRPr="001416ED">
        <w:rPr>
          <w:lang w:val="uk-UA" w:eastAsia="uk-UA"/>
        </w:rPr>
        <w:t xml:space="preserve">... </w:t>
      </w:r>
      <w:r w:rsidRPr="001416ED">
        <w:rPr>
          <w:kern w:val="11"/>
          <w:lang w:val="uk-UA" w:eastAsia="uk-UA"/>
        </w:rPr>
        <w:t xml:space="preserve">канд. мед. наук : </w:t>
      </w:r>
      <w:hyperlink r:id="rId50" w:history="1">
        <w:r w:rsidRPr="001416ED">
          <w:rPr>
            <w:rFonts w:eastAsia="Calibri"/>
            <w:kern w:val="11"/>
            <w:shd w:val="clear" w:color="auto" w:fill="FFFFFF"/>
            <w:lang w:val="uk-UA" w:eastAsia="en-US"/>
          </w:rPr>
          <w:t>14.00.05</w:t>
        </w:r>
      </w:hyperlink>
      <w:r w:rsidRPr="001416ED">
        <w:rPr>
          <w:rFonts w:eastAsia="Calibri"/>
          <w:kern w:val="11"/>
          <w:sz w:val="11"/>
          <w:szCs w:val="11"/>
          <w:lang w:val="uk-UA" w:eastAsia="en-US"/>
        </w:rPr>
        <w:t xml:space="preserve"> </w:t>
      </w:r>
      <w:r w:rsidRPr="001416ED">
        <w:rPr>
          <w:kern w:val="11"/>
          <w:lang w:val="uk-UA" w:eastAsia="uk-UA"/>
        </w:rPr>
        <w:t xml:space="preserve">/ </w:t>
      </w:r>
      <w:r w:rsidRPr="001416ED">
        <w:rPr>
          <w:rFonts w:eastAsia="Calibri"/>
          <w:kern w:val="11"/>
          <w:lang w:val="uk-UA" w:eastAsia="en-US"/>
        </w:rPr>
        <w:t>Е. В. Щеглова. – Владикавказ, 2008. –  23 с.</w:t>
      </w:r>
    </w:p>
    <w:p w:rsidR="005107A1" w:rsidRPr="001416ED" w:rsidRDefault="005107A1" w:rsidP="0012229A">
      <w:pPr>
        <w:numPr>
          <w:ilvl w:val="0"/>
          <w:numId w:val="10"/>
        </w:numPr>
        <w:spacing w:line="360" w:lineRule="auto"/>
        <w:ind w:left="0" w:right="-1" w:firstLine="0"/>
        <w:jc w:val="both"/>
        <w:rPr>
          <w:rFonts w:eastAsia="Calibri"/>
          <w:kern w:val="11"/>
          <w:lang w:val="uk-UA" w:eastAsia="en-US"/>
        </w:rPr>
      </w:pPr>
      <w:r w:rsidRPr="001416ED">
        <w:rPr>
          <w:rFonts w:eastAsia="Calibri"/>
          <w:kern w:val="11"/>
          <w:lang w:val="uk-UA" w:eastAsia="en-US"/>
        </w:rPr>
        <w:lastRenderedPageBreak/>
        <w:t>Юнкеров В. И., Григорьев С. Г. Математико – статистическая обработка данных медицинских исследований / В. И. Юнкеров, С. Г. Григорьев // СПб: ВМедА. – 2002. – 266 с.</w:t>
      </w:r>
    </w:p>
    <w:p w:rsidR="005107A1" w:rsidRPr="001416ED" w:rsidRDefault="005107A1" w:rsidP="0012229A">
      <w:pPr>
        <w:numPr>
          <w:ilvl w:val="0"/>
          <w:numId w:val="10"/>
        </w:numPr>
        <w:shd w:val="clear" w:color="auto" w:fill="FFFFFF"/>
        <w:spacing w:line="360" w:lineRule="auto"/>
        <w:ind w:left="0" w:right="-1" w:firstLine="0"/>
        <w:jc w:val="both"/>
        <w:rPr>
          <w:rFonts w:eastAsia="Calibri"/>
          <w:kern w:val="11"/>
          <w:sz w:val="11"/>
          <w:szCs w:val="11"/>
          <w:lang w:val="uk-UA" w:eastAsia="en-US"/>
        </w:rPr>
      </w:pPr>
      <w:r w:rsidRPr="001416ED">
        <w:rPr>
          <w:rFonts w:eastAsia="Calibri"/>
          <w:kern w:val="11"/>
          <w:shd w:val="clear" w:color="auto" w:fill="FFFFFF"/>
          <w:lang w:val="uk-UA" w:eastAsia="en-US"/>
        </w:rPr>
        <w:t>Яковлева Н.</w:t>
      </w:r>
      <w:r w:rsidR="00421D10" w:rsidRPr="001416ED">
        <w:rPr>
          <w:rFonts w:eastAsia="Calibri"/>
          <w:kern w:val="11"/>
          <w:shd w:val="clear" w:color="auto" w:fill="FFFFFF"/>
          <w:lang w:val="uk-UA" w:eastAsia="en-US"/>
        </w:rPr>
        <w:t xml:space="preserve"> </w:t>
      </w:r>
      <w:r w:rsidRPr="001416ED">
        <w:rPr>
          <w:rFonts w:eastAsia="Calibri"/>
          <w:kern w:val="11"/>
          <w:shd w:val="clear" w:color="auto" w:fill="FFFFFF"/>
          <w:lang w:val="uk-UA" w:eastAsia="en-US"/>
        </w:rPr>
        <w:t>Ф. Генетические детерминанты развития хронической сердечной недостаточности и выраженности эндотелиальной дисфункции у больных ишемической болезнью сердца и артериальной гипертонией: Автореф. дис. … канд. мед. наук / Н. Ф. Яковлева. – Новосибирск, 2008. – 23 с.</w:t>
      </w:r>
    </w:p>
    <w:p w:rsidR="005107A1" w:rsidRPr="001416ED" w:rsidRDefault="005107A1" w:rsidP="0012229A">
      <w:pPr>
        <w:numPr>
          <w:ilvl w:val="0"/>
          <w:numId w:val="10"/>
        </w:numPr>
        <w:spacing w:after="200" w:line="360" w:lineRule="auto"/>
        <w:ind w:left="0" w:firstLine="0"/>
        <w:contextualSpacing/>
        <w:mirrorIndents/>
        <w:jc w:val="both"/>
        <w:textAlignment w:val="baseline"/>
        <w:outlineLvl w:val="0"/>
        <w:rPr>
          <w:rFonts w:eastAsia="Candara"/>
          <w:iCs/>
          <w:kern w:val="11"/>
          <w:lang w:val="uk-UA" w:eastAsia="en-US"/>
        </w:rPr>
      </w:pPr>
      <w:r w:rsidRPr="001416ED">
        <w:rPr>
          <w:rFonts w:eastAsia="Candara"/>
          <w:iCs/>
          <w:kern w:val="11"/>
          <w:lang w:val="uk-UA" w:eastAsia="en-US"/>
        </w:rPr>
        <w:t>2013 ESH/ESC Guidelines for the management of arterial hypertension / Committee for Practice Guidelines To improve the quality of clinical practice and patient care in Europe // European Heart Journal. – 2013. – Vol.</w:t>
      </w:r>
      <w:r w:rsidRPr="001416ED">
        <w:rPr>
          <w:rFonts w:eastAsia="Calibri"/>
          <w:i/>
          <w:kern w:val="11"/>
          <w:lang w:val="uk-UA" w:eastAsia="en-US"/>
        </w:rPr>
        <w:t xml:space="preserve"> </w:t>
      </w:r>
      <w:r w:rsidRPr="001416ED">
        <w:rPr>
          <w:rFonts w:eastAsia="Candara"/>
          <w:iCs/>
          <w:kern w:val="11"/>
          <w:lang w:val="uk-UA" w:eastAsia="en-US"/>
        </w:rPr>
        <w:t>34. – P. 2159–2219.</w:t>
      </w:r>
    </w:p>
    <w:p w:rsidR="005107A1" w:rsidRPr="001416ED" w:rsidRDefault="005107A1" w:rsidP="0012229A">
      <w:pPr>
        <w:numPr>
          <w:ilvl w:val="0"/>
          <w:numId w:val="10"/>
        </w:numPr>
        <w:spacing w:after="200" w:line="360" w:lineRule="auto"/>
        <w:ind w:left="0" w:firstLine="0"/>
        <w:contextualSpacing/>
        <w:mirrorIndents/>
        <w:jc w:val="both"/>
        <w:textAlignment w:val="baseline"/>
        <w:outlineLvl w:val="0"/>
        <w:rPr>
          <w:rFonts w:eastAsia="Candara"/>
          <w:iCs/>
          <w:kern w:val="11"/>
          <w:lang w:val="uk-UA" w:eastAsia="en-US"/>
        </w:rPr>
      </w:pPr>
      <w:r w:rsidRPr="001416ED">
        <w:rPr>
          <w:rFonts w:eastAsia="Candara"/>
          <w:iCs/>
          <w:kern w:val="11"/>
          <w:lang w:eastAsia="en-US"/>
        </w:rPr>
        <w:t>2013 ESC guidelines on the management of stable coronary artery disease—addenda</w:t>
      </w:r>
      <w:r w:rsidRPr="001416ED">
        <w:rPr>
          <w:rFonts w:eastAsia="Candara"/>
          <w:iCs/>
          <w:kern w:val="11"/>
          <w:lang w:val="en-US" w:eastAsia="en-US"/>
        </w:rPr>
        <w:t xml:space="preserve"> /</w:t>
      </w:r>
      <w:r w:rsidRPr="001416ED">
        <w:rPr>
          <w:rFonts w:eastAsia="Candara"/>
          <w:iCs/>
          <w:kern w:val="11"/>
          <w:lang w:eastAsia="en-US"/>
        </w:rPr>
        <w:t xml:space="preserve"> The Task Force on the management of stable coronary artery disease of the European Society of Cardiology</w:t>
      </w:r>
      <w:r w:rsidRPr="001416ED">
        <w:rPr>
          <w:rFonts w:eastAsia="Candara"/>
          <w:iCs/>
          <w:kern w:val="11"/>
          <w:lang w:val="en-US" w:eastAsia="en-US"/>
        </w:rPr>
        <w:t xml:space="preserve"> // </w:t>
      </w:r>
      <w:r w:rsidRPr="001416ED">
        <w:rPr>
          <w:rFonts w:eastAsia="Candara"/>
          <w:iCs/>
          <w:kern w:val="11"/>
          <w:lang w:val="uk-UA" w:eastAsia="en-US"/>
        </w:rPr>
        <w:t>European Heart Journal. – 2013. – Vol.</w:t>
      </w:r>
      <w:r w:rsidRPr="001416ED">
        <w:rPr>
          <w:rFonts w:eastAsia="Calibri"/>
          <w:spacing w:val="-20"/>
          <w:lang w:eastAsia="en-US"/>
        </w:rPr>
        <w:t xml:space="preserve"> </w:t>
      </w:r>
      <w:r w:rsidRPr="001416ED">
        <w:rPr>
          <w:rFonts w:eastAsia="Candara"/>
          <w:iCs/>
          <w:kern w:val="11"/>
          <w:lang w:eastAsia="en-US"/>
        </w:rPr>
        <w:t>34</w:t>
      </w:r>
      <w:r w:rsidRPr="001416ED">
        <w:rPr>
          <w:rFonts w:eastAsia="Candara"/>
          <w:iCs/>
          <w:kern w:val="11"/>
          <w:lang w:val="en-US" w:eastAsia="en-US"/>
        </w:rPr>
        <w:t>. – P.</w:t>
      </w:r>
      <w:r w:rsidRPr="001416ED">
        <w:rPr>
          <w:rFonts w:eastAsia="Candara"/>
          <w:iCs/>
          <w:kern w:val="11"/>
          <w:lang w:eastAsia="en-US"/>
        </w:rPr>
        <w:t xml:space="preserve"> 2949–3003</w:t>
      </w:r>
      <w:r w:rsidRPr="001416ED">
        <w:rPr>
          <w:rFonts w:eastAsia="Candara"/>
          <w:iCs/>
          <w:kern w:val="11"/>
          <w:lang w:val="en-US" w:eastAsia="en-US"/>
        </w:rPr>
        <w:t>.</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uk-UA" w:eastAsia="en-US"/>
        </w:rPr>
        <w:t>Abhilash P. R.</w:t>
      </w:r>
      <w:r w:rsidRPr="001416ED">
        <w:rPr>
          <w:rFonts w:eastAsia="Calibri"/>
          <w:kern w:val="11"/>
          <w:sz w:val="11"/>
          <w:szCs w:val="11"/>
          <w:lang w:val="uk-UA" w:eastAsia="en-US"/>
        </w:rPr>
        <w:t xml:space="preserve"> </w:t>
      </w:r>
      <w:r w:rsidRPr="001416ED">
        <w:rPr>
          <w:rFonts w:eastAsia="PragmaticaC"/>
          <w:lang w:val="uk-UA" w:eastAsia="en-US"/>
        </w:rPr>
        <w:t xml:space="preserve">Dermatoglyphics in Patients with Dental Caries: A Study on 1250 Individuals / P. R. Abhilash, R. Divyashree, S. G. Patil </w:t>
      </w:r>
      <w:r w:rsidRPr="001416ED">
        <w:rPr>
          <w:rFonts w:eastAsia="PragmaticaC"/>
          <w:bCs/>
          <w:lang w:val="uk-UA" w:eastAsia="en-US"/>
        </w:rPr>
        <w:t>[et al.]</w:t>
      </w:r>
      <w:r w:rsidRPr="001416ED">
        <w:rPr>
          <w:rFonts w:eastAsia="PragmaticaC"/>
          <w:lang w:val="uk-UA" w:eastAsia="en-US"/>
        </w:rPr>
        <w:t xml:space="preserve">  // The Journal of Contemporary Dental Practice. – 2012. – </w:t>
      </w:r>
      <w:r w:rsidRPr="001416ED">
        <w:rPr>
          <w:rFonts w:eastAsia="PragmaticaC"/>
          <w:lang w:val="en-US" w:eastAsia="en-US"/>
        </w:rPr>
        <w:t xml:space="preserve">Vol. </w:t>
      </w:r>
      <w:r w:rsidRPr="001416ED">
        <w:rPr>
          <w:rFonts w:eastAsia="PragmaticaC"/>
          <w:lang w:val="uk-UA" w:eastAsia="en-US"/>
        </w:rPr>
        <w:t>13 (3)</w:t>
      </w:r>
      <w:r w:rsidRPr="001416ED">
        <w:rPr>
          <w:rFonts w:eastAsia="PragmaticaC"/>
          <w:lang w:val="en-US" w:eastAsia="en-US"/>
        </w:rPr>
        <w:t xml:space="preserve">. – P. </w:t>
      </w:r>
      <w:r w:rsidRPr="001416ED">
        <w:rPr>
          <w:rFonts w:eastAsia="PragmaticaC"/>
          <w:lang w:val="uk-UA" w:eastAsia="en-US"/>
        </w:rPr>
        <w:t>266–274</w:t>
      </w:r>
      <w:r w:rsidRPr="001416ED">
        <w:rPr>
          <w:rFonts w:eastAsia="PragmaticaC"/>
          <w:lang w:val="en-US" w:eastAsia="en-US"/>
        </w:rPr>
        <w:t>.</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iCs/>
          <w:lang w:val="uk-UA" w:eastAsia="en-US"/>
        </w:rPr>
        <w:t>Adamkova V.</w:t>
      </w:r>
      <w:r w:rsidRPr="001416ED">
        <w:rPr>
          <w:rFonts w:eastAsia="Calibri"/>
          <w:kern w:val="11"/>
          <w:sz w:val="11"/>
          <w:szCs w:val="11"/>
          <w:lang w:val="uk-UA" w:eastAsia="en-US"/>
        </w:rPr>
        <w:t xml:space="preserve"> </w:t>
      </w:r>
      <w:r w:rsidRPr="001416ED">
        <w:rPr>
          <w:rFonts w:eastAsia="PragmaticaC"/>
          <w:iCs/>
          <w:lang w:val="uk-UA" w:eastAsia="en-US"/>
        </w:rPr>
        <w:t xml:space="preserve">Genetic determination of an endothelial function and the size of the heart sections in juvenile hypertensives / V. Adаmkovа, A. J. Hubасek, H. Pistulkovа </w:t>
      </w:r>
      <w:r w:rsidRPr="001416ED">
        <w:rPr>
          <w:rFonts w:eastAsia="PragmaticaC"/>
          <w:bCs/>
          <w:lang w:val="uk-UA" w:eastAsia="en-US"/>
        </w:rPr>
        <w:t xml:space="preserve">[et al.] </w:t>
      </w:r>
      <w:r w:rsidRPr="001416ED">
        <w:rPr>
          <w:rFonts w:eastAsia="PragmaticaC"/>
          <w:iCs/>
          <w:lang w:val="uk-UA" w:eastAsia="en-US"/>
        </w:rPr>
        <w:t xml:space="preserve"> // J. Appl. Biomed. – 2006. – </w:t>
      </w:r>
      <w:r w:rsidRPr="001416ED">
        <w:rPr>
          <w:rFonts w:eastAsia="PragmaticaC"/>
          <w:iCs/>
          <w:lang w:val="en-US" w:eastAsia="en-US"/>
        </w:rPr>
        <w:t xml:space="preserve">Vol. </w:t>
      </w:r>
      <w:r w:rsidRPr="001416ED">
        <w:rPr>
          <w:rFonts w:eastAsia="PragmaticaC"/>
          <w:iCs/>
          <w:lang w:val="uk-UA" w:eastAsia="en-US"/>
        </w:rPr>
        <w:t>4</w:t>
      </w:r>
      <w:r w:rsidRPr="001416ED">
        <w:rPr>
          <w:rFonts w:eastAsia="PragmaticaC"/>
          <w:iCs/>
          <w:lang w:val="en-US" w:eastAsia="en-US"/>
        </w:rPr>
        <w:t>. – P.</w:t>
      </w:r>
      <w:r w:rsidRPr="001416ED">
        <w:rPr>
          <w:rFonts w:eastAsia="PragmaticaC"/>
          <w:iCs/>
          <w:lang w:val="uk-UA" w:eastAsia="en-US"/>
        </w:rPr>
        <w:t xml:space="preserve"> 59–65</w:t>
      </w:r>
      <w:r w:rsidRPr="001416ED">
        <w:rPr>
          <w:rFonts w:eastAsia="PragmaticaC"/>
          <w:iCs/>
          <w:lang w:val="en-US" w:eastAsia="en-US"/>
        </w:rPr>
        <w:t>.</w:t>
      </w:r>
      <w:r w:rsidRPr="001416ED">
        <w:rPr>
          <w:rFonts w:eastAsia="PragmaticaC"/>
          <w:iCs/>
          <w:lang w:val="uk-UA" w:eastAsia="en-US"/>
        </w:rPr>
        <w:t xml:space="preserve"> </w:t>
      </w:r>
    </w:p>
    <w:p w:rsidR="005107A1" w:rsidRPr="001416ED" w:rsidRDefault="00A9327B"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hyperlink r:id="rId51" w:history="1">
        <w:r w:rsidR="005107A1" w:rsidRPr="001416ED">
          <w:rPr>
            <w:rFonts w:eastAsia="PragmaticaC"/>
            <w:bCs/>
            <w:lang w:val="uk-UA" w:eastAsia="en-US"/>
          </w:rPr>
          <w:t>Ak</w:t>
        </w:r>
      </w:hyperlink>
      <w:r w:rsidR="005107A1" w:rsidRPr="001416ED">
        <w:rPr>
          <w:rFonts w:eastAsia="PragmaticaC"/>
          <w:bCs/>
          <w:lang w:val="uk-UA" w:eastAsia="en-US"/>
        </w:rPr>
        <w:t xml:space="preserve"> </w:t>
      </w:r>
      <w:r w:rsidR="005107A1" w:rsidRPr="001416ED">
        <w:rPr>
          <w:rFonts w:eastAsia="Calibri"/>
          <w:kern w:val="11"/>
          <w:sz w:val="11"/>
          <w:szCs w:val="11"/>
          <w:lang w:val="uk-UA" w:eastAsia="en-US"/>
        </w:rPr>
        <w:t xml:space="preserve"> </w:t>
      </w:r>
      <w:r w:rsidR="005107A1" w:rsidRPr="001416ED">
        <w:rPr>
          <w:rFonts w:eastAsia="PragmaticaC"/>
          <w:bCs/>
          <w:lang w:val="uk-UA" w:eastAsia="en-US"/>
        </w:rPr>
        <w:t xml:space="preserve">G. </w:t>
      </w:r>
      <w:r w:rsidR="005107A1" w:rsidRPr="001416ED">
        <w:rPr>
          <w:rFonts w:eastAsia="PragmaticaC"/>
          <w:lang w:val="uk-UA" w:eastAsia="en-US"/>
        </w:rPr>
        <w:t xml:space="preserve">The relation between plasma endothelin–1 levels and metabolic control, risk factors, treatment modalities, and diabetic microangiopathy in patients with Type 2 diabetes mellitus / </w:t>
      </w:r>
      <w:hyperlink r:id="rId52" w:history="1">
        <w:r w:rsidR="005107A1" w:rsidRPr="001416ED">
          <w:rPr>
            <w:rFonts w:eastAsia="PragmaticaC"/>
            <w:lang w:val="uk-UA" w:eastAsia="en-US"/>
          </w:rPr>
          <w:t>G. Ak</w:t>
        </w:r>
      </w:hyperlink>
      <w:r w:rsidR="005107A1" w:rsidRPr="001416ED">
        <w:rPr>
          <w:rFonts w:eastAsia="PragmaticaC"/>
          <w:lang w:val="uk-UA" w:eastAsia="en-US"/>
        </w:rPr>
        <w:t>,  </w:t>
      </w:r>
      <w:hyperlink r:id="rId53" w:history="1">
        <w:r w:rsidR="005107A1" w:rsidRPr="001416ED">
          <w:rPr>
            <w:rFonts w:eastAsia="PragmaticaC"/>
            <w:lang w:val="uk-UA" w:eastAsia="en-US"/>
          </w:rPr>
          <w:t>S. Buyukberber</w:t>
        </w:r>
      </w:hyperlink>
      <w:r w:rsidR="005107A1" w:rsidRPr="001416ED">
        <w:rPr>
          <w:rFonts w:eastAsia="PragmaticaC"/>
          <w:lang w:val="uk-UA" w:eastAsia="en-US"/>
        </w:rPr>
        <w:t>, </w:t>
      </w:r>
      <w:hyperlink r:id="rId54" w:history="1">
        <w:r w:rsidR="005107A1" w:rsidRPr="001416ED">
          <w:rPr>
            <w:rFonts w:eastAsia="PragmaticaC"/>
            <w:lang w:val="uk-UA" w:eastAsia="en-US"/>
          </w:rPr>
          <w:t>A. Sevinc</w:t>
        </w:r>
      </w:hyperlink>
      <w:r w:rsidR="005107A1" w:rsidRPr="001416ED">
        <w:rPr>
          <w:rFonts w:eastAsia="PragmaticaC"/>
          <w:lang w:val="uk-UA" w:eastAsia="en-US"/>
        </w:rPr>
        <w:t xml:space="preserve"> </w:t>
      </w:r>
      <w:r w:rsidR="005107A1" w:rsidRPr="001416ED">
        <w:rPr>
          <w:rFonts w:eastAsia="PragmaticaC"/>
          <w:bCs/>
          <w:lang w:val="uk-UA" w:eastAsia="en-US"/>
        </w:rPr>
        <w:t xml:space="preserve">[et al.] // </w:t>
      </w:r>
      <w:r w:rsidR="005107A1" w:rsidRPr="001416ED">
        <w:rPr>
          <w:rFonts w:eastAsia="PragmaticaC"/>
          <w:bCs/>
          <w:iCs/>
          <w:lang w:val="uk-UA" w:eastAsia="en-US"/>
        </w:rPr>
        <w:t>Journal of Diabetes and its Complications</w:t>
      </w:r>
      <w:r w:rsidR="005107A1" w:rsidRPr="001416ED">
        <w:rPr>
          <w:rFonts w:eastAsia="PragmaticaC"/>
          <w:bCs/>
          <w:lang w:val="uk-UA" w:eastAsia="en-US"/>
        </w:rPr>
        <w:t>. – 2001. – 15. – Р. 150–157.</w:t>
      </w:r>
    </w:p>
    <w:p w:rsidR="005107A1" w:rsidRPr="001416ED" w:rsidRDefault="005107A1" w:rsidP="0012229A">
      <w:pPr>
        <w:numPr>
          <w:ilvl w:val="0"/>
          <w:numId w:val="10"/>
        </w:numPr>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Calibri"/>
          <w:kern w:val="11"/>
          <w:lang w:val="uk-UA" w:eastAsia="en-US"/>
        </w:rPr>
        <w:t xml:space="preserve">Alqasim A. </w:t>
      </w:r>
      <w:r w:rsidRPr="001416ED">
        <w:rPr>
          <w:rFonts w:eastAsia="Calibri"/>
          <w:bCs/>
          <w:lang w:val="en-US" w:eastAsia="en-US"/>
        </w:rPr>
        <w:t>L</w:t>
      </w:r>
      <w:r w:rsidRPr="001416ED">
        <w:rPr>
          <w:rFonts w:eastAsia="Calibri"/>
          <w:bCs/>
          <w:lang w:val="uk-UA" w:eastAsia="en-US"/>
        </w:rPr>
        <w:t>ower level of eNOS and C–type natriuretic peptide in patients with isolated systolic hypertension</w:t>
      </w:r>
      <w:r w:rsidRPr="001416ED">
        <w:rPr>
          <w:rFonts w:eastAsia="Calibri"/>
          <w:bCs/>
          <w:lang w:val="en-US" w:eastAsia="en-US"/>
        </w:rPr>
        <w:t xml:space="preserve"> </w:t>
      </w:r>
      <w:r w:rsidRPr="001416ED">
        <w:rPr>
          <w:rFonts w:eastAsia="Calibri"/>
          <w:bCs/>
          <w:lang w:val="uk-UA" w:eastAsia="en-US"/>
        </w:rPr>
        <w:t xml:space="preserve">/ </w:t>
      </w:r>
      <w:r w:rsidRPr="001416ED">
        <w:rPr>
          <w:rFonts w:eastAsia="Calibri"/>
          <w:kern w:val="11"/>
          <w:lang w:val="uk-UA" w:eastAsia="en-US"/>
        </w:rPr>
        <w:t xml:space="preserve">A. Alqasim // </w:t>
      </w:r>
      <w:r w:rsidRPr="001416ED">
        <w:rPr>
          <w:rFonts w:eastAsia="Calibri"/>
          <w:bCs/>
          <w:lang w:val="uk-UA" w:eastAsia="en-US"/>
        </w:rPr>
        <w:t xml:space="preserve">Pak J Physiol. – 2012. – </w:t>
      </w:r>
      <w:r w:rsidRPr="001416ED">
        <w:rPr>
          <w:rFonts w:eastAsia="PragmaticaC"/>
          <w:lang w:val="uk-UA" w:eastAsia="en-US"/>
        </w:rPr>
        <w:t xml:space="preserve">Vol. </w:t>
      </w:r>
      <w:r w:rsidRPr="001416ED">
        <w:rPr>
          <w:rFonts w:eastAsia="Calibri"/>
          <w:bCs/>
          <w:lang w:val="uk-UA" w:eastAsia="en-US"/>
        </w:rPr>
        <w:t>8 (1). – Р.7–11.</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bCs/>
          <w:iCs/>
          <w:lang w:val="uk-UA" w:eastAsia="en-US"/>
        </w:rPr>
      </w:pPr>
      <w:r w:rsidRPr="001416ED">
        <w:rPr>
          <w:rFonts w:eastAsia="Calibri"/>
          <w:lang w:val="uk-UA" w:eastAsia="en-US"/>
        </w:rPr>
        <w:t>A</w:t>
      </w:r>
      <w:r w:rsidRPr="001416ED">
        <w:rPr>
          <w:rFonts w:eastAsia="Calibri"/>
          <w:lang w:val="en-US" w:eastAsia="en-US"/>
        </w:rPr>
        <w:t>sai</w:t>
      </w:r>
      <w:r w:rsidRPr="001416ED">
        <w:rPr>
          <w:rFonts w:eastAsia="Calibri"/>
          <w:lang w:val="uk-UA" w:eastAsia="en-US"/>
        </w:rPr>
        <w:t xml:space="preserve"> T. </w:t>
      </w:r>
      <w:r w:rsidRPr="001416ED">
        <w:rPr>
          <w:rFonts w:eastAsia="Calibri"/>
          <w:bCs/>
          <w:lang w:val="uk-UA" w:eastAsia="en-US"/>
        </w:rPr>
        <w:t xml:space="preserve">Endothelin–1 Gene Variant Associates With Blood Pressure in Obese Japanese Subjects / </w:t>
      </w:r>
      <w:r w:rsidRPr="001416ED">
        <w:rPr>
          <w:rFonts w:eastAsia="Calibri"/>
          <w:lang w:val="uk-UA" w:eastAsia="en-US"/>
        </w:rPr>
        <w:t>T</w:t>
      </w:r>
      <w:r w:rsidRPr="001416ED">
        <w:rPr>
          <w:rFonts w:eastAsia="Calibri"/>
          <w:lang w:val="en-US" w:eastAsia="en-US"/>
        </w:rPr>
        <w:t>. Asai</w:t>
      </w:r>
      <w:r w:rsidRPr="001416ED">
        <w:rPr>
          <w:rFonts w:eastAsia="Calibri"/>
          <w:lang w:val="uk-UA" w:eastAsia="en-US"/>
        </w:rPr>
        <w:t xml:space="preserve">, T. Ohkubo, T. Katsuya </w:t>
      </w:r>
      <w:r w:rsidRPr="001416ED">
        <w:rPr>
          <w:rFonts w:eastAsia="Calibri"/>
          <w:lang w:val="en-US" w:eastAsia="en-US"/>
        </w:rPr>
        <w:t>[et al.]</w:t>
      </w:r>
      <w:r w:rsidRPr="001416ED">
        <w:rPr>
          <w:rFonts w:eastAsia="Calibri"/>
          <w:lang w:val="uk-UA" w:eastAsia="en-US"/>
        </w:rPr>
        <w:t xml:space="preserve"> // </w:t>
      </w:r>
      <w:r w:rsidRPr="001416ED">
        <w:rPr>
          <w:rFonts w:eastAsia="Calibri"/>
          <w:bCs/>
          <w:iCs/>
          <w:lang w:val="uk-UA" w:eastAsia="en-US"/>
        </w:rPr>
        <w:t>Hypertension</w:t>
      </w:r>
      <w:r w:rsidRPr="001416ED">
        <w:rPr>
          <w:rFonts w:eastAsia="Calibri"/>
          <w:bCs/>
          <w:lang w:val="uk-UA" w:eastAsia="en-US"/>
        </w:rPr>
        <w:t xml:space="preserve">. – 2001. – </w:t>
      </w:r>
      <w:r w:rsidRPr="001416ED">
        <w:rPr>
          <w:rFonts w:eastAsia="Calibri"/>
          <w:bCs/>
          <w:lang w:val="en-US" w:eastAsia="en-US"/>
        </w:rPr>
        <w:t>Vol.</w:t>
      </w:r>
      <w:r w:rsidRPr="001416ED">
        <w:rPr>
          <w:rFonts w:eastAsia="Calibri"/>
          <w:bCs/>
          <w:lang w:val="uk-UA" w:eastAsia="en-US"/>
        </w:rPr>
        <w:t xml:space="preserve"> 38. – Р. 1321–1324.</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rPr>
          <w:lang w:val="uk-UA" w:eastAsia="uk-UA"/>
        </w:rPr>
      </w:pPr>
      <w:r w:rsidRPr="001416ED">
        <w:rPr>
          <w:rFonts w:eastAsia="TimesNewRomanPSMT"/>
          <w:lang w:val="uk-UA" w:eastAsia="en-US"/>
        </w:rPr>
        <w:lastRenderedPageBreak/>
        <w:t xml:space="preserve">Aziza L. The Relationship Between Endothelin–1 and Hypertension on Mlati Population, Sleman, Yogyakarta, Indonesia </w:t>
      </w:r>
      <w:r w:rsidRPr="001416ED">
        <w:rPr>
          <w:rFonts w:eastAsia="TimesNewRomanPSMT"/>
          <w:b/>
          <w:bCs/>
          <w:lang w:val="uk-UA" w:eastAsia="en-US"/>
        </w:rPr>
        <w:t xml:space="preserve">/ </w:t>
      </w:r>
      <w:r w:rsidRPr="001416ED">
        <w:rPr>
          <w:rFonts w:eastAsia="TimesNewRomanPSMT"/>
          <w:lang w:val="uk-UA" w:eastAsia="en-US"/>
        </w:rPr>
        <w:t xml:space="preserve">L. Aziza, </w:t>
      </w:r>
      <w:r w:rsidRPr="001416ED">
        <w:rPr>
          <w:rFonts w:eastAsia="Calibri"/>
          <w:iCs/>
          <w:kern w:val="11"/>
          <w:lang w:val="uk-UA" w:eastAsia="en-US"/>
        </w:rPr>
        <w:t>M. Sja’bani, S. Mubarika Haryana</w:t>
      </w:r>
      <w:r w:rsidRPr="001416ED">
        <w:rPr>
          <w:rFonts w:eastAsia="TimesNewRomanPSMT"/>
          <w:lang w:val="uk-UA" w:eastAsia="en-US"/>
        </w:rPr>
        <w:t xml:space="preserve"> </w:t>
      </w:r>
      <w:r w:rsidRPr="001416ED">
        <w:rPr>
          <w:rFonts w:eastAsia="TimesNewRomanPSMT"/>
          <w:lang w:val="en-US" w:eastAsia="en-US"/>
        </w:rPr>
        <w:t>[</w:t>
      </w:r>
      <w:r w:rsidRPr="001416ED">
        <w:rPr>
          <w:rFonts w:eastAsia="TimesNewRomanPSMT"/>
          <w:lang w:val="uk-UA" w:eastAsia="en-US"/>
        </w:rPr>
        <w:t>et al</w:t>
      </w:r>
      <w:r w:rsidRPr="001416ED">
        <w:rPr>
          <w:rFonts w:eastAsia="TimesNewRomanPSMT"/>
          <w:bCs/>
          <w:lang w:val="uk-UA" w:eastAsia="en-US"/>
        </w:rPr>
        <w:t>.</w:t>
      </w:r>
      <w:r w:rsidRPr="001416ED">
        <w:rPr>
          <w:rFonts w:eastAsia="TimesNewRomanPSMT"/>
          <w:bCs/>
          <w:lang w:val="en-US" w:eastAsia="en-US"/>
        </w:rPr>
        <w:t>]</w:t>
      </w:r>
      <w:r w:rsidRPr="001416ED">
        <w:rPr>
          <w:rFonts w:eastAsia="TimesNewRomanPSMT"/>
          <w:b/>
          <w:bCs/>
          <w:lang w:val="uk-UA" w:eastAsia="en-US"/>
        </w:rPr>
        <w:t xml:space="preserve"> // </w:t>
      </w:r>
      <w:r w:rsidRPr="001416ED">
        <w:rPr>
          <w:rFonts w:eastAsia="TimesNewRomanPSMT"/>
          <w:lang w:val="uk-UA" w:eastAsia="en-US"/>
        </w:rPr>
        <w:t>J Indon Med Assoc. – 2011. –Vol. 61. – №6. – P. 237–242.</w:t>
      </w:r>
    </w:p>
    <w:p w:rsidR="005107A1" w:rsidRPr="001416ED" w:rsidRDefault="00A9327B" w:rsidP="0012229A">
      <w:pPr>
        <w:numPr>
          <w:ilvl w:val="0"/>
          <w:numId w:val="10"/>
        </w:numPr>
        <w:autoSpaceDE w:val="0"/>
        <w:autoSpaceDN w:val="0"/>
        <w:adjustRightInd w:val="0"/>
        <w:spacing w:after="200" w:line="360" w:lineRule="auto"/>
        <w:ind w:left="0" w:firstLine="0"/>
        <w:contextualSpacing/>
        <w:mirrorIndents/>
        <w:jc w:val="both"/>
        <w:rPr>
          <w:rFonts w:eastAsia="PragmaticaC"/>
          <w:bCs/>
          <w:lang w:val="uk-UA" w:eastAsia="en-US"/>
        </w:rPr>
      </w:pPr>
      <w:hyperlink r:id="rId55" w:history="1">
        <w:r w:rsidR="005107A1" w:rsidRPr="001416ED">
          <w:rPr>
            <w:rFonts w:eastAsia="PragmaticaC"/>
            <w:lang w:val="uk-UA" w:eastAsia="en-US"/>
          </w:rPr>
          <w:t>Barden A. E</w:t>
        </w:r>
      </w:hyperlink>
      <w:r w:rsidR="005107A1" w:rsidRPr="001416ED">
        <w:rPr>
          <w:rFonts w:eastAsia="PragmaticaC"/>
          <w:lang w:val="uk-UA" w:eastAsia="en-US"/>
        </w:rPr>
        <w:t>. </w:t>
      </w:r>
      <w:r w:rsidR="005107A1" w:rsidRPr="001416ED">
        <w:rPr>
          <w:rFonts w:eastAsia="PragmaticaC"/>
          <w:bCs/>
          <w:lang w:val="uk-UA" w:eastAsia="en-US"/>
        </w:rPr>
        <w:t>Association between the endothelin–1 gene Lys198Asn polymorphism blood pressure and plasma endothelin–1 levels in normal and pre–eclamptic pregnancy / A. E. Barden,</w:t>
      </w:r>
      <w:r w:rsidR="005107A1" w:rsidRPr="001416ED">
        <w:rPr>
          <w:rFonts w:eastAsia="Calibri"/>
          <w:kern w:val="11"/>
          <w:sz w:val="11"/>
          <w:szCs w:val="11"/>
          <w:lang w:val="uk-UA" w:eastAsia="en-US"/>
        </w:rPr>
        <w:t xml:space="preserve"> </w:t>
      </w:r>
      <w:r w:rsidR="005107A1" w:rsidRPr="001416ED">
        <w:rPr>
          <w:rFonts w:eastAsia="PragmaticaC"/>
          <w:bCs/>
          <w:lang w:val="uk-UA" w:eastAsia="en-US"/>
        </w:rPr>
        <w:t xml:space="preserve">C. E. Herbison, L. J. Beilin [et al.] // </w:t>
      </w:r>
      <w:hyperlink r:id="rId56" w:tooltip="Journal of hypertension." w:history="1">
        <w:r w:rsidR="005107A1" w:rsidRPr="001416ED">
          <w:rPr>
            <w:rFonts w:eastAsia="PragmaticaC"/>
            <w:bCs/>
            <w:lang w:val="uk-UA" w:eastAsia="en-US"/>
          </w:rPr>
          <w:t>J Hypertens.</w:t>
        </w:r>
      </w:hyperlink>
      <w:r w:rsidR="005107A1" w:rsidRPr="001416ED">
        <w:rPr>
          <w:rFonts w:eastAsia="PragmaticaC"/>
          <w:bCs/>
          <w:lang w:val="uk-UA" w:eastAsia="en-US"/>
        </w:rPr>
        <w:t xml:space="preserve"> –  2001. – </w:t>
      </w:r>
      <w:r w:rsidR="005107A1" w:rsidRPr="001416ED">
        <w:rPr>
          <w:rFonts w:eastAsia="PragmaticaC"/>
          <w:bCs/>
          <w:lang w:val="en-US" w:eastAsia="en-US"/>
        </w:rPr>
        <w:t xml:space="preserve">Vol. </w:t>
      </w:r>
      <w:r w:rsidR="005107A1" w:rsidRPr="001416ED">
        <w:rPr>
          <w:rFonts w:eastAsia="PragmaticaC"/>
          <w:bCs/>
          <w:lang w:val="uk-UA" w:eastAsia="en-US"/>
        </w:rPr>
        <w:t>19 (10)</w:t>
      </w:r>
      <w:r w:rsidR="005107A1" w:rsidRPr="001416ED">
        <w:rPr>
          <w:rFonts w:eastAsia="PragmaticaC"/>
          <w:bCs/>
          <w:lang w:val="en-US" w:eastAsia="en-US"/>
        </w:rPr>
        <w:t>.</w:t>
      </w:r>
      <w:r w:rsidR="005107A1" w:rsidRPr="001416ED">
        <w:rPr>
          <w:rFonts w:eastAsia="PragmaticaC"/>
          <w:bCs/>
          <w:lang w:val="uk-UA" w:eastAsia="en-US"/>
        </w:rPr>
        <w:t xml:space="preserve"> –</w:t>
      </w:r>
      <w:r w:rsidR="005107A1" w:rsidRPr="001416ED">
        <w:rPr>
          <w:rFonts w:eastAsia="PragmaticaC"/>
          <w:bCs/>
          <w:lang w:val="en-US" w:eastAsia="en-US"/>
        </w:rPr>
        <w:t xml:space="preserve"> P. </w:t>
      </w:r>
      <w:r w:rsidR="005107A1" w:rsidRPr="001416ED">
        <w:rPr>
          <w:rFonts w:eastAsia="PragmaticaC"/>
          <w:bCs/>
          <w:lang w:val="uk-UA" w:eastAsia="en-US"/>
        </w:rPr>
        <w:t>1775–82.</w:t>
      </w:r>
    </w:p>
    <w:p w:rsidR="005107A1" w:rsidRPr="001416ED" w:rsidRDefault="005107A1" w:rsidP="0012229A">
      <w:pPr>
        <w:numPr>
          <w:ilvl w:val="0"/>
          <w:numId w:val="10"/>
        </w:numPr>
        <w:shd w:val="clear" w:color="auto" w:fill="FFFFFF"/>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PragmaticaC"/>
          <w:lang w:val="uk-UA" w:eastAsia="en-US"/>
        </w:rPr>
        <w:t>Barletta G. Low–dose C–type natriuretic peptide does not affect cardiac and renal function in Humans / G. Barletta, C. Lazzeri, S. Vecchiarino [et al.] // Hypertension. – 1998. – №31 (3). – Р. 802–808.</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Barsukov A.</w:t>
      </w:r>
      <w:r w:rsidR="007222BA" w:rsidRPr="001416ED">
        <w:rPr>
          <w:lang w:val="uk-UA" w:eastAsia="uk-UA"/>
        </w:rPr>
        <w:t xml:space="preserve"> </w:t>
      </w:r>
      <w:r w:rsidRPr="001416ED">
        <w:rPr>
          <w:lang w:val="uk-UA" w:eastAsia="uk-UA"/>
        </w:rPr>
        <w:t>E. The endothelium dysfunction: principles of diagnosis and clinical significance in obliterating atherosclerosis of the peripheral arteries / A. E. Barsukov, N. A. Makhnov // Vestn. Khir. Im I I Grek. – 2005. – Vol. 164. – P. 102–104.</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uk-UA" w:eastAsia="en-US"/>
        </w:rPr>
        <w:t xml:space="preserve">Barаth А. Endothelin–1 gene and endothelial nitric oxidesynthase gene polymorphisms in adolescentswith juvenile and obesity–associatedhypertension / А. </w:t>
      </w:r>
      <w:r w:rsidRPr="001416ED">
        <w:rPr>
          <w:rFonts w:eastAsia="PragmaticaC"/>
          <w:bCs/>
          <w:lang w:val="uk-UA" w:eastAsia="en-US"/>
        </w:rPr>
        <w:t>Barаth</w:t>
      </w:r>
      <w:r w:rsidRPr="001416ED">
        <w:rPr>
          <w:rFonts w:eastAsia="PragmaticaC"/>
          <w:lang w:val="uk-UA" w:eastAsia="en-US"/>
        </w:rPr>
        <w:t xml:space="preserve">, E. </w:t>
      </w:r>
      <w:r w:rsidRPr="001416ED">
        <w:rPr>
          <w:rFonts w:eastAsia="PragmaticaC"/>
          <w:bCs/>
          <w:lang w:val="uk-UA" w:eastAsia="en-US"/>
        </w:rPr>
        <w:t>Endreffy</w:t>
      </w:r>
      <w:r w:rsidRPr="001416ED">
        <w:rPr>
          <w:rFonts w:eastAsia="PragmaticaC"/>
          <w:lang w:val="uk-UA" w:eastAsia="en-US"/>
        </w:rPr>
        <w:t xml:space="preserve">, Cs. </w:t>
      </w:r>
      <w:r w:rsidRPr="001416ED">
        <w:rPr>
          <w:rFonts w:eastAsia="PragmaticaC"/>
          <w:bCs/>
          <w:lang w:val="uk-UA" w:eastAsia="en-US"/>
        </w:rPr>
        <w:t>Bereczki</w:t>
      </w:r>
      <w:r w:rsidRPr="001416ED">
        <w:rPr>
          <w:rFonts w:eastAsia="PragmaticaC"/>
          <w:b/>
          <w:bCs/>
          <w:lang w:val="uk-UA" w:eastAsia="en-US"/>
        </w:rPr>
        <w:t xml:space="preserve"> </w:t>
      </w:r>
      <w:r w:rsidRPr="001416ED">
        <w:rPr>
          <w:rFonts w:eastAsia="PragmaticaC"/>
          <w:bCs/>
          <w:lang w:val="uk-UA" w:eastAsia="en-US"/>
        </w:rPr>
        <w:t>[et al.] //Acta Physiologica Hungarica. – 2007. – Vol. 94 (1–2). – Р. 49–66.</w:t>
      </w:r>
    </w:p>
    <w:p w:rsidR="005107A1" w:rsidRPr="001416ED" w:rsidRDefault="005107A1" w:rsidP="0012229A">
      <w:pPr>
        <w:numPr>
          <w:ilvl w:val="0"/>
          <w:numId w:val="10"/>
        </w:numPr>
        <w:tabs>
          <w:tab w:val="left" w:pos="709"/>
        </w:tabs>
        <w:autoSpaceDE w:val="0"/>
        <w:autoSpaceDN w:val="0"/>
        <w:adjustRightInd w:val="0"/>
        <w:spacing w:after="200" w:line="360" w:lineRule="auto"/>
        <w:ind w:left="0" w:firstLine="0"/>
        <w:contextualSpacing/>
        <w:mirrorIndents/>
        <w:jc w:val="both"/>
        <w:rPr>
          <w:rFonts w:eastAsia="Calibri"/>
          <w:bCs/>
          <w:lang w:val="uk-UA" w:eastAsia="en-US"/>
        </w:rPr>
      </w:pPr>
      <w:r w:rsidRPr="001416ED">
        <w:rPr>
          <w:rFonts w:eastAsia="Calibri"/>
          <w:kern w:val="11"/>
          <w:lang w:val="uk-UA" w:eastAsia="en-US"/>
        </w:rPr>
        <w:t>Behravan J</w:t>
      </w:r>
      <w:r w:rsidRPr="001416ED">
        <w:rPr>
          <w:rFonts w:eastAsia="Calibri"/>
          <w:kern w:val="11"/>
          <w:lang w:val="en-US" w:eastAsia="en-US"/>
        </w:rPr>
        <w:t>.</w:t>
      </w:r>
      <w:r w:rsidRPr="001416ED">
        <w:rPr>
          <w:rFonts w:eastAsia="Calibri"/>
          <w:kern w:val="11"/>
          <w:lang w:val="uk-UA" w:eastAsia="en-US"/>
        </w:rPr>
        <w:t xml:space="preserve"> Рolymorphism of angiotensin ІІ type 1 receptor gene in essential hypertension in </w:t>
      </w:r>
      <w:r w:rsidRPr="001416ED">
        <w:rPr>
          <w:rFonts w:eastAsia="Calibri"/>
          <w:kern w:val="11"/>
          <w:lang w:val="en-US" w:eastAsia="en-US"/>
        </w:rPr>
        <w:t>I</w:t>
      </w:r>
      <w:r w:rsidRPr="001416ED">
        <w:rPr>
          <w:rFonts w:eastAsia="Calibri"/>
          <w:kern w:val="11"/>
          <w:lang w:val="uk-UA" w:eastAsia="en-US"/>
        </w:rPr>
        <w:t xml:space="preserve">ranian population </w:t>
      </w:r>
      <w:r w:rsidRPr="001416ED">
        <w:rPr>
          <w:rFonts w:eastAsia="Calibri"/>
          <w:kern w:val="11"/>
          <w:lang w:val="en-US" w:eastAsia="en-US"/>
        </w:rPr>
        <w:t xml:space="preserve">/ </w:t>
      </w:r>
      <w:r w:rsidRPr="001416ED">
        <w:rPr>
          <w:rFonts w:eastAsia="Calibri"/>
          <w:kern w:val="11"/>
          <w:lang w:val="uk-UA" w:eastAsia="en-US"/>
        </w:rPr>
        <w:t>J</w:t>
      </w:r>
      <w:r w:rsidRPr="001416ED">
        <w:rPr>
          <w:rFonts w:eastAsia="Calibri"/>
          <w:kern w:val="11"/>
          <w:lang w:val="en-US" w:eastAsia="en-US"/>
        </w:rPr>
        <w:t>.</w:t>
      </w:r>
      <w:r w:rsidRPr="001416ED">
        <w:rPr>
          <w:rFonts w:eastAsia="Calibri"/>
          <w:kern w:val="11"/>
          <w:lang w:val="uk-UA" w:eastAsia="en-US"/>
        </w:rPr>
        <w:t xml:space="preserve"> Behravan  M</w:t>
      </w:r>
      <w:r w:rsidRPr="001416ED">
        <w:rPr>
          <w:rFonts w:eastAsia="Calibri"/>
          <w:kern w:val="11"/>
          <w:lang w:val="en-US" w:eastAsia="en-US"/>
        </w:rPr>
        <w:t>.</w:t>
      </w:r>
      <w:r w:rsidRPr="001416ED">
        <w:rPr>
          <w:rFonts w:eastAsia="Calibri"/>
          <w:kern w:val="11"/>
          <w:lang w:val="uk-UA" w:eastAsia="en-US"/>
        </w:rPr>
        <w:t xml:space="preserve"> Naghibi, M</w:t>
      </w:r>
      <w:r w:rsidRPr="001416ED">
        <w:rPr>
          <w:rFonts w:eastAsia="Calibri"/>
          <w:kern w:val="11"/>
          <w:lang w:val="en-US" w:eastAsia="en-US"/>
        </w:rPr>
        <w:t>.</w:t>
      </w:r>
      <w:r w:rsidRPr="001416ED">
        <w:rPr>
          <w:rFonts w:eastAsia="Calibri"/>
          <w:kern w:val="11"/>
          <w:lang w:val="uk-UA" w:eastAsia="en-US"/>
        </w:rPr>
        <w:t xml:space="preserve"> A</w:t>
      </w:r>
      <w:r w:rsidRPr="001416ED">
        <w:rPr>
          <w:rFonts w:eastAsia="Calibri"/>
          <w:kern w:val="11"/>
          <w:lang w:val="en-US" w:eastAsia="en-US"/>
        </w:rPr>
        <w:t xml:space="preserve">. </w:t>
      </w:r>
      <w:r w:rsidRPr="001416ED">
        <w:rPr>
          <w:rFonts w:eastAsia="Calibri"/>
          <w:kern w:val="11"/>
          <w:lang w:val="uk-UA" w:eastAsia="en-US"/>
        </w:rPr>
        <w:t>Mazloomi</w:t>
      </w:r>
      <w:r w:rsidRPr="001416ED">
        <w:rPr>
          <w:rFonts w:eastAsia="Calibri"/>
          <w:kern w:val="11"/>
          <w:lang w:val="en-US" w:eastAsia="en-US"/>
        </w:rPr>
        <w:t xml:space="preserve"> </w:t>
      </w:r>
      <w:r w:rsidRPr="001416ED">
        <w:rPr>
          <w:rFonts w:eastAsia="Calibri"/>
          <w:kern w:val="11"/>
          <w:lang w:val="de-DE" w:eastAsia="en-US"/>
        </w:rPr>
        <w:t>[et al.]</w:t>
      </w:r>
      <w:r w:rsidRPr="001416ED">
        <w:rPr>
          <w:rFonts w:eastAsia="Calibri"/>
          <w:kern w:val="11"/>
          <w:lang w:val="en-US" w:eastAsia="en-US"/>
        </w:rPr>
        <w:t xml:space="preserve"> // </w:t>
      </w:r>
      <w:r w:rsidRPr="001416ED">
        <w:rPr>
          <w:rFonts w:eastAsia="Calibri"/>
          <w:kern w:val="11"/>
          <w:lang w:val="uk-UA" w:eastAsia="en-US"/>
        </w:rPr>
        <w:t>DARU</w:t>
      </w:r>
      <w:r w:rsidRPr="001416ED">
        <w:rPr>
          <w:rFonts w:eastAsia="Calibri"/>
          <w:kern w:val="11"/>
          <w:lang w:val="en-US" w:eastAsia="en-US"/>
        </w:rPr>
        <w:t xml:space="preserve">. – </w:t>
      </w:r>
      <w:r w:rsidRPr="001416ED">
        <w:rPr>
          <w:rFonts w:eastAsia="Calibri"/>
          <w:kern w:val="11"/>
          <w:lang w:val="uk-UA" w:eastAsia="en-US"/>
        </w:rPr>
        <w:t>2006</w:t>
      </w:r>
      <w:r w:rsidRPr="001416ED">
        <w:rPr>
          <w:rFonts w:eastAsia="Calibri"/>
          <w:kern w:val="11"/>
          <w:lang w:val="en-US" w:eastAsia="en-US"/>
        </w:rPr>
        <w:t xml:space="preserve">. – </w:t>
      </w:r>
      <w:r w:rsidRPr="001416ED">
        <w:rPr>
          <w:rFonts w:eastAsia="Calibri"/>
          <w:kern w:val="11"/>
          <w:lang w:val="uk-UA" w:eastAsia="en-US"/>
        </w:rPr>
        <w:t>Vol</w:t>
      </w:r>
      <w:r w:rsidRPr="001416ED">
        <w:rPr>
          <w:rFonts w:eastAsia="Calibri"/>
          <w:kern w:val="11"/>
          <w:lang w:val="en-US" w:eastAsia="en-US"/>
        </w:rPr>
        <w:t>.</w:t>
      </w:r>
      <w:r w:rsidRPr="001416ED">
        <w:rPr>
          <w:rFonts w:eastAsia="Calibri"/>
          <w:kern w:val="11"/>
          <w:lang w:val="uk-UA" w:eastAsia="en-US"/>
        </w:rPr>
        <w:t>14</w:t>
      </w:r>
      <w:r w:rsidRPr="001416ED">
        <w:rPr>
          <w:rFonts w:eastAsia="Calibri"/>
          <w:kern w:val="11"/>
          <w:lang w:val="en-US" w:eastAsia="en-US"/>
        </w:rPr>
        <w:t xml:space="preserve"> (</w:t>
      </w:r>
      <w:r w:rsidRPr="001416ED">
        <w:rPr>
          <w:rFonts w:eastAsia="Calibri"/>
          <w:kern w:val="11"/>
          <w:lang w:val="uk-UA" w:eastAsia="en-US"/>
        </w:rPr>
        <w:t>2</w:t>
      </w:r>
      <w:r w:rsidRPr="001416ED">
        <w:rPr>
          <w:rFonts w:eastAsia="Calibri"/>
          <w:kern w:val="11"/>
          <w:lang w:val="en-US" w:eastAsia="en-US"/>
        </w:rPr>
        <w:t xml:space="preserve">). </w:t>
      </w:r>
      <w:r w:rsidRPr="001416ED">
        <w:rPr>
          <w:rFonts w:eastAsia="PragmaticaC"/>
          <w:bCs/>
          <w:lang w:val="uk-UA" w:eastAsia="en-US"/>
        </w:rPr>
        <w:t>–</w:t>
      </w:r>
      <w:r w:rsidRPr="001416ED">
        <w:rPr>
          <w:rFonts w:eastAsia="Calibri"/>
          <w:kern w:val="11"/>
          <w:lang w:val="en-US" w:eastAsia="en-US"/>
        </w:rPr>
        <w:t xml:space="preserve"> P. 82–86.</w:t>
      </w:r>
      <w:r w:rsidRPr="001416ED">
        <w:rPr>
          <w:rFonts w:eastAsia="Calibri"/>
          <w:kern w:val="11"/>
          <w:sz w:val="11"/>
          <w:szCs w:val="11"/>
          <w:lang w:val="uk-UA" w:eastAsia="en-US"/>
        </w:rPr>
        <w:t xml:space="preserve"> </w:t>
      </w:r>
    </w:p>
    <w:p w:rsidR="005107A1" w:rsidRPr="001416ED" w:rsidRDefault="005107A1" w:rsidP="0012229A">
      <w:pPr>
        <w:numPr>
          <w:ilvl w:val="0"/>
          <w:numId w:val="10"/>
        </w:numPr>
        <w:shd w:val="clear" w:color="auto" w:fill="FFFFFF"/>
        <w:tabs>
          <w:tab w:val="left" w:pos="709"/>
        </w:tabs>
        <w:spacing w:line="360" w:lineRule="auto"/>
        <w:ind w:left="0" w:firstLine="0"/>
        <w:mirrorIndents/>
        <w:jc w:val="both"/>
        <w:rPr>
          <w:bCs/>
          <w:lang w:val="uk-UA" w:eastAsia="uk-UA"/>
        </w:rPr>
      </w:pPr>
      <w:r w:rsidRPr="001416ED">
        <w:rPr>
          <w:lang w:val="uk-UA" w:eastAsia="uk-UA"/>
        </w:rPr>
        <w:t xml:space="preserve">Benetos A. </w:t>
      </w:r>
      <w:hyperlink r:id="rId57" w:history="1">
        <w:r w:rsidRPr="001416ED">
          <w:rPr>
            <w:lang w:val="uk-UA" w:eastAsia="uk-UA"/>
          </w:rPr>
          <w:t>Influence of the angiotensin II type 1 receptor gene polymorphism on the effects of perindopril and nitrendipine on arterial stiffness in hypertensive individuals</w:t>
        </w:r>
      </w:hyperlink>
      <w:r w:rsidRPr="001416ED">
        <w:rPr>
          <w:lang w:val="uk-UA" w:eastAsia="uk-UA"/>
        </w:rPr>
        <w:t xml:space="preserve"> / A. Benetos, F. Cambien, S. Gautier </w:t>
      </w:r>
      <w:r w:rsidRPr="001416ED">
        <w:rPr>
          <w:lang w:val="en-US" w:eastAsia="uk-UA"/>
        </w:rPr>
        <w:t xml:space="preserve">[et al.] </w:t>
      </w:r>
      <w:r w:rsidRPr="001416ED">
        <w:rPr>
          <w:lang w:val="uk-UA" w:eastAsia="uk-UA"/>
        </w:rPr>
        <w:t xml:space="preserve">// </w:t>
      </w:r>
      <w:r w:rsidRPr="001416ED">
        <w:rPr>
          <w:shd w:val="clear" w:color="auto" w:fill="FFFFFF"/>
          <w:lang w:val="uk-UA" w:eastAsia="uk-UA"/>
        </w:rPr>
        <w:t xml:space="preserve">Hypertension. – 1996. – </w:t>
      </w:r>
      <w:r w:rsidRPr="001416ED">
        <w:rPr>
          <w:shd w:val="clear" w:color="auto" w:fill="FFFFFF"/>
          <w:lang w:val="en-US" w:eastAsia="uk-UA"/>
        </w:rPr>
        <w:t xml:space="preserve">Vol. </w:t>
      </w:r>
      <w:r w:rsidRPr="001416ED">
        <w:rPr>
          <w:shd w:val="clear" w:color="auto" w:fill="FFFFFF"/>
          <w:lang w:val="uk-UA" w:eastAsia="uk-UA"/>
        </w:rPr>
        <w:t>28(6)</w:t>
      </w:r>
      <w:r w:rsidRPr="001416ED">
        <w:rPr>
          <w:shd w:val="clear" w:color="auto" w:fill="FFFFFF"/>
          <w:lang w:val="en-US" w:eastAsia="uk-UA"/>
        </w:rPr>
        <w:t xml:space="preserve">. P. </w:t>
      </w:r>
      <w:r w:rsidRPr="001416ED">
        <w:rPr>
          <w:shd w:val="clear" w:color="auto" w:fill="FFFFFF"/>
          <w:lang w:val="uk-UA" w:eastAsia="uk-UA"/>
        </w:rPr>
        <w:t>1081–</w:t>
      </w:r>
      <w:r w:rsidRPr="001416ED">
        <w:rPr>
          <w:shd w:val="clear" w:color="auto" w:fill="FFFFFF"/>
          <w:lang w:val="en-US" w:eastAsia="uk-UA"/>
        </w:rPr>
        <w:t>108</w:t>
      </w:r>
      <w:r w:rsidRPr="001416ED">
        <w:rPr>
          <w:shd w:val="clear" w:color="auto" w:fill="FFFFFF"/>
          <w:lang w:val="uk-UA" w:eastAsia="uk-UA"/>
        </w:rPr>
        <w:t>4.</w:t>
      </w:r>
      <w:r w:rsidRPr="001416ED">
        <w:rPr>
          <w:rFonts w:eastAsia="Calibri"/>
          <w:kern w:val="11"/>
          <w:lang w:val="uk-UA" w:eastAsia="en-US"/>
        </w:rPr>
        <w:t xml:space="preserve"> </w:t>
      </w:r>
    </w:p>
    <w:p w:rsidR="005107A1" w:rsidRPr="001416ED" w:rsidRDefault="005107A1" w:rsidP="00716B20">
      <w:pPr>
        <w:numPr>
          <w:ilvl w:val="0"/>
          <w:numId w:val="10"/>
        </w:numPr>
        <w:spacing w:line="360" w:lineRule="auto"/>
        <w:ind w:left="0" w:firstLine="0"/>
        <w:mirrorIndents/>
        <w:jc w:val="both"/>
        <w:rPr>
          <w:lang w:val="uk-UA" w:eastAsia="uk-UA"/>
        </w:rPr>
      </w:pPr>
      <w:r w:rsidRPr="001416ED">
        <w:rPr>
          <w:lang w:val="uk-UA" w:eastAsia="uk-UA"/>
        </w:rPr>
        <w:t xml:space="preserve">Bergers A. Role of nitric oxide during coronary endothelial dysfunction after myocardial infarction / A. Bergers, L. Van Nassauw, J.P. Timmerans </w:t>
      </w:r>
      <w:r w:rsidRPr="001416ED">
        <w:rPr>
          <w:lang w:val="en-US" w:eastAsia="uk-UA"/>
        </w:rPr>
        <w:t>[</w:t>
      </w:r>
      <w:r w:rsidRPr="001416ED">
        <w:rPr>
          <w:lang w:val="uk-UA" w:eastAsia="uk-UA"/>
        </w:rPr>
        <w:t>et al.</w:t>
      </w:r>
      <w:r w:rsidRPr="001416ED">
        <w:rPr>
          <w:lang w:val="en-US" w:eastAsia="uk-UA"/>
        </w:rPr>
        <w:t>]</w:t>
      </w:r>
      <w:r w:rsidRPr="001416ED">
        <w:rPr>
          <w:lang w:val="uk-UA" w:eastAsia="uk-UA"/>
        </w:rPr>
        <w:t xml:space="preserve"> // Eur. J. Pharmacol. – 2005. – Vol. 13. – P. 60–70.</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Berliner J. A. The role of oxidized low–density lipoprotein in atherogenesis / J.A. Berline, M. E. Haberland // Curr. Opin. Lipidol. – 2003. – Vol. 4. – P. 373–381.</w:t>
      </w:r>
    </w:p>
    <w:p w:rsidR="005107A1" w:rsidRPr="001416ED" w:rsidRDefault="005107A1" w:rsidP="0012229A">
      <w:pPr>
        <w:numPr>
          <w:ilvl w:val="0"/>
          <w:numId w:val="10"/>
        </w:numPr>
        <w:tabs>
          <w:tab w:val="left" w:pos="709"/>
        </w:tabs>
        <w:spacing w:after="200" w:line="360" w:lineRule="auto"/>
        <w:ind w:left="0" w:firstLine="0"/>
        <w:contextualSpacing/>
        <w:mirrorIndents/>
        <w:jc w:val="both"/>
        <w:rPr>
          <w:rFonts w:eastAsia="Calibri"/>
          <w:kern w:val="11"/>
          <w:lang w:val="uk-UA" w:eastAsia="en-US"/>
        </w:rPr>
      </w:pPr>
      <w:r w:rsidRPr="001416ED">
        <w:rPr>
          <w:rFonts w:eastAsia="Calibri"/>
          <w:kern w:val="11"/>
          <w:shd w:val="clear" w:color="auto" w:fill="FFFFFF"/>
          <w:lang w:val="uk-UA" w:eastAsia="en-US"/>
        </w:rPr>
        <w:lastRenderedPageBreak/>
        <w:t>Bhat G. M. Molecular dermatoglyphics: in health and disease –</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a review / G.</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M. Bhat, M.</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A. Mukhdoomi, B.</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 xml:space="preserve">A. Shah </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et al.</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 Int. J. Res. Med. Sci. – 2014. – Vol. 2. – P. 31–37.</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Bohm F. Endothelin receptor blockade improves endothelial function in atherosclerotic patients on angiotensin converting enzyme inhibition / F. Bohm, E. Beltran, J. Pernow // J. Intern. Med. – 2005. – Vol. 257. – P. 263–271.</w:t>
      </w:r>
    </w:p>
    <w:p w:rsidR="005107A1" w:rsidRPr="001416ED" w:rsidRDefault="005107A1" w:rsidP="0012229A">
      <w:pPr>
        <w:numPr>
          <w:ilvl w:val="0"/>
          <w:numId w:val="10"/>
        </w:numPr>
        <w:tabs>
          <w:tab w:val="left" w:pos="709"/>
        </w:tabs>
        <w:spacing w:line="360" w:lineRule="auto"/>
        <w:ind w:left="0" w:firstLine="0"/>
        <w:mirrorIndents/>
        <w:jc w:val="both"/>
        <w:outlineLvl w:val="0"/>
        <w:rPr>
          <w:bCs/>
          <w:kern w:val="36"/>
          <w:lang w:val="uk-UA" w:eastAsia="uk-UA"/>
        </w:rPr>
      </w:pPr>
      <w:r w:rsidRPr="001416ED">
        <w:rPr>
          <w:bCs/>
          <w:kern w:val="36"/>
          <w:lang w:val="uk-UA" w:eastAsia="uk-UA"/>
        </w:rPr>
        <w:t>Bonnardeaux A. Angiotensin II receptor gene polymorphism in human essential hypertension /</w:t>
      </w:r>
      <w:r w:rsidRPr="001416ED">
        <w:rPr>
          <w:bCs/>
          <w:kern w:val="36"/>
          <w:lang w:val="en-US" w:eastAsia="uk-UA"/>
        </w:rPr>
        <w:t xml:space="preserve"> </w:t>
      </w:r>
      <w:r w:rsidRPr="001416ED">
        <w:rPr>
          <w:bCs/>
          <w:kern w:val="36"/>
          <w:lang w:val="uk-UA" w:eastAsia="uk-UA"/>
        </w:rPr>
        <w:t xml:space="preserve">A. Bonnardeaux, E. Davies, X. Jeynemaiter </w:t>
      </w:r>
      <w:r w:rsidRPr="001416ED">
        <w:rPr>
          <w:bCs/>
          <w:kern w:val="36"/>
          <w:lang w:val="en-US" w:eastAsia="uk-UA"/>
        </w:rPr>
        <w:t>[</w:t>
      </w:r>
      <w:r w:rsidRPr="001416ED">
        <w:rPr>
          <w:bCs/>
          <w:kern w:val="36"/>
          <w:lang w:val="uk-UA" w:eastAsia="uk-UA"/>
        </w:rPr>
        <w:t>et al.</w:t>
      </w:r>
      <w:r w:rsidRPr="001416ED">
        <w:rPr>
          <w:bCs/>
          <w:kern w:val="36"/>
          <w:lang w:val="en-US" w:eastAsia="uk-UA"/>
        </w:rPr>
        <w:t>]</w:t>
      </w:r>
      <w:r w:rsidRPr="001416ED">
        <w:rPr>
          <w:bCs/>
          <w:kern w:val="36"/>
          <w:lang w:val="uk-UA" w:eastAsia="uk-UA"/>
        </w:rPr>
        <w:t xml:space="preserve"> // Hypertension. – 1994. – </w:t>
      </w:r>
      <w:r w:rsidRPr="001416ED">
        <w:rPr>
          <w:bCs/>
          <w:kern w:val="36"/>
          <w:lang w:val="en-US" w:eastAsia="uk-UA"/>
        </w:rPr>
        <w:t xml:space="preserve">Vol. </w:t>
      </w:r>
      <w:r w:rsidRPr="001416ED">
        <w:rPr>
          <w:bCs/>
          <w:kern w:val="36"/>
          <w:lang w:val="uk-UA" w:eastAsia="uk-UA"/>
        </w:rPr>
        <w:t>24</w:t>
      </w:r>
      <w:r w:rsidRPr="001416ED">
        <w:rPr>
          <w:bCs/>
          <w:kern w:val="36"/>
          <w:lang w:val="en-US" w:eastAsia="uk-UA"/>
        </w:rPr>
        <w:t xml:space="preserve">. – P. </w:t>
      </w:r>
      <w:r w:rsidRPr="001416ED">
        <w:rPr>
          <w:bCs/>
          <w:kern w:val="36"/>
          <w:lang w:val="uk-UA" w:eastAsia="uk-UA"/>
        </w:rPr>
        <w:t>63–69</w:t>
      </w:r>
      <w:r w:rsidRPr="001416ED">
        <w:rPr>
          <w:bCs/>
          <w:kern w:val="36"/>
          <w:lang w:val="en-US" w:eastAsia="uk-UA"/>
        </w:rPr>
        <w:t>.</w:t>
      </w:r>
      <w:r w:rsidRPr="001416ED">
        <w:rPr>
          <w:rFonts w:eastAsia="Calibri"/>
          <w:kern w:val="11"/>
          <w:lang w:val="uk-UA" w:eastAsia="en-US"/>
        </w:rPr>
        <w:t xml:space="preserve"> </w:t>
      </w:r>
    </w:p>
    <w:p w:rsidR="005107A1" w:rsidRPr="001416ED" w:rsidRDefault="005107A1" w:rsidP="0012229A">
      <w:pPr>
        <w:numPr>
          <w:ilvl w:val="0"/>
          <w:numId w:val="10"/>
        </w:numPr>
        <w:spacing w:after="200" w:line="360" w:lineRule="auto"/>
        <w:ind w:left="0" w:firstLine="0"/>
        <w:contextualSpacing/>
        <w:mirrorIndents/>
        <w:jc w:val="both"/>
        <w:textAlignment w:val="baseline"/>
        <w:rPr>
          <w:rFonts w:eastAsia="Calibri"/>
          <w:kern w:val="11"/>
          <w:lang w:val="uk-UA" w:eastAsia="uk-UA"/>
        </w:rPr>
      </w:pPr>
      <w:r w:rsidRPr="001416ED">
        <w:rPr>
          <w:rFonts w:eastAsia="Calibri"/>
          <w:iCs/>
          <w:kern w:val="11"/>
          <w:lang w:val="uk-UA" w:eastAsia="uk-UA"/>
        </w:rPr>
        <w:t>Born G., Schwartz C. Vascular endothelium / G. Born, C. Schwartz</w:t>
      </w:r>
      <w:r w:rsidRPr="001416ED">
        <w:rPr>
          <w:rFonts w:eastAsia="Calibri"/>
          <w:iCs/>
          <w:kern w:val="11"/>
          <w:lang w:val="en-US" w:eastAsia="uk-UA"/>
        </w:rPr>
        <w:t xml:space="preserve"> </w:t>
      </w:r>
      <w:r w:rsidRPr="001416ED">
        <w:rPr>
          <w:rFonts w:eastAsia="Calibri"/>
          <w:iCs/>
          <w:kern w:val="11"/>
          <w:lang w:val="uk-UA" w:eastAsia="uk-UA"/>
        </w:rPr>
        <w:t>– Stuttgart: Schattauer, 2007. – 390 p.</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t>Bulagouda R.</w:t>
      </w:r>
      <w:r w:rsidRPr="001416ED">
        <w:rPr>
          <w:rFonts w:eastAsia="Calibri"/>
          <w:kern w:val="11"/>
          <w:lang w:val="en-US" w:eastAsia="en-US"/>
        </w:rPr>
        <w:t xml:space="preserve"> </w:t>
      </w:r>
      <w:r w:rsidRPr="001416ED">
        <w:rPr>
          <w:rFonts w:eastAsia="Calibri"/>
          <w:kern w:val="11"/>
          <w:lang w:val="uk-UA" w:eastAsia="en-US"/>
        </w:rPr>
        <w:t>S. Study of palmar dermatoglyphics in patients with essential hypertension between the age group of 20–50 years / R.</w:t>
      </w:r>
      <w:r w:rsidRPr="001416ED">
        <w:rPr>
          <w:rFonts w:eastAsia="Calibri"/>
          <w:kern w:val="11"/>
          <w:lang w:val="en-US" w:eastAsia="en-US"/>
        </w:rPr>
        <w:t xml:space="preserve"> </w:t>
      </w:r>
      <w:r w:rsidRPr="001416ED">
        <w:rPr>
          <w:rFonts w:eastAsia="Calibri"/>
          <w:kern w:val="11"/>
          <w:lang w:val="uk-UA" w:eastAsia="en-US"/>
        </w:rPr>
        <w:t>S. Bulagouda, P.</w:t>
      </w:r>
      <w:r w:rsidRPr="001416ED">
        <w:rPr>
          <w:rFonts w:eastAsia="Calibri"/>
          <w:kern w:val="11"/>
          <w:lang w:val="en-US" w:eastAsia="en-US"/>
        </w:rPr>
        <w:t xml:space="preserve"> </w:t>
      </w:r>
      <w:r w:rsidRPr="001416ED">
        <w:rPr>
          <w:rFonts w:eastAsia="Calibri"/>
          <w:kern w:val="11"/>
          <w:lang w:val="uk-UA" w:eastAsia="en-US"/>
        </w:rPr>
        <w:t>J. Patil, G.</w:t>
      </w:r>
      <w:r w:rsidRPr="001416ED">
        <w:rPr>
          <w:rFonts w:eastAsia="Calibri"/>
          <w:kern w:val="11"/>
          <w:lang w:val="en-US" w:eastAsia="en-US"/>
        </w:rPr>
        <w:t xml:space="preserve"> </w:t>
      </w:r>
      <w:r w:rsidRPr="001416ED">
        <w:rPr>
          <w:rFonts w:eastAsia="Calibri"/>
          <w:kern w:val="11"/>
          <w:lang w:val="uk-UA" w:eastAsia="en-US"/>
        </w:rPr>
        <w:t xml:space="preserve">A.Hadimani  </w:t>
      </w:r>
      <w:r w:rsidRPr="001416ED">
        <w:rPr>
          <w:rFonts w:eastAsia="Calibri"/>
          <w:bCs/>
          <w:kern w:val="11"/>
          <w:lang w:val="uk-UA" w:eastAsia="en-US"/>
        </w:rPr>
        <w:t xml:space="preserve">[et al.] // </w:t>
      </w:r>
      <w:r w:rsidRPr="001416ED">
        <w:rPr>
          <w:rFonts w:eastAsia="Calibri"/>
          <w:kern w:val="11"/>
          <w:lang w:val="uk-UA" w:eastAsia="en-US"/>
        </w:rPr>
        <w:t xml:space="preserve">Int J Med Res Heal Sci. – 2013. – </w:t>
      </w:r>
      <w:r w:rsidRPr="001416ED">
        <w:rPr>
          <w:rFonts w:eastAsia="Calibri"/>
          <w:bCs/>
          <w:iCs/>
          <w:kern w:val="11"/>
          <w:lang w:val="en-US" w:eastAsia="en-US"/>
        </w:rPr>
        <w:t>Vol</w:t>
      </w:r>
      <w:r w:rsidRPr="001416ED">
        <w:rPr>
          <w:rFonts w:eastAsia="Calibri"/>
          <w:bCs/>
          <w:iCs/>
          <w:kern w:val="11"/>
          <w:lang w:val="uk-UA" w:eastAsia="en-US"/>
        </w:rPr>
        <w:t xml:space="preserve">. </w:t>
      </w:r>
      <w:r w:rsidRPr="001416ED">
        <w:rPr>
          <w:rFonts w:eastAsia="Calibri"/>
          <w:kern w:val="11"/>
          <w:lang w:val="uk-UA" w:eastAsia="en-US"/>
        </w:rPr>
        <w:t>2. – Р. 773–9.</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shd w:val="clear" w:color="auto" w:fill="FFFFFF"/>
          <w:lang w:val="en-US"/>
        </w:rPr>
        <w:t>Cabiati M. Recent advances on natriuretic peptide system: new promising therapeutic targets for the treatment of heart failure / M. Cabiati, S. Del Ry, A. Clerico // Pharmacol Res. – 2013. – Vol. 76. P. 190–198.</w:t>
      </w:r>
      <w:r w:rsidRPr="001416ED">
        <w:rPr>
          <w:rFonts w:eastAsia="PragmaticaC"/>
          <w:lang w:val="uk-UA" w:eastAsia="en-US"/>
        </w:rPr>
        <w:t xml:space="preserve"> </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Cammarata P. R. Characterization and functional expression of the natriuretic peptide system in human lens epithelial cells / P. R. Cammarata, B. Braun, S. D. Dimitrijevich [et al.] // Molecular Vision. – 2010. – №</w:t>
      </w:r>
      <w:r w:rsidRPr="001416ED">
        <w:rPr>
          <w:rFonts w:eastAsia="PragmaticaC"/>
          <w:lang w:val="en-US" w:eastAsia="en-US"/>
        </w:rPr>
        <w:t xml:space="preserve"> </w:t>
      </w:r>
      <w:r w:rsidRPr="001416ED">
        <w:rPr>
          <w:rFonts w:eastAsia="PragmaticaC"/>
          <w:lang w:val="uk-UA" w:eastAsia="en-US"/>
        </w:rPr>
        <w:t>16. – Р. 630–638</w:t>
      </w:r>
      <w:r w:rsidRPr="001416ED">
        <w:rPr>
          <w:rFonts w:eastAsia="PragmaticaC"/>
          <w:sz w:val="16"/>
          <w:szCs w:val="16"/>
          <w:lang w:val="uk-UA" w:eastAsia="en-US"/>
        </w:rPr>
        <w:t>.</w:t>
      </w:r>
    </w:p>
    <w:p w:rsidR="005107A1" w:rsidRPr="001416ED" w:rsidRDefault="005107A1" w:rsidP="0012229A">
      <w:pPr>
        <w:numPr>
          <w:ilvl w:val="0"/>
          <w:numId w:val="10"/>
        </w:numPr>
        <w:autoSpaceDE w:val="0"/>
        <w:autoSpaceDN w:val="0"/>
        <w:adjustRightInd w:val="0"/>
        <w:spacing w:line="360" w:lineRule="auto"/>
        <w:ind w:left="0" w:firstLine="0"/>
        <w:mirrorIndents/>
        <w:jc w:val="both"/>
        <w:rPr>
          <w:rFonts w:eastAsia="Calibri"/>
          <w:bCs/>
          <w:lang w:val="uk-UA" w:eastAsia="en-US"/>
        </w:rPr>
      </w:pPr>
      <w:r w:rsidRPr="001416ED">
        <w:rPr>
          <w:rFonts w:eastAsia="Calibri"/>
          <w:kern w:val="11"/>
          <w:lang w:val="uk-UA" w:eastAsia="en-US"/>
        </w:rPr>
        <w:t>Cargill R.</w:t>
      </w:r>
      <w:r w:rsidRPr="001416ED">
        <w:rPr>
          <w:rFonts w:eastAsia="Calibri"/>
          <w:kern w:val="11"/>
          <w:lang w:val="en-US" w:eastAsia="en-US"/>
        </w:rPr>
        <w:t xml:space="preserve"> </w:t>
      </w:r>
      <w:r w:rsidRPr="001416ED">
        <w:rPr>
          <w:rFonts w:eastAsia="Calibri"/>
          <w:kern w:val="11"/>
          <w:lang w:val="uk-UA" w:eastAsia="en-US"/>
        </w:rPr>
        <w:t>I. C–type natriuretic peptide levels in cor pulmonale and in congestive cardiac failure / R.</w:t>
      </w:r>
      <w:r w:rsidRPr="001416ED">
        <w:rPr>
          <w:rFonts w:eastAsia="Calibri"/>
          <w:kern w:val="11"/>
          <w:lang w:val="en-US" w:eastAsia="en-US"/>
        </w:rPr>
        <w:t xml:space="preserve"> </w:t>
      </w:r>
      <w:r w:rsidRPr="001416ED">
        <w:rPr>
          <w:rFonts w:eastAsia="Calibri"/>
          <w:kern w:val="11"/>
          <w:lang w:val="uk-UA" w:eastAsia="en-US"/>
        </w:rPr>
        <w:t>I. Cargill, C.</w:t>
      </w:r>
      <w:r w:rsidRPr="001416ED">
        <w:rPr>
          <w:rFonts w:eastAsia="Calibri"/>
          <w:kern w:val="11"/>
          <w:lang w:val="en-US" w:eastAsia="en-US"/>
        </w:rPr>
        <w:t xml:space="preserve"> </w:t>
      </w:r>
      <w:r w:rsidRPr="001416ED">
        <w:rPr>
          <w:rFonts w:eastAsia="Calibri"/>
          <w:kern w:val="11"/>
          <w:lang w:val="uk-UA" w:eastAsia="en-US"/>
        </w:rPr>
        <w:t>S. Barr, W.</w:t>
      </w:r>
      <w:r w:rsidRPr="001416ED">
        <w:rPr>
          <w:rFonts w:eastAsia="Calibri"/>
          <w:kern w:val="11"/>
          <w:lang w:val="en-US" w:eastAsia="en-US"/>
        </w:rPr>
        <w:t xml:space="preserve"> </w:t>
      </w:r>
      <w:r w:rsidRPr="001416ED">
        <w:rPr>
          <w:rFonts w:eastAsia="Calibri"/>
          <w:kern w:val="11"/>
          <w:lang w:val="uk-UA" w:eastAsia="en-US"/>
        </w:rPr>
        <w:t>J. Coutie [et al.] // Thorax. – 1994. –</w:t>
      </w:r>
      <w:r w:rsidRPr="001416ED">
        <w:rPr>
          <w:rFonts w:eastAsia="Calibri"/>
          <w:kern w:val="11"/>
          <w:lang w:val="en-US" w:eastAsia="en-US"/>
        </w:rPr>
        <w:t xml:space="preserve"> Vol</w:t>
      </w:r>
      <w:r w:rsidRPr="001416ED">
        <w:rPr>
          <w:rFonts w:eastAsia="Calibri"/>
          <w:kern w:val="11"/>
          <w:lang w:val="uk-UA" w:eastAsia="en-US"/>
        </w:rPr>
        <w:t>. 49. – Р. 1247–1249.</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t xml:space="preserve">Castro M. G. Screening of the endothelin1 gene (EDN1) in a cohort of patients with essential left ventricular hypertrophy / M. G. Castro1, F. Rodrıguez–Pascual,  N. Magan–Marchal </w:t>
      </w:r>
      <w:r w:rsidRPr="001416ED">
        <w:rPr>
          <w:rFonts w:eastAsia="Calibri"/>
          <w:bCs/>
          <w:kern w:val="11"/>
          <w:lang w:val="uk-UA" w:eastAsia="en-US"/>
        </w:rPr>
        <w:t>[et al.] //</w:t>
      </w:r>
      <w:r w:rsidRPr="001416ED">
        <w:rPr>
          <w:rFonts w:eastAsia="Calibri"/>
          <w:kern w:val="11"/>
          <w:sz w:val="11"/>
          <w:szCs w:val="11"/>
          <w:lang w:val="uk-UA" w:eastAsia="en-US"/>
        </w:rPr>
        <w:t xml:space="preserve"> </w:t>
      </w:r>
      <w:r w:rsidRPr="001416ED">
        <w:rPr>
          <w:rFonts w:eastAsia="Calibri"/>
          <w:kern w:val="11"/>
          <w:lang w:val="uk-UA" w:eastAsia="en-US"/>
        </w:rPr>
        <w:t xml:space="preserve">Annals of Human Genetics. – 2007. </w:t>
      </w:r>
      <w:r w:rsidRPr="001416ED">
        <w:rPr>
          <w:rFonts w:eastAsia="Calibri"/>
          <w:kern w:val="11"/>
          <w:lang w:val="en-US" w:eastAsia="en-US"/>
        </w:rPr>
        <w:t>-</w:t>
      </w:r>
      <w:r w:rsidRPr="001416ED">
        <w:rPr>
          <w:rFonts w:eastAsia="Calibri"/>
          <w:kern w:val="11"/>
          <w:lang w:val="uk-UA" w:eastAsia="en-US"/>
        </w:rPr>
        <w:t xml:space="preserve"> </w:t>
      </w:r>
      <w:r w:rsidRPr="001416ED">
        <w:rPr>
          <w:rFonts w:eastAsia="Calibri"/>
          <w:bCs/>
          <w:iCs/>
          <w:kern w:val="11"/>
          <w:lang w:val="en-US" w:eastAsia="en-US"/>
        </w:rPr>
        <w:t>Vol</w:t>
      </w:r>
      <w:r w:rsidRPr="001416ED">
        <w:rPr>
          <w:rFonts w:eastAsia="Calibri"/>
          <w:bCs/>
          <w:iCs/>
          <w:kern w:val="11"/>
          <w:lang w:val="uk-UA" w:eastAsia="en-US"/>
        </w:rPr>
        <w:t xml:space="preserve">. </w:t>
      </w:r>
      <w:r w:rsidRPr="001416ED">
        <w:rPr>
          <w:rFonts w:eastAsia="Calibri"/>
          <w:kern w:val="11"/>
          <w:lang w:val="uk-UA" w:eastAsia="en-US"/>
        </w:rPr>
        <w:t>71.</w:t>
      </w:r>
      <w:r w:rsidRPr="001416ED">
        <w:rPr>
          <w:rFonts w:eastAsia="Calibri"/>
          <w:kern w:val="11"/>
          <w:lang w:val="en-US" w:eastAsia="en-US"/>
        </w:rPr>
        <w:t xml:space="preserve"> -</w:t>
      </w:r>
      <w:r w:rsidRPr="001416ED">
        <w:rPr>
          <w:rFonts w:eastAsia="Calibri"/>
          <w:kern w:val="11"/>
          <w:lang w:val="uk-UA" w:eastAsia="en-US"/>
        </w:rPr>
        <w:t xml:space="preserve"> Р. 601–610.</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lang w:val="uk-UA" w:eastAsia="uk-UA"/>
        </w:rPr>
        <w:t>Chandra S</w:t>
      </w:r>
      <w:r w:rsidRPr="001416ED">
        <w:rPr>
          <w:lang w:val="en-US" w:eastAsia="uk-UA"/>
        </w:rPr>
        <w:t>.</w:t>
      </w:r>
      <w:r w:rsidRPr="001416ED">
        <w:rPr>
          <w:rFonts w:eastAsia="Calibri"/>
          <w:lang w:val="en-US" w:eastAsia="en-US"/>
        </w:rPr>
        <w:t xml:space="preserve"> </w:t>
      </w:r>
      <w:r w:rsidRPr="001416ED">
        <w:rPr>
          <w:rFonts w:eastAsia="Calibri"/>
          <w:kern w:val="11"/>
          <w:lang w:val="uk-UA" w:eastAsia="en-US"/>
        </w:rPr>
        <w:t>Association of Angiotensin II Type 1 Receptor (A1166C) Gene Polymorphism and Its Increased Expression in Essential Hypertension: A Case–Control Study</w:t>
      </w:r>
      <w:r w:rsidRPr="001416ED">
        <w:rPr>
          <w:rFonts w:eastAsia="Calibri"/>
          <w:kern w:val="11"/>
          <w:lang w:val="en-US" w:eastAsia="en-US"/>
        </w:rPr>
        <w:t xml:space="preserve"> / </w:t>
      </w:r>
      <w:r w:rsidRPr="001416ED">
        <w:rPr>
          <w:lang w:val="uk-UA" w:eastAsia="uk-UA"/>
        </w:rPr>
        <w:t>S</w:t>
      </w:r>
      <w:r w:rsidRPr="001416ED">
        <w:rPr>
          <w:lang w:val="en-US" w:eastAsia="uk-UA"/>
        </w:rPr>
        <w:t xml:space="preserve">. </w:t>
      </w:r>
      <w:r w:rsidRPr="001416ED">
        <w:rPr>
          <w:lang w:val="uk-UA" w:eastAsia="uk-UA"/>
        </w:rPr>
        <w:t>Chandra</w:t>
      </w:r>
      <w:r w:rsidRPr="001416ED">
        <w:rPr>
          <w:lang w:val="en-US" w:eastAsia="uk-UA"/>
        </w:rPr>
        <w:t>,</w:t>
      </w:r>
      <w:r w:rsidRPr="001416ED">
        <w:rPr>
          <w:lang w:val="uk-UA" w:eastAsia="uk-UA"/>
        </w:rPr>
        <w:t xml:space="preserve"> </w:t>
      </w:r>
      <w:r w:rsidRPr="001416ED">
        <w:rPr>
          <w:lang w:val="en-US" w:eastAsia="uk-UA"/>
        </w:rPr>
        <w:t xml:space="preserve"> </w:t>
      </w:r>
      <w:r w:rsidRPr="001416ED">
        <w:rPr>
          <w:lang w:val="uk-UA" w:eastAsia="uk-UA"/>
        </w:rPr>
        <w:t>R</w:t>
      </w:r>
      <w:r w:rsidRPr="001416ED">
        <w:rPr>
          <w:lang w:val="en-US" w:eastAsia="uk-UA"/>
        </w:rPr>
        <w:t>.</w:t>
      </w:r>
      <w:r w:rsidRPr="001416ED">
        <w:rPr>
          <w:lang w:val="uk-UA" w:eastAsia="uk-UA"/>
        </w:rPr>
        <w:t xml:space="preserve"> Narang,</w:t>
      </w:r>
      <w:r w:rsidRPr="001416ED">
        <w:rPr>
          <w:lang w:val="en-US" w:eastAsia="uk-UA"/>
        </w:rPr>
        <w:t xml:space="preserve"> </w:t>
      </w:r>
      <w:r w:rsidRPr="001416ED">
        <w:rPr>
          <w:lang w:val="uk-UA" w:eastAsia="uk-UA"/>
        </w:rPr>
        <w:t>V</w:t>
      </w:r>
      <w:r w:rsidRPr="001416ED">
        <w:rPr>
          <w:lang w:val="en-US" w:eastAsia="uk-UA"/>
        </w:rPr>
        <w:t>.</w:t>
      </w:r>
      <w:r w:rsidRPr="001416ED">
        <w:rPr>
          <w:lang w:val="uk-UA" w:eastAsia="uk-UA"/>
        </w:rPr>
        <w:t xml:space="preserve"> Sreenivas</w:t>
      </w:r>
      <w:r w:rsidRPr="001416ED">
        <w:rPr>
          <w:lang w:val="en-US" w:eastAsia="uk-UA"/>
        </w:rPr>
        <w:t xml:space="preserve"> [et.al] // </w:t>
      </w:r>
      <w:r w:rsidRPr="001416ED">
        <w:rPr>
          <w:rFonts w:eastAsia="Calibri"/>
          <w:kern w:val="11"/>
          <w:lang w:val="en-US" w:eastAsia="en-US"/>
        </w:rPr>
        <w:t>P</w:t>
      </w:r>
      <w:r w:rsidRPr="001416ED">
        <w:rPr>
          <w:rFonts w:eastAsia="Calibri"/>
          <w:kern w:val="11"/>
          <w:lang w:val="uk-UA" w:eastAsia="en-US"/>
        </w:rPr>
        <w:t>los one</w:t>
      </w:r>
      <w:r w:rsidRPr="001416ED">
        <w:rPr>
          <w:rFonts w:eastAsia="Calibri"/>
          <w:kern w:val="11"/>
          <w:lang w:val="en-US" w:eastAsia="en-US"/>
        </w:rPr>
        <w:t>. – 2014. – Vol. 9 (7). – P. 1–9.</w:t>
      </w:r>
    </w:p>
    <w:p w:rsidR="005107A1" w:rsidRPr="001416ED" w:rsidRDefault="005107A1" w:rsidP="0012229A">
      <w:pPr>
        <w:numPr>
          <w:ilvl w:val="0"/>
          <w:numId w:val="10"/>
        </w:numPr>
        <w:suppressAutoHyphens/>
        <w:spacing w:line="360" w:lineRule="auto"/>
        <w:ind w:left="0" w:firstLine="0"/>
        <w:mirrorIndents/>
        <w:jc w:val="both"/>
        <w:rPr>
          <w:rFonts w:eastAsia="Calibri"/>
          <w:kern w:val="11"/>
          <w:lang w:val="uk-UA" w:eastAsia="en-US"/>
        </w:rPr>
      </w:pPr>
      <w:r w:rsidRPr="001416ED">
        <w:rPr>
          <w:rFonts w:eastAsia="Calibri"/>
          <w:kern w:val="11"/>
          <w:lang w:val="uk-UA" w:eastAsia="en-US"/>
        </w:rPr>
        <w:lastRenderedPageBreak/>
        <w:t>Chapman A. B.</w:t>
      </w:r>
      <w:r w:rsidRPr="001416ED">
        <w:rPr>
          <w:rFonts w:eastAsia="Calibri"/>
          <w:kern w:val="11"/>
          <w:sz w:val="12"/>
          <w:szCs w:val="12"/>
          <w:shd w:val="clear" w:color="auto" w:fill="FFFFFF"/>
          <w:lang w:val="uk-UA" w:eastAsia="en-US"/>
        </w:rPr>
        <w:t xml:space="preserve">  </w:t>
      </w:r>
      <w:r w:rsidRPr="001416ED">
        <w:rPr>
          <w:rFonts w:eastAsia="Calibri"/>
          <w:kern w:val="11"/>
          <w:lang w:val="uk-UA" w:eastAsia="en-US"/>
        </w:rPr>
        <w:t xml:space="preserve"> Systemic and renal hemodynamic changes in the luteal phase of the menstrual cycle mimic early pregnancy / A. B. Chapman, S. </w:t>
      </w:r>
      <w:r w:rsidRPr="001416ED">
        <w:rPr>
          <w:rFonts w:eastAsia="Calibri"/>
          <w:kern w:val="11"/>
          <w:sz w:val="12"/>
          <w:szCs w:val="12"/>
          <w:shd w:val="clear" w:color="auto" w:fill="FFFFFF"/>
          <w:lang w:val="uk-UA" w:eastAsia="en-US"/>
        </w:rPr>
        <w:t> </w:t>
      </w:r>
      <w:hyperlink r:id="rId58" w:history="1">
        <w:r w:rsidRPr="001416ED">
          <w:rPr>
            <w:rFonts w:eastAsia="Calibri"/>
            <w:kern w:val="11"/>
            <w:shd w:val="clear" w:color="auto" w:fill="FFFFFF"/>
            <w:lang w:val="uk-UA" w:eastAsia="en-US"/>
          </w:rPr>
          <w:t>Zamudio</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w:t>
        </w:r>
      </w:hyperlink>
      <w:r w:rsidRPr="001416ED">
        <w:rPr>
          <w:rFonts w:eastAsia="Calibri"/>
          <w:kern w:val="11"/>
          <w:shd w:val="clear" w:color="auto" w:fill="FFFFFF"/>
          <w:lang w:val="uk-UA" w:eastAsia="en-US"/>
        </w:rPr>
        <w:t xml:space="preserve"> W. </w:t>
      </w:r>
      <w:hyperlink r:id="rId59" w:history="1">
        <w:r w:rsidRPr="001416ED">
          <w:rPr>
            <w:rFonts w:eastAsia="Calibri"/>
            <w:kern w:val="11"/>
            <w:shd w:val="clear" w:color="auto" w:fill="FFFFFF"/>
            <w:lang w:val="uk-UA" w:eastAsia="en-US"/>
          </w:rPr>
          <w:t xml:space="preserve">Woodmansee </w:t>
        </w:r>
      </w:hyperlink>
      <w:r w:rsidRPr="001416ED">
        <w:rPr>
          <w:rFonts w:eastAsia="Calibri"/>
          <w:kern w:val="11"/>
          <w:lang w:val="en-US" w:eastAsia="en-US"/>
        </w:rPr>
        <w:t>[</w:t>
      </w:r>
      <w:r w:rsidRPr="001416ED">
        <w:rPr>
          <w:rFonts w:eastAsia="Calibri"/>
          <w:kern w:val="11"/>
          <w:lang w:val="uk-UA" w:eastAsia="en-US"/>
        </w:rPr>
        <w:t>et al.</w:t>
      </w:r>
      <w:r w:rsidRPr="001416ED">
        <w:rPr>
          <w:rFonts w:eastAsia="Calibri"/>
          <w:kern w:val="11"/>
          <w:lang w:val="en-US" w:eastAsia="en-US"/>
        </w:rPr>
        <w:t>]</w:t>
      </w:r>
      <w:r w:rsidRPr="001416ED">
        <w:rPr>
          <w:rFonts w:eastAsia="Calibri"/>
          <w:kern w:val="11"/>
          <w:lang w:val="uk-UA" w:eastAsia="en-US"/>
        </w:rPr>
        <w:t xml:space="preserve"> // Am. J. Physiol. – </w:t>
      </w:r>
      <w:r w:rsidRPr="001416ED">
        <w:rPr>
          <w:rFonts w:eastAsia="Calibri"/>
          <w:kern w:val="11"/>
          <w:lang w:val="en-US" w:eastAsia="en-US"/>
        </w:rPr>
        <w:t>200</w:t>
      </w:r>
      <w:r w:rsidRPr="001416ED">
        <w:rPr>
          <w:rFonts w:eastAsia="Calibri"/>
          <w:kern w:val="11"/>
          <w:lang w:val="uk-UA" w:eastAsia="en-US"/>
        </w:rPr>
        <w:t>7. – Vol. 273. – P. 777–782.</w:t>
      </w:r>
    </w:p>
    <w:p w:rsidR="005107A1" w:rsidRPr="001416ED" w:rsidRDefault="00A9327B" w:rsidP="0012229A">
      <w:pPr>
        <w:numPr>
          <w:ilvl w:val="0"/>
          <w:numId w:val="10"/>
        </w:numPr>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hyperlink r:id="rId60" w:history="1">
        <w:r w:rsidR="005107A1" w:rsidRPr="001416ED">
          <w:rPr>
            <w:rFonts w:eastAsia="Calibri"/>
            <w:kern w:val="11"/>
            <w:shd w:val="clear" w:color="auto" w:fill="FFFFFF"/>
            <w:lang w:val="uk-UA" w:eastAsia="en-US"/>
          </w:rPr>
          <w:t>Cheung B. M</w:t>
        </w:r>
      </w:hyperlink>
      <w:r w:rsidR="005107A1" w:rsidRPr="001416ED">
        <w:rPr>
          <w:rFonts w:eastAsia="Calibri"/>
          <w:kern w:val="11"/>
          <w:lang w:val="uk-UA" w:eastAsia="en-US"/>
        </w:rPr>
        <w:t>.</w:t>
      </w:r>
      <w:r w:rsidR="005107A1" w:rsidRPr="001416ED">
        <w:rPr>
          <w:rFonts w:eastAsia="Calibri"/>
          <w:kern w:val="11"/>
          <w:shd w:val="clear" w:color="auto" w:fill="FFFFFF"/>
          <w:vertAlign w:val="superscript"/>
          <w:lang w:val="uk-UA" w:eastAsia="en-US"/>
        </w:rPr>
        <w:t xml:space="preserve"> </w:t>
      </w:r>
      <w:r w:rsidR="005107A1" w:rsidRPr="001416ED">
        <w:rPr>
          <w:rFonts w:eastAsia="Calibri"/>
          <w:kern w:val="11"/>
          <w:lang w:val="uk-UA" w:eastAsia="en-US"/>
        </w:rPr>
        <w:t xml:space="preserve">Plasma brain natriuretic peptide and C–type natriuretic peptide in essential hypertension / В. М. </w:t>
      </w:r>
      <w:hyperlink r:id="rId61" w:history="1">
        <w:r w:rsidR="005107A1" w:rsidRPr="001416ED">
          <w:rPr>
            <w:rFonts w:eastAsia="Calibri"/>
            <w:kern w:val="11"/>
            <w:shd w:val="clear" w:color="auto" w:fill="FFFFFF"/>
            <w:lang w:val="uk-UA" w:eastAsia="en-US"/>
          </w:rPr>
          <w:t xml:space="preserve">Cheung, </w:t>
        </w:r>
      </w:hyperlink>
      <w:r w:rsidR="005107A1" w:rsidRPr="001416ED">
        <w:rPr>
          <w:rFonts w:eastAsia="Calibri"/>
          <w:kern w:val="11"/>
          <w:shd w:val="clear" w:color="auto" w:fill="FFFFFF"/>
          <w:vertAlign w:val="superscript"/>
          <w:lang w:val="uk-UA" w:eastAsia="en-US"/>
        </w:rPr>
        <w:t xml:space="preserve"> </w:t>
      </w:r>
      <w:r w:rsidR="005107A1" w:rsidRPr="001416ED">
        <w:rPr>
          <w:rFonts w:eastAsia="Calibri"/>
          <w:kern w:val="11"/>
          <w:shd w:val="clear" w:color="auto" w:fill="FFFFFF"/>
          <w:lang w:val="uk-UA" w:eastAsia="en-US"/>
        </w:rPr>
        <w:t>M. J.</w:t>
      </w:r>
      <w:r w:rsidR="005107A1" w:rsidRPr="001416ED">
        <w:rPr>
          <w:rFonts w:eastAsia="Calibri"/>
          <w:kern w:val="11"/>
          <w:shd w:val="clear" w:color="auto" w:fill="FFFFFF"/>
          <w:vertAlign w:val="superscript"/>
          <w:lang w:val="uk-UA" w:eastAsia="en-US"/>
        </w:rPr>
        <w:t xml:space="preserve"> </w:t>
      </w:r>
      <w:hyperlink r:id="rId62" w:history="1">
        <w:r w:rsidR="005107A1" w:rsidRPr="001416ED">
          <w:rPr>
            <w:rFonts w:eastAsia="Calibri"/>
            <w:kern w:val="11"/>
            <w:shd w:val="clear" w:color="auto" w:fill="FFFFFF"/>
            <w:lang w:val="uk-UA" w:eastAsia="en-US"/>
          </w:rPr>
          <w:t xml:space="preserve">Brown //  </w:t>
        </w:r>
      </w:hyperlink>
      <w:r w:rsidR="005107A1" w:rsidRPr="001416ED">
        <w:rPr>
          <w:rFonts w:eastAsia="Calibri"/>
          <w:kern w:val="11"/>
          <w:sz w:val="9"/>
          <w:szCs w:val="9"/>
          <w:shd w:val="clear" w:color="auto" w:fill="FFFFFF"/>
          <w:lang w:val="uk-UA" w:eastAsia="en-US"/>
        </w:rPr>
        <w:t xml:space="preserve"> </w:t>
      </w:r>
      <w:hyperlink r:id="rId63" w:tooltip="Journal of hypertension." w:history="1">
        <w:r w:rsidR="005107A1" w:rsidRPr="001416ED">
          <w:rPr>
            <w:rFonts w:eastAsia="Calibri"/>
            <w:kern w:val="11"/>
            <w:shd w:val="clear" w:color="auto" w:fill="FFFFFF"/>
            <w:lang w:val="uk-UA" w:eastAsia="en-US"/>
          </w:rPr>
          <w:t>J Hypertens.</w:t>
        </w:r>
      </w:hyperlink>
      <w:r w:rsidR="005107A1" w:rsidRPr="001416ED">
        <w:rPr>
          <w:rFonts w:eastAsia="Calibri"/>
          <w:kern w:val="11"/>
          <w:shd w:val="clear" w:color="auto" w:fill="FFFFFF"/>
          <w:lang w:val="uk-UA" w:eastAsia="en-US"/>
        </w:rPr>
        <w:t xml:space="preserve"> – 1994. – </w:t>
      </w:r>
      <w:r w:rsidR="005107A1" w:rsidRPr="001416ED">
        <w:rPr>
          <w:rFonts w:eastAsia="PragmaticaC"/>
          <w:lang w:val="uk-UA" w:eastAsia="en-US"/>
        </w:rPr>
        <w:t xml:space="preserve">Vol. </w:t>
      </w:r>
      <w:r w:rsidR="005107A1" w:rsidRPr="001416ED">
        <w:rPr>
          <w:rFonts w:eastAsia="Calibri"/>
          <w:kern w:val="11"/>
          <w:shd w:val="clear" w:color="auto" w:fill="FFFFFF"/>
          <w:lang w:val="uk-UA" w:eastAsia="en-US"/>
        </w:rPr>
        <w:t>12</w:t>
      </w:r>
      <w:r w:rsidR="005107A1" w:rsidRPr="001416ED">
        <w:rPr>
          <w:rFonts w:eastAsia="Calibri"/>
          <w:kern w:val="11"/>
          <w:shd w:val="clear" w:color="auto" w:fill="FFFFFF"/>
          <w:lang w:val="en-US" w:eastAsia="en-US"/>
        </w:rPr>
        <w:t xml:space="preserve"> </w:t>
      </w:r>
      <w:r w:rsidR="005107A1" w:rsidRPr="001416ED">
        <w:rPr>
          <w:rFonts w:eastAsia="Calibri"/>
          <w:kern w:val="11"/>
          <w:shd w:val="clear" w:color="auto" w:fill="FFFFFF"/>
          <w:lang w:val="uk-UA" w:eastAsia="en-US"/>
        </w:rPr>
        <w:t>(4). – Р. 449–54.</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MyriadPro-Regular"/>
          <w:lang w:val="uk-UA" w:eastAsia="en-US"/>
        </w:rPr>
      </w:pPr>
      <w:r w:rsidRPr="001416ED">
        <w:rPr>
          <w:rFonts w:eastAsia="MyriadPro-Regular"/>
          <w:lang w:val="uk-UA" w:eastAsia="en-US"/>
        </w:rPr>
        <w:t>Clerico A. Cardiac endocrine function is an essential component of the homeostatic regulation network: physiological and clinical implications / A. Clerico, F. A. Recchia, C. Passino // Amer. J. Physiol. – 2006. – Vol. 290. – P. 17–29.</w:t>
      </w:r>
    </w:p>
    <w:p w:rsidR="005107A1" w:rsidRPr="001416ED" w:rsidRDefault="005107A1" w:rsidP="0012229A">
      <w:pPr>
        <w:numPr>
          <w:ilvl w:val="0"/>
          <w:numId w:val="10"/>
        </w:numPr>
        <w:spacing w:after="200" w:line="360" w:lineRule="auto"/>
        <w:ind w:left="0" w:firstLine="0"/>
        <w:contextualSpacing/>
        <w:mirrorIndents/>
        <w:jc w:val="both"/>
        <w:rPr>
          <w:rFonts w:eastAsia="Calibri"/>
          <w:kern w:val="11"/>
          <w:lang w:val="en-US" w:eastAsia="en-US"/>
        </w:rPr>
      </w:pPr>
      <w:r w:rsidRPr="001416ED">
        <w:rPr>
          <w:rFonts w:eastAsia="Calibri"/>
          <w:kern w:val="11"/>
          <w:lang w:val="uk-UA" w:eastAsia="en-US"/>
        </w:rPr>
        <w:t>Deepa G.</w:t>
      </w:r>
      <w:r w:rsidRPr="001416ED">
        <w:rPr>
          <w:rFonts w:eastAsia="Calibri"/>
          <w:bCs/>
          <w:kern w:val="11"/>
          <w:shd w:val="clear" w:color="auto" w:fill="FFFFFF"/>
          <w:lang w:val="uk-UA" w:eastAsia="en-US"/>
        </w:rPr>
        <w:t xml:space="preserve"> Study Of Palmar Dermatoglyphics In Essential Hypertension</w:t>
      </w:r>
      <w:r w:rsidRPr="001416ED">
        <w:rPr>
          <w:rFonts w:eastAsia="Calibri"/>
          <w:kern w:val="11"/>
          <w:lang w:val="uk-UA" w:eastAsia="en-US"/>
        </w:rPr>
        <w:t xml:space="preserve"> / G. Deepa // NJIRM. –  2013. – Vol. 4</w:t>
      </w:r>
      <w:r w:rsidRPr="001416ED">
        <w:rPr>
          <w:rFonts w:eastAsia="Calibri"/>
          <w:kern w:val="11"/>
          <w:lang w:val="en-US" w:eastAsia="en-US"/>
        </w:rPr>
        <w:t xml:space="preserve"> </w:t>
      </w:r>
      <w:r w:rsidRPr="001416ED">
        <w:rPr>
          <w:rFonts w:eastAsia="Calibri"/>
          <w:kern w:val="11"/>
          <w:lang w:val="uk-UA" w:eastAsia="en-US"/>
        </w:rPr>
        <w:t>(3). – Р. 61–65.</w:t>
      </w:r>
    </w:p>
    <w:p w:rsidR="005107A1" w:rsidRPr="001416ED" w:rsidRDefault="005107A1" w:rsidP="0012229A">
      <w:pPr>
        <w:numPr>
          <w:ilvl w:val="0"/>
          <w:numId w:val="10"/>
        </w:numPr>
        <w:shd w:val="clear" w:color="auto" w:fill="FFFFFF"/>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PragmaticaC"/>
          <w:lang w:val="uk-UA" w:eastAsia="en-US"/>
        </w:rPr>
        <w:t>Del Ry</w:t>
      </w:r>
      <w:r w:rsidRPr="001416ED">
        <w:rPr>
          <w:rFonts w:eastAsia="Calibri"/>
          <w:lang w:val="uk-UA" w:eastAsia="en-US"/>
        </w:rPr>
        <w:t xml:space="preserve"> </w:t>
      </w:r>
      <w:r w:rsidRPr="001416ED">
        <w:rPr>
          <w:rFonts w:eastAsia="PragmaticaC"/>
          <w:lang w:val="uk-UA" w:eastAsia="en-US"/>
        </w:rPr>
        <w:t xml:space="preserve">S. </w:t>
      </w:r>
      <w:r w:rsidRPr="001416ED">
        <w:rPr>
          <w:rFonts w:eastAsia="Calibri"/>
          <w:lang w:val="uk-UA" w:eastAsia="en-US"/>
        </w:rPr>
        <w:t xml:space="preserve">Comparison of NT–proCNP and CNP plasma levels in heart failure, diabetes and cirrhosis patients </w:t>
      </w:r>
      <w:r w:rsidRPr="001416ED">
        <w:rPr>
          <w:rFonts w:eastAsia="PragmaticaC"/>
          <w:lang w:val="uk-UA" w:eastAsia="en-US"/>
        </w:rPr>
        <w:t>/ S. Del Ry, M. Cabiati, T. Stefano [et al.] // Regul</w:t>
      </w:r>
      <w:r w:rsidRPr="001416ED">
        <w:rPr>
          <w:rFonts w:eastAsia="PragmaticaC"/>
          <w:lang w:val="en-US" w:eastAsia="en-US"/>
        </w:rPr>
        <w:t>.</w:t>
      </w:r>
      <w:r w:rsidRPr="001416ED">
        <w:rPr>
          <w:rFonts w:eastAsia="PragmaticaC"/>
          <w:lang w:val="uk-UA" w:eastAsia="en-US"/>
        </w:rPr>
        <w:t xml:space="preserve"> Pept. – 2011. – Vol. 166</w:t>
      </w:r>
      <w:r w:rsidRPr="001416ED">
        <w:rPr>
          <w:rFonts w:eastAsia="PragmaticaC"/>
          <w:lang w:val="en-US" w:eastAsia="en-US"/>
        </w:rPr>
        <w:t xml:space="preserve"> </w:t>
      </w:r>
      <w:r w:rsidRPr="001416ED">
        <w:rPr>
          <w:rFonts w:eastAsia="PragmaticaC"/>
          <w:lang w:val="uk-UA" w:eastAsia="en-US"/>
        </w:rPr>
        <w:t>(1–3). – P. 15–20.</w:t>
      </w:r>
    </w:p>
    <w:p w:rsidR="005107A1" w:rsidRPr="001416ED" w:rsidRDefault="005107A1" w:rsidP="0012229A">
      <w:pPr>
        <w:numPr>
          <w:ilvl w:val="0"/>
          <w:numId w:val="10"/>
        </w:numPr>
        <w:shd w:val="clear" w:color="auto" w:fill="FFFFFF"/>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Del Ry S. Increased levels of C–type natriuretic peptide in patients with idiopathic left ventricular dysfunction / S. Del Ry, D. Giannessi, M. Maltinti [et al.] // Peptides. – 2007. – №28</w:t>
      </w:r>
      <w:r w:rsidRPr="001416ED">
        <w:rPr>
          <w:rFonts w:eastAsia="PragmaticaC"/>
          <w:lang w:val="en-US" w:eastAsia="en-US"/>
        </w:rPr>
        <w:t xml:space="preserve"> </w:t>
      </w:r>
      <w:r w:rsidRPr="001416ED">
        <w:rPr>
          <w:rFonts w:eastAsia="PragmaticaC"/>
          <w:lang w:val="uk-UA" w:eastAsia="en-US"/>
        </w:rPr>
        <w:t>(5). – Р. 1068–73.</w:t>
      </w:r>
    </w:p>
    <w:p w:rsidR="005107A1" w:rsidRPr="001416ED" w:rsidRDefault="005107A1" w:rsidP="0012229A">
      <w:pPr>
        <w:numPr>
          <w:ilvl w:val="0"/>
          <w:numId w:val="10"/>
        </w:numPr>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Calibri"/>
          <w:kern w:val="11"/>
          <w:lang w:val="uk-UA" w:eastAsia="en-US"/>
        </w:rPr>
        <w:t xml:space="preserve">Del Ry S. C–type natriuretic peptide plasma levels are reduced in obese adolescents / S. Del Ry, M. Cabiati, V. Bianchi </w:t>
      </w:r>
      <w:r w:rsidRPr="001416ED">
        <w:rPr>
          <w:rFonts w:eastAsia="PragmaticaC"/>
          <w:lang w:val="uk-UA" w:eastAsia="en-US"/>
        </w:rPr>
        <w:t xml:space="preserve">[et al.] </w:t>
      </w:r>
      <w:r w:rsidRPr="001416ED">
        <w:rPr>
          <w:rFonts w:eastAsia="Calibri"/>
          <w:kern w:val="11"/>
          <w:lang w:val="uk-UA" w:eastAsia="en-US"/>
        </w:rPr>
        <w:t xml:space="preserve">// Peptides. – 2013. – </w:t>
      </w:r>
      <w:r w:rsidRPr="001416ED">
        <w:rPr>
          <w:rFonts w:eastAsia="PragmaticaC"/>
          <w:lang w:val="uk-UA" w:eastAsia="en-US"/>
        </w:rPr>
        <w:t xml:space="preserve">Vol. </w:t>
      </w:r>
      <w:r w:rsidRPr="001416ED">
        <w:rPr>
          <w:rFonts w:eastAsia="Calibri"/>
          <w:kern w:val="11"/>
          <w:lang w:val="uk-UA" w:eastAsia="en-US"/>
        </w:rPr>
        <w:t>50. –  Р. 50–54.</w:t>
      </w:r>
    </w:p>
    <w:p w:rsidR="005107A1" w:rsidRPr="001416ED" w:rsidRDefault="005107A1" w:rsidP="0012229A">
      <w:pPr>
        <w:numPr>
          <w:ilvl w:val="0"/>
          <w:numId w:val="10"/>
        </w:numPr>
        <w:suppressAutoHyphens/>
        <w:spacing w:after="200" w:line="360" w:lineRule="auto"/>
        <w:ind w:left="0" w:firstLine="0"/>
        <w:contextualSpacing/>
        <w:mirrorIndents/>
        <w:jc w:val="both"/>
        <w:rPr>
          <w:rFonts w:eastAsia="PragmaticaC"/>
          <w:lang w:val="en-US" w:eastAsia="en-US"/>
        </w:rPr>
      </w:pPr>
      <w:r w:rsidRPr="001416ED">
        <w:rPr>
          <w:rFonts w:eastAsia="PragmaticaC"/>
          <w:lang w:val="en-US" w:eastAsia="en-US"/>
        </w:rPr>
        <w:t xml:space="preserve">Del Ry S. C-type natriuretic peptide plasma levels increase in patients with congestive heart failure as a function of clinical severity / S. Del Ry, C. Passino, M. [et al.] // Maltinti Eur J Heart Failure. – 2005. – Vol. 7. – P. 1145–8. </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uk-UA" w:eastAsia="en-US"/>
        </w:rPr>
        <w:t>Diamanti–Kandarakis E.</w:t>
      </w:r>
      <w:r w:rsidRPr="001416ED">
        <w:rPr>
          <w:rFonts w:eastAsia="Calibri"/>
          <w:kern w:val="11"/>
          <w:sz w:val="15"/>
          <w:szCs w:val="15"/>
          <w:shd w:val="clear" w:color="auto" w:fill="FFFFFF"/>
          <w:lang w:val="uk-UA" w:eastAsia="en-US"/>
        </w:rPr>
        <w:t xml:space="preserve"> </w:t>
      </w:r>
      <w:r w:rsidRPr="001416ED">
        <w:rPr>
          <w:rFonts w:eastAsia="PragmaticaC"/>
          <w:lang w:val="uk-UA" w:eastAsia="en-US"/>
        </w:rPr>
        <w:t xml:space="preserve">Increased Endothelin–1 Levels in Women with Polycystic Ovary Syndrome and the Beneficial Effect of Metformin Therapy / E. Diamanti–Kandarakis, G. Spina, C. Kouli </w:t>
      </w:r>
      <w:r w:rsidRPr="001416ED">
        <w:rPr>
          <w:rFonts w:eastAsia="PragmaticaC"/>
          <w:bCs/>
          <w:lang w:val="uk-UA" w:eastAsia="en-US"/>
        </w:rPr>
        <w:t>[et al.]</w:t>
      </w:r>
      <w:r w:rsidRPr="001416ED">
        <w:rPr>
          <w:rFonts w:eastAsia="PragmaticaC"/>
          <w:lang w:val="uk-UA" w:eastAsia="en-US"/>
        </w:rPr>
        <w:t xml:space="preserve"> // The Journal of Clinical Endocrinology &amp; Metabolism. – 2001. - </w:t>
      </w:r>
      <w:r w:rsidRPr="001416ED">
        <w:rPr>
          <w:rFonts w:eastAsia="PragmaticaC"/>
          <w:bCs/>
          <w:lang w:val="en-US" w:eastAsia="en-US"/>
        </w:rPr>
        <w:t>Vol.</w:t>
      </w:r>
      <w:r w:rsidRPr="001416ED">
        <w:rPr>
          <w:rFonts w:eastAsia="PragmaticaC"/>
          <w:bCs/>
          <w:lang w:val="uk-UA" w:eastAsia="en-US"/>
        </w:rPr>
        <w:t xml:space="preserve"> </w:t>
      </w:r>
      <w:r w:rsidRPr="001416ED">
        <w:rPr>
          <w:rFonts w:eastAsia="PragmaticaC"/>
          <w:lang w:val="uk-UA" w:eastAsia="en-US"/>
        </w:rPr>
        <w:t xml:space="preserve">86(10). </w:t>
      </w:r>
      <w:r w:rsidRPr="001416ED">
        <w:rPr>
          <w:rFonts w:eastAsia="PragmaticaC"/>
          <w:lang w:val="en-US" w:eastAsia="en-US"/>
        </w:rPr>
        <w:t xml:space="preserve">– P. </w:t>
      </w:r>
      <w:r w:rsidRPr="001416ED">
        <w:rPr>
          <w:rFonts w:eastAsia="PragmaticaC"/>
          <w:lang w:val="uk-UA" w:eastAsia="en-US"/>
        </w:rPr>
        <w:t>4666–4673.</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rFonts w:eastAsia="Calibri"/>
          <w:kern w:val="11"/>
          <w:shd w:val="clear" w:color="auto" w:fill="FFFFFF"/>
          <w:lang w:val="uk-UA" w:eastAsia="en-US"/>
        </w:rPr>
        <w:t>Dupuis J. Pulmonary removal and production of endothelin in the anesthetized dog / J. Dupuis, C. A. Goresky, D. J. Stewart // J Appl Physiol. –</w:t>
      </w:r>
      <w:r w:rsidRPr="001416ED">
        <w:rPr>
          <w:rFonts w:eastAsia="Calibri"/>
          <w:i/>
          <w:iCs/>
          <w:kern w:val="11"/>
          <w:shd w:val="clear" w:color="auto" w:fill="FFFFFF"/>
          <w:lang w:val="uk-UA" w:eastAsia="en-US"/>
        </w:rPr>
        <w:t> </w:t>
      </w:r>
      <w:r w:rsidRPr="001416ED">
        <w:rPr>
          <w:rFonts w:eastAsia="Calibri"/>
          <w:kern w:val="11"/>
          <w:shd w:val="clear" w:color="auto" w:fill="FFFFFF"/>
          <w:lang w:val="uk-UA" w:eastAsia="en-US"/>
        </w:rPr>
        <w:t>2003. –№76. – P. 694–700.</w:t>
      </w:r>
    </w:p>
    <w:p w:rsidR="005107A1" w:rsidRPr="001416ED" w:rsidRDefault="005107A1" w:rsidP="0012229A">
      <w:pPr>
        <w:numPr>
          <w:ilvl w:val="0"/>
          <w:numId w:val="10"/>
        </w:numPr>
        <w:spacing w:after="200" w:line="360" w:lineRule="auto"/>
        <w:ind w:left="0" w:firstLine="0"/>
        <w:contextualSpacing/>
        <w:mirrorIndents/>
        <w:jc w:val="both"/>
        <w:textAlignment w:val="baseline"/>
        <w:rPr>
          <w:rFonts w:eastAsia="Calibri"/>
          <w:kern w:val="11"/>
          <w:lang w:val="uk-UA" w:eastAsia="uk-UA"/>
        </w:rPr>
      </w:pPr>
      <w:r w:rsidRPr="001416ED">
        <w:rPr>
          <w:rFonts w:eastAsia="Calibri"/>
          <w:iCs/>
          <w:kern w:val="11"/>
          <w:lang w:val="uk-UA" w:eastAsia="uk-UA"/>
        </w:rPr>
        <w:lastRenderedPageBreak/>
        <w:t>Dzau V. J. Tissue renin–angiotensin system in myocardial hypertrophy and failure / V. J. Dzau // Arch. Intern. Med. – 1993. – Vol. 153. – P. 937–942.</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sz w:val="18"/>
          <w:szCs w:val="18"/>
          <w:lang w:val="uk-UA" w:eastAsia="en-US"/>
        </w:rPr>
      </w:pPr>
      <w:r w:rsidRPr="001416ED">
        <w:rPr>
          <w:rFonts w:eastAsia="Calibri"/>
          <w:lang w:val="uk-UA" w:eastAsia="en-US"/>
        </w:rPr>
        <w:t>Dzholdasbekova A. U.</w:t>
      </w:r>
      <w:r w:rsidRPr="001416ED">
        <w:rPr>
          <w:rFonts w:eastAsia="Calibri"/>
          <w:b/>
          <w:bCs/>
          <w:i/>
          <w:iCs/>
          <w:sz w:val="44"/>
          <w:szCs w:val="44"/>
          <w:lang w:val="uk-UA" w:eastAsia="en-US"/>
        </w:rPr>
        <w:t xml:space="preserve"> </w:t>
      </w:r>
      <w:r w:rsidRPr="001416ED">
        <w:rPr>
          <w:rFonts w:eastAsia="Calibri"/>
          <w:bCs/>
          <w:iCs/>
          <w:lang w:val="uk-UA" w:eastAsia="en-US"/>
        </w:rPr>
        <w:t>The Association Between Polymorphism of Lys198Asn of Endothelin–1 Gene and Arterial Hypertension Risk in Kazakh People</w:t>
      </w:r>
      <w:r w:rsidRPr="001416ED">
        <w:rPr>
          <w:rFonts w:eastAsia="Calibri"/>
          <w:lang w:val="uk-UA" w:eastAsia="en-US"/>
        </w:rPr>
        <w:t xml:space="preserve"> / A. U. Dzholdasbekova, A. E. Gaipov //</w:t>
      </w:r>
      <w:r w:rsidRPr="001416ED">
        <w:rPr>
          <w:rFonts w:eastAsia="Calibri"/>
          <w:iCs/>
          <w:lang w:val="uk-UA" w:eastAsia="en-US"/>
        </w:rPr>
        <w:t xml:space="preserve"> Eur J Gen Med. –</w:t>
      </w:r>
      <w:r w:rsidRPr="001416ED">
        <w:rPr>
          <w:rFonts w:eastAsia="Calibri"/>
          <w:iCs/>
          <w:sz w:val="16"/>
          <w:szCs w:val="16"/>
          <w:lang w:val="uk-UA" w:eastAsia="en-US"/>
        </w:rPr>
        <w:t xml:space="preserve"> </w:t>
      </w:r>
      <w:r w:rsidRPr="001416ED">
        <w:rPr>
          <w:rFonts w:eastAsia="Calibri"/>
          <w:iCs/>
          <w:lang w:val="uk-UA" w:eastAsia="en-US"/>
        </w:rPr>
        <w:t xml:space="preserve">2010. – </w:t>
      </w:r>
      <w:r w:rsidRPr="001416ED">
        <w:rPr>
          <w:rFonts w:eastAsia="Calibri"/>
          <w:bCs/>
          <w:lang w:val="en-US" w:eastAsia="en-US"/>
        </w:rPr>
        <w:t>Vol.</w:t>
      </w:r>
      <w:r w:rsidRPr="001416ED">
        <w:rPr>
          <w:rFonts w:eastAsia="Calibri"/>
          <w:bCs/>
          <w:lang w:val="uk-UA" w:eastAsia="en-US"/>
        </w:rPr>
        <w:t xml:space="preserve"> </w:t>
      </w:r>
      <w:r w:rsidRPr="001416ED">
        <w:rPr>
          <w:rFonts w:eastAsia="Calibri"/>
          <w:iCs/>
          <w:lang w:val="uk-UA" w:eastAsia="en-US"/>
        </w:rPr>
        <w:t>7</w:t>
      </w:r>
      <w:r w:rsidRPr="001416ED">
        <w:rPr>
          <w:rFonts w:eastAsia="Calibri"/>
          <w:iCs/>
          <w:lang w:val="en-US" w:eastAsia="en-US"/>
        </w:rPr>
        <w:t xml:space="preserve"> </w:t>
      </w:r>
      <w:r w:rsidRPr="001416ED">
        <w:rPr>
          <w:rFonts w:eastAsia="Calibri"/>
          <w:iCs/>
          <w:lang w:val="uk-UA" w:eastAsia="en-US"/>
        </w:rPr>
        <w:t>(2). – Р. 187–191.</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bCs/>
          <w:kern w:val="11"/>
          <w:lang w:val="uk-UA" w:eastAsia="en-US"/>
        </w:rPr>
      </w:pPr>
      <w:r w:rsidRPr="001416ED">
        <w:rPr>
          <w:rFonts w:eastAsia="Calibri"/>
          <w:bCs/>
          <w:kern w:val="11"/>
          <w:lang w:val="uk-UA" w:eastAsia="en-US"/>
        </w:rPr>
        <w:t xml:space="preserve">ESC Guidelines for the diagnosis and treatment of acute and chronic heart failure 2012The / Task Force for the Diagnosis and Treatment of Acute and Chronic Heart Failure 2012 of the European Society of Cardiology. Developed in collaboration with the Heart Failure Association (HFA) of the ESC </w:t>
      </w:r>
      <w:r w:rsidRPr="001416ED">
        <w:rPr>
          <w:rFonts w:eastAsia="Calibri"/>
          <w:bCs/>
          <w:kern w:val="11"/>
          <w:lang w:val="en-US" w:eastAsia="en-US"/>
        </w:rPr>
        <w:t xml:space="preserve">// </w:t>
      </w:r>
      <w:r w:rsidRPr="001416ED">
        <w:rPr>
          <w:rFonts w:eastAsia="Calibri"/>
          <w:bCs/>
          <w:kern w:val="11"/>
          <w:lang w:val="uk-UA" w:eastAsia="en-US"/>
        </w:rPr>
        <w:t>European Heart Journal</w:t>
      </w:r>
      <w:r w:rsidRPr="001416ED">
        <w:rPr>
          <w:rFonts w:eastAsia="Calibri"/>
          <w:bCs/>
          <w:kern w:val="11"/>
          <w:lang w:val="en-US" w:eastAsia="en-US"/>
        </w:rPr>
        <w:t xml:space="preserve">. – </w:t>
      </w:r>
      <w:r w:rsidRPr="001416ED">
        <w:rPr>
          <w:rFonts w:eastAsia="Calibri"/>
          <w:bCs/>
          <w:kern w:val="11"/>
          <w:lang w:val="uk-UA" w:eastAsia="en-US"/>
        </w:rPr>
        <w:t>2012</w:t>
      </w:r>
      <w:r w:rsidRPr="001416ED">
        <w:rPr>
          <w:rFonts w:eastAsia="Calibri"/>
          <w:bCs/>
          <w:kern w:val="11"/>
          <w:lang w:val="en-US" w:eastAsia="en-US"/>
        </w:rPr>
        <w:t>. -</w:t>
      </w:r>
      <w:r w:rsidRPr="001416ED">
        <w:rPr>
          <w:rFonts w:eastAsia="Calibri"/>
          <w:bCs/>
          <w:kern w:val="11"/>
          <w:lang w:val="uk-UA" w:eastAsia="en-US"/>
        </w:rPr>
        <w:t xml:space="preserve"> </w:t>
      </w:r>
      <w:r w:rsidRPr="001416ED">
        <w:rPr>
          <w:rFonts w:eastAsia="Calibri"/>
          <w:bCs/>
          <w:lang w:val="en-US" w:eastAsia="en-US"/>
        </w:rPr>
        <w:t>Vol.</w:t>
      </w:r>
      <w:r w:rsidRPr="001416ED">
        <w:rPr>
          <w:rFonts w:eastAsia="Calibri"/>
          <w:bCs/>
          <w:kern w:val="11"/>
          <w:lang w:val="uk-UA" w:eastAsia="en-US"/>
        </w:rPr>
        <w:t>33</w:t>
      </w:r>
      <w:r w:rsidRPr="001416ED">
        <w:rPr>
          <w:rFonts w:eastAsia="Calibri"/>
          <w:bCs/>
          <w:kern w:val="11"/>
          <w:lang w:val="en-US" w:eastAsia="en-US"/>
        </w:rPr>
        <w:t>. – P.</w:t>
      </w:r>
      <w:r w:rsidRPr="001416ED">
        <w:rPr>
          <w:rFonts w:eastAsia="Calibri"/>
          <w:bCs/>
          <w:kern w:val="11"/>
          <w:lang w:val="uk-UA" w:eastAsia="en-US"/>
        </w:rPr>
        <w:t xml:space="preserve"> 1787–1847</w:t>
      </w:r>
      <w:r w:rsidRPr="001416ED">
        <w:rPr>
          <w:rFonts w:eastAsia="Calibri"/>
          <w:bCs/>
          <w:kern w:val="11"/>
          <w:lang w:val="en-US" w:eastAsia="en-US"/>
        </w:rPr>
        <w:t>.</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b/>
          <w:bCs/>
          <w:kern w:val="11"/>
          <w:lang w:val="uk-UA" w:eastAsia="en-US"/>
        </w:rPr>
      </w:pPr>
      <w:r w:rsidRPr="001416ED">
        <w:rPr>
          <w:rFonts w:eastAsia="Calibri"/>
          <w:kern w:val="11"/>
          <w:lang w:val="uk-UA" w:eastAsia="en-US"/>
        </w:rPr>
        <w:t>Ferri C</w:t>
      </w:r>
      <w:r w:rsidRPr="001416ED">
        <w:rPr>
          <w:rFonts w:eastAsia="Calibri"/>
          <w:kern w:val="11"/>
          <w:lang w:val="en-US" w:eastAsia="en-US"/>
        </w:rPr>
        <w:t>.</w:t>
      </w:r>
      <w:r w:rsidRPr="001416ED">
        <w:rPr>
          <w:sz w:val="30"/>
          <w:szCs w:val="30"/>
          <w:lang w:val="uk-UA" w:eastAsia="uk-UA"/>
        </w:rPr>
        <w:t xml:space="preserve"> </w:t>
      </w:r>
      <w:r w:rsidRPr="001416ED">
        <w:rPr>
          <w:rFonts w:eastAsia="Calibri"/>
          <w:kern w:val="11"/>
          <w:lang w:val="uk-UA" w:eastAsia="en-US"/>
        </w:rPr>
        <w:t>Plasma Endothelin–1 Levels in Obese Hypertensive and Normotensive Men</w:t>
      </w:r>
      <w:r w:rsidRPr="001416ED">
        <w:rPr>
          <w:rFonts w:eastAsia="Calibri"/>
          <w:kern w:val="11"/>
          <w:lang w:val="en-US" w:eastAsia="en-US"/>
        </w:rPr>
        <w:t xml:space="preserve"> /</w:t>
      </w:r>
      <w:r w:rsidRPr="001416ED">
        <w:rPr>
          <w:sz w:val="21"/>
          <w:szCs w:val="21"/>
          <w:bdr w:val="none" w:sz="0" w:space="0" w:color="auto" w:frame="1"/>
          <w:lang w:val="uk-UA" w:eastAsia="uk-UA"/>
        </w:rPr>
        <w:t xml:space="preserve"> </w:t>
      </w:r>
      <w:r w:rsidRPr="001416ED">
        <w:rPr>
          <w:rFonts w:eastAsia="Calibri"/>
          <w:kern w:val="11"/>
          <w:lang w:val="uk-UA" w:eastAsia="en-US"/>
        </w:rPr>
        <w:t>C</w:t>
      </w:r>
      <w:r w:rsidRPr="001416ED">
        <w:rPr>
          <w:rFonts w:eastAsia="Calibri"/>
          <w:kern w:val="11"/>
          <w:lang w:val="en-US" w:eastAsia="en-US"/>
        </w:rPr>
        <w:t>.</w:t>
      </w:r>
      <w:r w:rsidRPr="001416ED">
        <w:rPr>
          <w:rFonts w:eastAsia="Calibri"/>
          <w:kern w:val="11"/>
          <w:lang w:val="uk-UA" w:eastAsia="en-US"/>
        </w:rPr>
        <w:t xml:space="preserve"> Ferri</w:t>
      </w:r>
      <w:r w:rsidRPr="001416ED">
        <w:rPr>
          <w:rFonts w:eastAsia="Calibri"/>
          <w:bCs/>
          <w:kern w:val="11"/>
          <w:lang w:val="uk-UA" w:eastAsia="en-US"/>
        </w:rPr>
        <w:t>,</w:t>
      </w:r>
      <w:r w:rsidRPr="001416ED">
        <w:rPr>
          <w:rFonts w:eastAsia="Calibri"/>
          <w:b/>
          <w:bCs/>
          <w:kern w:val="11"/>
          <w:lang w:val="uk-UA" w:eastAsia="en-US"/>
        </w:rPr>
        <w:t> </w:t>
      </w:r>
      <w:r w:rsidRPr="001416ED">
        <w:rPr>
          <w:rFonts w:eastAsia="Calibri"/>
          <w:kern w:val="11"/>
          <w:lang w:val="uk-UA" w:eastAsia="en-US"/>
        </w:rPr>
        <w:t>C</w:t>
      </w:r>
      <w:r w:rsidRPr="001416ED">
        <w:rPr>
          <w:rFonts w:eastAsia="Calibri"/>
          <w:kern w:val="11"/>
          <w:lang w:val="en-US" w:eastAsia="en-US"/>
        </w:rPr>
        <w:t>.</w:t>
      </w:r>
      <w:r w:rsidRPr="001416ED">
        <w:rPr>
          <w:rFonts w:eastAsia="Calibri"/>
          <w:kern w:val="11"/>
          <w:lang w:val="uk-UA" w:eastAsia="en-US"/>
        </w:rPr>
        <w:t xml:space="preserve"> Bellini</w:t>
      </w:r>
      <w:r w:rsidRPr="001416ED">
        <w:rPr>
          <w:rFonts w:eastAsia="Calibri"/>
          <w:bCs/>
          <w:kern w:val="11"/>
          <w:lang w:val="uk-UA" w:eastAsia="en-US"/>
        </w:rPr>
        <w:t>,</w:t>
      </w:r>
      <w:r w:rsidRPr="001416ED">
        <w:rPr>
          <w:rFonts w:eastAsia="Calibri"/>
          <w:b/>
          <w:bCs/>
          <w:kern w:val="11"/>
          <w:lang w:val="uk-UA" w:eastAsia="en-US"/>
        </w:rPr>
        <w:t> </w:t>
      </w:r>
      <w:r w:rsidRPr="001416ED">
        <w:rPr>
          <w:rFonts w:eastAsia="Calibri"/>
          <w:kern w:val="11"/>
          <w:lang w:val="uk-UA" w:eastAsia="en-US"/>
        </w:rPr>
        <w:t>G</w:t>
      </w:r>
      <w:r w:rsidRPr="001416ED">
        <w:rPr>
          <w:rFonts w:eastAsia="Calibri"/>
          <w:kern w:val="11"/>
          <w:lang w:val="en-US" w:eastAsia="en-US"/>
        </w:rPr>
        <w:t xml:space="preserve">. </w:t>
      </w:r>
      <w:r w:rsidRPr="001416ED">
        <w:rPr>
          <w:rFonts w:eastAsia="Calibri"/>
          <w:kern w:val="11"/>
          <w:lang w:val="uk-UA" w:eastAsia="en-US"/>
        </w:rPr>
        <w:t>Desideri</w:t>
      </w:r>
      <w:r w:rsidRPr="001416ED">
        <w:rPr>
          <w:rFonts w:eastAsia="Calibri"/>
          <w:kern w:val="11"/>
          <w:lang w:val="en-US" w:eastAsia="en-US"/>
        </w:rPr>
        <w:t xml:space="preserve"> </w:t>
      </w:r>
      <w:r w:rsidRPr="001416ED">
        <w:rPr>
          <w:rFonts w:eastAsia="Calibri"/>
          <w:bCs/>
          <w:kern w:val="11"/>
          <w:lang w:val="uk-UA" w:eastAsia="en-US"/>
        </w:rPr>
        <w:t xml:space="preserve">[et al.] </w:t>
      </w:r>
      <w:r w:rsidRPr="001416ED">
        <w:rPr>
          <w:rFonts w:eastAsia="Calibri"/>
          <w:bCs/>
          <w:iCs/>
          <w:kern w:val="11"/>
          <w:lang w:val="uk-UA" w:eastAsia="en-US"/>
        </w:rPr>
        <w:t>//</w:t>
      </w:r>
      <w:r w:rsidRPr="001416ED">
        <w:rPr>
          <w:rFonts w:eastAsia="Calibri"/>
          <w:kern w:val="11"/>
          <w:sz w:val="21"/>
          <w:szCs w:val="21"/>
          <w:bdr w:val="none" w:sz="0" w:space="0" w:color="auto" w:frame="1"/>
          <w:shd w:val="clear" w:color="auto" w:fill="FFFFFF"/>
          <w:lang w:val="uk-UA" w:eastAsia="en-US"/>
        </w:rPr>
        <w:t xml:space="preserve"> </w:t>
      </w:r>
      <w:r w:rsidRPr="001416ED">
        <w:rPr>
          <w:rFonts w:eastAsia="Calibri"/>
          <w:bCs/>
          <w:iCs/>
          <w:kern w:val="11"/>
          <w:lang w:val="uk-UA" w:eastAsia="en-US"/>
        </w:rPr>
        <w:t>Diabetes</w:t>
      </w:r>
      <w:r w:rsidRPr="001416ED">
        <w:rPr>
          <w:rFonts w:eastAsia="Calibri"/>
          <w:bCs/>
          <w:iCs/>
          <w:kern w:val="11"/>
          <w:lang w:val="en-US" w:eastAsia="en-US"/>
        </w:rPr>
        <w:t>. –</w:t>
      </w:r>
      <w:r w:rsidRPr="001416ED">
        <w:rPr>
          <w:rFonts w:eastAsia="Calibri"/>
          <w:bCs/>
          <w:iCs/>
          <w:kern w:val="11"/>
          <w:lang w:val="uk-UA" w:eastAsia="en-US"/>
        </w:rPr>
        <w:t> 1995</w:t>
      </w:r>
      <w:r w:rsidRPr="001416ED">
        <w:rPr>
          <w:rFonts w:eastAsia="Calibri"/>
          <w:bCs/>
          <w:iCs/>
          <w:kern w:val="11"/>
          <w:lang w:val="en-US" w:eastAsia="en-US"/>
        </w:rPr>
        <w:t>. –</w:t>
      </w:r>
      <w:r w:rsidRPr="001416ED">
        <w:rPr>
          <w:rFonts w:eastAsia="Calibri"/>
          <w:bCs/>
          <w:iCs/>
          <w:kern w:val="11"/>
          <w:lang w:val="uk-UA" w:eastAsia="en-US"/>
        </w:rPr>
        <w:t xml:space="preserve"> </w:t>
      </w:r>
      <w:r w:rsidRPr="001416ED">
        <w:rPr>
          <w:rFonts w:eastAsia="Calibri"/>
          <w:bCs/>
          <w:iCs/>
          <w:kern w:val="11"/>
          <w:lang w:val="en-US" w:eastAsia="en-US"/>
        </w:rPr>
        <w:t>Vol.</w:t>
      </w:r>
      <w:r w:rsidRPr="001416ED">
        <w:rPr>
          <w:rFonts w:eastAsia="Calibri"/>
          <w:bCs/>
          <w:iCs/>
          <w:kern w:val="11"/>
          <w:lang w:val="uk-UA" w:eastAsia="en-US"/>
        </w:rPr>
        <w:t> 44(4)</w:t>
      </w:r>
      <w:r w:rsidRPr="001416ED">
        <w:rPr>
          <w:rFonts w:eastAsia="Calibri"/>
          <w:bCs/>
          <w:iCs/>
          <w:kern w:val="11"/>
          <w:lang w:val="en-US" w:eastAsia="en-US"/>
        </w:rPr>
        <w:t>. –P.</w:t>
      </w:r>
      <w:r w:rsidRPr="001416ED">
        <w:rPr>
          <w:rFonts w:eastAsia="Calibri"/>
          <w:bCs/>
          <w:iCs/>
          <w:kern w:val="11"/>
          <w:lang w:val="uk-UA" w:eastAsia="en-US"/>
        </w:rPr>
        <w:t> 431–436</w:t>
      </w:r>
      <w:r w:rsidRPr="001416ED">
        <w:rPr>
          <w:rFonts w:eastAsia="Calibri"/>
          <w:bCs/>
          <w:iCs/>
          <w:kern w:val="11"/>
          <w:lang w:val="en-US" w:eastAsia="en-US"/>
        </w:rPr>
        <w:t>.</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Gao Z. Changes of plasma levels of type C natriuretic peptide in patients with pregnancy induced hypertension / Z. Gao,</w:t>
      </w:r>
      <w:r w:rsidRPr="001416ED">
        <w:rPr>
          <w:rFonts w:eastAsia="PragmaticaC"/>
          <w:lang w:val="en-US" w:eastAsia="en-US"/>
        </w:rPr>
        <w:t xml:space="preserve"> </w:t>
      </w:r>
      <w:r w:rsidRPr="001416ED">
        <w:rPr>
          <w:rFonts w:eastAsia="PragmaticaC"/>
          <w:lang w:val="uk-UA" w:eastAsia="en-US"/>
        </w:rPr>
        <w:t>Y. Zhang, Z. Li // Zhonghua Fu Chan Ke Za Zhi. – 2000. – №35</w:t>
      </w:r>
      <w:r w:rsidRPr="001416ED">
        <w:rPr>
          <w:rFonts w:eastAsia="PragmaticaC"/>
          <w:lang w:val="en-US" w:eastAsia="en-US"/>
        </w:rPr>
        <w:t xml:space="preserve"> </w:t>
      </w:r>
      <w:r w:rsidRPr="001416ED">
        <w:rPr>
          <w:rFonts w:eastAsia="PragmaticaC"/>
          <w:lang w:val="uk-UA" w:eastAsia="en-US"/>
        </w:rPr>
        <w:t>(3). – Р. 139–141.</w:t>
      </w:r>
    </w:p>
    <w:p w:rsidR="005107A1" w:rsidRPr="001416ED" w:rsidRDefault="00A9327B" w:rsidP="0012229A">
      <w:pPr>
        <w:numPr>
          <w:ilvl w:val="0"/>
          <w:numId w:val="10"/>
        </w:numPr>
        <w:autoSpaceDE w:val="0"/>
        <w:autoSpaceDN w:val="0"/>
        <w:adjustRightInd w:val="0"/>
        <w:spacing w:after="200" w:line="360" w:lineRule="auto"/>
        <w:ind w:left="0" w:firstLine="0"/>
        <w:contextualSpacing/>
        <w:mirrorIndents/>
        <w:jc w:val="both"/>
        <w:rPr>
          <w:rFonts w:eastAsia="Calibri"/>
          <w:bCs/>
          <w:kern w:val="11"/>
          <w:lang w:val="uk-UA" w:eastAsia="en-US"/>
        </w:rPr>
      </w:pPr>
      <w:hyperlink r:id="rId64" w:history="1">
        <w:r w:rsidR="005107A1" w:rsidRPr="001416ED">
          <w:rPr>
            <w:rFonts w:eastAsia="Calibri"/>
            <w:kern w:val="11"/>
            <w:lang w:val="uk-UA" w:eastAsia="en-US"/>
          </w:rPr>
          <w:t>Głowińska B</w:t>
        </w:r>
      </w:hyperlink>
      <w:r w:rsidR="005107A1" w:rsidRPr="001416ED">
        <w:rPr>
          <w:rFonts w:eastAsia="Calibri"/>
          <w:kern w:val="11"/>
          <w:lang w:val="uk-UA" w:eastAsia="en-US"/>
        </w:rPr>
        <w:t xml:space="preserve">. </w:t>
      </w:r>
      <w:r w:rsidR="005107A1" w:rsidRPr="001416ED">
        <w:rPr>
          <w:rFonts w:eastAsia="Calibri"/>
          <w:bCs/>
          <w:kern w:val="11"/>
          <w:lang w:val="uk-UA" w:eastAsia="en-US"/>
        </w:rPr>
        <w:t xml:space="preserve">Endothelin–1 plasma concentration in children and adolescents with atherogenic risk factors / В. </w:t>
      </w:r>
      <w:r w:rsidR="005107A1" w:rsidRPr="001416ED">
        <w:rPr>
          <w:rFonts w:eastAsia="Calibri"/>
          <w:kern w:val="11"/>
          <w:lang w:val="uk-UA" w:eastAsia="en-US"/>
        </w:rPr>
        <w:t>Głowińska,</w:t>
      </w:r>
      <w:r w:rsidR="005107A1" w:rsidRPr="001416ED">
        <w:rPr>
          <w:rFonts w:eastAsia="Calibri"/>
          <w:bCs/>
          <w:kern w:val="11"/>
          <w:lang w:val="uk-UA" w:eastAsia="en-US"/>
        </w:rPr>
        <w:t xml:space="preserve"> М. </w:t>
      </w:r>
      <w:hyperlink r:id="rId65" w:history="1">
        <w:r w:rsidR="005107A1" w:rsidRPr="001416ED">
          <w:rPr>
            <w:rFonts w:eastAsia="Calibri"/>
            <w:kern w:val="11"/>
            <w:lang w:val="uk-UA" w:eastAsia="en-US"/>
          </w:rPr>
          <w:t xml:space="preserve">Urban, </w:t>
        </w:r>
      </w:hyperlink>
      <w:r w:rsidR="005107A1" w:rsidRPr="001416ED">
        <w:rPr>
          <w:rFonts w:eastAsia="Calibri"/>
          <w:kern w:val="11"/>
          <w:lang w:val="uk-UA" w:eastAsia="en-US"/>
        </w:rPr>
        <w:t xml:space="preserve">А. </w:t>
      </w:r>
      <w:hyperlink r:id="rId66" w:history="1">
        <w:r w:rsidR="005107A1" w:rsidRPr="001416ED">
          <w:rPr>
            <w:rFonts w:eastAsia="Calibri"/>
            <w:kern w:val="11"/>
            <w:lang w:val="uk-UA" w:eastAsia="en-US"/>
          </w:rPr>
          <w:t xml:space="preserve">Hryniewicz </w:t>
        </w:r>
      </w:hyperlink>
      <w:r w:rsidR="005107A1" w:rsidRPr="001416ED">
        <w:rPr>
          <w:rFonts w:eastAsia="Calibri"/>
          <w:bCs/>
          <w:kern w:val="11"/>
          <w:lang w:val="uk-UA" w:eastAsia="en-US"/>
        </w:rPr>
        <w:t xml:space="preserve">[et al.] </w:t>
      </w:r>
      <w:r w:rsidR="005107A1" w:rsidRPr="001416ED">
        <w:rPr>
          <w:rFonts w:eastAsia="Calibri"/>
          <w:bCs/>
          <w:iCs/>
          <w:kern w:val="11"/>
          <w:lang w:val="uk-UA" w:eastAsia="en-US"/>
        </w:rPr>
        <w:t xml:space="preserve">// </w:t>
      </w:r>
      <w:hyperlink r:id="rId67" w:tooltip="Kardiologia polska." w:history="1">
        <w:r w:rsidR="005107A1" w:rsidRPr="001416ED">
          <w:rPr>
            <w:rFonts w:eastAsia="Calibri"/>
            <w:bCs/>
            <w:iCs/>
            <w:kern w:val="11"/>
            <w:lang w:val="uk-UA" w:eastAsia="en-US"/>
          </w:rPr>
          <w:t>Kardiol Pol.</w:t>
        </w:r>
      </w:hyperlink>
      <w:r w:rsidR="005107A1" w:rsidRPr="001416ED">
        <w:rPr>
          <w:rFonts w:eastAsia="Calibri"/>
          <w:bCs/>
          <w:iCs/>
          <w:kern w:val="11"/>
          <w:lang w:val="uk-UA" w:eastAsia="en-US"/>
        </w:rPr>
        <w:t xml:space="preserve"> – 2004. –  </w:t>
      </w:r>
      <w:r w:rsidR="005107A1" w:rsidRPr="001416ED">
        <w:rPr>
          <w:rFonts w:eastAsia="Calibri"/>
          <w:bCs/>
          <w:iCs/>
          <w:kern w:val="11"/>
          <w:lang w:val="en-US" w:eastAsia="en-US"/>
        </w:rPr>
        <w:t xml:space="preserve">Vol. </w:t>
      </w:r>
      <w:r w:rsidR="005107A1" w:rsidRPr="001416ED">
        <w:rPr>
          <w:rFonts w:eastAsia="Calibri"/>
          <w:bCs/>
          <w:iCs/>
          <w:kern w:val="11"/>
          <w:lang w:val="uk-UA" w:eastAsia="en-US"/>
        </w:rPr>
        <w:t>61(10)</w:t>
      </w:r>
      <w:r w:rsidR="005107A1" w:rsidRPr="001416ED">
        <w:rPr>
          <w:rFonts w:eastAsia="Calibri"/>
          <w:bCs/>
          <w:iCs/>
          <w:kern w:val="11"/>
          <w:lang w:val="en-US" w:eastAsia="en-US"/>
        </w:rPr>
        <w:t xml:space="preserve">. </w:t>
      </w:r>
      <w:r w:rsidR="005107A1" w:rsidRPr="001416ED">
        <w:rPr>
          <w:rFonts w:eastAsia="PragmaticaC"/>
          <w:lang w:val="en-US" w:eastAsia="en-US"/>
        </w:rPr>
        <w:t>–</w:t>
      </w:r>
      <w:r w:rsidR="005107A1" w:rsidRPr="001416ED">
        <w:rPr>
          <w:rFonts w:eastAsia="Calibri"/>
          <w:bCs/>
          <w:iCs/>
          <w:kern w:val="11"/>
          <w:lang w:val="en-US" w:eastAsia="en-US"/>
        </w:rPr>
        <w:t xml:space="preserve"> P. </w:t>
      </w:r>
      <w:r w:rsidR="005107A1" w:rsidRPr="001416ED">
        <w:rPr>
          <w:rFonts w:eastAsia="Calibri"/>
          <w:bCs/>
          <w:iCs/>
          <w:kern w:val="11"/>
          <w:lang w:val="uk-UA" w:eastAsia="en-US"/>
        </w:rPr>
        <w:t>329–38.</w:t>
      </w:r>
    </w:p>
    <w:p w:rsidR="005107A1" w:rsidRPr="001416ED" w:rsidRDefault="00A9327B"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kern w:val="11"/>
          <w:lang w:val="uk-UA" w:eastAsia="en-US"/>
        </w:rPr>
      </w:pPr>
      <w:hyperlink r:id="rId68" w:history="1">
        <w:r w:rsidR="005107A1" w:rsidRPr="001416ED">
          <w:rPr>
            <w:rFonts w:eastAsia="Calibri"/>
            <w:kern w:val="11"/>
            <w:shd w:val="clear" w:color="auto" w:fill="FFFFFF"/>
            <w:lang w:val="uk-UA" w:eastAsia="en-US"/>
          </w:rPr>
          <w:t>Halawa B</w:t>
        </w:r>
      </w:hyperlink>
      <w:r w:rsidR="005107A1" w:rsidRPr="001416ED">
        <w:rPr>
          <w:rFonts w:eastAsia="Calibri"/>
          <w:kern w:val="11"/>
          <w:lang w:val="uk-UA" w:eastAsia="en-US"/>
        </w:rPr>
        <w:t xml:space="preserve">. The level of plasma endothelin–1 in patients with essential hypertension / B. </w:t>
      </w:r>
      <w:hyperlink r:id="rId69" w:history="1">
        <w:r w:rsidR="005107A1" w:rsidRPr="001416ED">
          <w:rPr>
            <w:rFonts w:eastAsia="Calibri"/>
            <w:kern w:val="11"/>
            <w:shd w:val="clear" w:color="auto" w:fill="FFFFFF"/>
            <w:lang w:val="uk-UA" w:eastAsia="en-US"/>
          </w:rPr>
          <w:t>Halawa</w:t>
        </w:r>
      </w:hyperlink>
      <w:r w:rsidR="005107A1" w:rsidRPr="001416ED">
        <w:rPr>
          <w:rFonts w:eastAsia="Calibri"/>
          <w:kern w:val="11"/>
          <w:lang w:val="uk-UA" w:eastAsia="en-US"/>
        </w:rPr>
        <w:t xml:space="preserve"> // </w:t>
      </w:r>
      <w:hyperlink r:id="rId70" w:tooltip="Polski merkuriusz lekarski : organ Polskiego Towarzystwa Lekarskiego." w:history="1">
        <w:r w:rsidR="005107A1" w:rsidRPr="001416ED">
          <w:rPr>
            <w:rFonts w:eastAsia="Calibri"/>
            <w:kern w:val="11"/>
            <w:shd w:val="clear" w:color="auto" w:fill="FFFFFF"/>
            <w:lang w:val="uk-UA" w:eastAsia="en-US"/>
          </w:rPr>
          <w:t>Pol Merkur Lekarski.</w:t>
        </w:r>
      </w:hyperlink>
      <w:r w:rsidR="005107A1" w:rsidRPr="001416ED">
        <w:rPr>
          <w:rFonts w:eastAsia="Calibri"/>
          <w:kern w:val="11"/>
          <w:shd w:val="clear" w:color="auto" w:fill="FFFFFF"/>
          <w:lang w:val="uk-UA" w:eastAsia="en-US"/>
        </w:rPr>
        <w:t xml:space="preserve"> – 1999. – </w:t>
      </w:r>
      <w:r w:rsidR="005107A1" w:rsidRPr="001416ED">
        <w:rPr>
          <w:rFonts w:eastAsia="Calibri"/>
          <w:kern w:val="11"/>
          <w:shd w:val="clear" w:color="auto" w:fill="FFFFFF"/>
          <w:lang w:val="en-US" w:eastAsia="en-US"/>
        </w:rPr>
        <w:t xml:space="preserve">Vol. </w:t>
      </w:r>
      <w:r w:rsidR="005107A1" w:rsidRPr="001416ED">
        <w:rPr>
          <w:rFonts w:eastAsia="Calibri"/>
          <w:kern w:val="11"/>
          <w:shd w:val="clear" w:color="auto" w:fill="FFFFFF"/>
          <w:lang w:val="uk-UA" w:eastAsia="en-US"/>
        </w:rPr>
        <w:t>7(38)</w:t>
      </w:r>
      <w:r w:rsidR="005107A1" w:rsidRPr="001416ED">
        <w:rPr>
          <w:rFonts w:eastAsia="Calibri"/>
          <w:kern w:val="11"/>
          <w:shd w:val="clear" w:color="auto" w:fill="FFFFFF"/>
          <w:lang w:eastAsia="en-US"/>
        </w:rPr>
        <w:t xml:space="preserve">. – Р. </w:t>
      </w:r>
      <w:r w:rsidR="005107A1" w:rsidRPr="001416ED">
        <w:rPr>
          <w:rFonts w:eastAsia="Calibri"/>
          <w:kern w:val="11"/>
          <w:shd w:val="clear" w:color="auto" w:fill="FFFFFF"/>
          <w:lang w:val="uk-UA" w:eastAsia="en-US"/>
        </w:rPr>
        <w:t>55–</w:t>
      </w:r>
      <w:r w:rsidR="005107A1" w:rsidRPr="001416ED">
        <w:rPr>
          <w:rFonts w:eastAsia="Calibri"/>
          <w:kern w:val="11"/>
          <w:shd w:val="clear" w:color="auto" w:fill="FFFFFF"/>
          <w:lang w:eastAsia="en-US"/>
        </w:rPr>
        <w:t>5</w:t>
      </w:r>
      <w:r w:rsidR="005107A1" w:rsidRPr="001416ED">
        <w:rPr>
          <w:rFonts w:eastAsia="Calibri"/>
          <w:kern w:val="11"/>
          <w:shd w:val="clear" w:color="auto" w:fill="FFFFFF"/>
          <w:lang w:val="uk-UA" w:eastAsia="en-US"/>
        </w:rPr>
        <w:t>7.</w:t>
      </w:r>
    </w:p>
    <w:p w:rsidR="005107A1" w:rsidRPr="001416ED" w:rsidRDefault="005107A1" w:rsidP="0012229A">
      <w:pPr>
        <w:numPr>
          <w:ilvl w:val="0"/>
          <w:numId w:val="10"/>
        </w:numPr>
        <w:suppressAutoHyphens/>
        <w:spacing w:line="360" w:lineRule="auto"/>
        <w:ind w:left="0" w:firstLine="0"/>
        <w:mirrorIndents/>
        <w:jc w:val="both"/>
        <w:rPr>
          <w:rFonts w:eastAsia="Calibri"/>
          <w:kern w:val="11"/>
          <w:lang w:val="uk-UA" w:eastAsia="en-US"/>
        </w:rPr>
      </w:pPr>
      <w:r w:rsidRPr="001416ED">
        <w:rPr>
          <w:rFonts w:eastAsia="Candara"/>
          <w:kern w:val="11"/>
          <w:lang w:val="uk-UA" w:eastAsia="en-US"/>
        </w:rPr>
        <w:t>Halperin</w:t>
      </w:r>
      <w:r w:rsidRPr="001416ED">
        <w:rPr>
          <w:rFonts w:eastAsia="Calibri"/>
          <w:kern w:val="11"/>
          <w:lang w:val="uk-UA" w:eastAsia="en-US"/>
        </w:rPr>
        <w:t xml:space="preserve"> </w:t>
      </w:r>
      <w:r w:rsidRPr="001416ED">
        <w:rPr>
          <w:rFonts w:eastAsia="Candara"/>
          <w:kern w:val="11"/>
          <w:lang w:val="uk-UA" w:eastAsia="en-US"/>
        </w:rPr>
        <w:t xml:space="preserve">O. </w:t>
      </w:r>
      <w:hyperlink r:id="rId71" w:history="1">
        <w:r w:rsidRPr="001416ED">
          <w:rPr>
            <w:rFonts w:eastAsia="Calibri"/>
            <w:kern w:val="11"/>
            <w:lang w:val="uk-UA" w:eastAsia="en-US"/>
          </w:rPr>
          <w:t>Ruben</w:t>
        </w:r>
      </w:hyperlink>
      <w:r w:rsidRPr="001416ED">
        <w:rPr>
          <w:rFonts w:eastAsia="Calibri"/>
          <w:kern w:val="11"/>
          <w:lang w:val="uk-UA" w:eastAsia="en-US"/>
        </w:rPr>
        <w:t>. Dyslipidemia and the Risk of Incident Hypertension in Men / Ruben</w:t>
      </w:r>
      <w:r w:rsidRPr="001416ED">
        <w:rPr>
          <w:rFonts w:eastAsia="Candara"/>
          <w:kern w:val="11"/>
          <w:lang w:val="uk-UA" w:eastAsia="en-US"/>
        </w:rPr>
        <w:t xml:space="preserve"> O. Halperin, Howard D. Sesso, </w:t>
      </w:r>
      <w:hyperlink r:id="rId72" w:history="1">
        <w:r w:rsidRPr="001416ED">
          <w:rPr>
            <w:rFonts w:eastAsia="Calibri"/>
            <w:kern w:val="11"/>
            <w:lang w:val="en-US" w:eastAsia="en-US"/>
          </w:rPr>
          <w:t>Jing</w:t>
        </w:r>
        <w:r w:rsidRPr="001416ED">
          <w:rPr>
            <w:rFonts w:eastAsia="Calibri"/>
            <w:kern w:val="11"/>
            <w:lang w:val="uk-UA" w:eastAsia="en-US"/>
          </w:rPr>
          <w:t xml:space="preserve"> </w:t>
        </w:r>
      </w:hyperlink>
      <w:r w:rsidRPr="001416ED">
        <w:rPr>
          <w:rFonts w:eastAsia="Candara"/>
          <w:kern w:val="11"/>
          <w:lang w:val="uk-UA" w:eastAsia="en-US"/>
        </w:rPr>
        <w:t xml:space="preserve">Ma // </w:t>
      </w:r>
      <w:r w:rsidRPr="001416ED">
        <w:rPr>
          <w:rFonts w:eastAsia="Calibri"/>
          <w:kern w:val="11"/>
          <w:lang w:val="uk-UA" w:eastAsia="en-US"/>
        </w:rPr>
        <w:t xml:space="preserve">Hypertension. –  2006. – № 47. – </w:t>
      </w:r>
      <w:r w:rsidRPr="001416ED">
        <w:rPr>
          <w:rFonts w:eastAsia="Calibri"/>
          <w:kern w:val="11"/>
          <w:lang w:eastAsia="en-US"/>
        </w:rPr>
        <w:t>Р</w:t>
      </w:r>
      <w:r w:rsidRPr="001416ED">
        <w:rPr>
          <w:rFonts w:eastAsia="Calibri"/>
          <w:kern w:val="11"/>
          <w:lang w:val="uk-UA" w:eastAsia="en-US"/>
        </w:rPr>
        <w:t>. 45–50.</w:t>
      </w:r>
    </w:p>
    <w:p w:rsidR="005107A1" w:rsidRPr="001416ED" w:rsidRDefault="00A9327B"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sz w:val="24"/>
          <w:szCs w:val="24"/>
          <w:lang w:val="uk-UA" w:eastAsia="en-US"/>
        </w:rPr>
      </w:pPr>
      <w:hyperlink r:id="rId73" w:history="1">
        <w:r w:rsidR="005107A1" w:rsidRPr="001416ED">
          <w:rPr>
            <w:rFonts w:eastAsia="Calibri"/>
            <w:kern w:val="11"/>
            <w:shd w:val="clear" w:color="auto" w:fill="FFFFFF"/>
            <w:lang w:val="uk-UA" w:eastAsia="en-US"/>
          </w:rPr>
          <w:t>Hlubock</w:t>
        </w:r>
        <w:r w:rsidR="005107A1" w:rsidRPr="001416ED">
          <w:rPr>
            <w:rFonts w:eastAsia="Calibri"/>
            <w:kern w:val="11"/>
            <w:shd w:val="clear" w:color="auto" w:fill="FFFFFF"/>
            <w:lang w:eastAsia="en-US"/>
          </w:rPr>
          <w:t>а</w:t>
        </w:r>
        <w:r w:rsidR="005107A1" w:rsidRPr="001416ED">
          <w:rPr>
            <w:rFonts w:eastAsia="Calibri"/>
            <w:kern w:val="11"/>
            <w:shd w:val="clear" w:color="auto" w:fill="FFFFFF"/>
            <w:lang w:val="uk-UA" w:eastAsia="en-US"/>
          </w:rPr>
          <w:t xml:space="preserve"> Z</w:t>
        </w:r>
      </w:hyperlink>
      <w:r w:rsidR="005107A1" w:rsidRPr="001416ED">
        <w:rPr>
          <w:rFonts w:eastAsia="Calibri"/>
          <w:kern w:val="11"/>
          <w:lang w:val="en-US" w:eastAsia="en-US"/>
        </w:rPr>
        <w:t xml:space="preserve">. </w:t>
      </w:r>
      <w:r w:rsidR="005107A1" w:rsidRPr="001416ED">
        <w:rPr>
          <w:rFonts w:eastAsia="Calibri"/>
          <w:kern w:val="11"/>
          <w:lang w:val="uk-UA" w:eastAsia="en-US"/>
        </w:rPr>
        <w:t>Is mild essential hypertension without obvious organ complications and risk factors associated with increased levels of circulating markers of endothelial dysfunction? Effect of ACE inhibitor therapy</w:t>
      </w:r>
      <w:r w:rsidR="005107A1" w:rsidRPr="001416ED">
        <w:rPr>
          <w:rFonts w:eastAsia="Calibri"/>
          <w:kern w:val="11"/>
          <w:lang w:val="en-US" w:eastAsia="en-US"/>
        </w:rPr>
        <w:t xml:space="preserve"> /</w:t>
      </w:r>
      <w:r w:rsidR="005107A1" w:rsidRPr="001416ED">
        <w:rPr>
          <w:rFonts w:eastAsia="Calibri"/>
          <w:kern w:val="11"/>
          <w:shd w:val="clear" w:color="auto" w:fill="FFFFFF"/>
          <w:lang w:val="uk-UA" w:eastAsia="en-US"/>
        </w:rPr>
        <w:t> Z</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w:t>
      </w:r>
      <w:hyperlink r:id="rId74" w:history="1">
        <w:r w:rsidR="005107A1" w:rsidRPr="001416ED">
          <w:rPr>
            <w:rFonts w:eastAsia="Calibri"/>
            <w:kern w:val="11"/>
            <w:shd w:val="clear" w:color="auto" w:fill="FFFFFF"/>
            <w:lang w:val="uk-UA" w:eastAsia="en-US"/>
          </w:rPr>
          <w:t>Hlubock</w:t>
        </w:r>
        <w:r w:rsidR="005107A1" w:rsidRPr="001416ED">
          <w:rPr>
            <w:rFonts w:eastAsia="Calibri"/>
            <w:kern w:val="11"/>
            <w:shd w:val="clear" w:color="auto" w:fill="FFFFFF"/>
            <w:lang w:eastAsia="en-US"/>
          </w:rPr>
          <w:t>а</w:t>
        </w:r>
        <w:r w:rsidR="005107A1" w:rsidRPr="001416ED">
          <w:rPr>
            <w:rFonts w:eastAsia="Calibri"/>
            <w:kern w:val="11"/>
            <w:shd w:val="clear" w:color="auto" w:fill="FFFFFF"/>
            <w:lang w:val="en-US" w:eastAsia="en-US"/>
          </w:rPr>
          <w:t>,</w:t>
        </w:r>
      </w:hyperlink>
      <w:r w:rsidR="005107A1" w:rsidRPr="001416ED">
        <w:rPr>
          <w:rFonts w:eastAsia="Calibri"/>
          <w:kern w:val="11"/>
          <w:lang w:val="en-US" w:eastAsia="en-US"/>
        </w:rPr>
        <w:t xml:space="preserve"> V. </w:t>
      </w:r>
      <w:hyperlink r:id="rId75" w:history="1">
        <w:r w:rsidR="005107A1" w:rsidRPr="001416ED">
          <w:rPr>
            <w:rFonts w:eastAsia="Calibri"/>
            <w:kern w:val="11"/>
            <w:shd w:val="clear" w:color="auto" w:fill="FFFFFF"/>
            <w:lang w:val="uk-UA" w:eastAsia="en-US"/>
          </w:rPr>
          <w:t>Umnerov</w:t>
        </w:r>
        <w:r w:rsidR="005107A1" w:rsidRPr="001416ED">
          <w:rPr>
            <w:rFonts w:eastAsia="Calibri"/>
            <w:kern w:val="11"/>
            <w:shd w:val="clear" w:color="auto" w:fill="FFFFFF"/>
            <w:lang w:eastAsia="en-US"/>
          </w:rPr>
          <w:t>а</w:t>
        </w:r>
      </w:hyperlink>
      <w:r w:rsidR="005107A1" w:rsidRPr="001416ED">
        <w:rPr>
          <w:rFonts w:eastAsia="Calibri"/>
          <w:kern w:val="11"/>
          <w:shd w:val="clear" w:color="auto" w:fill="FFFFFF"/>
          <w:lang w:val="uk-UA" w:eastAsia="en-US"/>
        </w:rPr>
        <w:t>, S</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w:t>
      </w:r>
      <w:hyperlink r:id="rId76" w:history="1">
        <w:r w:rsidR="005107A1" w:rsidRPr="001416ED">
          <w:rPr>
            <w:rFonts w:eastAsia="Calibri"/>
            <w:kern w:val="11"/>
            <w:shd w:val="clear" w:color="auto" w:fill="FFFFFF"/>
            <w:lang w:val="uk-UA" w:eastAsia="en-US"/>
          </w:rPr>
          <w:t xml:space="preserve">Heller </w:t>
        </w:r>
      </w:hyperlink>
      <w:r w:rsidR="005107A1" w:rsidRPr="001416ED">
        <w:rPr>
          <w:rFonts w:eastAsia="Calibri"/>
          <w:kern w:val="11"/>
          <w:lang w:val="uk-UA" w:eastAsia="en-US"/>
        </w:rPr>
        <w:t xml:space="preserve"> </w:t>
      </w:r>
      <w:r w:rsidR="005107A1" w:rsidRPr="001416ED">
        <w:rPr>
          <w:rFonts w:eastAsia="Calibri"/>
          <w:kern w:val="11"/>
          <w:lang w:val="en-US" w:eastAsia="en-US"/>
        </w:rPr>
        <w:t>[</w:t>
      </w:r>
      <w:r w:rsidR="005107A1" w:rsidRPr="001416ED">
        <w:rPr>
          <w:rFonts w:eastAsia="TimesNewRomanPSMT"/>
          <w:lang w:val="uk-UA" w:eastAsia="en-US"/>
        </w:rPr>
        <w:t>et al</w:t>
      </w:r>
      <w:r w:rsidR="005107A1" w:rsidRPr="001416ED">
        <w:rPr>
          <w:rFonts w:eastAsia="TimesNewRomanPSMT"/>
          <w:bCs/>
          <w:lang w:val="uk-UA" w:eastAsia="en-US"/>
        </w:rPr>
        <w:t>.</w:t>
      </w:r>
      <w:r w:rsidR="005107A1" w:rsidRPr="001416ED">
        <w:rPr>
          <w:rFonts w:eastAsia="TimesNewRomanPSMT"/>
          <w:bCs/>
          <w:lang w:val="en-US" w:eastAsia="en-US"/>
        </w:rPr>
        <w:t>]</w:t>
      </w:r>
      <w:r w:rsidR="005107A1" w:rsidRPr="001416ED">
        <w:rPr>
          <w:rFonts w:eastAsia="TimesNewRomanPSMT"/>
          <w:bCs/>
          <w:lang w:val="uk-UA" w:eastAsia="en-US"/>
        </w:rPr>
        <w:t xml:space="preserve"> </w:t>
      </w:r>
      <w:r w:rsidR="005107A1" w:rsidRPr="001416ED">
        <w:rPr>
          <w:rFonts w:eastAsia="Calibri"/>
          <w:kern w:val="11"/>
          <w:lang w:val="en-US" w:eastAsia="en-US"/>
        </w:rPr>
        <w:t xml:space="preserve">// </w:t>
      </w:r>
      <w:hyperlink r:id="rId77" w:tooltip="Vnitr̆ní lékar̆ství." w:history="1">
        <w:r w:rsidR="005107A1" w:rsidRPr="001416ED">
          <w:rPr>
            <w:rFonts w:eastAsia="Calibri"/>
            <w:kern w:val="11"/>
            <w:shd w:val="clear" w:color="auto" w:fill="FFFFFF"/>
            <w:lang w:val="uk-UA" w:eastAsia="en-US"/>
          </w:rPr>
          <w:t>Vnitr Lek.</w:t>
        </w:r>
      </w:hyperlink>
      <w:r w:rsidR="005107A1" w:rsidRPr="001416ED">
        <w:rPr>
          <w:rFonts w:eastAsia="Calibri"/>
          <w:kern w:val="11"/>
          <w:shd w:val="clear" w:color="auto" w:fill="FFFFFF"/>
          <w:lang w:val="uk-UA" w:eastAsia="en-US"/>
        </w:rPr>
        <w:t> </w:t>
      </w:r>
      <w:r w:rsidR="005107A1" w:rsidRPr="001416ED">
        <w:rPr>
          <w:rFonts w:eastAsia="Calibri"/>
          <w:kern w:val="11"/>
          <w:shd w:val="clear" w:color="auto" w:fill="FFFFFF"/>
          <w:lang w:val="en-US" w:eastAsia="en-US"/>
        </w:rPr>
        <w:t xml:space="preserve">– </w:t>
      </w:r>
      <w:r w:rsidR="005107A1" w:rsidRPr="001416ED">
        <w:rPr>
          <w:rFonts w:eastAsia="Calibri"/>
          <w:kern w:val="11"/>
          <w:shd w:val="clear" w:color="auto" w:fill="FFFFFF"/>
          <w:lang w:val="uk-UA" w:eastAsia="en-US"/>
        </w:rPr>
        <w:t>2002</w:t>
      </w:r>
      <w:r w:rsidR="005107A1" w:rsidRPr="001416ED">
        <w:rPr>
          <w:rFonts w:eastAsia="Calibri"/>
          <w:kern w:val="11"/>
          <w:shd w:val="clear" w:color="auto" w:fill="FFFFFF"/>
          <w:lang w:val="en-US" w:eastAsia="en-US"/>
        </w:rPr>
        <w:t xml:space="preserve">. – Vol. </w:t>
      </w:r>
      <w:r w:rsidR="005107A1" w:rsidRPr="001416ED">
        <w:rPr>
          <w:rFonts w:eastAsia="Calibri"/>
          <w:kern w:val="11"/>
          <w:shd w:val="clear" w:color="auto" w:fill="FFFFFF"/>
          <w:lang w:val="uk-UA" w:eastAsia="en-US"/>
        </w:rPr>
        <w:t>48(8)</w:t>
      </w:r>
      <w:r w:rsidR="005107A1" w:rsidRPr="001416ED">
        <w:rPr>
          <w:rFonts w:eastAsia="Calibri"/>
          <w:kern w:val="11"/>
          <w:shd w:val="clear" w:color="auto" w:fill="FFFFFF"/>
          <w:lang w:val="en-US" w:eastAsia="en-US"/>
        </w:rPr>
        <w:t xml:space="preserve">. </w:t>
      </w:r>
      <w:r w:rsidR="005107A1" w:rsidRPr="001416ED">
        <w:rPr>
          <w:rFonts w:eastAsia="PragmaticaC"/>
          <w:lang w:val="en-US" w:eastAsia="en-US"/>
        </w:rPr>
        <w:t xml:space="preserve">– </w:t>
      </w:r>
      <w:r w:rsidR="005107A1" w:rsidRPr="001416ED">
        <w:rPr>
          <w:rFonts w:eastAsia="Calibri"/>
          <w:kern w:val="11"/>
          <w:shd w:val="clear" w:color="auto" w:fill="FFFFFF"/>
          <w:lang w:eastAsia="en-US"/>
        </w:rPr>
        <w:t>Р</w:t>
      </w:r>
      <w:r w:rsidR="005107A1" w:rsidRPr="001416ED">
        <w:rPr>
          <w:rFonts w:eastAsia="Calibri"/>
          <w:kern w:val="11"/>
          <w:shd w:val="clear" w:color="auto" w:fill="FFFFFF"/>
          <w:lang w:val="en-US" w:eastAsia="en-US"/>
        </w:rPr>
        <w:t xml:space="preserve">. </w:t>
      </w:r>
      <w:r w:rsidR="005107A1" w:rsidRPr="001416ED">
        <w:rPr>
          <w:rFonts w:eastAsia="Calibri"/>
          <w:kern w:val="11"/>
          <w:shd w:val="clear" w:color="auto" w:fill="FFFFFF"/>
          <w:lang w:val="uk-UA" w:eastAsia="en-US"/>
        </w:rPr>
        <w:t>718–</w:t>
      </w:r>
      <w:r w:rsidR="005107A1" w:rsidRPr="001416ED">
        <w:rPr>
          <w:rFonts w:eastAsia="Calibri"/>
          <w:kern w:val="11"/>
          <w:shd w:val="clear" w:color="auto" w:fill="FFFFFF"/>
          <w:lang w:val="en-US" w:eastAsia="en-US"/>
        </w:rPr>
        <w:t>7</w:t>
      </w:r>
      <w:r w:rsidR="005107A1" w:rsidRPr="001416ED">
        <w:rPr>
          <w:rFonts w:eastAsia="Calibri"/>
          <w:kern w:val="11"/>
          <w:shd w:val="clear" w:color="auto" w:fill="FFFFFF"/>
          <w:lang w:val="uk-UA" w:eastAsia="en-US"/>
        </w:rPr>
        <w:t>23</w:t>
      </w:r>
      <w:r w:rsidR="005107A1" w:rsidRPr="001416ED">
        <w:rPr>
          <w:rFonts w:eastAsia="Calibri"/>
          <w:kern w:val="11"/>
          <w:shd w:val="clear" w:color="auto" w:fill="FFFFFF"/>
          <w:lang w:val="en-US" w:eastAsia="en-US"/>
        </w:rPr>
        <w:t>.</w:t>
      </w:r>
    </w:p>
    <w:p w:rsidR="005107A1" w:rsidRPr="001416ED" w:rsidRDefault="00A9327B"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lang w:val="uk-UA" w:eastAsia="uk-UA"/>
        </w:rPr>
      </w:pPr>
      <w:hyperlink r:id="rId78" w:history="1">
        <w:r w:rsidR="005107A1" w:rsidRPr="001416ED">
          <w:rPr>
            <w:rFonts w:eastAsia="Calibri"/>
            <w:kern w:val="11"/>
            <w:shd w:val="clear" w:color="auto" w:fill="FFFFFF"/>
            <w:lang w:val="uk-UA" w:eastAsia="en-US"/>
          </w:rPr>
          <w:t>Hoffman A</w:t>
        </w:r>
      </w:hyperlink>
      <w:r w:rsidR="005107A1" w:rsidRPr="001416ED">
        <w:rPr>
          <w:rFonts w:eastAsia="Calibri"/>
          <w:kern w:val="11"/>
          <w:lang w:val="uk-UA" w:eastAsia="en-US"/>
        </w:rPr>
        <w:t>.</w:t>
      </w:r>
      <w:r w:rsidR="005107A1" w:rsidRPr="001416ED">
        <w:rPr>
          <w:bCs/>
          <w:kern w:val="36"/>
          <w:lang w:val="uk-UA" w:eastAsia="uk-UA"/>
        </w:rPr>
        <w:t xml:space="preserve"> Urinary excretion rate of endothelin–1 in patients with essential hypertension and salt sensitivity /</w:t>
      </w:r>
      <w:r w:rsidR="005107A1" w:rsidRPr="001416ED">
        <w:rPr>
          <w:rFonts w:eastAsia="Calibri"/>
          <w:kern w:val="11"/>
          <w:lang w:val="uk-UA" w:eastAsia="en-US"/>
        </w:rPr>
        <w:t xml:space="preserve"> А. </w:t>
      </w:r>
      <w:hyperlink r:id="rId79" w:history="1">
        <w:r w:rsidR="005107A1" w:rsidRPr="001416ED">
          <w:rPr>
            <w:rFonts w:eastAsia="Calibri"/>
            <w:kern w:val="11"/>
            <w:shd w:val="clear" w:color="auto" w:fill="FFFFFF"/>
            <w:lang w:val="uk-UA" w:eastAsia="en-US"/>
          </w:rPr>
          <w:t xml:space="preserve">Hoffman, </w:t>
        </w:r>
      </w:hyperlink>
      <w:r w:rsidR="005107A1" w:rsidRPr="001416ED">
        <w:rPr>
          <w:rFonts w:eastAsia="Calibri"/>
          <w:kern w:val="11"/>
          <w:shd w:val="clear" w:color="auto" w:fill="FFFFFF"/>
          <w:lang w:val="uk-UA" w:eastAsia="en-US"/>
        </w:rPr>
        <w:t xml:space="preserve"> Е. </w:t>
      </w:r>
      <w:hyperlink r:id="rId80" w:history="1">
        <w:r w:rsidR="005107A1" w:rsidRPr="001416ED">
          <w:rPr>
            <w:rFonts w:eastAsia="Calibri"/>
            <w:kern w:val="11"/>
            <w:shd w:val="clear" w:color="auto" w:fill="FFFFFF"/>
            <w:lang w:val="uk-UA" w:eastAsia="en-US"/>
          </w:rPr>
          <w:t>Grossman</w:t>
        </w:r>
      </w:hyperlink>
      <w:r w:rsidR="005107A1" w:rsidRPr="001416ED">
        <w:rPr>
          <w:rFonts w:eastAsia="Calibri"/>
          <w:kern w:val="11"/>
          <w:shd w:val="clear" w:color="auto" w:fill="FFFFFF"/>
          <w:lang w:val="uk-UA" w:eastAsia="en-US"/>
        </w:rPr>
        <w:t xml:space="preserve">, D. S. </w:t>
      </w:r>
      <w:hyperlink r:id="rId81" w:history="1">
        <w:r w:rsidR="005107A1" w:rsidRPr="001416ED">
          <w:rPr>
            <w:rFonts w:eastAsia="Calibri"/>
            <w:kern w:val="11"/>
            <w:shd w:val="clear" w:color="auto" w:fill="FFFFFF"/>
            <w:lang w:val="uk-UA" w:eastAsia="en-US"/>
          </w:rPr>
          <w:t xml:space="preserve">Goldstein </w:t>
        </w:r>
        <w:r w:rsidR="005107A1" w:rsidRPr="001416ED">
          <w:rPr>
            <w:rFonts w:eastAsia="Calibri"/>
            <w:lang w:val="en-US" w:eastAsia="en-US"/>
          </w:rPr>
          <w:t>[et al.]</w:t>
        </w:r>
        <w:r w:rsidR="005107A1" w:rsidRPr="001416ED">
          <w:rPr>
            <w:rFonts w:eastAsia="Calibri"/>
            <w:lang w:val="uk-UA" w:eastAsia="en-US"/>
          </w:rPr>
          <w:t xml:space="preserve"> </w:t>
        </w:r>
        <w:r w:rsidR="005107A1" w:rsidRPr="001416ED">
          <w:rPr>
            <w:rFonts w:eastAsia="Calibri"/>
            <w:kern w:val="11"/>
            <w:shd w:val="clear" w:color="auto" w:fill="FFFFFF"/>
            <w:lang w:val="uk-UA" w:eastAsia="en-US"/>
          </w:rPr>
          <w:t xml:space="preserve">//  </w:t>
        </w:r>
      </w:hyperlink>
      <w:hyperlink r:id="rId82" w:tooltip="Kidney international." w:history="1">
        <w:r w:rsidR="005107A1" w:rsidRPr="001416ED">
          <w:rPr>
            <w:rFonts w:eastAsia="Calibri"/>
            <w:kern w:val="11"/>
            <w:shd w:val="clear" w:color="auto" w:fill="FFFFFF"/>
            <w:lang w:val="uk-UA" w:eastAsia="en-US"/>
          </w:rPr>
          <w:t>Kidney Int.</w:t>
        </w:r>
      </w:hyperlink>
      <w:r w:rsidR="005107A1" w:rsidRPr="001416ED">
        <w:rPr>
          <w:rFonts w:eastAsia="Calibri"/>
          <w:kern w:val="11"/>
          <w:shd w:val="clear" w:color="auto" w:fill="FFFFFF"/>
          <w:lang w:val="uk-UA" w:eastAsia="en-US"/>
        </w:rPr>
        <w:t xml:space="preserve"> – 1994. – </w:t>
      </w:r>
      <w:r w:rsidR="005107A1" w:rsidRPr="001416ED">
        <w:rPr>
          <w:rFonts w:eastAsia="Calibri"/>
          <w:kern w:val="11"/>
          <w:shd w:val="clear" w:color="auto" w:fill="FFFFFF"/>
          <w:lang w:val="en-US" w:eastAsia="en-US"/>
        </w:rPr>
        <w:t xml:space="preserve">Vol. </w:t>
      </w:r>
      <w:r w:rsidR="005107A1" w:rsidRPr="001416ED">
        <w:rPr>
          <w:rFonts w:eastAsia="Calibri"/>
          <w:kern w:val="11"/>
          <w:shd w:val="clear" w:color="auto" w:fill="FFFFFF"/>
          <w:lang w:val="uk-UA" w:eastAsia="en-US"/>
        </w:rPr>
        <w:t>45(2)</w:t>
      </w:r>
      <w:r w:rsidR="005107A1" w:rsidRPr="001416ED">
        <w:rPr>
          <w:rFonts w:eastAsia="Calibri"/>
          <w:kern w:val="11"/>
          <w:shd w:val="clear" w:color="auto" w:fill="FFFFFF"/>
          <w:lang w:val="en-US" w:eastAsia="en-US"/>
        </w:rPr>
        <w:t xml:space="preserve">. – P. </w:t>
      </w:r>
      <w:r w:rsidR="005107A1" w:rsidRPr="001416ED">
        <w:rPr>
          <w:rFonts w:eastAsia="Calibri"/>
          <w:kern w:val="11"/>
          <w:shd w:val="clear" w:color="auto" w:fill="FFFFFF"/>
          <w:lang w:val="uk-UA" w:eastAsia="en-US"/>
        </w:rPr>
        <w:t>556–</w:t>
      </w:r>
      <w:r w:rsidR="005107A1" w:rsidRPr="001416ED">
        <w:rPr>
          <w:rFonts w:eastAsia="Calibri"/>
          <w:kern w:val="11"/>
          <w:shd w:val="clear" w:color="auto" w:fill="FFFFFF"/>
          <w:lang w:val="en-US" w:eastAsia="en-US"/>
        </w:rPr>
        <w:t>5</w:t>
      </w:r>
      <w:r w:rsidR="005107A1" w:rsidRPr="001416ED">
        <w:rPr>
          <w:rFonts w:eastAsia="Calibri"/>
          <w:kern w:val="11"/>
          <w:shd w:val="clear" w:color="auto" w:fill="FFFFFF"/>
          <w:lang w:val="uk-UA" w:eastAsia="en-US"/>
        </w:rPr>
        <w:t>60.</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Hollenberg N.</w:t>
      </w:r>
      <w:r w:rsidRPr="001416ED">
        <w:rPr>
          <w:lang w:val="en-US" w:eastAsia="uk-UA"/>
        </w:rPr>
        <w:t xml:space="preserve"> </w:t>
      </w:r>
      <w:r w:rsidRPr="001416ED">
        <w:rPr>
          <w:lang w:val="uk-UA" w:eastAsia="uk-UA"/>
        </w:rPr>
        <w:t>K. The role of beta–blockers as a cornerstone of cardiovascular therapy / N. K. Hollenberg // Amer. J. Hypertension. – 2005. – Vol. 28. – P. 165–168.</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Horio T. Heart failure and circulatory peptides / T.  Horio // Nippon Naika Gakkai Zasshi. – 2005. – Vol. 94. – P. 201–207.</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Hu P. Renal action of C–type natriuretic peptide: Advocating the isolated perfused rat kidney model / P. Hu, L. Lu, B. Hu [et al.] // Saudi journal of kidney diseases and transplantation. – 2010. – №21</w:t>
      </w:r>
      <w:r w:rsidRPr="001416ED">
        <w:rPr>
          <w:rFonts w:eastAsia="PragmaticaC"/>
          <w:lang w:val="en-US" w:eastAsia="en-US"/>
        </w:rPr>
        <w:t xml:space="preserve"> </w:t>
      </w:r>
      <w:r w:rsidRPr="001416ED">
        <w:rPr>
          <w:rFonts w:eastAsia="PragmaticaC"/>
          <w:lang w:val="uk-UA" w:eastAsia="en-US"/>
        </w:rPr>
        <w:t>(4). – P. 613–620.</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Calibri"/>
          <w:iCs/>
          <w:lang w:val="uk-UA" w:eastAsia="en-US"/>
        </w:rPr>
        <w:t xml:space="preserve">Hunt P. J. </w:t>
      </w:r>
      <w:r w:rsidRPr="001416ED">
        <w:rPr>
          <w:rFonts w:eastAsia="Calibri"/>
          <w:lang w:val="uk-UA" w:eastAsia="en-US"/>
        </w:rPr>
        <w:t xml:space="preserve">Bioactivity and metabolism of C–type natriuretic peptide in normal man / </w:t>
      </w:r>
      <w:r w:rsidRPr="001416ED">
        <w:rPr>
          <w:rFonts w:eastAsia="Calibri"/>
          <w:iCs/>
          <w:lang w:val="uk-UA" w:eastAsia="en-US"/>
        </w:rPr>
        <w:t xml:space="preserve">P. J. Hunt, A. M. Richards, E. A. Espiner </w:t>
      </w:r>
      <w:r w:rsidRPr="001416ED">
        <w:rPr>
          <w:rFonts w:eastAsia="Calibri"/>
          <w:iCs/>
          <w:lang w:val="en-US" w:eastAsia="en-US"/>
        </w:rPr>
        <w:t>[</w:t>
      </w:r>
      <w:r w:rsidRPr="001416ED">
        <w:rPr>
          <w:rFonts w:eastAsia="Calibri"/>
          <w:iCs/>
          <w:lang w:val="uk-UA" w:eastAsia="en-US"/>
        </w:rPr>
        <w:t>et al.</w:t>
      </w:r>
      <w:r w:rsidRPr="001416ED">
        <w:rPr>
          <w:rFonts w:eastAsia="Calibri"/>
          <w:iCs/>
          <w:lang w:val="en-US" w:eastAsia="en-US"/>
        </w:rPr>
        <w:t>]</w:t>
      </w:r>
      <w:r w:rsidRPr="001416ED">
        <w:rPr>
          <w:rFonts w:eastAsia="Calibri"/>
          <w:iCs/>
          <w:lang w:val="uk-UA" w:eastAsia="en-US"/>
        </w:rPr>
        <w:t xml:space="preserve"> // </w:t>
      </w:r>
      <w:r w:rsidRPr="001416ED">
        <w:rPr>
          <w:rFonts w:eastAsia="Calibri"/>
          <w:lang w:val="uk-UA" w:eastAsia="en-US"/>
        </w:rPr>
        <w:t>J Clin Endocrinol Met</w:t>
      </w:r>
      <w:r w:rsidRPr="001416ED">
        <w:rPr>
          <w:rFonts w:eastAsia="TimesNewRomanPSMT"/>
          <w:lang w:val="uk-UA" w:eastAsia="en-US"/>
        </w:rPr>
        <w:t>ab. – 19</w:t>
      </w:r>
      <w:r w:rsidRPr="001416ED">
        <w:rPr>
          <w:rFonts w:eastAsia="Calibri"/>
          <w:lang w:val="uk-UA" w:eastAsia="en-US"/>
        </w:rPr>
        <w:t>94</w:t>
      </w:r>
      <w:r w:rsidRPr="001416ED">
        <w:rPr>
          <w:rFonts w:eastAsia="TimesNewRomanPSMT"/>
          <w:lang w:val="uk-UA" w:eastAsia="en-US"/>
        </w:rPr>
        <w:t xml:space="preserve">. – </w:t>
      </w:r>
      <w:r w:rsidRPr="001416ED">
        <w:rPr>
          <w:rFonts w:eastAsia="MyriadPro-Regular"/>
          <w:lang w:val="uk-UA" w:eastAsia="en-US"/>
        </w:rPr>
        <w:t>Vol.</w:t>
      </w:r>
      <w:r w:rsidRPr="001416ED">
        <w:rPr>
          <w:rFonts w:eastAsia="Calibri"/>
          <w:lang w:val="uk-UA" w:eastAsia="en-US"/>
        </w:rPr>
        <w:t xml:space="preserve"> 78. – Р. 1428–1435.</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en-US" w:eastAsia="en-US"/>
        </w:rPr>
        <w:t xml:space="preserve">Imran S. S. Dermatogliphics as diagnostic tool in myocardial infarction: a study in Gulbarga District / S. S. Imran, S. H. Uzair // Anatomica Karnataka. – 2012. – Vol. 6 (1). – P. 7–11. </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en-US" w:eastAsia="en-US"/>
        </w:rPr>
        <w:t xml:space="preserve">Jalali F. A. Comparative study of dermatogliphic patterns in patients with myocardial infarction and control group </w:t>
      </w:r>
      <w:r w:rsidRPr="001416ED">
        <w:rPr>
          <w:rFonts w:eastAsia="PragmaticaC"/>
          <w:lang w:val="uk-UA" w:eastAsia="en-US"/>
        </w:rPr>
        <w:t xml:space="preserve">/ </w:t>
      </w:r>
      <w:r w:rsidRPr="001416ED">
        <w:rPr>
          <w:rFonts w:eastAsia="PragmaticaC"/>
          <w:lang w:val="en-US" w:eastAsia="en-US"/>
        </w:rPr>
        <w:t>F. A. Jalali</w:t>
      </w:r>
      <w:r w:rsidRPr="001416ED">
        <w:rPr>
          <w:rFonts w:eastAsia="PragmaticaC"/>
          <w:lang w:val="uk-UA" w:eastAsia="en-US"/>
        </w:rPr>
        <w:t xml:space="preserve">, </w:t>
      </w:r>
      <w:r w:rsidRPr="001416ED">
        <w:rPr>
          <w:rFonts w:eastAsia="PragmaticaC"/>
          <w:lang w:val="en-US" w:eastAsia="en-US"/>
        </w:rPr>
        <w:t>K. O. Hajian–Tiaki //</w:t>
      </w:r>
      <w:r w:rsidRPr="001416ED">
        <w:rPr>
          <w:rFonts w:eastAsia="PragmaticaC"/>
          <w:lang w:val="uk-UA" w:eastAsia="en-US"/>
        </w:rPr>
        <w:t xml:space="preserve"> </w:t>
      </w:r>
      <w:r w:rsidRPr="001416ED">
        <w:rPr>
          <w:rFonts w:eastAsia="PragmaticaC"/>
          <w:lang w:val="en-US" w:eastAsia="en-US"/>
        </w:rPr>
        <w:t>Acta Medica Iranica. – 2002. – Vol. 40 (3). – P. 187–191.</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Jambric Z.</w:t>
      </w:r>
      <w:r w:rsidRPr="001416ED">
        <w:rPr>
          <w:lang w:val="en-US" w:eastAsia="uk-UA"/>
        </w:rPr>
        <w:t xml:space="preserve"> </w:t>
      </w:r>
      <w:r w:rsidRPr="001416ED">
        <w:rPr>
          <w:lang w:val="uk-UA" w:eastAsia="uk-UA"/>
        </w:rPr>
        <w:t xml:space="preserve">Periferal vascular endothelial function testing for the diagnosis of coronary artery disease / Z. Jambric, L. Venneri, A. Varga </w:t>
      </w:r>
      <w:r w:rsidRPr="001416ED">
        <w:rPr>
          <w:lang w:val="en-US" w:eastAsia="uk-UA"/>
        </w:rPr>
        <w:t>[</w:t>
      </w:r>
      <w:r w:rsidRPr="001416ED">
        <w:rPr>
          <w:lang w:val="uk-UA" w:eastAsia="uk-UA"/>
        </w:rPr>
        <w:t>et al.</w:t>
      </w:r>
      <w:r w:rsidRPr="001416ED">
        <w:rPr>
          <w:lang w:val="en-US" w:eastAsia="uk-UA"/>
        </w:rPr>
        <w:t>]</w:t>
      </w:r>
      <w:r w:rsidRPr="001416ED">
        <w:rPr>
          <w:lang w:val="uk-UA" w:eastAsia="uk-UA"/>
        </w:rPr>
        <w:t xml:space="preserve"> // Amer. Heart J. – 2004. – Vol. 41. – P. 684–689.</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lang w:val="uk-UA" w:eastAsia="en-US"/>
        </w:rPr>
        <w:t>Jin J. J.</w:t>
      </w:r>
      <w:r w:rsidRPr="001416ED">
        <w:rPr>
          <w:rFonts w:eastAsia="Calibri"/>
          <w:b/>
          <w:bCs/>
          <w:sz w:val="37"/>
          <w:szCs w:val="37"/>
          <w:lang w:val="uk-UA" w:eastAsia="en-US"/>
        </w:rPr>
        <w:t xml:space="preserve"> </w:t>
      </w:r>
      <w:r w:rsidRPr="001416ED">
        <w:rPr>
          <w:rFonts w:eastAsia="PragmaticaC"/>
          <w:bCs/>
          <w:lang w:val="uk-UA" w:eastAsia="en-US"/>
        </w:rPr>
        <w:t>Association of Endothelin–1 Gene Variant With Hypertension / J. J. Jin, J. Nakura, Z</w:t>
      </w:r>
      <w:r w:rsidRPr="001416ED">
        <w:rPr>
          <w:rFonts w:eastAsia="PragmaticaC"/>
          <w:bCs/>
          <w:lang w:val="en-US" w:eastAsia="en-US"/>
        </w:rPr>
        <w:t>.</w:t>
      </w:r>
      <w:r w:rsidRPr="001416ED">
        <w:rPr>
          <w:rFonts w:eastAsia="PragmaticaC"/>
          <w:bCs/>
          <w:lang w:val="uk-UA" w:eastAsia="en-US"/>
        </w:rPr>
        <w:t>Wu [et al.] //</w:t>
      </w:r>
      <w:r w:rsidRPr="001416ED">
        <w:rPr>
          <w:rFonts w:eastAsia="PragmaticaC"/>
          <w:lang w:val="uk-UA" w:eastAsia="en-US"/>
        </w:rPr>
        <w:t xml:space="preserve"> Hypertension. – 2003. – </w:t>
      </w:r>
      <w:r w:rsidRPr="001416ED">
        <w:rPr>
          <w:rFonts w:eastAsia="PragmaticaC"/>
          <w:lang w:val="en-US" w:eastAsia="en-US"/>
        </w:rPr>
        <w:t>Vol.</w:t>
      </w:r>
      <w:r w:rsidRPr="001416ED">
        <w:rPr>
          <w:rFonts w:eastAsia="PragmaticaC"/>
          <w:lang w:val="uk-UA" w:eastAsia="en-US"/>
        </w:rPr>
        <w:t xml:space="preserve"> 41</w:t>
      </w:r>
      <w:r w:rsidRPr="001416ED">
        <w:rPr>
          <w:rFonts w:eastAsia="PragmaticaC"/>
          <w:lang w:val="en-US" w:eastAsia="en-US"/>
        </w:rPr>
        <w:t xml:space="preserve">. – P. </w:t>
      </w:r>
      <w:r w:rsidRPr="001416ED">
        <w:rPr>
          <w:rFonts w:eastAsia="PragmaticaC"/>
          <w:lang w:val="uk-UA" w:eastAsia="en-US"/>
        </w:rPr>
        <w:t>163–167.</w:t>
      </w:r>
    </w:p>
    <w:p w:rsidR="005107A1" w:rsidRPr="001416ED" w:rsidRDefault="005107A1" w:rsidP="0012229A">
      <w:pPr>
        <w:numPr>
          <w:ilvl w:val="0"/>
          <w:numId w:val="10"/>
        </w:numPr>
        <w:tabs>
          <w:tab w:val="left" w:pos="709"/>
        </w:tabs>
        <w:spacing w:after="200" w:line="360" w:lineRule="auto"/>
        <w:ind w:left="0" w:firstLine="0"/>
        <w:contextualSpacing/>
        <w:mirrorIndents/>
        <w:jc w:val="both"/>
        <w:rPr>
          <w:rFonts w:eastAsia="Calibri"/>
          <w:kern w:val="11"/>
          <w:lang w:val="uk-UA" w:eastAsia="en-US"/>
        </w:rPr>
      </w:pPr>
      <w:r w:rsidRPr="001416ED">
        <w:rPr>
          <w:rFonts w:eastAsia="Calibri"/>
          <w:kern w:val="11"/>
          <w:lang w:val="en-GB" w:eastAsia="en-US"/>
        </w:rPr>
        <w:t>Johnson</w:t>
      </w:r>
      <w:r w:rsidRPr="001416ED">
        <w:rPr>
          <w:rFonts w:eastAsia="Calibri"/>
          <w:kern w:val="11"/>
          <w:lang w:val="uk-UA" w:eastAsia="en-US"/>
        </w:rPr>
        <w:t xml:space="preserve"> </w:t>
      </w:r>
      <w:r w:rsidRPr="001416ED">
        <w:rPr>
          <w:rFonts w:eastAsia="Calibri"/>
          <w:kern w:val="11"/>
          <w:lang w:val="en-GB" w:eastAsia="en-US"/>
        </w:rPr>
        <w:t>W.</w:t>
      </w:r>
      <w:r w:rsidRPr="001416ED">
        <w:rPr>
          <w:rFonts w:eastAsia="Calibri"/>
          <w:kern w:val="11"/>
          <w:lang w:val="uk-UA" w:eastAsia="en-US"/>
        </w:rPr>
        <w:t xml:space="preserve"> </w:t>
      </w:r>
      <w:r w:rsidRPr="001416ED">
        <w:rPr>
          <w:rFonts w:eastAsia="Calibri"/>
          <w:kern w:val="11"/>
          <w:lang w:val="en-GB" w:eastAsia="en-US"/>
        </w:rPr>
        <w:t>Neurohormonal activation rapidly decreases after intravenous therapy with diuretics and vasodilators for class IV heart failure / W. Johnson, T.</w:t>
      </w:r>
      <w:r w:rsidRPr="001416ED">
        <w:rPr>
          <w:rFonts w:eastAsia="Calibri"/>
          <w:kern w:val="11"/>
          <w:lang w:val="uk-UA" w:eastAsia="en-US"/>
        </w:rPr>
        <w:t xml:space="preserve"> </w:t>
      </w:r>
      <w:r w:rsidRPr="001416ED">
        <w:rPr>
          <w:rFonts w:eastAsia="Calibri"/>
          <w:kern w:val="11"/>
          <w:lang w:val="en-GB" w:eastAsia="en-US"/>
        </w:rPr>
        <w:t>Omland, C.</w:t>
      </w:r>
      <w:r w:rsidRPr="001416ED">
        <w:rPr>
          <w:rFonts w:eastAsia="Calibri"/>
          <w:kern w:val="11"/>
          <w:lang w:val="uk-UA" w:eastAsia="en-US"/>
        </w:rPr>
        <w:t xml:space="preserve"> </w:t>
      </w:r>
      <w:r w:rsidRPr="001416ED">
        <w:rPr>
          <w:rFonts w:eastAsia="Calibri"/>
          <w:kern w:val="11"/>
          <w:lang w:val="en-GB" w:eastAsia="en-US"/>
        </w:rPr>
        <w:t>Hall</w:t>
      </w:r>
      <w:r w:rsidRPr="001416ED">
        <w:rPr>
          <w:rFonts w:eastAsia="Calibri"/>
          <w:kern w:val="11"/>
          <w:lang w:val="uk-UA" w:eastAsia="en-US"/>
        </w:rPr>
        <w:t xml:space="preserve"> </w:t>
      </w:r>
      <w:r w:rsidRPr="001416ED">
        <w:rPr>
          <w:rFonts w:eastAsia="Calibri"/>
          <w:kern w:val="11"/>
          <w:lang w:val="en-US" w:eastAsia="en-US"/>
        </w:rPr>
        <w:t>[</w:t>
      </w:r>
      <w:r w:rsidRPr="001416ED">
        <w:rPr>
          <w:rFonts w:eastAsia="Calibri"/>
          <w:kern w:val="11"/>
          <w:lang w:val="en-GB" w:eastAsia="en-US"/>
        </w:rPr>
        <w:t>et al.] //</w:t>
      </w:r>
      <w:r w:rsidRPr="001416ED">
        <w:rPr>
          <w:rFonts w:eastAsia="Calibri"/>
          <w:kern w:val="11"/>
          <w:lang w:val="uk-UA" w:eastAsia="en-US"/>
        </w:rPr>
        <w:t xml:space="preserve"> Journal of the American College of Cardiology. – 2002. – </w:t>
      </w:r>
      <w:r w:rsidRPr="001416ED">
        <w:rPr>
          <w:rFonts w:eastAsia="Calibri"/>
          <w:kern w:val="11"/>
          <w:lang w:val="en-US" w:eastAsia="en-US"/>
        </w:rPr>
        <w:t>Vol.</w:t>
      </w:r>
      <w:r w:rsidRPr="001416ED">
        <w:rPr>
          <w:rFonts w:eastAsia="Calibri"/>
          <w:kern w:val="11"/>
          <w:lang w:val="uk-UA" w:eastAsia="en-US"/>
        </w:rPr>
        <w:t xml:space="preserve"> 39. – Р. 1623–1629. </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lastRenderedPageBreak/>
        <w:t>Kachhave S.</w:t>
      </w:r>
      <w:r w:rsidRPr="001416ED">
        <w:rPr>
          <w:rFonts w:eastAsia="Calibri"/>
          <w:kern w:val="11"/>
          <w:lang w:val="en-US" w:eastAsia="en-US"/>
        </w:rPr>
        <w:t xml:space="preserve"> </w:t>
      </w:r>
      <w:r w:rsidRPr="001416ED">
        <w:rPr>
          <w:rFonts w:eastAsia="Calibri"/>
          <w:kern w:val="11"/>
          <w:lang w:val="uk-UA" w:eastAsia="en-US"/>
        </w:rPr>
        <w:t>K.  Dermatoglyphics in the essential hypertension in Marathwada region / S.</w:t>
      </w:r>
      <w:r w:rsidRPr="001416ED">
        <w:rPr>
          <w:rFonts w:eastAsia="Calibri"/>
          <w:kern w:val="11"/>
          <w:lang w:val="en-US" w:eastAsia="en-US"/>
        </w:rPr>
        <w:t xml:space="preserve"> </w:t>
      </w:r>
      <w:r w:rsidRPr="001416ED">
        <w:rPr>
          <w:rFonts w:eastAsia="Calibri"/>
          <w:kern w:val="11"/>
          <w:lang w:val="uk-UA" w:eastAsia="en-US"/>
        </w:rPr>
        <w:t>K. Kachhave,  P.</w:t>
      </w:r>
      <w:r w:rsidRPr="001416ED">
        <w:rPr>
          <w:rFonts w:eastAsia="Calibri"/>
          <w:kern w:val="11"/>
          <w:lang w:val="en-US" w:eastAsia="en-US"/>
        </w:rPr>
        <w:t xml:space="preserve"> </w:t>
      </w:r>
      <w:r w:rsidRPr="001416ED">
        <w:rPr>
          <w:rFonts w:eastAsia="Calibri"/>
          <w:kern w:val="11"/>
          <w:lang w:val="uk-UA" w:eastAsia="en-US"/>
        </w:rPr>
        <w:t>V. Solanke, A.</w:t>
      </w:r>
      <w:r w:rsidRPr="001416ED">
        <w:rPr>
          <w:rFonts w:eastAsia="Calibri"/>
          <w:kern w:val="11"/>
          <w:lang w:val="en-US" w:eastAsia="en-US"/>
        </w:rPr>
        <w:t xml:space="preserve"> </w:t>
      </w:r>
      <w:r w:rsidRPr="001416ED">
        <w:rPr>
          <w:rFonts w:eastAsia="Calibri"/>
          <w:kern w:val="11"/>
          <w:lang w:val="uk-UA" w:eastAsia="en-US"/>
        </w:rPr>
        <w:t xml:space="preserve">A. Mahajan </w:t>
      </w:r>
      <w:r w:rsidRPr="001416ED">
        <w:rPr>
          <w:rFonts w:eastAsia="Calibri"/>
          <w:bCs/>
          <w:kern w:val="11"/>
          <w:lang w:val="uk-UA" w:eastAsia="en-US"/>
        </w:rPr>
        <w:t xml:space="preserve">[et al.] // </w:t>
      </w:r>
      <w:r w:rsidRPr="001416ED">
        <w:rPr>
          <w:rFonts w:eastAsia="Calibri"/>
          <w:kern w:val="11"/>
          <w:lang w:val="uk-UA" w:eastAsia="en-US"/>
        </w:rPr>
        <w:t xml:space="preserve">Indian J Public Heal Res Dev. – 2013. – </w:t>
      </w:r>
      <w:r w:rsidRPr="001416ED">
        <w:rPr>
          <w:rFonts w:eastAsia="Calibri"/>
          <w:bCs/>
          <w:iCs/>
          <w:kern w:val="11"/>
          <w:lang w:val="en-US" w:eastAsia="en-US"/>
        </w:rPr>
        <w:t>Vol.</w:t>
      </w:r>
      <w:r w:rsidRPr="001416ED">
        <w:rPr>
          <w:rFonts w:eastAsia="Calibri"/>
          <w:bCs/>
          <w:iCs/>
          <w:kern w:val="11"/>
          <w:lang w:val="uk-UA" w:eastAsia="en-US"/>
        </w:rPr>
        <w:t> </w:t>
      </w:r>
      <w:r w:rsidRPr="001416ED">
        <w:rPr>
          <w:rFonts w:eastAsia="Calibri"/>
          <w:kern w:val="11"/>
          <w:lang w:val="uk-UA" w:eastAsia="en-US"/>
        </w:rPr>
        <w:t>4. – Р. 194–8.</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Khare A. Evaluation of markers of endothelial damage in case of young myocardial infarction / A. Khare, S. Shetty, K. Ghosh // Atherosclerosis. – 2005. – Vol. 18. – P. 375–380.</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bCs/>
          <w:lang w:val="uk-UA" w:eastAsia="en-US"/>
        </w:rPr>
        <w:t>Knight S. Brian</w:t>
      </w:r>
      <w:r w:rsidRPr="001416ED">
        <w:rPr>
          <w:rFonts w:eastAsia="Calibri"/>
          <w:lang w:val="uk-UA" w:eastAsia="en-US"/>
        </w:rPr>
        <w:t>.</w:t>
      </w:r>
      <w:r w:rsidRPr="001416ED">
        <w:rPr>
          <w:rFonts w:eastAsia="Calibri"/>
          <w:bCs/>
          <w:lang w:val="en-US" w:eastAsia="en-US"/>
        </w:rPr>
        <w:t xml:space="preserve"> </w:t>
      </w:r>
      <w:r w:rsidRPr="001416ED">
        <w:rPr>
          <w:rFonts w:eastAsia="Calibri"/>
          <w:lang w:val="uk-UA" w:eastAsia="en-US"/>
        </w:rPr>
        <w:t xml:space="preserve">Developmental regulation of cardiovascular function is dependent on both genotype and environment / </w:t>
      </w:r>
      <w:r w:rsidRPr="001416ED">
        <w:rPr>
          <w:rFonts w:eastAsia="Calibri"/>
          <w:bCs/>
          <w:lang w:val="uk-UA" w:eastAsia="en-US"/>
        </w:rPr>
        <w:t>Brian S. Knight</w:t>
      </w:r>
      <w:r w:rsidRPr="001416ED">
        <w:rPr>
          <w:rFonts w:eastAsia="Calibri"/>
          <w:lang w:val="en-US" w:eastAsia="en-US"/>
        </w:rPr>
        <w:t>,</w:t>
      </w:r>
      <w:r w:rsidRPr="001416ED">
        <w:rPr>
          <w:rFonts w:eastAsia="Calibri"/>
          <w:bCs/>
          <w:lang w:val="en-US" w:eastAsia="en-US"/>
        </w:rPr>
        <w:t xml:space="preserve"> </w:t>
      </w:r>
      <w:r w:rsidR="00FD5A4E">
        <w:rPr>
          <w:rFonts w:eastAsia="Calibri"/>
          <w:lang w:val="uk-UA" w:eastAsia="en-US"/>
        </w:rPr>
        <w:t>Nana Sunn, Craig E. Pennell</w:t>
      </w:r>
      <w:r w:rsidRPr="001416ED">
        <w:rPr>
          <w:rFonts w:eastAsia="Calibri"/>
          <w:lang w:val="uk-UA" w:eastAsia="en-US"/>
        </w:rPr>
        <w:t xml:space="preserve"> </w:t>
      </w:r>
      <w:r w:rsidRPr="001416ED">
        <w:rPr>
          <w:rFonts w:eastAsia="Calibri"/>
          <w:lang w:val="en-US" w:eastAsia="en-US"/>
        </w:rPr>
        <w:t xml:space="preserve">[et al.] // </w:t>
      </w:r>
      <w:r w:rsidRPr="001416ED">
        <w:rPr>
          <w:rFonts w:eastAsia="Calibri"/>
          <w:iCs/>
          <w:lang w:val="uk-UA" w:eastAsia="en-US"/>
        </w:rPr>
        <w:t>Am J Physiol Heart Circ Physiol</w:t>
      </w:r>
      <w:r w:rsidRPr="001416ED">
        <w:rPr>
          <w:rFonts w:eastAsia="Calibri"/>
          <w:iCs/>
          <w:lang w:val="en-US" w:eastAsia="en-US"/>
        </w:rPr>
        <w:t xml:space="preserve">. – 2009. – Vol. </w:t>
      </w:r>
      <w:r w:rsidRPr="001416ED">
        <w:rPr>
          <w:rFonts w:eastAsia="Calibri"/>
          <w:lang w:val="uk-UA" w:eastAsia="en-US"/>
        </w:rPr>
        <w:t>297</w:t>
      </w:r>
      <w:r w:rsidRPr="001416ED">
        <w:rPr>
          <w:rFonts w:eastAsia="Calibri"/>
          <w:lang w:val="en-US" w:eastAsia="en-US"/>
        </w:rPr>
        <w:t xml:space="preserve">. – P. </w:t>
      </w:r>
      <w:r w:rsidRPr="001416ED">
        <w:rPr>
          <w:rFonts w:eastAsia="Calibri"/>
          <w:lang w:val="uk-UA" w:eastAsia="en-US"/>
        </w:rPr>
        <w:t>2234–2241</w:t>
      </w:r>
      <w:r w:rsidRPr="001416ED">
        <w:rPr>
          <w:rFonts w:eastAsia="Calibri"/>
          <w:lang w:val="en-US" w:eastAsia="en-US"/>
        </w:rPr>
        <w:t>.</w:t>
      </w:r>
    </w:p>
    <w:p w:rsidR="005107A1" w:rsidRPr="001416ED" w:rsidRDefault="005107A1" w:rsidP="0012229A">
      <w:pPr>
        <w:numPr>
          <w:ilvl w:val="0"/>
          <w:numId w:val="10"/>
        </w:numPr>
        <w:shd w:val="clear" w:color="auto" w:fill="FFFFFF"/>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Koch A. Prognostic value of circulating amino–terminal pro–C–type natriuretic peptide in critically ill patients / A. Koch, S. Voigt, E. Sanson [et al.] // Crit Care. – 2011. – Vol. 15(1). – P. 45.</w:t>
      </w:r>
    </w:p>
    <w:p w:rsidR="005107A1" w:rsidRPr="001416ED" w:rsidRDefault="00A9327B" w:rsidP="0012229A">
      <w:pPr>
        <w:numPr>
          <w:ilvl w:val="0"/>
          <w:numId w:val="10"/>
        </w:numPr>
        <w:shd w:val="clear" w:color="auto" w:fill="FFFFFF"/>
        <w:tabs>
          <w:tab w:val="left" w:pos="709"/>
        </w:tabs>
        <w:autoSpaceDE w:val="0"/>
        <w:autoSpaceDN w:val="0"/>
        <w:adjustRightInd w:val="0"/>
        <w:spacing w:line="360" w:lineRule="auto"/>
        <w:ind w:left="0" w:firstLine="0"/>
        <w:mirrorIndents/>
        <w:jc w:val="both"/>
        <w:rPr>
          <w:rFonts w:eastAsia="Calibri"/>
          <w:bCs/>
          <w:lang w:val="uk-UA" w:eastAsia="en-US"/>
        </w:rPr>
      </w:pPr>
      <w:hyperlink r:id="rId83" w:history="1">
        <w:r w:rsidR="005107A1" w:rsidRPr="001416ED">
          <w:rPr>
            <w:rFonts w:eastAsia="Calibri"/>
            <w:kern w:val="11"/>
            <w:shd w:val="clear" w:color="auto" w:fill="FFFFFF"/>
            <w:lang w:val="uk-UA" w:eastAsia="en-US"/>
          </w:rPr>
          <w:t>Kooffreh</w:t>
        </w:r>
      </w:hyperlink>
      <w:r w:rsidR="005107A1" w:rsidRPr="001416ED">
        <w:rPr>
          <w:rFonts w:eastAsia="Calibri"/>
          <w:kern w:val="11"/>
          <w:lang w:val="uk-UA" w:eastAsia="en-US"/>
        </w:rPr>
        <w:t xml:space="preserve"> M</w:t>
      </w:r>
      <w:r w:rsidR="005107A1" w:rsidRPr="001416ED">
        <w:rPr>
          <w:rFonts w:eastAsia="Calibri"/>
          <w:kern w:val="11"/>
          <w:lang w:val="en-US" w:eastAsia="en-US"/>
        </w:rPr>
        <w:t>.</w:t>
      </w:r>
      <w:r w:rsidR="005107A1" w:rsidRPr="001416ED">
        <w:rPr>
          <w:rFonts w:eastAsia="Calibri"/>
          <w:kern w:val="11"/>
          <w:lang w:val="uk-UA" w:eastAsia="en-US"/>
        </w:rPr>
        <w:t xml:space="preserve"> E. Angiotensin II type 1 receptor A1166C gene polymorphism and essential hypertension in Calabar and Uyo cities, Nigeria</w:t>
      </w:r>
      <w:r w:rsidR="005107A1" w:rsidRPr="001416ED">
        <w:rPr>
          <w:rFonts w:eastAsia="Calibri"/>
          <w:kern w:val="11"/>
          <w:lang w:val="en-US" w:eastAsia="en-US"/>
        </w:rPr>
        <w:t xml:space="preserve"> / </w:t>
      </w:r>
      <w:r w:rsidR="005107A1" w:rsidRPr="001416ED">
        <w:rPr>
          <w:rFonts w:eastAsia="Calibri"/>
          <w:kern w:val="11"/>
          <w:lang w:val="uk-UA" w:eastAsia="en-US"/>
        </w:rPr>
        <w:t>M</w:t>
      </w:r>
      <w:r w:rsidR="005107A1" w:rsidRPr="001416ED">
        <w:rPr>
          <w:rFonts w:eastAsia="Calibri"/>
          <w:kern w:val="11"/>
          <w:lang w:val="en-US" w:eastAsia="en-US"/>
        </w:rPr>
        <w:t>.</w:t>
      </w:r>
      <w:r w:rsidR="005107A1" w:rsidRPr="001416ED">
        <w:rPr>
          <w:rFonts w:eastAsia="Calibri"/>
          <w:kern w:val="11"/>
          <w:lang w:val="uk-UA" w:eastAsia="en-US"/>
        </w:rPr>
        <w:t xml:space="preserve"> E</w:t>
      </w:r>
      <w:r w:rsidR="005107A1" w:rsidRPr="001416ED">
        <w:rPr>
          <w:rFonts w:eastAsia="Calibri"/>
          <w:kern w:val="11"/>
          <w:lang w:val="en-US" w:eastAsia="en-US"/>
        </w:rPr>
        <w:t>.</w:t>
      </w:r>
      <w:hyperlink r:id="rId84" w:history="1">
        <w:r w:rsidR="005107A1" w:rsidRPr="001416ED">
          <w:rPr>
            <w:rFonts w:eastAsia="Calibri"/>
            <w:kern w:val="11"/>
            <w:shd w:val="clear" w:color="auto" w:fill="FFFFFF"/>
            <w:lang w:val="uk-UA" w:eastAsia="en-US"/>
          </w:rPr>
          <w:t xml:space="preserve"> Kooffreh</w:t>
        </w:r>
      </w:hyperlink>
      <w:r w:rsidR="005107A1" w:rsidRPr="001416ED">
        <w:rPr>
          <w:rFonts w:eastAsia="Calibri"/>
          <w:kern w:val="11"/>
          <w:lang w:val="en-US" w:eastAsia="en-US"/>
        </w:rPr>
        <w:t xml:space="preserve">, </w:t>
      </w:r>
      <w:r w:rsidR="005107A1" w:rsidRPr="001416ED">
        <w:rPr>
          <w:rFonts w:eastAsia="Calibri"/>
          <w:kern w:val="11"/>
          <w:shd w:val="clear" w:color="auto" w:fill="FFFFFF"/>
          <w:lang w:val="uk-UA" w:eastAsia="en-US"/>
        </w:rPr>
        <w:t> </w:t>
      </w:r>
      <w:hyperlink r:id="rId85" w:history="1">
        <w:r w:rsidR="005107A1" w:rsidRPr="001416ED">
          <w:rPr>
            <w:rFonts w:eastAsia="Calibri"/>
            <w:kern w:val="11"/>
            <w:shd w:val="clear" w:color="auto" w:fill="FFFFFF"/>
            <w:lang w:val="uk-UA" w:eastAsia="en-US"/>
          </w:rPr>
          <w:t>C</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I</w:t>
        </w:r>
        <w:r w:rsidR="005107A1" w:rsidRPr="001416ED">
          <w:rPr>
            <w:rFonts w:eastAsia="Calibri"/>
            <w:kern w:val="11"/>
            <w:shd w:val="clear" w:color="auto" w:fill="FFFFFF"/>
            <w:lang w:val="en-US" w:eastAsia="en-US"/>
          </w:rPr>
          <w:t xml:space="preserve">. </w:t>
        </w:r>
        <w:r w:rsidR="005107A1" w:rsidRPr="001416ED">
          <w:rPr>
            <w:rFonts w:eastAsia="Calibri"/>
            <w:kern w:val="11"/>
            <w:shd w:val="clear" w:color="auto" w:fill="FFFFFF"/>
            <w:lang w:val="uk-UA" w:eastAsia="en-US"/>
          </w:rPr>
          <w:t>Anumudu</w:t>
        </w:r>
      </w:hyperlink>
      <w:r w:rsidR="005107A1" w:rsidRPr="001416ED">
        <w:rPr>
          <w:rFonts w:eastAsia="Calibri"/>
          <w:kern w:val="11"/>
          <w:shd w:val="clear" w:color="auto" w:fill="FFFFFF"/>
          <w:lang w:val="uk-UA" w:eastAsia="en-US"/>
        </w:rPr>
        <w:t>, </w:t>
      </w:r>
      <w:hyperlink r:id="rId86" w:history="1">
        <w:r w:rsidR="005107A1" w:rsidRPr="001416ED">
          <w:rPr>
            <w:rFonts w:eastAsia="Calibri"/>
            <w:kern w:val="11"/>
            <w:shd w:val="clear" w:color="auto" w:fill="FFFFFF"/>
            <w:lang w:val="uk-UA" w:eastAsia="en-US"/>
          </w:rPr>
          <w:t>R</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Duke</w:t>
        </w:r>
      </w:hyperlink>
      <w:r w:rsidR="005107A1" w:rsidRPr="001416ED">
        <w:rPr>
          <w:rFonts w:eastAsia="Calibri"/>
          <w:kern w:val="11"/>
          <w:lang w:val="de-DE" w:eastAsia="en-US"/>
        </w:rPr>
        <w:t xml:space="preserve"> [et al.]</w:t>
      </w:r>
      <w:r w:rsidR="005107A1" w:rsidRPr="001416ED">
        <w:rPr>
          <w:rFonts w:eastAsia="Calibri"/>
          <w:kern w:val="11"/>
          <w:lang w:val="en-US" w:eastAsia="en-US"/>
        </w:rPr>
        <w:t xml:space="preserve"> // SI</w:t>
      </w:r>
      <w:r w:rsidR="005107A1" w:rsidRPr="001416ED">
        <w:rPr>
          <w:rFonts w:eastAsia="Calibri"/>
          <w:kern w:val="11"/>
          <w:shd w:val="clear" w:color="auto" w:fill="FFFFFF"/>
          <w:lang w:val="uk-UA" w:eastAsia="en-US"/>
        </w:rPr>
        <w:t>ndian J Hum Genet. </w:t>
      </w:r>
      <w:r w:rsidR="005107A1" w:rsidRPr="001416ED">
        <w:rPr>
          <w:rFonts w:eastAsia="Calibri"/>
          <w:kern w:val="11"/>
          <w:shd w:val="clear" w:color="auto" w:fill="FFFFFF"/>
          <w:lang w:val="en-US" w:eastAsia="en-US"/>
        </w:rPr>
        <w:t>– 2013. –</w:t>
      </w:r>
      <w:r w:rsidR="005107A1" w:rsidRPr="001416ED">
        <w:rPr>
          <w:rFonts w:eastAsia="Calibri"/>
          <w:kern w:val="11"/>
          <w:lang w:val="uk-UA" w:eastAsia="en-US"/>
        </w:rPr>
        <w:t xml:space="preserve"> Vol</w:t>
      </w:r>
      <w:r w:rsidR="005107A1" w:rsidRPr="001416ED">
        <w:rPr>
          <w:rFonts w:eastAsia="Calibri"/>
          <w:kern w:val="11"/>
          <w:lang w:val="en-US" w:eastAsia="en-US"/>
        </w:rPr>
        <w:t xml:space="preserve">. </w:t>
      </w:r>
      <w:r w:rsidR="005107A1" w:rsidRPr="001416ED">
        <w:rPr>
          <w:rFonts w:eastAsia="Calibri"/>
          <w:kern w:val="11"/>
          <w:lang w:val="uk-UA" w:eastAsia="en-US"/>
        </w:rPr>
        <w:t>1</w:t>
      </w:r>
      <w:r w:rsidR="005107A1" w:rsidRPr="001416ED">
        <w:rPr>
          <w:rFonts w:eastAsia="Calibri"/>
          <w:kern w:val="11"/>
          <w:lang w:val="en-US" w:eastAsia="en-US"/>
        </w:rPr>
        <w:t>9 (</w:t>
      </w:r>
      <w:r w:rsidR="005107A1" w:rsidRPr="001416ED">
        <w:rPr>
          <w:rFonts w:eastAsia="Calibri"/>
          <w:kern w:val="11"/>
          <w:lang w:val="uk-UA" w:eastAsia="en-US"/>
        </w:rPr>
        <w:t>2</w:t>
      </w:r>
      <w:r w:rsidR="005107A1" w:rsidRPr="001416ED">
        <w:rPr>
          <w:rFonts w:eastAsia="Calibri"/>
          <w:kern w:val="11"/>
          <w:lang w:val="en-US" w:eastAsia="en-US"/>
        </w:rPr>
        <w:t>).</w:t>
      </w:r>
      <w:r w:rsidR="005107A1" w:rsidRPr="001416ED">
        <w:rPr>
          <w:rFonts w:eastAsia="PragmaticaC"/>
          <w:lang w:val="en-US" w:eastAsia="en-US"/>
        </w:rPr>
        <w:t xml:space="preserve"> –</w:t>
      </w:r>
      <w:r w:rsidR="005107A1" w:rsidRPr="001416ED">
        <w:rPr>
          <w:rFonts w:eastAsia="Calibri"/>
          <w:kern w:val="11"/>
          <w:lang w:val="en-US" w:eastAsia="en-US"/>
        </w:rPr>
        <w:t xml:space="preserve"> P. 213–218.</w:t>
      </w:r>
    </w:p>
    <w:p w:rsidR="005107A1" w:rsidRPr="001416ED" w:rsidRDefault="005107A1" w:rsidP="0012229A">
      <w:pPr>
        <w:numPr>
          <w:ilvl w:val="0"/>
          <w:numId w:val="10"/>
        </w:numPr>
        <w:shd w:val="clear" w:color="auto" w:fill="FFFFFF"/>
        <w:tabs>
          <w:tab w:val="left" w:pos="709"/>
        </w:tabs>
        <w:spacing w:line="360" w:lineRule="auto"/>
        <w:ind w:left="0" w:firstLine="0"/>
        <w:mirrorIndents/>
        <w:jc w:val="both"/>
        <w:outlineLvl w:val="0"/>
        <w:rPr>
          <w:bCs/>
          <w:kern w:val="36"/>
          <w:lang w:val="uk-UA" w:eastAsia="uk-UA"/>
        </w:rPr>
      </w:pPr>
      <w:r w:rsidRPr="001416ED">
        <w:rPr>
          <w:bCs/>
          <w:kern w:val="36"/>
          <w:lang w:val="uk-UA" w:eastAsia="uk-UA"/>
        </w:rPr>
        <w:t>Kune</w:t>
      </w:r>
      <w:r w:rsidRPr="001416ED">
        <w:rPr>
          <w:bCs/>
          <w:kern w:val="36"/>
          <w:lang w:val="en-US" w:eastAsia="uk-UA"/>
        </w:rPr>
        <w:t>s</w:t>
      </w:r>
      <w:r w:rsidRPr="001416ED">
        <w:rPr>
          <w:bCs/>
          <w:kern w:val="36"/>
          <w:lang w:val="uk-UA" w:eastAsia="uk-UA"/>
        </w:rPr>
        <w:t xml:space="preserve"> J. The interaction of genetic and environmental factors in the etiology of hypertension / J. Kune</w:t>
      </w:r>
      <w:r w:rsidRPr="001416ED">
        <w:rPr>
          <w:bCs/>
          <w:kern w:val="36"/>
          <w:lang w:val="en-US" w:eastAsia="uk-UA"/>
        </w:rPr>
        <w:t>s</w:t>
      </w:r>
      <w:r w:rsidRPr="001416ED">
        <w:rPr>
          <w:bCs/>
          <w:kern w:val="36"/>
          <w:lang w:val="uk-UA" w:eastAsia="uk-UA"/>
        </w:rPr>
        <w:t xml:space="preserve">,  J. Zicha // Physiol. Res. –  2009. – </w:t>
      </w:r>
      <w:r w:rsidRPr="001416ED">
        <w:rPr>
          <w:bCs/>
          <w:kern w:val="36"/>
          <w:lang w:val="en-US" w:eastAsia="uk-UA"/>
        </w:rPr>
        <w:t>Vol.</w:t>
      </w:r>
      <w:r w:rsidRPr="001416ED">
        <w:rPr>
          <w:bCs/>
          <w:kern w:val="36"/>
          <w:lang w:val="uk-UA" w:eastAsia="uk-UA"/>
        </w:rPr>
        <w:t xml:space="preserve"> 58 (Suppl. 2). –  Р. </w:t>
      </w:r>
      <w:r w:rsidRPr="001416ED">
        <w:rPr>
          <w:bCs/>
          <w:kern w:val="36"/>
          <w:lang w:val="en-US" w:eastAsia="uk-UA"/>
        </w:rPr>
        <w:t>33-41.</w:t>
      </w:r>
    </w:p>
    <w:p w:rsidR="005107A1" w:rsidRPr="001416ED" w:rsidRDefault="005107A1" w:rsidP="0012229A">
      <w:pPr>
        <w:numPr>
          <w:ilvl w:val="0"/>
          <w:numId w:val="10"/>
        </w:numPr>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t xml:space="preserve">Lahiri A. A. Study on </w:t>
      </w:r>
      <w:r w:rsidRPr="001416ED">
        <w:rPr>
          <w:rFonts w:eastAsia="Calibri"/>
          <w:kern w:val="11"/>
          <w:lang w:val="en-US" w:eastAsia="en-US"/>
        </w:rPr>
        <w:t>r</w:t>
      </w:r>
      <w:r w:rsidRPr="001416ED">
        <w:rPr>
          <w:rFonts w:eastAsia="Calibri"/>
          <w:kern w:val="11"/>
          <w:lang w:val="uk-UA" w:eastAsia="en-US"/>
        </w:rPr>
        <w:t xml:space="preserve">elationship </w:t>
      </w:r>
      <w:r w:rsidRPr="001416ED">
        <w:rPr>
          <w:rFonts w:eastAsia="Calibri"/>
          <w:kern w:val="11"/>
          <w:lang w:val="en-US" w:eastAsia="en-US"/>
        </w:rPr>
        <w:t>b</w:t>
      </w:r>
      <w:r w:rsidRPr="001416ED">
        <w:rPr>
          <w:rFonts w:eastAsia="Calibri"/>
          <w:kern w:val="11"/>
          <w:lang w:val="uk-UA" w:eastAsia="en-US"/>
        </w:rPr>
        <w:t xml:space="preserve">etween </w:t>
      </w:r>
      <w:r w:rsidRPr="001416ED">
        <w:rPr>
          <w:rFonts w:eastAsia="Calibri"/>
          <w:kern w:val="11"/>
          <w:lang w:val="en-US" w:eastAsia="en-US"/>
        </w:rPr>
        <w:t>d</w:t>
      </w:r>
      <w:r w:rsidRPr="001416ED">
        <w:rPr>
          <w:rFonts w:eastAsia="Calibri"/>
          <w:kern w:val="11"/>
          <w:lang w:val="uk-UA" w:eastAsia="en-US"/>
        </w:rPr>
        <w:t xml:space="preserve">ermatoglyphics and </w:t>
      </w:r>
      <w:r w:rsidRPr="001416ED">
        <w:rPr>
          <w:rFonts w:eastAsia="Calibri"/>
          <w:kern w:val="11"/>
          <w:lang w:val="en-US" w:eastAsia="en-US"/>
        </w:rPr>
        <w:t>h</w:t>
      </w:r>
      <w:r w:rsidRPr="001416ED">
        <w:rPr>
          <w:rFonts w:eastAsia="Calibri"/>
          <w:kern w:val="11"/>
          <w:lang w:val="uk-UA" w:eastAsia="en-US"/>
        </w:rPr>
        <w:t xml:space="preserve">ypertension / A. Lahiri, B. Soumyajyoti, A. Shouvanik </w:t>
      </w:r>
      <w:r w:rsidRPr="001416ED">
        <w:rPr>
          <w:rFonts w:eastAsia="Calibri"/>
          <w:kern w:val="11"/>
          <w:lang w:val="uk-UA"/>
        </w:rPr>
        <w:t>[</w:t>
      </w:r>
      <w:r w:rsidRPr="001416ED">
        <w:rPr>
          <w:rFonts w:eastAsia="Calibri"/>
          <w:kern w:val="11"/>
          <w:lang w:val="en-US"/>
        </w:rPr>
        <w:t>et</w:t>
      </w:r>
      <w:r w:rsidRPr="001416ED">
        <w:rPr>
          <w:rFonts w:eastAsia="Calibri"/>
          <w:kern w:val="11"/>
          <w:lang w:val="uk-UA"/>
        </w:rPr>
        <w:t xml:space="preserve"> </w:t>
      </w:r>
      <w:r w:rsidRPr="001416ED">
        <w:rPr>
          <w:rFonts w:eastAsia="Calibri"/>
          <w:kern w:val="11"/>
          <w:lang w:val="en-US"/>
        </w:rPr>
        <w:t>al</w:t>
      </w:r>
      <w:r w:rsidRPr="001416ED">
        <w:rPr>
          <w:rFonts w:eastAsia="Calibri"/>
          <w:kern w:val="11"/>
          <w:lang w:val="uk-UA"/>
        </w:rPr>
        <w:t xml:space="preserve">.] </w:t>
      </w:r>
      <w:r w:rsidRPr="001416ED">
        <w:rPr>
          <w:rFonts w:eastAsia="Calibri"/>
          <w:kern w:val="11"/>
          <w:lang w:val="uk-UA" w:eastAsia="en-US"/>
        </w:rPr>
        <w:t xml:space="preserve">// IOSR Journal of Dental and Medical Sciences. – 2013. – Vol. 7 </w:t>
      </w:r>
      <w:r w:rsidRPr="001416ED">
        <w:rPr>
          <w:rFonts w:eastAsia="Calibri"/>
          <w:kern w:val="11"/>
          <w:lang w:val="uk-UA"/>
        </w:rPr>
        <w:t>(6)</w:t>
      </w:r>
      <w:r w:rsidRPr="001416ED">
        <w:rPr>
          <w:rFonts w:eastAsia="Calibri"/>
          <w:kern w:val="11"/>
          <w:lang w:val="uk-UA" w:eastAsia="en-US"/>
        </w:rPr>
        <w:t>. – P. 62–65.</w:t>
      </w:r>
    </w:p>
    <w:p w:rsidR="005107A1" w:rsidRPr="001416ED" w:rsidRDefault="005107A1" w:rsidP="0012229A">
      <w:pPr>
        <w:numPr>
          <w:ilvl w:val="0"/>
          <w:numId w:val="10"/>
        </w:numPr>
        <w:autoSpaceDE w:val="0"/>
        <w:autoSpaceDN w:val="0"/>
        <w:adjustRightInd w:val="0"/>
        <w:spacing w:line="360" w:lineRule="auto"/>
        <w:ind w:left="0" w:firstLine="0"/>
        <w:mirrorIndents/>
        <w:jc w:val="both"/>
        <w:rPr>
          <w:rFonts w:eastAsia="PragmaticaC"/>
          <w:lang w:val="uk-UA" w:eastAsia="en-US"/>
        </w:rPr>
      </w:pPr>
      <w:r w:rsidRPr="001416ED">
        <w:rPr>
          <w:rFonts w:eastAsia="Calibri"/>
          <w:bCs/>
          <w:lang w:val="uk-UA" w:eastAsia="en-US"/>
        </w:rPr>
        <w:t>Lang R.</w:t>
      </w:r>
      <w:r w:rsidRPr="001416ED">
        <w:rPr>
          <w:rFonts w:eastAsia="Calibri"/>
          <w:bCs/>
          <w:lang w:eastAsia="en-US"/>
        </w:rPr>
        <w:t xml:space="preserve"> </w:t>
      </w:r>
      <w:r w:rsidRPr="001416ED">
        <w:rPr>
          <w:rFonts w:eastAsia="Calibri"/>
          <w:bCs/>
          <w:lang w:val="uk-UA" w:eastAsia="en-US"/>
        </w:rPr>
        <w:t>M. Рекомендации по количественной оценке структуры и функции камер сердца /</w:t>
      </w:r>
      <w:r w:rsidRPr="001416ED">
        <w:rPr>
          <w:rFonts w:eastAsia="Calibri"/>
          <w:kern w:val="11"/>
          <w:sz w:val="11"/>
          <w:szCs w:val="11"/>
          <w:lang w:val="uk-UA" w:eastAsia="en-US"/>
        </w:rPr>
        <w:t xml:space="preserve"> </w:t>
      </w:r>
      <w:r w:rsidRPr="001416ED">
        <w:rPr>
          <w:rFonts w:eastAsia="Calibri"/>
          <w:bCs/>
          <w:lang w:eastAsia="en-US"/>
        </w:rPr>
        <w:t>R</w:t>
      </w:r>
      <w:r w:rsidRPr="001416ED">
        <w:rPr>
          <w:rFonts w:eastAsia="Calibri"/>
          <w:bCs/>
          <w:lang w:val="uk-UA" w:eastAsia="en-US"/>
        </w:rPr>
        <w:t xml:space="preserve">. </w:t>
      </w:r>
      <w:r w:rsidRPr="001416ED">
        <w:rPr>
          <w:rFonts w:eastAsia="Calibri"/>
          <w:bCs/>
          <w:lang w:eastAsia="en-US"/>
        </w:rPr>
        <w:t>M</w:t>
      </w:r>
      <w:r w:rsidRPr="001416ED">
        <w:rPr>
          <w:rFonts w:eastAsia="Calibri"/>
          <w:bCs/>
          <w:lang w:val="uk-UA" w:eastAsia="en-US"/>
        </w:rPr>
        <w:t xml:space="preserve">. </w:t>
      </w:r>
      <w:r w:rsidRPr="001416ED">
        <w:rPr>
          <w:rFonts w:eastAsia="Calibri"/>
          <w:bCs/>
          <w:lang w:eastAsia="en-US"/>
        </w:rPr>
        <w:t>Lang</w:t>
      </w:r>
      <w:r w:rsidRPr="001416ED">
        <w:rPr>
          <w:rFonts w:eastAsia="Calibri"/>
          <w:bCs/>
          <w:lang w:val="uk-UA" w:eastAsia="en-US"/>
        </w:rPr>
        <w:t xml:space="preserve">, </w:t>
      </w:r>
      <w:r w:rsidRPr="001416ED">
        <w:rPr>
          <w:rFonts w:eastAsia="Calibri"/>
          <w:bCs/>
          <w:lang w:eastAsia="en-US"/>
        </w:rPr>
        <w:t>M</w:t>
      </w:r>
      <w:r w:rsidRPr="001416ED">
        <w:rPr>
          <w:rFonts w:eastAsia="Calibri"/>
          <w:bCs/>
          <w:lang w:val="uk-UA" w:eastAsia="en-US"/>
        </w:rPr>
        <w:t xml:space="preserve">. </w:t>
      </w:r>
      <w:r w:rsidRPr="001416ED">
        <w:rPr>
          <w:rFonts w:eastAsia="Calibri"/>
          <w:bCs/>
          <w:lang w:eastAsia="en-US"/>
        </w:rPr>
        <w:t>Bierig</w:t>
      </w:r>
      <w:r w:rsidRPr="001416ED">
        <w:rPr>
          <w:rFonts w:eastAsia="Calibri"/>
          <w:bCs/>
          <w:lang w:val="uk-UA" w:eastAsia="en-US"/>
        </w:rPr>
        <w:t xml:space="preserve">, </w:t>
      </w:r>
      <w:r w:rsidRPr="001416ED">
        <w:rPr>
          <w:rFonts w:eastAsia="Calibri"/>
          <w:bCs/>
          <w:lang w:eastAsia="en-US"/>
        </w:rPr>
        <w:t>R</w:t>
      </w:r>
      <w:r w:rsidRPr="001416ED">
        <w:rPr>
          <w:rFonts w:eastAsia="Calibri"/>
          <w:bCs/>
          <w:lang w:val="uk-UA" w:eastAsia="en-US"/>
        </w:rPr>
        <w:t>.</w:t>
      </w:r>
      <w:r w:rsidR="00D41009">
        <w:rPr>
          <w:rFonts w:eastAsia="Calibri"/>
          <w:bCs/>
          <w:lang w:val="uk-UA" w:eastAsia="en-US"/>
        </w:rPr>
        <w:t xml:space="preserve"> </w:t>
      </w:r>
      <w:r w:rsidRPr="001416ED">
        <w:rPr>
          <w:rFonts w:eastAsia="Calibri"/>
          <w:bCs/>
          <w:lang w:eastAsia="en-US"/>
        </w:rPr>
        <w:t>B</w:t>
      </w:r>
      <w:r w:rsidRPr="001416ED">
        <w:rPr>
          <w:rFonts w:eastAsia="Calibri"/>
          <w:bCs/>
          <w:lang w:val="uk-UA" w:eastAsia="en-US"/>
        </w:rPr>
        <w:t xml:space="preserve">. </w:t>
      </w:r>
      <w:r w:rsidRPr="001416ED">
        <w:rPr>
          <w:rFonts w:eastAsia="Calibri"/>
          <w:bCs/>
          <w:lang w:eastAsia="en-US"/>
        </w:rPr>
        <w:t>Devereux</w:t>
      </w:r>
      <w:r w:rsidRPr="001416ED">
        <w:rPr>
          <w:rFonts w:eastAsia="Calibri"/>
          <w:bCs/>
          <w:lang w:val="uk-UA" w:eastAsia="en-US"/>
        </w:rPr>
        <w:t xml:space="preserve"> // Росс</w:t>
      </w:r>
      <w:r w:rsidRPr="001416ED">
        <w:rPr>
          <w:rFonts w:eastAsia="Calibri"/>
          <w:bCs/>
          <w:lang w:eastAsia="en-US"/>
        </w:rPr>
        <w:t xml:space="preserve">ийский кардиологический журнал. –  2012. – № 3 (95). – С. 1–28. </w:t>
      </w:r>
    </w:p>
    <w:p w:rsidR="005107A1" w:rsidRPr="001416ED" w:rsidRDefault="005107A1" w:rsidP="0012229A">
      <w:pPr>
        <w:numPr>
          <w:ilvl w:val="0"/>
          <w:numId w:val="10"/>
        </w:numPr>
        <w:shd w:val="clear" w:color="auto" w:fill="FFFFFF"/>
        <w:tabs>
          <w:tab w:val="left" w:pos="709"/>
        </w:tabs>
        <w:spacing w:line="360" w:lineRule="auto"/>
        <w:ind w:left="0" w:firstLine="0"/>
        <w:mirrorIndents/>
        <w:jc w:val="both"/>
        <w:rPr>
          <w:lang w:val="uk-UA" w:eastAsia="uk-UA"/>
        </w:rPr>
      </w:pPr>
      <w:r w:rsidRPr="001416ED">
        <w:rPr>
          <w:rFonts w:eastAsia="Calibri"/>
          <w:kern w:val="11"/>
          <w:lang w:val="uk-UA" w:eastAsia="en-US"/>
        </w:rPr>
        <w:t xml:space="preserve">Lapierre A. V. Angiotensin II type 1 receptor A1166C gene polymorphism and essential hypertension in San Luis </w:t>
      </w:r>
      <w:r w:rsidRPr="001416ED">
        <w:rPr>
          <w:rFonts w:eastAsia="Calibri"/>
          <w:kern w:val="11"/>
          <w:lang w:val="en-US" w:eastAsia="en-US"/>
        </w:rPr>
        <w:t xml:space="preserve">/ </w:t>
      </w:r>
      <w:r w:rsidRPr="001416ED">
        <w:rPr>
          <w:rFonts w:eastAsia="Calibri"/>
          <w:kern w:val="11"/>
          <w:lang w:val="uk-UA" w:eastAsia="en-US"/>
        </w:rPr>
        <w:t>A</w:t>
      </w:r>
      <w:r w:rsidRPr="001416ED">
        <w:rPr>
          <w:rFonts w:eastAsia="Calibri"/>
          <w:kern w:val="11"/>
          <w:lang w:val="en-US" w:eastAsia="en-US"/>
        </w:rPr>
        <w:t>.</w:t>
      </w:r>
      <w:r w:rsidRPr="001416ED">
        <w:rPr>
          <w:rFonts w:eastAsia="Calibri"/>
          <w:kern w:val="11"/>
          <w:lang w:val="uk-UA" w:eastAsia="en-US"/>
        </w:rPr>
        <w:t xml:space="preserve"> V</w:t>
      </w:r>
      <w:r w:rsidRPr="001416ED">
        <w:rPr>
          <w:rFonts w:eastAsia="Calibri"/>
          <w:kern w:val="11"/>
          <w:lang w:val="en-US" w:eastAsia="en-US"/>
        </w:rPr>
        <w:t xml:space="preserve">. </w:t>
      </w:r>
      <w:r w:rsidRPr="001416ED">
        <w:rPr>
          <w:rFonts w:eastAsia="Calibri"/>
          <w:kern w:val="11"/>
          <w:lang w:val="uk-UA" w:eastAsia="en-US"/>
        </w:rPr>
        <w:t>Lapierre, M</w:t>
      </w:r>
      <w:r w:rsidRPr="001416ED">
        <w:rPr>
          <w:rFonts w:eastAsia="Calibri"/>
          <w:kern w:val="11"/>
          <w:lang w:val="en-US" w:eastAsia="en-US"/>
        </w:rPr>
        <w:t>.</w:t>
      </w:r>
      <w:r w:rsidRPr="001416ED">
        <w:rPr>
          <w:rFonts w:eastAsia="Calibri"/>
          <w:kern w:val="11"/>
          <w:lang w:val="uk-UA" w:eastAsia="en-US"/>
        </w:rPr>
        <w:t xml:space="preserve"> E</w:t>
      </w:r>
      <w:r w:rsidRPr="001416ED">
        <w:rPr>
          <w:rFonts w:eastAsia="Calibri"/>
          <w:kern w:val="11"/>
          <w:lang w:val="en-US" w:eastAsia="en-US"/>
        </w:rPr>
        <w:t>.</w:t>
      </w:r>
      <w:r w:rsidRPr="001416ED">
        <w:rPr>
          <w:rFonts w:eastAsia="Calibri"/>
          <w:kern w:val="11"/>
          <w:lang w:val="uk-UA" w:eastAsia="en-US"/>
        </w:rPr>
        <w:t xml:space="preserve"> Arce, J</w:t>
      </w:r>
      <w:r w:rsidRPr="001416ED">
        <w:rPr>
          <w:rFonts w:eastAsia="Calibri"/>
          <w:kern w:val="11"/>
          <w:lang w:val="en-US" w:eastAsia="en-US"/>
        </w:rPr>
        <w:t xml:space="preserve">. </w:t>
      </w:r>
      <w:r w:rsidRPr="001416ED">
        <w:rPr>
          <w:rFonts w:eastAsia="Calibri"/>
          <w:kern w:val="11"/>
          <w:lang w:val="uk-UA" w:eastAsia="en-US"/>
        </w:rPr>
        <w:t>R</w:t>
      </w:r>
      <w:r w:rsidRPr="001416ED">
        <w:rPr>
          <w:rFonts w:eastAsia="Calibri"/>
          <w:kern w:val="11"/>
          <w:lang w:val="en-US" w:eastAsia="en-US"/>
        </w:rPr>
        <w:t>.</w:t>
      </w:r>
      <w:r w:rsidRPr="001416ED">
        <w:rPr>
          <w:rFonts w:eastAsia="Calibri"/>
          <w:kern w:val="11"/>
          <w:lang w:val="uk-UA" w:eastAsia="en-US"/>
        </w:rPr>
        <w:t xml:space="preserve"> Lopez </w:t>
      </w:r>
      <w:r w:rsidRPr="001416ED">
        <w:rPr>
          <w:rFonts w:eastAsia="Calibri"/>
          <w:kern w:val="11"/>
          <w:lang w:val="de-DE" w:eastAsia="en-US"/>
        </w:rPr>
        <w:t>[et al.]</w:t>
      </w:r>
      <w:r w:rsidRPr="001416ED">
        <w:rPr>
          <w:rFonts w:eastAsia="Calibri"/>
          <w:kern w:val="11"/>
          <w:lang w:val="en-US" w:eastAsia="en-US"/>
        </w:rPr>
        <w:t xml:space="preserve"> // </w:t>
      </w:r>
      <w:r w:rsidRPr="001416ED">
        <w:rPr>
          <w:rFonts w:eastAsia="Calibri"/>
          <w:kern w:val="11"/>
          <w:lang w:val="uk-UA" w:eastAsia="en-US"/>
        </w:rPr>
        <w:t>Biocell</w:t>
      </w:r>
      <w:r w:rsidRPr="001416ED">
        <w:rPr>
          <w:rFonts w:eastAsia="Calibri"/>
          <w:kern w:val="11"/>
          <w:lang w:val="en-US" w:eastAsia="en-US"/>
        </w:rPr>
        <w:t>. – 2006. – Vol. 3 (30). – P. 447–455.</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kern w:val="11"/>
          <w:lang w:val="en-US" w:eastAsia="en-US"/>
        </w:rPr>
      </w:pPr>
      <w:r w:rsidRPr="001416ED">
        <w:rPr>
          <w:rFonts w:eastAsia="Calibri"/>
          <w:kern w:val="11"/>
          <w:lang w:val="uk-UA" w:eastAsia="en-US"/>
        </w:rPr>
        <w:t>Letizia C. Effects of captopril on plasma endothelin–1 in patients with essential hypertension</w:t>
      </w:r>
      <w:r w:rsidRPr="001416ED">
        <w:rPr>
          <w:rFonts w:eastAsia="Calibri"/>
          <w:kern w:val="11"/>
          <w:lang w:val="en-US" w:eastAsia="en-US"/>
        </w:rPr>
        <w:t xml:space="preserve"> / </w:t>
      </w:r>
      <w:r w:rsidRPr="001416ED">
        <w:rPr>
          <w:rFonts w:eastAsia="Calibri"/>
          <w:kern w:val="11"/>
          <w:lang w:val="uk-UA" w:eastAsia="en-US"/>
        </w:rPr>
        <w:t>C. Letizia</w:t>
      </w:r>
      <w:r w:rsidRPr="001416ED">
        <w:rPr>
          <w:rFonts w:eastAsia="Calibri"/>
          <w:kern w:val="11"/>
          <w:lang w:val="en-US" w:eastAsia="en-US"/>
        </w:rPr>
        <w:t>,</w:t>
      </w:r>
      <w:r w:rsidRPr="001416ED">
        <w:rPr>
          <w:rFonts w:eastAsia="Calibri"/>
          <w:kern w:val="11"/>
          <w:lang w:val="uk-UA" w:eastAsia="en-US"/>
        </w:rPr>
        <w:t xml:space="preserve"> S. Subioli, S. Cerci</w:t>
      </w:r>
      <w:r w:rsidRPr="001416ED">
        <w:rPr>
          <w:rFonts w:eastAsia="Calibri"/>
          <w:kern w:val="11"/>
          <w:lang w:val="en-US" w:eastAsia="en-US"/>
        </w:rPr>
        <w:t xml:space="preserve"> </w:t>
      </w:r>
      <w:r w:rsidRPr="001416ED">
        <w:rPr>
          <w:rFonts w:eastAsia="Calibri"/>
          <w:kern w:val="11"/>
          <w:lang w:val="uk-UA" w:eastAsia="en-US"/>
        </w:rPr>
        <w:t xml:space="preserve"> </w:t>
      </w:r>
      <w:r w:rsidRPr="001416ED">
        <w:rPr>
          <w:rFonts w:eastAsia="Calibri"/>
          <w:kern w:val="11"/>
          <w:lang w:val="en-US" w:eastAsia="en-US"/>
        </w:rPr>
        <w:t>[</w:t>
      </w:r>
      <w:r w:rsidRPr="001416ED">
        <w:rPr>
          <w:rFonts w:eastAsia="TimesNewRomanPSMT"/>
          <w:lang w:val="uk-UA" w:eastAsia="en-US"/>
        </w:rPr>
        <w:t>et al</w:t>
      </w:r>
      <w:r w:rsidRPr="001416ED">
        <w:rPr>
          <w:rFonts w:eastAsia="TimesNewRomanPSMT"/>
          <w:bCs/>
          <w:lang w:val="uk-UA" w:eastAsia="en-US"/>
        </w:rPr>
        <w:t>.</w:t>
      </w:r>
      <w:r w:rsidRPr="001416ED">
        <w:rPr>
          <w:rFonts w:eastAsia="TimesNewRomanPSMT"/>
          <w:bCs/>
          <w:lang w:val="en-US" w:eastAsia="en-US"/>
        </w:rPr>
        <w:t>]</w:t>
      </w:r>
      <w:r w:rsidRPr="001416ED">
        <w:rPr>
          <w:rFonts w:eastAsia="TimesNewRomanPSMT"/>
          <w:b/>
          <w:bCs/>
          <w:lang w:val="uk-UA" w:eastAsia="en-US"/>
        </w:rPr>
        <w:t xml:space="preserve"> </w:t>
      </w:r>
      <w:r w:rsidRPr="001416ED">
        <w:rPr>
          <w:rFonts w:eastAsia="TimesNewRomanPSMT"/>
          <w:lang w:val="en-US" w:eastAsia="en-US"/>
        </w:rPr>
        <w:t>//</w:t>
      </w:r>
      <w:r w:rsidRPr="001416ED">
        <w:rPr>
          <w:rFonts w:eastAsia="Calibri"/>
          <w:kern w:val="11"/>
          <w:lang w:val="uk-UA" w:eastAsia="en-US"/>
        </w:rPr>
        <w:t xml:space="preserve"> J Clin Basic Cardiol</w:t>
      </w:r>
      <w:r w:rsidRPr="001416ED">
        <w:rPr>
          <w:rFonts w:eastAsia="Calibri"/>
          <w:kern w:val="11"/>
          <w:lang w:val="en-US" w:eastAsia="en-US"/>
        </w:rPr>
        <w:t xml:space="preserve">. – </w:t>
      </w:r>
      <w:r w:rsidRPr="001416ED">
        <w:rPr>
          <w:rFonts w:eastAsia="Calibri"/>
          <w:kern w:val="11"/>
          <w:lang w:val="uk-UA" w:eastAsia="en-US"/>
        </w:rPr>
        <w:t xml:space="preserve"> 1999</w:t>
      </w:r>
      <w:r w:rsidRPr="001416ED">
        <w:rPr>
          <w:rFonts w:eastAsia="Calibri"/>
          <w:kern w:val="11"/>
          <w:lang w:val="en-US" w:eastAsia="en-US"/>
        </w:rPr>
        <w:t xml:space="preserve">. – </w:t>
      </w:r>
      <w:r w:rsidRPr="001416ED">
        <w:rPr>
          <w:rFonts w:eastAsia="Calibri"/>
          <w:kern w:val="11"/>
          <w:lang w:val="uk-UA" w:eastAsia="en-US"/>
        </w:rPr>
        <w:t xml:space="preserve"> </w:t>
      </w:r>
      <w:r w:rsidRPr="001416ED">
        <w:rPr>
          <w:rFonts w:eastAsia="Calibri"/>
          <w:kern w:val="11"/>
          <w:shd w:val="clear" w:color="auto" w:fill="FFFFFF"/>
          <w:lang w:val="en-US" w:eastAsia="en-US"/>
        </w:rPr>
        <w:t xml:space="preserve">Vol. </w:t>
      </w:r>
      <w:r w:rsidRPr="001416ED">
        <w:rPr>
          <w:rFonts w:eastAsia="Calibri"/>
          <w:kern w:val="11"/>
          <w:lang w:val="uk-UA" w:eastAsia="en-US"/>
        </w:rPr>
        <w:t>2</w:t>
      </w:r>
      <w:r w:rsidRPr="001416ED">
        <w:rPr>
          <w:rFonts w:eastAsia="Calibri"/>
          <w:kern w:val="11"/>
          <w:lang w:val="en-US" w:eastAsia="en-US"/>
        </w:rPr>
        <w:t xml:space="preserve">. – </w:t>
      </w:r>
      <w:r w:rsidRPr="001416ED">
        <w:rPr>
          <w:rFonts w:eastAsia="Calibri"/>
          <w:kern w:val="11"/>
          <w:lang w:eastAsia="en-US"/>
        </w:rPr>
        <w:t>Р</w:t>
      </w:r>
      <w:r w:rsidRPr="001416ED">
        <w:rPr>
          <w:rFonts w:eastAsia="Calibri"/>
          <w:kern w:val="11"/>
          <w:lang w:val="en-US" w:eastAsia="en-US"/>
        </w:rPr>
        <w:t>.</w:t>
      </w:r>
      <w:r w:rsidRPr="001416ED">
        <w:rPr>
          <w:rFonts w:eastAsia="Calibri"/>
          <w:kern w:val="11"/>
          <w:lang w:val="uk-UA" w:eastAsia="en-US"/>
        </w:rPr>
        <w:t xml:space="preserve"> 75–</w:t>
      </w:r>
      <w:r w:rsidRPr="001416ED">
        <w:rPr>
          <w:rFonts w:eastAsia="Calibri"/>
          <w:kern w:val="11"/>
          <w:lang w:val="en-US" w:eastAsia="en-US"/>
        </w:rPr>
        <w:t>7</w:t>
      </w:r>
      <w:r w:rsidRPr="001416ED">
        <w:rPr>
          <w:rFonts w:eastAsia="Calibri"/>
          <w:kern w:val="11"/>
          <w:lang w:val="uk-UA" w:eastAsia="en-US"/>
        </w:rPr>
        <w:t>7</w:t>
      </w:r>
      <w:r w:rsidRPr="001416ED">
        <w:rPr>
          <w:rFonts w:eastAsia="Calibri"/>
          <w:kern w:val="11"/>
          <w:lang w:val="en-US" w:eastAsia="en-US"/>
        </w:rPr>
        <w:t>.</w:t>
      </w:r>
    </w:p>
    <w:p w:rsidR="005107A1" w:rsidRPr="001416ED" w:rsidRDefault="00A9327B" w:rsidP="0012229A">
      <w:pPr>
        <w:numPr>
          <w:ilvl w:val="0"/>
          <w:numId w:val="10"/>
        </w:numPr>
        <w:spacing w:after="200" w:line="360" w:lineRule="auto"/>
        <w:ind w:left="0" w:firstLine="0"/>
        <w:contextualSpacing/>
        <w:mirrorIndents/>
        <w:jc w:val="both"/>
        <w:rPr>
          <w:rFonts w:eastAsia="Calibri"/>
          <w:iCs/>
          <w:kern w:val="11"/>
          <w:shd w:val="clear" w:color="auto" w:fill="FFFFFF"/>
          <w:lang w:val="uk-UA" w:eastAsia="uk-UA"/>
        </w:rPr>
      </w:pPr>
      <w:hyperlink r:id="rId87" w:history="1">
        <w:r w:rsidR="005107A1" w:rsidRPr="001416ED">
          <w:rPr>
            <w:rFonts w:eastAsia="Calibri"/>
            <w:kern w:val="11"/>
            <w:shd w:val="clear" w:color="auto" w:fill="FFFFFF"/>
            <w:lang w:val="uk-UA" w:eastAsia="en-US"/>
          </w:rPr>
          <w:t>Lind T</w:t>
        </w:r>
      </w:hyperlink>
      <w:r w:rsidR="005107A1" w:rsidRPr="001416ED">
        <w:rPr>
          <w:rFonts w:eastAsia="Calibri"/>
          <w:kern w:val="11"/>
          <w:lang w:val="uk-UA" w:eastAsia="en-US"/>
        </w:rPr>
        <w:t>.</w:t>
      </w:r>
      <w:r w:rsidR="005107A1" w:rsidRPr="001416ED">
        <w:rPr>
          <w:rFonts w:eastAsia="Calibri"/>
          <w:iCs/>
          <w:kern w:val="11"/>
          <w:lang w:val="uk-UA" w:eastAsia="uk-UA"/>
        </w:rPr>
        <w:t xml:space="preserve"> A</w:t>
      </w:r>
      <w:r w:rsidR="005107A1" w:rsidRPr="001416ED">
        <w:rPr>
          <w:rFonts w:eastAsia="Calibri"/>
          <w:iCs/>
          <w:kern w:val="11"/>
          <w:lang w:val="en-US" w:eastAsia="uk-UA"/>
        </w:rPr>
        <w:t>.</w:t>
      </w:r>
      <w:r w:rsidR="005107A1" w:rsidRPr="001416ED">
        <w:rPr>
          <w:rFonts w:eastAsia="Calibri"/>
          <w:iCs/>
          <w:kern w:val="11"/>
          <w:lang w:val="uk-UA" w:eastAsia="uk-UA"/>
        </w:rPr>
        <w:t xml:space="preserve"> </w:t>
      </w:r>
      <w:r w:rsidR="005107A1" w:rsidRPr="001416ED">
        <w:rPr>
          <w:rFonts w:eastAsia="Calibri"/>
          <w:iCs/>
          <w:kern w:val="11"/>
          <w:lang w:val="en-US" w:eastAsia="uk-UA"/>
        </w:rPr>
        <w:t>P</w:t>
      </w:r>
      <w:r w:rsidR="005107A1" w:rsidRPr="001416ED">
        <w:rPr>
          <w:rFonts w:eastAsia="Calibri"/>
          <w:iCs/>
          <w:kern w:val="11"/>
          <w:lang w:val="uk-UA" w:eastAsia="uk-UA"/>
        </w:rPr>
        <w:t>rospective, controlled trial of six forms of hormone replacement therapy given to postmenopausal women /</w:t>
      </w:r>
      <w:r w:rsidR="005107A1" w:rsidRPr="001416ED">
        <w:rPr>
          <w:rFonts w:eastAsia="Calibri"/>
          <w:kern w:val="11"/>
          <w:lang w:val="uk-UA" w:eastAsia="en-US"/>
        </w:rPr>
        <w:t xml:space="preserve"> T. </w:t>
      </w:r>
      <w:hyperlink r:id="rId88" w:history="1">
        <w:r w:rsidR="005107A1" w:rsidRPr="001416ED">
          <w:rPr>
            <w:rFonts w:eastAsia="Calibri"/>
            <w:kern w:val="11"/>
            <w:shd w:val="clear" w:color="auto" w:fill="FFFFFF"/>
            <w:lang w:val="uk-UA" w:eastAsia="en-US"/>
          </w:rPr>
          <w:t>Lind</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w:t>
        </w:r>
      </w:hyperlink>
      <w:r w:rsidR="005107A1" w:rsidRPr="001416ED">
        <w:rPr>
          <w:rFonts w:eastAsia="Calibri"/>
          <w:kern w:val="11"/>
          <w:shd w:val="clear" w:color="auto" w:fill="FFFFFF"/>
          <w:lang w:val="uk-UA" w:eastAsia="en-US"/>
        </w:rPr>
        <w:t xml:space="preserve"> E. C. </w:t>
      </w:r>
      <w:hyperlink r:id="rId89" w:history="1">
        <w:r w:rsidR="005107A1" w:rsidRPr="001416ED">
          <w:rPr>
            <w:rFonts w:eastAsia="Calibri"/>
            <w:kern w:val="11"/>
            <w:shd w:val="clear" w:color="auto" w:fill="FFFFFF"/>
            <w:lang w:val="uk-UA" w:eastAsia="en-US"/>
          </w:rPr>
          <w:t>Cameron</w:t>
        </w:r>
        <w:r w:rsidR="005107A1" w:rsidRPr="001416ED">
          <w:rPr>
            <w:rFonts w:eastAsia="Calibri"/>
            <w:kern w:val="11"/>
            <w:shd w:val="clear" w:color="auto" w:fill="FFFFFF"/>
            <w:lang w:val="en-US" w:eastAsia="en-US"/>
          </w:rPr>
          <w:t>,</w:t>
        </w:r>
        <w:r w:rsidR="005107A1" w:rsidRPr="001416ED">
          <w:rPr>
            <w:rFonts w:eastAsia="Calibri"/>
            <w:kern w:val="11"/>
            <w:shd w:val="clear" w:color="auto" w:fill="FFFFFF"/>
            <w:lang w:val="uk-UA" w:eastAsia="en-US"/>
          </w:rPr>
          <w:t xml:space="preserve"> </w:t>
        </w:r>
      </w:hyperlink>
      <w:r w:rsidR="005107A1" w:rsidRPr="001416ED">
        <w:rPr>
          <w:rFonts w:eastAsia="Calibri"/>
          <w:kern w:val="11"/>
          <w:shd w:val="clear" w:color="auto" w:fill="FFFFFF"/>
          <w:lang w:val="uk-UA" w:eastAsia="en-US"/>
        </w:rPr>
        <w:t xml:space="preserve"> W. M. </w:t>
      </w:r>
      <w:hyperlink r:id="rId90" w:history="1">
        <w:r w:rsidR="005107A1" w:rsidRPr="001416ED">
          <w:rPr>
            <w:rFonts w:eastAsia="Calibri"/>
            <w:kern w:val="11"/>
            <w:shd w:val="clear" w:color="auto" w:fill="FFFFFF"/>
            <w:lang w:val="uk-UA" w:eastAsia="en-US"/>
          </w:rPr>
          <w:t xml:space="preserve">Hunter </w:t>
        </w:r>
      </w:hyperlink>
      <w:r w:rsidR="005107A1" w:rsidRPr="001416ED">
        <w:rPr>
          <w:rFonts w:eastAsia="Calibri"/>
          <w:kern w:val="11"/>
          <w:shd w:val="clear" w:color="auto" w:fill="FFFFFF"/>
          <w:lang w:val="uk-UA" w:eastAsia="en-US"/>
        </w:rPr>
        <w:t> </w:t>
      </w:r>
      <w:r w:rsidR="005107A1" w:rsidRPr="001416ED">
        <w:rPr>
          <w:rFonts w:eastAsia="Calibri"/>
          <w:kern w:val="11"/>
          <w:shd w:val="clear" w:color="auto" w:fill="FFFFFF"/>
          <w:lang w:val="en-US" w:eastAsia="en-US"/>
        </w:rPr>
        <w:t>[</w:t>
      </w:r>
      <w:r w:rsidR="005107A1" w:rsidRPr="001416ED">
        <w:rPr>
          <w:rFonts w:eastAsia="Calibri"/>
          <w:iCs/>
          <w:kern w:val="11"/>
          <w:lang w:val="uk-UA" w:eastAsia="uk-UA"/>
        </w:rPr>
        <w:t>et al.</w:t>
      </w:r>
      <w:r w:rsidR="005107A1" w:rsidRPr="001416ED">
        <w:rPr>
          <w:rFonts w:eastAsia="Calibri"/>
          <w:iCs/>
          <w:kern w:val="11"/>
          <w:lang w:val="en-US" w:eastAsia="uk-UA"/>
        </w:rPr>
        <w:t>]</w:t>
      </w:r>
      <w:r w:rsidR="005107A1" w:rsidRPr="001416ED">
        <w:rPr>
          <w:rFonts w:eastAsia="Calibri"/>
          <w:iCs/>
          <w:kern w:val="11"/>
          <w:lang w:val="uk-UA" w:eastAsia="uk-UA"/>
        </w:rPr>
        <w:t xml:space="preserve"> // Br. J. Obstet Gynaecol. – 1979. – Vol. 86 (3). – P. 1–29.</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rFonts w:eastAsia="Calibri"/>
          <w:kern w:val="11"/>
          <w:shd w:val="clear" w:color="auto" w:fill="FFFFFF"/>
          <w:lang w:val="uk-UA" w:eastAsia="en-US"/>
        </w:rPr>
        <w:t>Lucher T. F. Endothelin in the control of vascular tone and growth: role of local mediators and mechanical forces / T. F. Lucher // Blood Pres. – 1994. – Supp l. – P. 18–22.</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kern w:val="11"/>
          <w:shd w:val="clear" w:color="auto" w:fill="FFFFFF"/>
          <w:lang w:val="uk-UA" w:eastAsia="en-US"/>
        </w:rPr>
        <w:t>Masaoka H. Raised plasma endothelin in aneurysmal subarachnoid haemorrhage / H. Masaoka, R. Suzuki, Y. Hirata [</w:t>
      </w:r>
      <w:r w:rsidRPr="001416ED">
        <w:rPr>
          <w:rFonts w:eastAsia="Calibri"/>
          <w:kern w:val="11"/>
          <w:shd w:val="clear" w:color="auto" w:fill="FFFFFF"/>
          <w:lang w:val="en-US" w:eastAsia="en-US"/>
        </w:rPr>
        <w:t>et</w:t>
      </w:r>
      <w:r w:rsidRPr="001416ED">
        <w:rPr>
          <w:rFonts w:eastAsia="Calibri"/>
          <w:kern w:val="11"/>
          <w:shd w:val="clear" w:color="auto" w:fill="FFFFFF"/>
          <w:lang w:val="uk-UA" w:eastAsia="en-US"/>
        </w:rPr>
        <w:t xml:space="preserve"> </w:t>
      </w:r>
      <w:r w:rsidRPr="001416ED">
        <w:rPr>
          <w:rFonts w:eastAsia="Calibri"/>
          <w:kern w:val="11"/>
          <w:shd w:val="clear" w:color="auto" w:fill="FFFFFF"/>
          <w:lang w:val="en-US" w:eastAsia="en-US"/>
        </w:rPr>
        <w:t>al</w:t>
      </w:r>
      <w:r w:rsidRPr="001416ED">
        <w:rPr>
          <w:rFonts w:eastAsia="Calibri"/>
          <w:kern w:val="11"/>
          <w:shd w:val="clear" w:color="auto" w:fill="FFFFFF"/>
          <w:lang w:val="uk-UA" w:eastAsia="en-US"/>
        </w:rPr>
        <w:t xml:space="preserve">.] //  </w:t>
      </w:r>
      <w:r w:rsidRPr="001416ED">
        <w:rPr>
          <w:rFonts w:eastAsia="Calibri"/>
          <w:iCs/>
          <w:kern w:val="11"/>
          <w:shd w:val="clear" w:color="auto" w:fill="FFFFFF"/>
          <w:lang w:val="uk-UA" w:eastAsia="en-US"/>
        </w:rPr>
        <w:t>Lance.</w:t>
      </w:r>
      <w:r w:rsidRPr="001416ED">
        <w:rPr>
          <w:rFonts w:eastAsia="Calibri"/>
          <w:i/>
          <w:iCs/>
          <w:kern w:val="11"/>
          <w:shd w:val="clear" w:color="auto" w:fill="FFFFFF"/>
          <w:lang w:val="uk-UA" w:eastAsia="en-US"/>
        </w:rPr>
        <w:t xml:space="preserve"> – </w:t>
      </w:r>
      <w:r w:rsidRPr="001416ED">
        <w:rPr>
          <w:rFonts w:eastAsia="Calibri"/>
          <w:kern w:val="11"/>
          <w:shd w:val="clear" w:color="auto" w:fill="FFFFFF"/>
          <w:lang w:val="uk-UA" w:eastAsia="en-US"/>
        </w:rPr>
        <w:t>1989. – Vol.</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2.</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 Р.</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1402.</w:t>
      </w:r>
    </w:p>
    <w:p w:rsidR="005107A1" w:rsidRPr="001416ED" w:rsidRDefault="005107A1" w:rsidP="0012229A">
      <w:pPr>
        <w:numPr>
          <w:ilvl w:val="0"/>
          <w:numId w:val="10"/>
        </w:numPr>
        <w:autoSpaceDE w:val="0"/>
        <w:autoSpaceDN w:val="0"/>
        <w:adjustRightInd w:val="0"/>
        <w:spacing w:line="360" w:lineRule="auto"/>
        <w:ind w:left="0" w:firstLine="0"/>
        <w:mirrorIndents/>
        <w:jc w:val="both"/>
        <w:rPr>
          <w:rFonts w:eastAsia="Calibri"/>
          <w:b/>
          <w:bCs/>
          <w:sz w:val="37"/>
          <w:szCs w:val="37"/>
          <w:lang w:val="uk-UA" w:eastAsia="en-US"/>
        </w:rPr>
      </w:pPr>
      <w:r w:rsidRPr="001416ED">
        <w:rPr>
          <w:rFonts w:eastAsia="Calibri"/>
          <w:kern w:val="11"/>
          <w:shd w:val="clear" w:color="auto" w:fill="FFFFFF"/>
          <w:lang w:val="uk-UA" w:eastAsia="en-US"/>
        </w:rPr>
        <w:t>Mosterd A</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Clinical epidemiology of heart failure</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 xml:space="preserve"> A</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Mosterd</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A.</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W.</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 xml:space="preserve">Hoes </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Heart</w:t>
      </w:r>
      <w:r w:rsidRPr="001416ED">
        <w:rPr>
          <w:rFonts w:eastAsia="Calibri"/>
          <w:kern w:val="11"/>
          <w:shd w:val="clear" w:color="auto" w:fill="FFFFFF"/>
          <w:lang w:val="en-US" w:eastAsia="en-US"/>
        </w:rPr>
        <w:t>. –</w:t>
      </w:r>
      <w:r w:rsidRPr="001416ED">
        <w:rPr>
          <w:rFonts w:eastAsia="Calibri"/>
          <w:kern w:val="11"/>
          <w:shd w:val="clear" w:color="auto" w:fill="FFFFFF"/>
          <w:lang w:val="uk-UA" w:eastAsia="en-US"/>
        </w:rPr>
        <w:t xml:space="preserve"> 2007. – </w:t>
      </w:r>
      <w:r w:rsidRPr="001416ED">
        <w:rPr>
          <w:rFonts w:eastAsia="Calibri"/>
          <w:kern w:val="11"/>
          <w:shd w:val="clear" w:color="auto" w:fill="FFFFFF"/>
          <w:lang w:val="en-US" w:eastAsia="en-US"/>
        </w:rPr>
        <w:t xml:space="preserve">Vol. </w:t>
      </w:r>
      <w:r w:rsidRPr="001416ED">
        <w:rPr>
          <w:rFonts w:eastAsia="Calibri"/>
          <w:kern w:val="11"/>
          <w:shd w:val="clear" w:color="auto" w:fill="FFFFFF"/>
          <w:lang w:val="uk-UA" w:eastAsia="en-US"/>
        </w:rPr>
        <w:t>93</w:t>
      </w:r>
      <w:r w:rsidRPr="001416ED">
        <w:rPr>
          <w:rFonts w:eastAsia="Calibri"/>
          <w:kern w:val="11"/>
          <w:shd w:val="clear" w:color="auto" w:fill="FFFFFF"/>
          <w:lang w:val="en-US" w:eastAsia="en-US"/>
        </w:rPr>
        <w:t xml:space="preserve">. – P. </w:t>
      </w:r>
      <w:r w:rsidRPr="001416ED">
        <w:rPr>
          <w:rFonts w:eastAsia="Calibri"/>
          <w:kern w:val="11"/>
          <w:shd w:val="clear" w:color="auto" w:fill="FFFFFF"/>
          <w:lang w:val="uk-UA" w:eastAsia="en-US"/>
        </w:rPr>
        <w:t>1137–1146.</w:t>
      </w:r>
    </w:p>
    <w:p w:rsidR="005107A1" w:rsidRPr="001416ED" w:rsidRDefault="005107A1" w:rsidP="0012229A">
      <w:pPr>
        <w:numPr>
          <w:ilvl w:val="0"/>
          <w:numId w:val="10"/>
        </w:numPr>
        <w:spacing w:line="360" w:lineRule="auto"/>
        <w:ind w:left="0" w:firstLine="0"/>
        <w:mirrorIndents/>
        <w:rPr>
          <w:lang w:val="uk-UA" w:eastAsia="uk-UA"/>
        </w:rPr>
      </w:pPr>
      <w:r w:rsidRPr="001416ED">
        <w:rPr>
          <w:lang w:val="uk-UA" w:eastAsia="uk-UA"/>
        </w:rPr>
        <w:t>Negrusz–Kawechka M. The role of endothelins in human cardiovascular disease  / M.  Negrusz–Kawechka // Pol. Mercuriusz. Lek. – 2001. – Vol. 11. – P. 444–446.</w:t>
      </w:r>
    </w:p>
    <w:p w:rsidR="005107A1" w:rsidRPr="001416ED" w:rsidRDefault="005107A1" w:rsidP="0012229A">
      <w:pPr>
        <w:numPr>
          <w:ilvl w:val="0"/>
          <w:numId w:val="10"/>
        </w:numPr>
        <w:autoSpaceDE w:val="0"/>
        <w:autoSpaceDN w:val="0"/>
        <w:adjustRightInd w:val="0"/>
        <w:spacing w:line="360" w:lineRule="auto"/>
        <w:ind w:left="0" w:firstLine="0"/>
        <w:mirrorIndents/>
        <w:jc w:val="both"/>
        <w:rPr>
          <w:rFonts w:eastAsia="Calibri"/>
          <w:bCs/>
          <w:lang w:val="uk-UA" w:eastAsia="en-US"/>
        </w:rPr>
      </w:pPr>
      <w:r w:rsidRPr="001416ED">
        <w:rPr>
          <w:rFonts w:eastAsia="Calibri"/>
          <w:kern w:val="11"/>
          <w:lang w:val="uk-UA" w:eastAsia="en-US"/>
        </w:rPr>
        <w:t>Nunez D.J.R. Natriuretic peptide receptor mRNAs in the rat and human heart / D.</w:t>
      </w:r>
      <w:r w:rsidRPr="001416ED">
        <w:rPr>
          <w:rFonts w:eastAsia="Calibri"/>
          <w:kern w:val="11"/>
          <w:lang w:val="en-US" w:eastAsia="en-US"/>
        </w:rPr>
        <w:t xml:space="preserve"> </w:t>
      </w:r>
      <w:r w:rsidRPr="001416ED">
        <w:rPr>
          <w:rFonts w:eastAsia="Calibri"/>
          <w:kern w:val="11"/>
          <w:lang w:val="uk-UA" w:eastAsia="en-US"/>
        </w:rPr>
        <w:t>J.</w:t>
      </w:r>
      <w:r w:rsidRPr="001416ED">
        <w:rPr>
          <w:rFonts w:eastAsia="Calibri"/>
          <w:kern w:val="11"/>
          <w:lang w:val="en-US" w:eastAsia="en-US"/>
        </w:rPr>
        <w:t xml:space="preserve"> </w:t>
      </w:r>
      <w:r w:rsidRPr="001416ED">
        <w:rPr>
          <w:rFonts w:eastAsia="Calibri"/>
          <w:kern w:val="11"/>
          <w:lang w:val="uk-UA" w:eastAsia="en-US"/>
        </w:rPr>
        <w:t>R. Nunez, C.</w:t>
      </w:r>
      <w:r w:rsidRPr="001416ED">
        <w:rPr>
          <w:rFonts w:eastAsia="Calibri"/>
          <w:kern w:val="11"/>
          <w:lang w:val="en-US" w:eastAsia="en-US"/>
        </w:rPr>
        <w:t xml:space="preserve"> </w:t>
      </w:r>
      <w:r w:rsidRPr="001416ED">
        <w:rPr>
          <w:rFonts w:eastAsia="Calibri"/>
          <w:kern w:val="11"/>
          <w:lang w:val="uk-UA" w:eastAsia="en-US"/>
        </w:rPr>
        <w:t>M. Dickson, K.</w:t>
      </w:r>
      <w:r w:rsidRPr="001416ED">
        <w:rPr>
          <w:rFonts w:eastAsia="Calibri"/>
          <w:kern w:val="11"/>
          <w:lang w:val="en-US" w:eastAsia="en-US"/>
        </w:rPr>
        <w:t xml:space="preserve"> </w:t>
      </w:r>
      <w:r w:rsidRPr="001416ED">
        <w:rPr>
          <w:rFonts w:eastAsia="Calibri"/>
          <w:kern w:val="11"/>
          <w:lang w:val="uk-UA" w:eastAsia="en-US"/>
        </w:rPr>
        <w:t xml:space="preserve">J. Brown // J Clin Invest. – 1992. – </w:t>
      </w:r>
      <w:r w:rsidRPr="001416ED">
        <w:rPr>
          <w:rFonts w:eastAsia="Calibri"/>
          <w:kern w:val="11"/>
          <w:lang w:val="en-US" w:eastAsia="en-US"/>
        </w:rPr>
        <w:t>Vol</w:t>
      </w:r>
      <w:r w:rsidRPr="001416ED">
        <w:rPr>
          <w:rFonts w:eastAsia="Calibri"/>
          <w:kern w:val="11"/>
          <w:lang w:val="uk-UA" w:eastAsia="en-US"/>
        </w:rPr>
        <w:t>. 90. – Р. 1966–1971.</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lang w:val="uk-UA" w:eastAsia="uk-UA"/>
        </w:rPr>
        <w:t xml:space="preserve">Nystrom T. Persistent endothelial dysfunction is related to elevated C–reactive protein levels in type II diabetic patients after acute myocardial infarction </w:t>
      </w:r>
      <w:r w:rsidRPr="001416ED">
        <w:rPr>
          <w:lang w:val="en-US" w:eastAsia="uk-UA"/>
        </w:rPr>
        <w:t xml:space="preserve">/ </w:t>
      </w:r>
      <w:r w:rsidRPr="001416ED">
        <w:rPr>
          <w:lang w:val="uk-UA" w:eastAsia="uk-UA"/>
        </w:rPr>
        <w:t>T.</w:t>
      </w:r>
      <w:r w:rsidRPr="001416ED">
        <w:rPr>
          <w:lang w:val="en-US" w:eastAsia="uk-UA"/>
        </w:rPr>
        <w:t xml:space="preserve"> </w:t>
      </w:r>
      <w:r w:rsidRPr="001416ED">
        <w:rPr>
          <w:lang w:val="uk-UA" w:eastAsia="uk-UA"/>
        </w:rPr>
        <w:t xml:space="preserve"> Nystrom, A.</w:t>
      </w:r>
      <w:r w:rsidRPr="001416ED">
        <w:rPr>
          <w:lang w:val="en-US" w:eastAsia="uk-UA"/>
        </w:rPr>
        <w:t xml:space="preserve"> </w:t>
      </w:r>
      <w:r w:rsidRPr="001416ED">
        <w:rPr>
          <w:lang w:val="uk-UA" w:eastAsia="uk-UA"/>
        </w:rPr>
        <w:t>Nygren, A. Sjoholm // Clin. Science. – 2005. – Vol. 12. – P. 121–128.</w:t>
      </w:r>
    </w:p>
    <w:p w:rsidR="005107A1" w:rsidRPr="001416ED" w:rsidRDefault="005107A1" w:rsidP="0012229A">
      <w:pPr>
        <w:numPr>
          <w:ilvl w:val="0"/>
          <w:numId w:val="10"/>
        </w:numPr>
        <w:tabs>
          <w:tab w:val="left" w:pos="567"/>
        </w:tabs>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Calibri"/>
          <w:kern w:val="11"/>
          <w:lang w:val="en-US" w:eastAsia="en-US"/>
        </w:rPr>
        <w:t>Oladipo</w:t>
      </w:r>
      <w:r w:rsidRPr="001416ED">
        <w:rPr>
          <w:rFonts w:eastAsia="Calibri"/>
          <w:kern w:val="11"/>
          <w:lang w:val="uk-UA" w:eastAsia="en-US"/>
        </w:rPr>
        <w:t xml:space="preserve"> </w:t>
      </w:r>
      <w:r w:rsidRPr="001416ED">
        <w:rPr>
          <w:rFonts w:eastAsia="Calibri"/>
          <w:kern w:val="11"/>
          <w:lang w:val="en-US" w:eastAsia="en-US"/>
        </w:rPr>
        <w:t>G.</w:t>
      </w:r>
      <w:r w:rsidRPr="001416ED">
        <w:rPr>
          <w:rFonts w:eastAsia="Calibri"/>
          <w:kern w:val="11"/>
          <w:lang w:val="uk-UA" w:eastAsia="en-US"/>
        </w:rPr>
        <w:t xml:space="preserve"> </w:t>
      </w:r>
      <w:r w:rsidRPr="001416ED">
        <w:rPr>
          <w:rFonts w:eastAsia="Calibri"/>
          <w:kern w:val="11"/>
          <w:lang w:val="en-US" w:eastAsia="en-US"/>
        </w:rPr>
        <w:t>S</w:t>
      </w:r>
      <w:r w:rsidRPr="001416ED">
        <w:rPr>
          <w:rFonts w:eastAsia="Calibri"/>
          <w:kern w:val="11"/>
          <w:lang w:val="uk-UA" w:eastAsia="en-US"/>
        </w:rPr>
        <w:t xml:space="preserve">. </w:t>
      </w:r>
      <w:r w:rsidRPr="001416ED">
        <w:rPr>
          <w:rFonts w:eastAsia="Calibri"/>
          <w:kern w:val="11"/>
          <w:lang w:val="en-US" w:eastAsia="en-US"/>
        </w:rPr>
        <w:t>Palmar Dermatoglyphics in Essential Hypertension Amongst Rivers Indigene</w:t>
      </w:r>
      <w:r w:rsidRPr="001416ED">
        <w:rPr>
          <w:rFonts w:eastAsia="Calibri"/>
          <w:kern w:val="11"/>
          <w:lang w:val="uk-UA" w:eastAsia="en-US"/>
        </w:rPr>
        <w:t xml:space="preserve"> </w:t>
      </w:r>
      <w:r w:rsidRPr="001416ED">
        <w:rPr>
          <w:rFonts w:eastAsia="Calibri"/>
          <w:kern w:val="11"/>
          <w:lang w:val="en-US"/>
        </w:rPr>
        <w:t>/</w:t>
      </w:r>
      <w:r w:rsidRPr="001416ED">
        <w:rPr>
          <w:rFonts w:eastAsia="Calibri"/>
          <w:kern w:val="11"/>
          <w:lang w:val="uk-UA"/>
        </w:rPr>
        <w:t xml:space="preserve"> </w:t>
      </w:r>
      <w:r w:rsidRPr="001416ED">
        <w:rPr>
          <w:rFonts w:eastAsia="Calibri"/>
          <w:kern w:val="11"/>
          <w:lang w:val="en-US" w:eastAsia="en-US"/>
        </w:rPr>
        <w:t>G. S</w:t>
      </w:r>
      <w:r w:rsidRPr="001416ED">
        <w:rPr>
          <w:rFonts w:eastAsia="Calibri"/>
          <w:kern w:val="11"/>
          <w:lang w:val="uk-UA" w:eastAsia="en-US"/>
        </w:rPr>
        <w:t xml:space="preserve">. </w:t>
      </w:r>
      <w:r w:rsidRPr="001416ED">
        <w:rPr>
          <w:rFonts w:eastAsia="Calibri"/>
          <w:kern w:val="11"/>
          <w:lang w:val="en-US" w:eastAsia="en-US"/>
        </w:rPr>
        <w:t>Oladipo</w:t>
      </w:r>
      <w:r w:rsidRPr="001416ED">
        <w:rPr>
          <w:rFonts w:eastAsia="Calibri"/>
          <w:kern w:val="11"/>
          <w:lang w:val="uk-UA" w:eastAsia="en-US"/>
        </w:rPr>
        <w:t xml:space="preserve">, </w:t>
      </w:r>
      <w:r w:rsidRPr="001416ED">
        <w:rPr>
          <w:rFonts w:eastAsia="Calibri"/>
          <w:kern w:val="11"/>
          <w:lang w:val="en-US" w:eastAsia="en-US"/>
        </w:rPr>
        <w:t>I. G</w:t>
      </w:r>
      <w:r w:rsidRPr="001416ED">
        <w:rPr>
          <w:rFonts w:eastAsia="Calibri"/>
          <w:kern w:val="11"/>
          <w:lang w:val="uk-UA" w:eastAsia="en-US"/>
        </w:rPr>
        <w:t xml:space="preserve">. </w:t>
      </w:r>
      <w:r w:rsidRPr="001416ED">
        <w:rPr>
          <w:rFonts w:eastAsia="Calibri"/>
          <w:kern w:val="11"/>
          <w:lang w:val="en-US" w:eastAsia="en-US"/>
        </w:rPr>
        <w:t>Osogba</w:t>
      </w:r>
      <w:r w:rsidRPr="001416ED">
        <w:rPr>
          <w:rFonts w:eastAsia="Calibri"/>
          <w:kern w:val="11"/>
          <w:lang w:val="uk-UA" w:eastAsia="en-US"/>
        </w:rPr>
        <w:t xml:space="preserve">, </w:t>
      </w:r>
      <w:r w:rsidRPr="001416ED">
        <w:rPr>
          <w:rFonts w:eastAsia="Calibri"/>
          <w:kern w:val="11"/>
          <w:lang w:val="en-US" w:eastAsia="en-US"/>
        </w:rPr>
        <w:t>I</w:t>
      </w:r>
      <w:r w:rsidRPr="001416ED">
        <w:rPr>
          <w:rFonts w:eastAsia="Calibri"/>
          <w:kern w:val="11"/>
          <w:lang w:val="uk-UA" w:eastAsia="en-US"/>
        </w:rPr>
        <w:t>.</w:t>
      </w:r>
      <w:r w:rsidRPr="001416ED">
        <w:rPr>
          <w:rFonts w:eastAsia="Calibri"/>
          <w:kern w:val="11"/>
          <w:lang w:val="en-US" w:eastAsia="en-US"/>
        </w:rPr>
        <w:t xml:space="preserve"> B</w:t>
      </w:r>
      <w:r w:rsidRPr="001416ED">
        <w:rPr>
          <w:rFonts w:eastAsia="Calibri"/>
          <w:kern w:val="11"/>
          <w:lang w:val="uk-UA" w:eastAsia="en-US"/>
        </w:rPr>
        <w:t>.</w:t>
      </w:r>
      <w:r w:rsidRPr="001416ED">
        <w:rPr>
          <w:rFonts w:eastAsia="Calibri"/>
          <w:kern w:val="11"/>
          <w:lang w:val="en-US" w:eastAsia="en-US"/>
        </w:rPr>
        <w:t xml:space="preserve"> Bobmanuel </w:t>
      </w:r>
      <w:r w:rsidRPr="001416ED">
        <w:rPr>
          <w:rFonts w:eastAsia="Calibri"/>
          <w:kern w:val="11"/>
          <w:lang w:val="en-US"/>
        </w:rPr>
        <w:t>[et al.] //</w:t>
      </w:r>
      <w:r w:rsidRPr="001416ED">
        <w:rPr>
          <w:rFonts w:eastAsia="Calibri"/>
          <w:kern w:val="11"/>
          <w:lang w:val="en-US" w:eastAsia="en-US"/>
        </w:rPr>
        <w:t xml:space="preserve"> Australian Journal of Basic and Applied Sciences</w:t>
      </w:r>
      <w:r w:rsidRPr="001416ED">
        <w:rPr>
          <w:rFonts w:eastAsia="Calibri"/>
          <w:kern w:val="11"/>
          <w:lang w:val="uk-UA" w:eastAsia="en-US"/>
        </w:rPr>
        <w:t>. – 2010</w:t>
      </w:r>
      <w:r w:rsidRPr="001416ED">
        <w:rPr>
          <w:rFonts w:eastAsia="Calibri"/>
          <w:kern w:val="11"/>
          <w:lang w:val="uk-UA"/>
        </w:rPr>
        <w:t>. –</w:t>
      </w:r>
      <w:r w:rsidRPr="001416ED">
        <w:rPr>
          <w:rFonts w:eastAsia="Calibri"/>
          <w:kern w:val="11"/>
          <w:lang w:val="en-US" w:eastAsia="en-US"/>
        </w:rPr>
        <w:t xml:space="preserve"> Vol. 4(12)</w:t>
      </w:r>
      <w:r w:rsidRPr="001416ED">
        <w:rPr>
          <w:rFonts w:eastAsia="Calibri"/>
          <w:kern w:val="11"/>
          <w:lang w:val="uk-UA"/>
        </w:rPr>
        <w:t xml:space="preserve">. – P. </w:t>
      </w:r>
      <w:r w:rsidRPr="001416ED">
        <w:rPr>
          <w:rFonts w:eastAsia="Calibri"/>
          <w:kern w:val="11"/>
          <w:lang w:val="en-US" w:eastAsia="en-US"/>
        </w:rPr>
        <w:t>6300–6305</w:t>
      </w:r>
      <w:r w:rsidRPr="001416ED">
        <w:rPr>
          <w:rFonts w:eastAsia="Calibri"/>
          <w:kern w:val="11"/>
          <w:lang w:val="uk-UA" w:eastAsia="en-US"/>
        </w:rPr>
        <w:t>.</w:t>
      </w:r>
    </w:p>
    <w:p w:rsidR="005107A1" w:rsidRPr="001416ED" w:rsidRDefault="005107A1" w:rsidP="0012229A">
      <w:pPr>
        <w:numPr>
          <w:ilvl w:val="0"/>
          <w:numId w:val="10"/>
        </w:numPr>
        <w:tabs>
          <w:tab w:val="left" w:pos="709"/>
        </w:tabs>
        <w:spacing w:line="360" w:lineRule="auto"/>
        <w:ind w:left="0" w:firstLine="0"/>
        <w:mirrorIndents/>
        <w:jc w:val="both"/>
        <w:rPr>
          <w:rFonts w:eastAsia="Calibri"/>
          <w:kern w:val="11"/>
          <w:lang w:val="en-US" w:eastAsia="en-US"/>
        </w:rPr>
      </w:pPr>
      <w:r w:rsidRPr="001416ED">
        <w:rPr>
          <w:rFonts w:eastAsia="Calibri"/>
          <w:kern w:val="11"/>
          <w:lang w:val="en-US" w:eastAsia="en-US"/>
        </w:rPr>
        <w:t xml:space="preserve">Ortlepp J. R. Genetic polymorphisms in the RAAS associated with expression of left ventricular hypertrophic cardiomyopathy: a study of five polymorphic genes in a family with a disease causing mutation in the myosin binding protein C gene / J. R. Ortlepp, H. P. Vosberg, S. Reith [et al.] // Heart. – 2002. – Vol. 87. – P. 270–275. </w:t>
      </w:r>
    </w:p>
    <w:p w:rsidR="005107A1" w:rsidRPr="001416ED" w:rsidRDefault="00A9327B" w:rsidP="0012229A">
      <w:pPr>
        <w:numPr>
          <w:ilvl w:val="0"/>
          <w:numId w:val="10"/>
        </w:numPr>
        <w:autoSpaceDE w:val="0"/>
        <w:autoSpaceDN w:val="0"/>
        <w:adjustRightInd w:val="0"/>
        <w:spacing w:after="200" w:line="360" w:lineRule="auto"/>
        <w:ind w:left="0" w:firstLine="0"/>
        <w:contextualSpacing/>
        <w:mirrorIndents/>
        <w:jc w:val="both"/>
        <w:rPr>
          <w:rFonts w:eastAsia="Calibri"/>
          <w:bCs/>
          <w:kern w:val="11"/>
          <w:lang w:val="uk-UA" w:eastAsia="en-US"/>
        </w:rPr>
      </w:pPr>
      <w:hyperlink r:id="rId91" w:history="1">
        <w:r w:rsidR="005107A1" w:rsidRPr="001416ED">
          <w:rPr>
            <w:rFonts w:eastAsia="Calibri"/>
            <w:kern w:val="11"/>
            <w:lang w:val="uk-UA" w:eastAsia="en-US"/>
          </w:rPr>
          <w:t>Parrinello G</w:t>
        </w:r>
      </w:hyperlink>
      <w:r w:rsidR="005107A1" w:rsidRPr="001416ED">
        <w:rPr>
          <w:rFonts w:eastAsia="Calibri"/>
          <w:kern w:val="11"/>
          <w:lang w:val="uk-UA" w:eastAsia="en-US"/>
        </w:rPr>
        <w:t xml:space="preserve">. </w:t>
      </w:r>
      <w:r w:rsidR="005107A1" w:rsidRPr="001416ED">
        <w:rPr>
          <w:rFonts w:eastAsia="Calibri"/>
          <w:bCs/>
          <w:kern w:val="11"/>
          <w:lang w:val="uk-UA" w:eastAsia="en-US"/>
        </w:rPr>
        <w:t xml:space="preserve">Central obesity and hypertension: the role of plasma endothelin / G. </w:t>
      </w:r>
      <w:hyperlink r:id="rId92" w:history="1">
        <w:r w:rsidR="005107A1" w:rsidRPr="001416ED">
          <w:rPr>
            <w:rFonts w:eastAsia="Calibri"/>
            <w:bCs/>
            <w:kern w:val="11"/>
            <w:lang w:val="uk-UA" w:eastAsia="en-US"/>
          </w:rPr>
          <w:t xml:space="preserve">Parrinello, </w:t>
        </w:r>
      </w:hyperlink>
      <w:r w:rsidR="005107A1" w:rsidRPr="001416ED">
        <w:rPr>
          <w:rFonts w:eastAsia="Calibri"/>
          <w:bCs/>
          <w:kern w:val="11"/>
          <w:lang w:val="uk-UA" w:eastAsia="en-US"/>
        </w:rPr>
        <w:t xml:space="preserve"> R. </w:t>
      </w:r>
      <w:hyperlink r:id="rId93" w:history="1">
        <w:r w:rsidR="005107A1" w:rsidRPr="001416ED">
          <w:rPr>
            <w:rFonts w:eastAsia="Calibri"/>
            <w:bCs/>
            <w:kern w:val="11"/>
            <w:lang w:val="uk-UA" w:eastAsia="en-US"/>
          </w:rPr>
          <w:t xml:space="preserve">Scaglione, </w:t>
        </w:r>
      </w:hyperlink>
      <w:r w:rsidR="005107A1" w:rsidRPr="001416ED">
        <w:rPr>
          <w:rFonts w:eastAsia="Calibri"/>
          <w:kern w:val="11"/>
          <w:sz w:val="11"/>
          <w:szCs w:val="11"/>
          <w:lang w:val="uk-UA" w:eastAsia="en-US"/>
        </w:rPr>
        <w:t xml:space="preserve"> </w:t>
      </w:r>
      <w:r w:rsidR="005107A1" w:rsidRPr="001416ED">
        <w:rPr>
          <w:rFonts w:eastAsia="Calibri"/>
          <w:bCs/>
          <w:kern w:val="11"/>
          <w:lang w:val="uk-UA" w:eastAsia="en-US"/>
        </w:rPr>
        <w:t xml:space="preserve">A. </w:t>
      </w:r>
      <w:hyperlink r:id="rId94" w:history="1">
        <w:r w:rsidR="005107A1" w:rsidRPr="001416ED">
          <w:rPr>
            <w:rFonts w:eastAsia="Calibri"/>
            <w:bCs/>
            <w:kern w:val="11"/>
            <w:lang w:val="uk-UA" w:eastAsia="en-US"/>
          </w:rPr>
          <w:t xml:space="preserve">Pinto </w:t>
        </w:r>
      </w:hyperlink>
      <w:r w:rsidR="005107A1" w:rsidRPr="001416ED">
        <w:rPr>
          <w:rFonts w:eastAsia="Calibri"/>
          <w:bCs/>
          <w:kern w:val="11"/>
          <w:lang w:val="uk-UA" w:eastAsia="en-US"/>
        </w:rPr>
        <w:t xml:space="preserve"> [et al.] </w:t>
      </w:r>
      <w:r w:rsidR="005107A1" w:rsidRPr="001416ED">
        <w:rPr>
          <w:rFonts w:eastAsia="Calibri"/>
          <w:bCs/>
          <w:iCs/>
          <w:kern w:val="11"/>
          <w:lang w:val="uk-UA" w:eastAsia="en-US"/>
        </w:rPr>
        <w:t xml:space="preserve"> // </w:t>
      </w:r>
      <w:hyperlink r:id="rId95" w:tooltip="American journal of hypertension." w:history="1">
        <w:r w:rsidR="005107A1" w:rsidRPr="001416ED">
          <w:rPr>
            <w:rFonts w:eastAsia="Calibri"/>
            <w:bCs/>
            <w:iCs/>
            <w:kern w:val="11"/>
            <w:lang w:val="uk-UA" w:eastAsia="en-US"/>
          </w:rPr>
          <w:t>Am J Hypertens.</w:t>
        </w:r>
      </w:hyperlink>
      <w:r w:rsidR="005107A1" w:rsidRPr="001416ED">
        <w:rPr>
          <w:rFonts w:eastAsia="Calibri"/>
          <w:bCs/>
          <w:iCs/>
          <w:kern w:val="11"/>
          <w:lang w:val="uk-UA" w:eastAsia="en-US"/>
        </w:rPr>
        <w:t xml:space="preserve"> – 1996. – </w:t>
      </w:r>
      <w:r w:rsidR="005107A1" w:rsidRPr="001416ED">
        <w:rPr>
          <w:rFonts w:eastAsia="Calibri"/>
          <w:bCs/>
          <w:iCs/>
          <w:kern w:val="11"/>
          <w:lang w:val="en-US" w:eastAsia="en-US"/>
        </w:rPr>
        <w:t xml:space="preserve">Vol. </w:t>
      </w:r>
      <w:r w:rsidR="005107A1" w:rsidRPr="001416ED">
        <w:rPr>
          <w:rFonts w:eastAsia="Calibri"/>
          <w:bCs/>
          <w:iCs/>
          <w:kern w:val="11"/>
          <w:lang w:val="uk-UA" w:eastAsia="en-US"/>
        </w:rPr>
        <w:t>9</w:t>
      </w:r>
      <w:r w:rsidR="005107A1" w:rsidRPr="001416ED">
        <w:rPr>
          <w:rFonts w:eastAsia="Calibri"/>
          <w:bCs/>
          <w:iCs/>
          <w:kern w:val="11"/>
          <w:lang w:val="en-US" w:eastAsia="en-US"/>
        </w:rPr>
        <w:t xml:space="preserve"> </w:t>
      </w:r>
      <w:r w:rsidR="005107A1" w:rsidRPr="001416ED">
        <w:rPr>
          <w:rFonts w:eastAsia="Calibri"/>
          <w:bCs/>
          <w:iCs/>
          <w:kern w:val="11"/>
          <w:lang w:val="uk-UA" w:eastAsia="en-US"/>
        </w:rPr>
        <w:t>(12</w:t>
      </w:r>
      <w:r w:rsidR="005107A1" w:rsidRPr="001416ED">
        <w:rPr>
          <w:rFonts w:eastAsia="Calibri"/>
          <w:bCs/>
          <w:iCs/>
          <w:kern w:val="11"/>
          <w:lang w:val="en-US" w:eastAsia="en-US"/>
        </w:rPr>
        <w:t>)</w:t>
      </w:r>
      <w:r w:rsidR="005107A1" w:rsidRPr="001416ED">
        <w:rPr>
          <w:rFonts w:eastAsia="Calibri"/>
          <w:bCs/>
          <w:iCs/>
          <w:kern w:val="11"/>
          <w:lang w:val="uk-UA" w:eastAsia="en-US"/>
        </w:rPr>
        <w:t xml:space="preserve"> P</w:t>
      </w:r>
      <w:r w:rsidR="005107A1" w:rsidRPr="001416ED">
        <w:rPr>
          <w:rFonts w:eastAsia="Calibri"/>
          <w:bCs/>
          <w:iCs/>
          <w:kern w:val="11"/>
          <w:lang w:val="en-US" w:eastAsia="en-US"/>
        </w:rPr>
        <w:t xml:space="preserve">. </w:t>
      </w:r>
      <w:r w:rsidR="005107A1" w:rsidRPr="001416ED">
        <w:rPr>
          <w:rFonts w:eastAsia="Calibri"/>
          <w:bCs/>
          <w:iCs/>
          <w:kern w:val="11"/>
          <w:lang w:val="uk-UA" w:eastAsia="en-US"/>
        </w:rPr>
        <w:t>1186–91.</w:t>
      </w:r>
    </w:p>
    <w:p w:rsidR="005107A1" w:rsidRPr="001416ED" w:rsidRDefault="005107A1" w:rsidP="0012229A">
      <w:pPr>
        <w:numPr>
          <w:ilvl w:val="0"/>
          <w:numId w:val="10"/>
        </w:numPr>
        <w:shd w:val="clear" w:color="auto" w:fill="FFFFFF"/>
        <w:spacing w:after="200" w:line="360" w:lineRule="auto"/>
        <w:ind w:left="0" w:firstLine="0"/>
        <w:contextualSpacing/>
        <w:mirrorIndents/>
        <w:jc w:val="both"/>
        <w:rPr>
          <w:rFonts w:eastAsia="Calibri"/>
          <w:kern w:val="11"/>
          <w:lang w:val="uk-UA" w:eastAsia="uk-UA"/>
        </w:rPr>
      </w:pPr>
      <w:r w:rsidRPr="001416ED">
        <w:rPr>
          <w:rFonts w:eastAsia="Calibri"/>
          <w:kern w:val="11"/>
          <w:shd w:val="clear" w:color="auto" w:fill="FFFFFF"/>
          <w:lang w:val="uk-UA" w:eastAsia="en-US"/>
        </w:rPr>
        <w:t>Poole–Wilson P. A</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 xml:space="preserve">Comparison of carvedilol and metoprolol on clinical outcomes in patients with chronic heart failure in the Carvedilol Or Metoprolol European Trial </w:t>
      </w:r>
      <w:r w:rsidRPr="001416ED">
        <w:rPr>
          <w:rFonts w:eastAsia="Calibri"/>
          <w:kern w:val="11"/>
          <w:shd w:val="clear" w:color="auto" w:fill="FFFFFF"/>
          <w:lang w:val="uk-UA" w:eastAsia="en-US"/>
        </w:rPr>
        <w:lastRenderedPageBreak/>
        <w:t xml:space="preserve">(COMET): randomised controlled trial / P. A. Poole–Wilson, K. Swedberg, J. G. Cleland </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et al.</w:t>
      </w:r>
      <w:r w:rsidRPr="001416ED">
        <w:rPr>
          <w:rFonts w:eastAsia="Calibri"/>
          <w:kern w:val="11"/>
          <w:shd w:val="clear" w:color="auto" w:fill="FFFFFF"/>
          <w:lang w:val="en-US" w:eastAsia="en-US"/>
        </w:rPr>
        <w:t>]</w:t>
      </w:r>
      <w:r w:rsidRPr="001416ED">
        <w:rPr>
          <w:rFonts w:eastAsia="Calibri"/>
          <w:kern w:val="11"/>
          <w:shd w:val="clear" w:color="auto" w:fill="FFFFFF"/>
          <w:lang w:val="uk-UA" w:eastAsia="en-US"/>
        </w:rPr>
        <w:t xml:space="preserve"> // Lancet.  – 200</w:t>
      </w:r>
      <w:r w:rsidRPr="001416ED">
        <w:rPr>
          <w:rFonts w:eastAsia="Calibri"/>
          <w:kern w:val="11"/>
          <w:shd w:val="clear" w:color="auto" w:fill="FFFFFF"/>
          <w:lang w:val="en-US" w:eastAsia="en-US"/>
        </w:rPr>
        <w:t>8</w:t>
      </w:r>
      <w:r w:rsidRPr="001416ED">
        <w:rPr>
          <w:rFonts w:eastAsia="Calibri"/>
          <w:kern w:val="11"/>
          <w:shd w:val="clear" w:color="auto" w:fill="FFFFFF"/>
          <w:lang w:val="uk-UA" w:eastAsia="en-US"/>
        </w:rPr>
        <w:t>. – Vol. 362. – P. 7–13.</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lang w:val="uk-UA" w:eastAsia="en-US"/>
        </w:rPr>
      </w:pPr>
      <w:r w:rsidRPr="001416ED">
        <w:rPr>
          <w:rFonts w:eastAsia="Calibri"/>
          <w:iCs/>
          <w:lang w:val="uk-UA" w:eastAsia="en-US"/>
        </w:rPr>
        <w:t xml:space="preserve">Potter L. R. </w:t>
      </w:r>
      <w:r w:rsidRPr="001416ED">
        <w:rPr>
          <w:rFonts w:eastAsia="Calibri"/>
          <w:lang w:val="uk-UA" w:eastAsia="en-US"/>
        </w:rPr>
        <w:t xml:space="preserve">Natriuretic Peptides, Their Receptors, and Cyclic Guanosine Monophosphate–Dependent Signaling Functions / </w:t>
      </w:r>
      <w:r w:rsidRPr="001416ED">
        <w:rPr>
          <w:rFonts w:eastAsia="Calibri"/>
          <w:iCs/>
          <w:lang w:val="uk-UA" w:eastAsia="en-US"/>
        </w:rPr>
        <w:t>L. R. Potter, S. Abbey–Hosch, D. M.</w:t>
      </w:r>
      <w:r w:rsidRPr="001416ED">
        <w:rPr>
          <w:rFonts w:eastAsia="Calibri"/>
          <w:lang w:val="uk-UA" w:eastAsia="en-US"/>
        </w:rPr>
        <w:t xml:space="preserve"> </w:t>
      </w:r>
      <w:r w:rsidRPr="001416ED">
        <w:rPr>
          <w:rFonts w:eastAsia="Calibri"/>
          <w:iCs/>
          <w:lang w:val="uk-UA" w:eastAsia="en-US"/>
        </w:rPr>
        <w:t xml:space="preserve">Dickey </w:t>
      </w:r>
      <w:r w:rsidRPr="001416ED">
        <w:rPr>
          <w:rFonts w:eastAsia="Calibri"/>
          <w:lang w:val="uk-UA" w:eastAsia="en-US"/>
        </w:rPr>
        <w:t xml:space="preserve">// Endocrine Reviews. – 2006. – </w:t>
      </w:r>
      <w:r w:rsidRPr="001416ED">
        <w:rPr>
          <w:rFonts w:eastAsia="Calibri"/>
          <w:bCs/>
          <w:lang w:val="en-US" w:eastAsia="en-US"/>
        </w:rPr>
        <w:t>Vol.</w:t>
      </w:r>
      <w:r w:rsidRPr="001416ED">
        <w:rPr>
          <w:rFonts w:eastAsia="Calibri"/>
          <w:bCs/>
          <w:lang w:val="uk-UA" w:eastAsia="en-US"/>
        </w:rPr>
        <w:t xml:space="preserve"> </w:t>
      </w:r>
      <w:r w:rsidRPr="001416ED">
        <w:rPr>
          <w:rFonts w:eastAsia="Calibri"/>
          <w:lang w:val="uk-UA" w:eastAsia="en-US"/>
        </w:rPr>
        <w:t>27</w:t>
      </w:r>
      <w:r w:rsidRPr="001416ED">
        <w:rPr>
          <w:rFonts w:eastAsia="Calibri"/>
          <w:lang w:val="en-US" w:eastAsia="en-US"/>
        </w:rPr>
        <w:t xml:space="preserve"> </w:t>
      </w:r>
      <w:r w:rsidRPr="001416ED">
        <w:rPr>
          <w:rFonts w:eastAsia="Calibri"/>
          <w:lang w:val="uk-UA" w:eastAsia="en-US"/>
        </w:rPr>
        <w:t>(1)</w:t>
      </w:r>
      <w:r w:rsidRPr="001416ED">
        <w:rPr>
          <w:rFonts w:eastAsia="TimesNewRomanPSMT"/>
          <w:lang w:val="uk-UA" w:eastAsia="en-US"/>
        </w:rPr>
        <w:t>. – Р. 4</w:t>
      </w:r>
      <w:r w:rsidRPr="001416ED">
        <w:rPr>
          <w:rFonts w:eastAsia="Calibri"/>
          <w:lang w:val="uk-UA" w:eastAsia="en-US"/>
        </w:rPr>
        <w:t>7–72.</w:t>
      </w:r>
    </w:p>
    <w:p w:rsidR="005107A1" w:rsidRPr="001416ED" w:rsidRDefault="005107A1" w:rsidP="0012229A">
      <w:pPr>
        <w:numPr>
          <w:ilvl w:val="0"/>
          <w:numId w:val="10"/>
        </w:numPr>
        <w:spacing w:line="360" w:lineRule="auto"/>
        <w:ind w:left="0" w:firstLine="0"/>
        <w:mirrorIndents/>
        <w:jc w:val="both"/>
        <w:rPr>
          <w:rFonts w:eastAsia="Calibri"/>
          <w:kern w:val="11"/>
          <w:lang w:val="uk-UA" w:eastAsia="en-US"/>
        </w:rPr>
      </w:pPr>
      <w:r w:rsidRPr="001416ED">
        <w:rPr>
          <w:rFonts w:eastAsia="Calibri"/>
          <w:kern w:val="11"/>
          <w:lang w:val="uk-UA" w:eastAsia="en-US"/>
        </w:rPr>
        <w:t xml:space="preserve">Qing P. </w:t>
      </w:r>
      <w:r w:rsidRPr="001416ED">
        <w:rPr>
          <w:rFonts w:eastAsia="Calibri"/>
          <w:bCs/>
          <w:kern w:val="11"/>
          <w:lang w:val="uk-UA" w:eastAsia="en-US"/>
        </w:rPr>
        <w:t>Association</w:t>
      </w:r>
      <w:r w:rsidRPr="001416ED">
        <w:rPr>
          <w:rFonts w:eastAsia="Calibri"/>
          <w:b/>
          <w:bCs/>
          <w:kern w:val="11"/>
          <w:lang w:val="uk-UA" w:eastAsia="en-US"/>
        </w:rPr>
        <w:t xml:space="preserve"> </w:t>
      </w:r>
      <w:r w:rsidRPr="001416ED">
        <w:rPr>
          <w:rFonts w:eastAsia="Calibri"/>
          <w:bCs/>
          <w:kern w:val="11"/>
          <w:lang w:val="uk-UA" w:eastAsia="en-US"/>
        </w:rPr>
        <w:t>of big endothelin–1 with coronary artery calcification</w:t>
      </w:r>
      <w:r w:rsidRPr="001416ED">
        <w:rPr>
          <w:rFonts w:eastAsia="Calibri"/>
          <w:b/>
          <w:bCs/>
          <w:kern w:val="11"/>
          <w:lang w:val="uk-UA" w:eastAsia="en-US"/>
        </w:rPr>
        <w:t xml:space="preserve"> / </w:t>
      </w:r>
      <w:r w:rsidRPr="001416ED">
        <w:rPr>
          <w:rFonts w:eastAsia="Calibri"/>
          <w:kern w:val="11"/>
          <w:lang w:val="uk-UA" w:eastAsia="en-US"/>
        </w:rPr>
        <w:t>P. Qing, X.–L. Li, R.–X. Xu [</w:t>
      </w:r>
      <w:r w:rsidRPr="001416ED">
        <w:rPr>
          <w:rFonts w:eastAsia="Calibri"/>
          <w:kern w:val="11"/>
          <w:lang w:val="en-US" w:eastAsia="en-US"/>
        </w:rPr>
        <w:t>et</w:t>
      </w:r>
      <w:r w:rsidRPr="001416ED">
        <w:rPr>
          <w:rFonts w:eastAsia="Calibri"/>
          <w:kern w:val="11"/>
          <w:lang w:val="uk-UA" w:eastAsia="en-US"/>
        </w:rPr>
        <w:t>.</w:t>
      </w:r>
      <w:r w:rsidRPr="001416ED">
        <w:rPr>
          <w:rFonts w:eastAsia="Calibri"/>
          <w:kern w:val="11"/>
          <w:lang w:val="en-US" w:eastAsia="en-US"/>
        </w:rPr>
        <w:t>al</w:t>
      </w:r>
      <w:r w:rsidRPr="001416ED">
        <w:rPr>
          <w:rFonts w:eastAsia="Calibri"/>
          <w:kern w:val="11"/>
          <w:lang w:val="uk-UA" w:eastAsia="en-US"/>
        </w:rPr>
        <w:t xml:space="preserve">.] // European Heart Journal. – 2015. – </w:t>
      </w:r>
      <w:r w:rsidRPr="001416ED">
        <w:rPr>
          <w:rFonts w:eastAsia="Calibri"/>
          <w:kern w:val="11"/>
          <w:lang w:val="en-US" w:eastAsia="en-US"/>
        </w:rPr>
        <w:t>Vol</w:t>
      </w:r>
      <w:r w:rsidRPr="001416ED">
        <w:rPr>
          <w:rFonts w:eastAsia="Calibri"/>
          <w:kern w:val="11"/>
          <w:lang w:val="uk-UA" w:eastAsia="en-US"/>
        </w:rPr>
        <w:t xml:space="preserve">. 36. – </w:t>
      </w:r>
      <w:r w:rsidRPr="001416ED">
        <w:rPr>
          <w:rFonts w:eastAsia="Calibri"/>
          <w:kern w:val="11"/>
          <w:lang w:val="en-US" w:eastAsia="en-US"/>
        </w:rPr>
        <w:t>P</w:t>
      </w:r>
      <w:r w:rsidRPr="001416ED">
        <w:rPr>
          <w:rFonts w:eastAsia="Calibri"/>
          <w:kern w:val="11"/>
          <w:lang w:val="uk-UA" w:eastAsia="en-US"/>
        </w:rPr>
        <w:t>. 891.</w:t>
      </w:r>
    </w:p>
    <w:p w:rsidR="005107A1" w:rsidRPr="001416ED" w:rsidRDefault="005107A1" w:rsidP="0012229A">
      <w:pPr>
        <w:numPr>
          <w:ilvl w:val="0"/>
          <w:numId w:val="10"/>
        </w:numPr>
        <w:spacing w:line="360" w:lineRule="auto"/>
        <w:ind w:left="0" w:firstLine="0"/>
        <w:mirrorIndents/>
        <w:jc w:val="both"/>
        <w:rPr>
          <w:rFonts w:eastAsia="Calibri"/>
          <w:kern w:val="11"/>
          <w:lang w:val="uk-UA" w:eastAsia="en-US"/>
        </w:rPr>
      </w:pPr>
      <w:r w:rsidRPr="001416ED">
        <w:rPr>
          <w:rFonts w:eastAsia="Calibri"/>
          <w:kern w:val="11"/>
          <w:lang w:val="uk-UA" w:eastAsia="en-US"/>
        </w:rPr>
        <w:t>Rahman</w:t>
      </w:r>
      <w:r w:rsidRPr="001416ED">
        <w:rPr>
          <w:rFonts w:eastAsia="Calibri"/>
          <w:bCs/>
          <w:kern w:val="11"/>
          <w:lang w:val="uk-UA" w:eastAsia="en-US"/>
        </w:rPr>
        <w:t xml:space="preserve"> </w:t>
      </w:r>
      <w:r w:rsidRPr="001416ED">
        <w:rPr>
          <w:rFonts w:eastAsia="Calibri"/>
          <w:kern w:val="11"/>
          <w:lang w:val="uk-UA" w:eastAsia="en-US"/>
        </w:rPr>
        <w:t xml:space="preserve">A. </w:t>
      </w:r>
      <w:r w:rsidRPr="001416ED">
        <w:rPr>
          <w:rFonts w:eastAsia="Calibri"/>
          <w:bCs/>
          <w:kern w:val="11"/>
          <w:lang w:val="uk-UA" w:eastAsia="en-US"/>
        </w:rPr>
        <w:t xml:space="preserve">Potential association of circulatory level of endothelin–1 and hypertension in rural women in </w:t>
      </w:r>
      <w:r w:rsidRPr="001416ED">
        <w:rPr>
          <w:rFonts w:eastAsia="Calibri"/>
          <w:bCs/>
          <w:kern w:val="11"/>
          <w:lang w:val="en-US" w:eastAsia="en-US"/>
        </w:rPr>
        <w:t>B</w:t>
      </w:r>
      <w:r w:rsidRPr="001416ED">
        <w:rPr>
          <w:rFonts w:eastAsia="Calibri"/>
          <w:bCs/>
          <w:kern w:val="11"/>
          <w:lang w:val="uk-UA" w:eastAsia="en-US"/>
        </w:rPr>
        <w:t xml:space="preserve">angladesh: evidences from a community based cross–sectional study / </w:t>
      </w:r>
      <w:r w:rsidRPr="001416ED">
        <w:rPr>
          <w:rFonts w:eastAsia="Calibri"/>
          <w:kern w:val="11"/>
          <w:lang w:val="uk-UA" w:eastAsia="en-US"/>
        </w:rPr>
        <w:t>A. Rahman, S. Jesmin, M.</w:t>
      </w:r>
      <w:r w:rsidRPr="001416ED">
        <w:rPr>
          <w:rFonts w:eastAsia="Calibri"/>
          <w:kern w:val="11"/>
          <w:lang w:val="en-US" w:eastAsia="en-US"/>
        </w:rPr>
        <w:t xml:space="preserve"> </w:t>
      </w:r>
      <w:r w:rsidRPr="001416ED">
        <w:rPr>
          <w:rFonts w:eastAsia="Calibri"/>
          <w:kern w:val="11"/>
          <w:lang w:val="uk-UA" w:eastAsia="en-US"/>
        </w:rPr>
        <w:t>A. Habib</w:t>
      </w:r>
      <w:r w:rsidRPr="001416ED">
        <w:rPr>
          <w:rFonts w:eastAsia="Calibri"/>
          <w:kern w:val="11"/>
          <w:vertAlign w:val="superscript"/>
          <w:lang w:val="uk-UA" w:eastAsia="en-US"/>
        </w:rPr>
        <w:t xml:space="preserve"> </w:t>
      </w:r>
      <w:r w:rsidRPr="001416ED">
        <w:rPr>
          <w:rFonts w:eastAsia="Calibri"/>
          <w:kern w:val="11"/>
          <w:lang w:val="uk-UA" w:eastAsia="en-US"/>
        </w:rPr>
        <w:t>[</w:t>
      </w:r>
      <w:r w:rsidRPr="001416ED">
        <w:rPr>
          <w:rFonts w:eastAsia="Calibri"/>
          <w:kern w:val="11"/>
          <w:lang w:val="en-US" w:eastAsia="en-US"/>
        </w:rPr>
        <w:t xml:space="preserve">et.al.] // </w:t>
      </w:r>
      <w:r w:rsidRPr="001416ED">
        <w:rPr>
          <w:rFonts w:eastAsia="Calibri"/>
          <w:kern w:val="11"/>
          <w:lang w:val="uk-UA" w:eastAsia="en-US"/>
        </w:rPr>
        <w:t>European Heart Journal</w:t>
      </w:r>
      <w:r w:rsidRPr="001416ED">
        <w:rPr>
          <w:rFonts w:eastAsia="Calibri"/>
          <w:kern w:val="11"/>
          <w:lang w:val="en-US" w:eastAsia="en-US"/>
        </w:rPr>
        <w:t>. –</w:t>
      </w:r>
      <w:r w:rsidRPr="001416ED">
        <w:rPr>
          <w:rFonts w:eastAsia="Calibri"/>
          <w:kern w:val="11"/>
          <w:lang w:val="uk-UA" w:eastAsia="en-US"/>
        </w:rPr>
        <w:t xml:space="preserve"> </w:t>
      </w:r>
      <w:r w:rsidRPr="001416ED">
        <w:rPr>
          <w:rFonts w:eastAsia="Calibri"/>
          <w:kern w:val="11"/>
          <w:lang w:val="en-US" w:eastAsia="en-US"/>
        </w:rPr>
        <w:t>2</w:t>
      </w:r>
      <w:r w:rsidRPr="001416ED">
        <w:rPr>
          <w:rFonts w:eastAsia="Calibri"/>
          <w:kern w:val="11"/>
          <w:lang w:val="uk-UA" w:eastAsia="en-US"/>
        </w:rPr>
        <w:t>015</w:t>
      </w:r>
      <w:r w:rsidRPr="001416ED">
        <w:rPr>
          <w:rFonts w:eastAsia="Calibri"/>
          <w:kern w:val="11"/>
          <w:lang w:val="en-US" w:eastAsia="en-US"/>
        </w:rPr>
        <w:t>. –</w:t>
      </w:r>
      <w:r w:rsidRPr="001416ED">
        <w:rPr>
          <w:rFonts w:eastAsia="Calibri"/>
          <w:kern w:val="11"/>
          <w:lang w:val="uk-UA" w:eastAsia="en-US"/>
        </w:rPr>
        <w:t xml:space="preserve"> </w:t>
      </w:r>
      <w:r w:rsidRPr="001416ED">
        <w:rPr>
          <w:rFonts w:eastAsia="Calibri"/>
          <w:kern w:val="11"/>
          <w:lang w:val="en-US" w:eastAsia="en-US"/>
        </w:rPr>
        <w:t xml:space="preserve">Vol. </w:t>
      </w:r>
      <w:r w:rsidRPr="001416ED">
        <w:rPr>
          <w:rFonts w:eastAsia="Calibri"/>
          <w:kern w:val="11"/>
          <w:lang w:val="uk-UA" w:eastAsia="en-US"/>
        </w:rPr>
        <w:t>36</w:t>
      </w:r>
      <w:r w:rsidRPr="001416ED">
        <w:rPr>
          <w:rFonts w:eastAsia="Calibri"/>
          <w:kern w:val="11"/>
          <w:lang w:val="en-US" w:eastAsia="en-US"/>
        </w:rPr>
        <w:t>. – P.</w:t>
      </w:r>
      <w:r w:rsidRPr="001416ED">
        <w:rPr>
          <w:rFonts w:eastAsia="Calibri"/>
          <w:kern w:val="11"/>
          <w:lang w:val="uk-UA" w:eastAsia="en-US"/>
        </w:rPr>
        <w:t xml:space="preserve"> 24</w:t>
      </w:r>
      <w:r w:rsidRPr="001416ED">
        <w:rPr>
          <w:rFonts w:eastAsia="Calibri"/>
          <w:kern w:val="11"/>
          <w:lang w:val="en-US" w:eastAsia="en-US"/>
        </w:rPr>
        <w:t>.</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rFonts w:eastAsia="Calibri"/>
          <w:kern w:val="11"/>
          <w:shd w:val="clear" w:color="auto" w:fill="FFFFFF"/>
          <w:lang w:val="uk-UA" w:eastAsia="en-US"/>
        </w:rPr>
        <w:t>Randall M. Vascular activities of endothelins / M. Randall // Pharmacol. Therapy. – 1991. – Vol. 50. – P. 73–93.</w:t>
      </w:r>
    </w:p>
    <w:p w:rsidR="005107A1" w:rsidRPr="001416ED" w:rsidRDefault="005107A1" w:rsidP="0012229A">
      <w:pPr>
        <w:numPr>
          <w:ilvl w:val="0"/>
          <w:numId w:val="10"/>
        </w:numPr>
        <w:shd w:val="clear" w:color="auto" w:fill="FFFFFF"/>
        <w:tabs>
          <w:tab w:val="left" w:pos="709"/>
        </w:tabs>
        <w:spacing w:line="360" w:lineRule="auto"/>
        <w:ind w:left="0" w:firstLine="0"/>
        <w:mirrorIndents/>
        <w:jc w:val="both"/>
        <w:rPr>
          <w:rFonts w:eastAsia="Calibri"/>
          <w:kern w:val="11"/>
          <w:sz w:val="33"/>
          <w:szCs w:val="33"/>
          <w:lang w:val="uk-UA" w:eastAsia="en-US"/>
        </w:rPr>
      </w:pPr>
      <w:r w:rsidRPr="001416ED">
        <w:rPr>
          <w:rFonts w:eastAsia="Calibri"/>
          <w:kern w:val="11"/>
          <w:lang w:val="de-DE" w:eastAsia="en-US"/>
        </w:rPr>
        <w:t>Reissel E</w:t>
      </w:r>
      <w:r w:rsidRPr="001416ED">
        <w:rPr>
          <w:rFonts w:eastAsia="Calibri"/>
          <w:kern w:val="11"/>
          <w:lang w:val="en-US" w:eastAsia="en-US"/>
        </w:rPr>
        <w:t xml:space="preserve">. </w:t>
      </w:r>
      <w:r w:rsidRPr="001416ED">
        <w:rPr>
          <w:rFonts w:eastAsia="Calibri"/>
          <w:kern w:val="11"/>
          <w:lang w:val="de-DE" w:eastAsia="en-US"/>
        </w:rPr>
        <w:t>Angiotensin</w:t>
      </w:r>
      <w:r w:rsidRPr="001416ED">
        <w:rPr>
          <w:rFonts w:eastAsia="Calibri"/>
          <w:kern w:val="11"/>
          <w:lang w:val="en-US" w:eastAsia="en-US"/>
        </w:rPr>
        <w:t xml:space="preserve"> </w:t>
      </w:r>
      <w:r w:rsidRPr="001416ED">
        <w:rPr>
          <w:rFonts w:eastAsia="Calibri"/>
          <w:kern w:val="11"/>
          <w:lang w:val="de-DE" w:eastAsia="en-US"/>
        </w:rPr>
        <w:t>II</w:t>
      </w:r>
      <w:r w:rsidRPr="001416ED">
        <w:rPr>
          <w:rFonts w:eastAsia="Calibri"/>
          <w:kern w:val="11"/>
          <w:lang w:val="en-US" w:eastAsia="en-US"/>
        </w:rPr>
        <w:t xml:space="preserve"> </w:t>
      </w:r>
      <w:r w:rsidRPr="001416ED">
        <w:rPr>
          <w:rFonts w:eastAsia="Calibri"/>
          <w:kern w:val="11"/>
          <w:lang w:val="de-DE" w:eastAsia="en-US"/>
        </w:rPr>
        <w:t>receptor</w:t>
      </w:r>
      <w:r w:rsidRPr="001416ED">
        <w:rPr>
          <w:rFonts w:eastAsia="Calibri"/>
          <w:kern w:val="11"/>
          <w:lang w:val="en-US" w:eastAsia="en-US"/>
        </w:rPr>
        <w:t xml:space="preserve"> </w:t>
      </w:r>
      <w:r w:rsidRPr="001416ED">
        <w:rPr>
          <w:rFonts w:eastAsia="Calibri"/>
          <w:kern w:val="11"/>
          <w:lang w:val="de-DE" w:eastAsia="en-US"/>
        </w:rPr>
        <w:t>gene</w:t>
      </w:r>
      <w:r w:rsidRPr="001416ED">
        <w:rPr>
          <w:rFonts w:eastAsia="Calibri"/>
          <w:kern w:val="11"/>
          <w:lang w:val="en-US" w:eastAsia="en-US"/>
        </w:rPr>
        <w:t xml:space="preserve"> </w:t>
      </w:r>
      <w:r w:rsidRPr="001416ED">
        <w:rPr>
          <w:rFonts w:eastAsia="Calibri"/>
          <w:kern w:val="11"/>
          <w:lang w:val="de-DE" w:eastAsia="en-US"/>
        </w:rPr>
        <w:t>polymorphism</w:t>
      </w:r>
      <w:r w:rsidRPr="001416ED">
        <w:rPr>
          <w:rFonts w:eastAsia="Calibri"/>
          <w:kern w:val="11"/>
          <w:lang w:val="en-US" w:eastAsia="en-US"/>
        </w:rPr>
        <w:t xml:space="preserve"> / </w:t>
      </w:r>
      <w:r w:rsidRPr="001416ED">
        <w:rPr>
          <w:rFonts w:eastAsia="Calibri"/>
          <w:kern w:val="11"/>
          <w:lang w:val="de-DE" w:eastAsia="en-US"/>
        </w:rPr>
        <w:t>E</w:t>
      </w:r>
      <w:r w:rsidRPr="001416ED">
        <w:rPr>
          <w:rFonts w:eastAsia="Calibri"/>
          <w:kern w:val="11"/>
          <w:lang w:val="en-US" w:eastAsia="en-US"/>
        </w:rPr>
        <w:t xml:space="preserve">. </w:t>
      </w:r>
      <w:r w:rsidRPr="001416ED">
        <w:rPr>
          <w:rFonts w:eastAsia="Calibri"/>
          <w:kern w:val="11"/>
          <w:lang w:val="de-DE" w:eastAsia="en-US"/>
        </w:rPr>
        <w:t>Reissel</w:t>
      </w:r>
      <w:r w:rsidRPr="001416ED">
        <w:rPr>
          <w:rFonts w:eastAsia="Calibri"/>
          <w:kern w:val="11"/>
          <w:lang w:val="en-US" w:eastAsia="en-US"/>
        </w:rPr>
        <w:t xml:space="preserve">, </w:t>
      </w:r>
      <w:r w:rsidRPr="001416ED">
        <w:rPr>
          <w:rFonts w:eastAsia="Calibri"/>
          <w:kern w:val="11"/>
          <w:lang w:val="de-DE" w:eastAsia="en-US"/>
        </w:rPr>
        <w:t>M</w:t>
      </w:r>
      <w:r w:rsidRPr="001416ED">
        <w:rPr>
          <w:rFonts w:eastAsia="Calibri"/>
          <w:kern w:val="11"/>
          <w:lang w:val="en-US" w:eastAsia="en-US"/>
        </w:rPr>
        <w:t xml:space="preserve">. </w:t>
      </w:r>
      <w:r w:rsidRPr="001416ED">
        <w:rPr>
          <w:rFonts w:eastAsia="Calibri"/>
          <w:kern w:val="11"/>
          <w:lang w:val="de-DE" w:eastAsia="en-US"/>
        </w:rPr>
        <w:t>Perola</w:t>
      </w:r>
      <w:r w:rsidRPr="001416ED">
        <w:rPr>
          <w:rFonts w:eastAsia="Calibri"/>
          <w:kern w:val="11"/>
          <w:lang w:val="en-US" w:eastAsia="en-US"/>
        </w:rPr>
        <w:t xml:space="preserve">, </w:t>
      </w:r>
      <w:r w:rsidRPr="001416ED">
        <w:rPr>
          <w:rFonts w:eastAsia="Calibri"/>
          <w:kern w:val="11"/>
          <w:lang w:val="de-DE" w:eastAsia="en-US"/>
        </w:rPr>
        <w:t>P</w:t>
      </w:r>
      <w:r w:rsidRPr="001416ED">
        <w:rPr>
          <w:rFonts w:eastAsia="Calibri"/>
          <w:kern w:val="11"/>
          <w:lang w:val="en-US" w:eastAsia="en-US"/>
        </w:rPr>
        <w:t xml:space="preserve">. </w:t>
      </w:r>
      <w:r w:rsidRPr="001416ED">
        <w:rPr>
          <w:rFonts w:eastAsia="Calibri"/>
          <w:kern w:val="11"/>
          <w:lang w:val="de-DE" w:eastAsia="en-US"/>
        </w:rPr>
        <w:t>Koskinen</w:t>
      </w:r>
      <w:r w:rsidRPr="001416ED">
        <w:rPr>
          <w:rFonts w:eastAsia="Calibri"/>
          <w:kern w:val="11"/>
          <w:lang w:val="en-US" w:eastAsia="en-US"/>
        </w:rPr>
        <w:t xml:space="preserve"> </w:t>
      </w:r>
      <w:r w:rsidRPr="001416ED">
        <w:rPr>
          <w:rFonts w:eastAsia="Calibri"/>
          <w:kern w:val="11"/>
          <w:lang w:val="de-DE" w:eastAsia="en-US"/>
        </w:rPr>
        <w:t>[et al.]</w:t>
      </w:r>
      <w:r w:rsidRPr="001416ED">
        <w:rPr>
          <w:rFonts w:eastAsia="Calibri"/>
          <w:kern w:val="11"/>
          <w:lang w:val="en-US" w:eastAsia="en-US"/>
        </w:rPr>
        <w:t xml:space="preserve"> // </w:t>
      </w:r>
      <w:r w:rsidRPr="001416ED">
        <w:rPr>
          <w:rFonts w:eastAsia="Calibri"/>
          <w:kern w:val="11"/>
          <w:lang w:val="de-DE" w:eastAsia="en-US"/>
        </w:rPr>
        <w:t>Eur</w:t>
      </w:r>
      <w:r w:rsidRPr="001416ED">
        <w:rPr>
          <w:rFonts w:eastAsia="Calibri"/>
          <w:kern w:val="11"/>
          <w:lang w:val="en-US" w:eastAsia="en-US"/>
        </w:rPr>
        <w:t>. Heart</w:t>
      </w:r>
      <w:r w:rsidRPr="001416ED">
        <w:rPr>
          <w:rFonts w:eastAsia="Calibri"/>
          <w:kern w:val="11"/>
          <w:lang w:val="uk-UA" w:eastAsia="en-US"/>
        </w:rPr>
        <w:t xml:space="preserve">. </w:t>
      </w:r>
      <w:r w:rsidRPr="001416ED">
        <w:rPr>
          <w:rFonts w:eastAsia="Calibri"/>
          <w:kern w:val="11"/>
          <w:lang w:val="en-US" w:eastAsia="en-US"/>
        </w:rPr>
        <w:t>J</w:t>
      </w:r>
      <w:r w:rsidRPr="001416ED">
        <w:rPr>
          <w:rFonts w:eastAsia="Calibri"/>
          <w:kern w:val="11"/>
          <w:lang w:val="uk-UA" w:eastAsia="en-US"/>
        </w:rPr>
        <w:t xml:space="preserve">. – 1999. – </w:t>
      </w:r>
      <w:r w:rsidRPr="001416ED">
        <w:rPr>
          <w:rFonts w:eastAsia="Calibri"/>
          <w:kern w:val="11"/>
          <w:lang w:val="en-US" w:eastAsia="en-US"/>
        </w:rPr>
        <w:t>Vol</w:t>
      </w:r>
      <w:r w:rsidRPr="001416ED">
        <w:rPr>
          <w:rFonts w:eastAsia="Calibri"/>
          <w:kern w:val="11"/>
          <w:lang w:val="uk-UA" w:eastAsia="en-US"/>
        </w:rPr>
        <w:t xml:space="preserve">. 20.  – </w:t>
      </w:r>
      <w:r w:rsidRPr="001416ED">
        <w:rPr>
          <w:rFonts w:eastAsia="Calibri"/>
          <w:kern w:val="11"/>
          <w:lang w:val="en-US" w:eastAsia="en-US"/>
        </w:rPr>
        <w:t>P</w:t>
      </w:r>
      <w:r w:rsidRPr="001416ED">
        <w:rPr>
          <w:rFonts w:eastAsia="Calibri"/>
          <w:kern w:val="11"/>
          <w:lang w:val="uk-UA" w:eastAsia="en-US"/>
        </w:rPr>
        <w:t>.1315–1328.</w:t>
      </w:r>
      <w:r w:rsidRPr="001416ED">
        <w:rPr>
          <w:rFonts w:eastAsia="Calibri"/>
          <w:kern w:val="11"/>
          <w:lang w:val="en-US" w:eastAsia="en-US"/>
        </w:rPr>
        <w:t xml:space="preserve"> </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sz w:val="16"/>
          <w:szCs w:val="16"/>
          <w:lang w:val="uk-UA" w:eastAsia="en-US"/>
        </w:rPr>
      </w:pPr>
      <w:r w:rsidRPr="001416ED">
        <w:rPr>
          <w:rFonts w:eastAsia="PragmaticaC"/>
          <w:lang w:val="uk-UA" w:eastAsia="en-US"/>
        </w:rPr>
        <w:t>Rose R. A. C–type natriuretic peptide activates a non–selective cation current in acutely isolated rat cardiac fibroblasts via natriuretic peptide C receptor–mediated signalling / R. A. Rose, N. Hatano, S. Ohya [et al.] // J Physiol. – 2007. – №580. – Р. 255–274.</w:t>
      </w:r>
    </w:p>
    <w:p w:rsidR="005107A1" w:rsidRPr="001416ED" w:rsidRDefault="00A9327B" w:rsidP="0012229A">
      <w:pPr>
        <w:numPr>
          <w:ilvl w:val="0"/>
          <w:numId w:val="10"/>
        </w:numPr>
        <w:suppressAutoHyphens/>
        <w:spacing w:line="360" w:lineRule="auto"/>
        <w:ind w:left="0" w:firstLine="0"/>
        <w:mirrorIndents/>
        <w:jc w:val="both"/>
        <w:rPr>
          <w:rFonts w:eastAsia="Calibri"/>
          <w:kern w:val="11"/>
          <w:lang w:val="uk-UA" w:eastAsia="en-US"/>
        </w:rPr>
      </w:pPr>
      <w:hyperlink r:id="rId96" w:history="1">
        <w:r w:rsidR="005107A1" w:rsidRPr="001416ED">
          <w:rPr>
            <w:rFonts w:eastAsia="Calibri"/>
            <w:kern w:val="11"/>
            <w:lang w:val="uk-UA" w:eastAsia="en-US"/>
          </w:rPr>
          <w:t>Sander G. E</w:t>
        </w:r>
      </w:hyperlink>
      <w:r w:rsidR="005107A1" w:rsidRPr="001416ED">
        <w:rPr>
          <w:rFonts w:eastAsia="Calibri"/>
          <w:kern w:val="11"/>
          <w:lang w:val="uk-UA" w:eastAsia="en-US"/>
        </w:rPr>
        <w:t xml:space="preserve">. Hypertension and lipids: lipid factors in the hypertension syndrome  / G. E. </w:t>
      </w:r>
      <w:hyperlink r:id="rId97" w:history="1">
        <w:r w:rsidR="005107A1" w:rsidRPr="001416ED">
          <w:rPr>
            <w:rFonts w:eastAsia="Calibri"/>
            <w:kern w:val="11"/>
            <w:lang w:val="uk-UA" w:eastAsia="en-US"/>
          </w:rPr>
          <w:t>Sander</w:t>
        </w:r>
        <w:r w:rsidR="005107A1" w:rsidRPr="001416ED">
          <w:rPr>
            <w:rFonts w:eastAsia="Calibri"/>
            <w:kern w:val="11"/>
            <w:lang w:val="en-US" w:eastAsia="en-US"/>
          </w:rPr>
          <w:t>,</w:t>
        </w:r>
        <w:r w:rsidR="005107A1" w:rsidRPr="001416ED">
          <w:rPr>
            <w:rFonts w:eastAsia="Calibri"/>
            <w:kern w:val="11"/>
            <w:lang w:val="uk-UA" w:eastAsia="en-US"/>
          </w:rPr>
          <w:t xml:space="preserve"> </w:t>
        </w:r>
      </w:hyperlink>
      <w:r w:rsidR="005107A1" w:rsidRPr="001416ED">
        <w:rPr>
          <w:rFonts w:eastAsia="Calibri"/>
          <w:kern w:val="11"/>
          <w:lang w:val="uk-UA" w:eastAsia="en-US"/>
        </w:rPr>
        <w:t xml:space="preserve">T. D. </w:t>
      </w:r>
      <w:hyperlink r:id="rId98" w:history="1">
        <w:r w:rsidR="005107A1" w:rsidRPr="001416ED">
          <w:rPr>
            <w:rFonts w:eastAsia="Calibri"/>
            <w:kern w:val="11"/>
            <w:lang w:val="uk-UA" w:eastAsia="en-US"/>
          </w:rPr>
          <w:t>Giles</w:t>
        </w:r>
      </w:hyperlink>
      <w:r w:rsidR="005107A1" w:rsidRPr="001416ED">
        <w:rPr>
          <w:rFonts w:eastAsia="Calibri"/>
          <w:kern w:val="11"/>
          <w:lang w:val="uk-UA" w:eastAsia="en-US"/>
        </w:rPr>
        <w:t xml:space="preserve"> // Curr Hypertens Rep. – 20</w:t>
      </w:r>
      <w:r w:rsidR="005107A1" w:rsidRPr="001416ED">
        <w:rPr>
          <w:rFonts w:eastAsia="Calibri"/>
          <w:kern w:val="11"/>
          <w:lang w:val="en-US" w:eastAsia="en-US"/>
        </w:rPr>
        <w:t>1</w:t>
      </w:r>
      <w:r w:rsidR="005107A1" w:rsidRPr="001416ED">
        <w:rPr>
          <w:rFonts w:eastAsia="Calibri"/>
          <w:kern w:val="11"/>
          <w:lang w:val="uk-UA" w:eastAsia="en-US"/>
        </w:rPr>
        <w:t>2. – Vol. 4</w:t>
      </w:r>
      <w:r w:rsidR="005107A1" w:rsidRPr="001416ED">
        <w:rPr>
          <w:rFonts w:eastAsia="Calibri"/>
          <w:kern w:val="11"/>
          <w:lang w:val="en-US" w:eastAsia="en-US"/>
        </w:rPr>
        <w:t xml:space="preserve"> </w:t>
      </w:r>
      <w:r w:rsidR="005107A1" w:rsidRPr="001416ED">
        <w:rPr>
          <w:rFonts w:eastAsia="Calibri"/>
          <w:kern w:val="11"/>
          <w:lang w:val="uk-UA" w:eastAsia="en-US"/>
        </w:rPr>
        <w:t>(6). – P.458–63.</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rPr>
          <w:rFonts w:eastAsia="TimesNewRomanPSMT"/>
          <w:sz w:val="18"/>
          <w:szCs w:val="18"/>
          <w:lang w:val="uk-UA" w:eastAsia="en-US"/>
        </w:rPr>
      </w:pPr>
      <w:r w:rsidRPr="001416ED">
        <w:rPr>
          <w:rFonts w:eastAsia="Calibri"/>
          <w:kern w:val="11"/>
          <w:lang w:val="uk-UA" w:eastAsia="uk-UA"/>
        </w:rPr>
        <w:t>Schmid–Schonbein G. W. Mechanism of leukocyte activation in the circulation / G. W. Schmid–Schonbein, B. W. Zweifach, Z. Moazzam // Atherosclerosis. – 1997. – Vol. 131 (Issue SI). – P. 23–25.</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PragmaticaC"/>
          <w:lang w:val="uk-UA" w:eastAsia="en-US"/>
        </w:rPr>
      </w:pPr>
      <w:r w:rsidRPr="001416ED">
        <w:rPr>
          <w:rFonts w:eastAsia="PragmaticaC"/>
          <w:bCs/>
          <w:lang w:val="uk-UA" w:eastAsia="en-US"/>
        </w:rPr>
        <w:t>Senol S.</w:t>
      </w:r>
      <w:r w:rsidRPr="001416ED">
        <w:rPr>
          <w:rFonts w:eastAsia="Calibri"/>
          <w:kern w:val="11"/>
          <w:sz w:val="11"/>
          <w:szCs w:val="11"/>
          <w:lang w:val="uk-UA" w:eastAsia="en-US"/>
        </w:rPr>
        <w:t xml:space="preserve"> </w:t>
      </w:r>
      <w:r w:rsidRPr="001416ED">
        <w:rPr>
          <w:rFonts w:eastAsia="PragmaticaC"/>
          <w:bCs/>
          <w:lang w:val="uk-UA" w:eastAsia="en-US"/>
        </w:rPr>
        <w:t xml:space="preserve">Endothelin–1 Gene Polymorphism in Preoperative Myocardial Infarction with /or without Coronary Artery Bypass Graft / S. Senol, I. Akar, K. Kargün [et al.] // Int J Hum Genet. – 2014. – </w:t>
      </w:r>
      <w:r w:rsidRPr="001416ED">
        <w:rPr>
          <w:rFonts w:eastAsia="PragmaticaC"/>
          <w:bCs/>
          <w:lang w:val="en-US" w:eastAsia="en-US"/>
        </w:rPr>
        <w:t>Vol.</w:t>
      </w:r>
      <w:r w:rsidRPr="001416ED">
        <w:rPr>
          <w:rFonts w:eastAsia="PragmaticaC"/>
          <w:bCs/>
          <w:lang w:val="uk-UA" w:eastAsia="en-US"/>
        </w:rPr>
        <w:t xml:space="preserve"> 14 (3,4). – Р. 183–187.</w:t>
      </w:r>
    </w:p>
    <w:p w:rsidR="005107A1" w:rsidRPr="001416ED" w:rsidRDefault="005107A1" w:rsidP="0012229A">
      <w:pPr>
        <w:numPr>
          <w:ilvl w:val="0"/>
          <w:numId w:val="10"/>
        </w:numPr>
        <w:tabs>
          <w:tab w:val="left" w:pos="709"/>
        </w:tabs>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t>Sontakke B</w:t>
      </w:r>
      <w:r w:rsidRPr="001416ED">
        <w:rPr>
          <w:rFonts w:eastAsia="Calibri"/>
          <w:kern w:val="11"/>
          <w:lang w:val="en-US" w:eastAsia="en-US"/>
        </w:rPr>
        <w:t>.</w:t>
      </w:r>
      <w:r w:rsidRPr="001416ED">
        <w:rPr>
          <w:rFonts w:eastAsia="Calibri"/>
          <w:kern w:val="11"/>
          <w:lang w:val="uk-UA" w:eastAsia="en-US"/>
        </w:rPr>
        <w:t>R</w:t>
      </w:r>
      <w:r w:rsidRPr="001416ED">
        <w:rPr>
          <w:rFonts w:eastAsia="Calibri"/>
          <w:kern w:val="11"/>
          <w:lang w:val="en-US" w:eastAsia="en-US"/>
        </w:rPr>
        <w:t>.</w:t>
      </w:r>
      <w:r w:rsidRPr="001416ED">
        <w:rPr>
          <w:rFonts w:eastAsia="Calibri"/>
          <w:kern w:val="11"/>
          <w:lang w:val="uk-UA" w:eastAsia="en-US"/>
        </w:rPr>
        <w:t xml:space="preserve"> </w:t>
      </w:r>
      <w:r w:rsidRPr="001416ED">
        <w:rPr>
          <w:rFonts w:eastAsia="Calibri"/>
          <w:kern w:val="11"/>
          <w:lang w:val="en-US" w:eastAsia="en-US"/>
        </w:rPr>
        <w:t xml:space="preserve">Dermatoglyphic pattern in male infertility / </w:t>
      </w:r>
      <w:r w:rsidRPr="001416ED">
        <w:rPr>
          <w:rFonts w:eastAsia="Calibri"/>
          <w:kern w:val="11"/>
          <w:lang w:val="uk-UA" w:eastAsia="en-US"/>
        </w:rPr>
        <w:t>B</w:t>
      </w:r>
      <w:r w:rsidRPr="001416ED">
        <w:rPr>
          <w:rFonts w:eastAsia="Calibri"/>
          <w:kern w:val="11"/>
          <w:lang w:val="en-US" w:eastAsia="en-US"/>
        </w:rPr>
        <w:t xml:space="preserve">. </w:t>
      </w:r>
      <w:r w:rsidRPr="001416ED">
        <w:rPr>
          <w:rFonts w:eastAsia="Calibri"/>
          <w:kern w:val="11"/>
          <w:lang w:val="uk-UA" w:eastAsia="en-US"/>
        </w:rPr>
        <w:t>R</w:t>
      </w:r>
      <w:r w:rsidRPr="001416ED">
        <w:rPr>
          <w:rFonts w:eastAsia="Calibri"/>
          <w:kern w:val="11"/>
          <w:lang w:val="en-US" w:eastAsia="en-US"/>
        </w:rPr>
        <w:t>.</w:t>
      </w:r>
      <w:r w:rsidRPr="001416ED">
        <w:rPr>
          <w:rFonts w:eastAsia="Calibri"/>
          <w:kern w:val="11"/>
          <w:lang w:val="uk-UA" w:eastAsia="en-US"/>
        </w:rPr>
        <w:t xml:space="preserve"> Sontakke</w:t>
      </w:r>
      <w:r w:rsidRPr="001416ED">
        <w:rPr>
          <w:rFonts w:eastAsia="Calibri"/>
          <w:kern w:val="11"/>
          <w:lang w:val="en-US" w:eastAsia="en-US"/>
        </w:rPr>
        <w:t>,</w:t>
      </w:r>
      <w:r w:rsidRPr="001416ED">
        <w:rPr>
          <w:rFonts w:eastAsia="Calibri"/>
          <w:kern w:val="11"/>
          <w:lang w:val="uk-UA" w:eastAsia="en-US"/>
        </w:rPr>
        <w:t xml:space="preserve"> S</w:t>
      </w:r>
      <w:r w:rsidRPr="001416ED">
        <w:rPr>
          <w:rFonts w:eastAsia="Calibri"/>
          <w:kern w:val="11"/>
          <w:lang w:val="en-US" w:eastAsia="en-US"/>
        </w:rPr>
        <w:t>.</w:t>
      </w:r>
      <w:r w:rsidRPr="001416ED">
        <w:rPr>
          <w:rFonts w:eastAsia="Calibri"/>
          <w:kern w:val="11"/>
          <w:lang w:val="uk-UA" w:eastAsia="en-US"/>
        </w:rPr>
        <w:t xml:space="preserve"> Talhar, I</w:t>
      </w:r>
      <w:r w:rsidRPr="001416ED">
        <w:rPr>
          <w:rFonts w:eastAsia="Calibri"/>
          <w:kern w:val="11"/>
          <w:lang w:val="en-US" w:eastAsia="en-US"/>
        </w:rPr>
        <w:t xml:space="preserve">. </w:t>
      </w:r>
      <w:r w:rsidRPr="001416ED">
        <w:rPr>
          <w:rFonts w:eastAsia="Calibri"/>
          <w:kern w:val="11"/>
          <w:lang w:val="uk-UA" w:eastAsia="en-US"/>
        </w:rPr>
        <w:t>V</w:t>
      </w:r>
      <w:r w:rsidRPr="001416ED">
        <w:rPr>
          <w:rFonts w:eastAsia="Calibri"/>
          <w:kern w:val="11"/>
          <w:lang w:val="en-US" w:eastAsia="en-US"/>
        </w:rPr>
        <w:t>.</w:t>
      </w:r>
      <w:r w:rsidRPr="001416ED">
        <w:rPr>
          <w:rFonts w:eastAsia="Calibri"/>
          <w:kern w:val="11"/>
          <w:lang w:val="uk-UA" w:eastAsia="en-US"/>
        </w:rPr>
        <w:t xml:space="preserve"> Ingole </w:t>
      </w:r>
      <w:r w:rsidRPr="001416ED">
        <w:rPr>
          <w:rFonts w:eastAsia="Calibri"/>
          <w:kern w:val="11"/>
          <w:lang w:val="en-US" w:eastAsia="en-US"/>
        </w:rPr>
        <w:t>[</w:t>
      </w:r>
      <w:r w:rsidRPr="001416ED">
        <w:rPr>
          <w:rFonts w:eastAsia="Calibri"/>
          <w:kern w:val="11"/>
          <w:lang w:val="uk-UA" w:eastAsia="en-US"/>
        </w:rPr>
        <w:t>et al.</w:t>
      </w:r>
      <w:r w:rsidRPr="001416ED">
        <w:rPr>
          <w:rFonts w:eastAsia="Calibri"/>
          <w:kern w:val="11"/>
          <w:lang w:val="en-US" w:eastAsia="en-US"/>
        </w:rPr>
        <w:t xml:space="preserve">] // </w:t>
      </w:r>
      <w:r w:rsidRPr="001416ED">
        <w:rPr>
          <w:rFonts w:eastAsia="Calibri"/>
          <w:iCs/>
          <w:kern w:val="11"/>
          <w:lang w:val="uk-UA" w:eastAsia="en-US"/>
        </w:rPr>
        <w:t>Nepal Med Coll J</w:t>
      </w:r>
      <w:r w:rsidRPr="001416ED">
        <w:rPr>
          <w:rFonts w:eastAsia="Calibri"/>
          <w:iCs/>
          <w:kern w:val="11"/>
          <w:lang w:val="en-US" w:eastAsia="en-US"/>
        </w:rPr>
        <w:t xml:space="preserve">. – </w:t>
      </w:r>
      <w:r w:rsidRPr="001416ED">
        <w:rPr>
          <w:rFonts w:eastAsia="Calibri"/>
          <w:iCs/>
          <w:kern w:val="11"/>
          <w:lang w:val="uk-UA" w:eastAsia="en-US"/>
        </w:rPr>
        <w:t>2013</w:t>
      </w:r>
      <w:r w:rsidRPr="001416ED">
        <w:rPr>
          <w:rFonts w:eastAsia="Calibri"/>
          <w:iCs/>
          <w:kern w:val="11"/>
          <w:lang w:val="en-US" w:eastAsia="en-US"/>
        </w:rPr>
        <w:t xml:space="preserve">. – </w:t>
      </w:r>
      <w:r w:rsidRPr="001416ED">
        <w:rPr>
          <w:rFonts w:eastAsia="Calibri"/>
          <w:kern w:val="11"/>
          <w:shd w:val="clear" w:color="auto" w:fill="FFFFFF"/>
          <w:lang w:val="en-US" w:eastAsia="en-US"/>
        </w:rPr>
        <w:t>Vol</w:t>
      </w:r>
      <w:r w:rsidRPr="001416ED">
        <w:rPr>
          <w:rFonts w:eastAsia="Calibri"/>
          <w:kern w:val="11"/>
          <w:shd w:val="clear" w:color="auto" w:fill="FFFFFF"/>
          <w:lang w:val="uk-UA" w:eastAsia="en-US"/>
        </w:rPr>
        <w:t>. 15</w:t>
      </w:r>
      <w:r w:rsidRPr="001416ED">
        <w:rPr>
          <w:rFonts w:eastAsia="Calibri"/>
          <w:kern w:val="11"/>
          <w:shd w:val="clear" w:color="auto" w:fill="FFFFFF"/>
          <w:lang w:val="en-US" w:eastAsia="en-US"/>
        </w:rPr>
        <w:t xml:space="preserve"> (2)</w:t>
      </w:r>
      <w:r w:rsidRPr="001416ED">
        <w:rPr>
          <w:rFonts w:eastAsia="Calibri"/>
          <w:kern w:val="11"/>
          <w:shd w:val="clear" w:color="auto" w:fill="FFFFFF"/>
          <w:lang w:val="uk-UA" w:eastAsia="en-US"/>
        </w:rPr>
        <w:t xml:space="preserve">. – Р. </w:t>
      </w:r>
      <w:r w:rsidRPr="001416ED">
        <w:rPr>
          <w:rFonts w:eastAsia="Calibri"/>
          <w:kern w:val="11"/>
          <w:shd w:val="clear" w:color="auto" w:fill="FFFFFF"/>
          <w:lang w:val="en-US" w:eastAsia="en-US"/>
        </w:rPr>
        <w:t>106</w:t>
      </w:r>
      <w:r w:rsidRPr="001416ED">
        <w:rPr>
          <w:rFonts w:eastAsia="Calibri"/>
          <w:kern w:val="11"/>
          <w:shd w:val="clear" w:color="auto" w:fill="FFFFFF"/>
          <w:lang w:val="uk-UA" w:eastAsia="en-US"/>
        </w:rPr>
        <w:t>–</w:t>
      </w:r>
      <w:r w:rsidRPr="001416ED">
        <w:rPr>
          <w:rFonts w:eastAsia="Calibri"/>
          <w:kern w:val="11"/>
          <w:shd w:val="clear" w:color="auto" w:fill="FFFFFF"/>
          <w:lang w:val="en-US" w:eastAsia="en-US"/>
        </w:rPr>
        <w:t>109</w:t>
      </w:r>
      <w:r w:rsidRPr="001416ED">
        <w:rPr>
          <w:rFonts w:eastAsia="Calibri"/>
          <w:kern w:val="11"/>
          <w:shd w:val="clear" w:color="auto" w:fill="FFFFFF"/>
          <w:lang w:val="uk-UA" w:eastAsia="en-US"/>
        </w:rPr>
        <w:t>.</w:t>
      </w:r>
    </w:p>
    <w:p w:rsidR="005107A1" w:rsidRPr="001416ED" w:rsidRDefault="005107A1" w:rsidP="0012229A">
      <w:pPr>
        <w:numPr>
          <w:ilvl w:val="0"/>
          <w:numId w:val="10"/>
        </w:numPr>
        <w:spacing w:after="200" w:line="360" w:lineRule="auto"/>
        <w:ind w:left="0" w:firstLine="0"/>
        <w:contextualSpacing/>
        <w:mirrorIndents/>
        <w:jc w:val="both"/>
        <w:textAlignment w:val="baseline"/>
        <w:rPr>
          <w:rFonts w:eastAsia="Calibri"/>
          <w:kern w:val="11"/>
          <w:lang w:val="uk-UA" w:eastAsia="uk-UA"/>
        </w:rPr>
      </w:pPr>
      <w:r w:rsidRPr="001416ED">
        <w:rPr>
          <w:rFonts w:eastAsia="Calibri"/>
          <w:bCs/>
          <w:kern w:val="11"/>
          <w:lang w:val="uk-UA" w:eastAsia="en-US"/>
        </w:rPr>
        <w:lastRenderedPageBreak/>
        <w:t xml:space="preserve">Stauffer L. Brian. Sex differences in endothelin–1–mediated vasoconstrictor tone in middle–aged and older adults / Brian L. Stauffer, Christian M. Westby, Jared J. Greiner </w:t>
      </w:r>
      <w:r w:rsidRPr="001416ED">
        <w:rPr>
          <w:rFonts w:eastAsia="Calibri"/>
          <w:bCs/>
          <w:kern w:val="11"/>
          <w:lang w:val="en-US" w:eastAsia="en-US"/>
        </w:rPr>
        <w:t>[</w:t>
      </w:r>
      <w:r w:rsidRPr="001416ED">
        <w:rPr>
          <w:rFonts w:eastAsia="Calibri"/>
          <w:bCs/>
          <w:kern w:val="11"/>
          <w:lang w:val="uk-UA" w:eastAsia="en-US"/>
        </w:rPr>
        <w:t>et al.</w:t>
      </w:r>
      <w:r w:rsidRPr="001416ED">
        <w:rPr>
          <w:rFonts w:eastAsia="Calibri"/>
          <w:bCs/>
          <w:kern w:val="11"/>
          <w:lang w:val="en-US" w:eastAsia="en-US"/>
        </w:rPr>
        <w:t>]</w:t>
      </w:r>
      <w:r w:rsidRPr="001416ED">
        <w:rPr>
          <w:rFonts w:eastAsia="Calibri"/>
          <w:bCs/>
          <w:kern w:val="11"/>
          <w:lang w:val="uk-UA" w:eastAsia="en-US"/>
        </w:rPr>
        <w:t xml:space="preserve"> // </w:t>
      </w:r>
      <w:r w:rsidRPr="001416ED">
        <w:rPr>
          <w:rFonts w:eastAsia="Calibri"/>
          <w:iCs/>
          <w:kern w:val="11"/>
          <w:lang w:val="uk-UA" w:eastAsia="en-US"/>
        </w:rPr>
        <w:t>Am J Physiol Regul Integr Comp Physiol</w:t>
      </w:r>
      <w:r w:rsidRPr="001416ED">
        <w:rPr>
          <w:rFonts w:eastAsia="Calibri"/>
          <w:iCs/>
          <w:kern w:val="11"/>
          <w:lang w:val="uk-UA" w:eastAsia="uk-UA"/>
        </w:rPr>
        <w:t xml:space="preserve">. – 2010. </w:t>
      </w:r>
      <w:r w:rsidR="00FC322E" w:rsidRPr="001416ED">
        <w:rPr>
          <w:rFonts w:eastAsia="Calibri"/>
          <w:iCs/>
          <w:kern w:val="11"/>
          <w:lang w:val="uk-UA" w:eastAsia="uk-UA"/>
        </w:rPr>
        <w:t xml:space="preserve">– Vol. 13. – </w:t>
      </w:r>
      <w:r w:rsidRPr="001416ED">
        <w:rPr>
          <w:rFonts w:eastAsia="Calibri"/>
          <w:iCs/>
          <w:kern w:val="11"/>
          <w:lang w:val="uk-UA" w:eastAsia="uk-UA"/>
        </w:rPr>
        <w:t>P. 37–42.</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sz w:val="18"/>
          <w:szCs w:val="18"/>
          <w:lang w:val="uk-UA" w:eastAsia="en-US"/>
        </w:rPr>
      </w:pPr>
      <w:r w:rsidRPr="001416ED">
        <w:rPr>
          <w:rFonts w:eastAsia="Calibri"/>
          <w:iCs/>
          <w:lang w:val="uk-UA" w:eastAsia="en-US"/>
        </w:rPr>
        <w:t xml:space="preserve">Stingo A. J. </w:t>
      </w:r>
      <w:r w:rsidRPr="001416ED">
        <w:rPr>
          <w:rFonts w:eastAsia="Calibri"/>
          <w:lang w:val="uk-UA" w:eastAsia="en-US"/>
        </w:rPr>
        <w:t>Presence of C</w:t>
      </w:r>
      <w:r w:rsidRPr="001416ED">
        <w:rPr>
          <w:rFonts w:eastAsia="Calibri"/>
          <w:lang w:val="en-US" w:eastAsia="en-US"/>
        </w:rPr>
        <w:t>-</w:t>
      </w:r>
      <w:r w:rsidRPr="001416ED">
        <w:rPr>
          <w:rFonts w:eastAsia="Calibri"/>
          <w:lang w:val="uk-UA" w:eastAsia="en-US"/>
        </w:rPr>
        <w:t>type natriuretic peptide in cultured human endothelial cells and plasma</w:t>
      </w:r>
      <w:r w:rsidRPr="001416ED">
        <w:rPr>
          <w:rFonts w:eastAsia="Calibri"/>
          <w:lang w:val="en-US" w:eastAsia="en-US"/>
        </w:rPr>
        <w:t xml:space="preserve"> /</w:t>
      </w:r>
      <w:r w:rsidRPr="001416ED">
        <w:rPr>
          <w:rFonts w:eastAsia="Calibri"/>
          <w:iCs/>
          <w:lang w:val="uk-UA" w:eastAsia="en-US"/>
        </w:rPr>
        <w:t xml:space="preserve"> A. J. Stingo, A. L. Clavell, D. M. Heublein </w:t>
      </w:r>
      <w:r w:rsidRPr="001416ED">
        <w:rPr>
          <w:rFonts w:eastAsia="Calibri"/>
          <w:iCs/>
          <w:lang w:val="en-US" w:eastAsia="en-US"/>
        </w:rPr>
        <w:t>[</w:t>
      </w:r>
      <w:r w:rsidRPr="001416ED">
        <w:rPr>
          <w:rFonts w:eastAsia="Calibri"/>
          <w:iCs/>
          <w:lang w:val="uk-UA" w:eastAsia="en-US"/>
        </w:rPr>
        <w:t>et al</w:t>
      </w:r>
      <w:r w:rsidRPr="001416ED">
        <w:rPr>
          <w:rFonts w:eastAsia="Calibri"/>
          <w:lang w:val="uk-UA" w:eastAsia="en-US"/>
        </w:rPr>
        <w:t>.</w:t>
      </w:r>
      <w:r w:rsidRPr="001416ED">
        <w:rPr>
          <w:rFonts w:eastAsia="Calibri"/>
          <w:lang w:val="en-US" w:eastAsia="en-US"/>
        </w:rPr>
        <w:t>]</w:t>
      </w:r>
      <w:r w:rsidRPr="001416ED">
        <w:rPr>
          <w:rFonts w:eastAsia="Calibri"/>
          <w:lang w:val="uk-UA" w:eastAsia="en-US"/>
        </w:rPr>
        <w:t xml:space="preserve"> // Am J Physiol. – 1992. – </w:t>
      </w:r>
      <w:r w:rsidRPr="001416ED">
        <w:rPr>
          <w:rFonts w:eastAsia="Calibri"/>
          <w:bCs/>
          <w:lang w:val="en-US" w:eastAsia="en-US"/>
        </w:rPr>
        <w:t>Vol</w:t>
      </w:r>
      <w:r w:rsidRPr="001416ED">
        <w:rPr>
          <w:rFonts w:eastAsia="Calibri"/>
          <w:lang w:val="uk-UA" w:eastAsia="en-US"/>
        </w:rPr>
        <w:t>. 263. – Р. 1318–1321.</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MyriadPro-Regular"/>
          <w:lang w:val="uk-UA" w:eastAsia="en-US"/>
        </w:rPr>
      </w:pPr>
      <w:r w:rsidRPr="001416ED">
        <w:rPr>
          <w:rFonts w:eastAsia="Calibri"/>
          <w:iCs/>
          <w:lang w:val="uk-UA" w:eastAsia="en-US"/>
        </w:rPr>
        <w:t xml:space="preserve">Suga S. </w:t>
      </w:r>
      <w:r w:rsidRPr="001416ED">
        <w:rPr>
          <w:rFonts w:eastAsia="Calibri"/>
          <w:lang w:val="uk-UA" w:eastAsia="en-US"/>
        </w:rPr>
        <w:t>Cytokine–induced C–type natriuretic peptide (CNP) secretion from vascular endothelial cells–evidence for CNP as a novel autocrine/paracrine regulator from endothelia</w:t>
      </w:r>
      <w:r w:rsidRPr="001416ED">
        <w:rPr>
          <w:rFonts w:eastAsia="TimesNewRomanPSMT"/>
          <w:lang w:val="uk-UA" w:eastAsia="en-US"/>
        </w:rPr>
        <w:t>l cells</w:t>
      </w:r>
      <w:r w:rsidRPr="001416ED">
        <w:rPr>
          <w:rFonts w:eastAsia="TimesNewRomanPSMT"/>
          <w:lang w:val="en-US" w:eastAsia="en-US"/>
        </w:rPr>
        <w:t xml:space="preserve"> </w:t>
      </w:r>
      <w:r w:rsidRPr="001416ED">
        <w:rPr>
          <w:rFonts w:eastAsia="Calibri"/>
          <w:iCs/>
          <w:lang w:val="uk-UA" w:eastAsia="en-US"/>
        </w:rPr>
        <w:t xml:space="preserve">/ S. Suga, H. Itoh, Y. Komatsu </w:t>
      </w:r>
      <w:r w:rsidRPr="001416ED">
        <w:rPr>
          <w:rFonts w:eastAsia="Calibri"/>
          <w:iCs/>
          <w:lang w:val="en-US" w:eastAsia="en-US"/>
        </w:rPr>
        <w:t>[</w:t>
      </w:r>
      <w:r w:rsidRPr="001416ED">
        <w:rPr>
          <w:rFonts w:eastAsia="Calibri"/>
          <w:iCs/>
          <w:lang w:val="uk-UA" w:eastAsia="en-US"/>
        </w:rPr>
        <w:t>et al.</w:t>
      </w:r>
      <w:r w:rsidRPr="001416ED">
        <w:rPr>
          <w:rFonts w:eastAsia="Calibri"/>
          <w:iCs/>
          <w:lang w:val="en-US" w:eastAsia="en-US"/>
        </w:rPr>
        <w:t>]</w:t>
      </w:r>
      <w:r w:rsidRPr="001416ED">
        <w:rPr>
          <w:rFonts w:eastAsia="Calibri"/>
          <w:iCs/>
          <w:lang w:val="uk-UA" w:eastAsia="en-US"/>
        </w:rPr>
        <w:t xml:space="preserve"> </w:t>
      </w:r>
      <w:r w:rsidRPr="001416ED">
        <w:rPr>
          <w:rFonts w:eastAsia="TimesNewRomanPSMT"/>
          <w:lang w:val="uk-UA" w:eastAsia="en-US"/>
        </w:rPr>
        <w:t xml:space="preserve">// </w:t>
      </w:r>
      <w:r w:rsidRPr="001416ED">
        <w:rPr>
          <w:rFonts w:eastAsia="Calibri"/>
          <w:lang w:val="uk-UA" w:eastAsia="en-US"/>
        </w:rPr>
        <w:t>Endocrinology</w:t>
      </w:r>
      <w:r w:rsidRPr="001416ED">
        <w:rPr>
          <w:rFonts w:eastAsia="TimesNewRomanPSMT"/>
          <w:lang w:val="uk-UA" w:eastAsia="en-US"/>
        </w:rPr>
        <w:t xml:space="preserve">. – </w:t>
      </w:r>
      <w:r w:rsidRPr="001416ED">
        <w:rPr>
          <w:rFonts w:eastAsia="Calibri"/>
          <w:lang w:val="uk-UA" w:eastAsia="en-US"/>
        </w:rPr>
        <w:t xml:space="preserve">1993. – </w:t>
      </w:r>
      <w:r w:rsidRPr="001416ED">
        <w:rPr>
          <w:rFonts w:eastAsia="MyriadPro-Regular"/>
          <w:lang w:val="uk-UA" w:eastAsia="en-US"/>
        </w:rPr>
        <w:t>Vol.</w:t>
      </w:r>
      <w:r w:rsidRPr="001416ED">
        <w:rPr>
          <w:rFonts w:eastAsia="MyriadPro-Regular"/>
          <w:lang w:val="en-US" w:eastAsia="en-US"/>
        </w:rPr>
        <w:t xml:space="preserve"> </w:t>
      </w:r>
      <w:r w:rsidRPr="001416ED">
        <w:rPr>
          <w:rFonts w:eastAsia="Calibri"/>
          <w:lang w:val="uk-UA" w:eastAsia="en-US"/>
        </w:rPr>
        <w:t xml:space="preserve">133. – </w:t>
      </w:r>
      <w:r w:rsidRPr="001416ED">
        <w:rPr>
          <w:rFonts w:eastAsia="TimesNewRomanPSMT"/>
          <w:lang w:val="uk-UA" w:eastAsia="en-US"/>
        </w:rPr>
        <w:t xml:space="preserve"> </w:t>
      </w:r>
      <w:r w:rsidRPr="001416ED">
        <w:rPr>
          <w:rFonts w:eastAsia="Calibri"/>
          <w:lang w:val="uk-UA" w:eastAsia="en-US"/>
        </w:rPr>
        <w:t>Р. 3038–3041.</w:t>
      </w:r>
    </w:p>
    <w:p w:rsidR="005107A1" w:rsidRPr="001416ED" w:rsidRDefault="005107A1" w:rsidP="0012229A">
      <w:pPr>
        <w:numPr>
          <w:ilvl w:val="0"/>
          <w:numId w:val="10"/>
        </w:numPr>
        <w:autoSpaceDE w:val="0"/>
        <w:autoSpaceDN w:val="0"/>
        <w:adjustRightInd w:val="0"/>
        <w:spacing w:after="200" w:line="360" w:lineRule="auto"/>
        <w:ind w:left="0" w:firstLine="0"/>
        <w:contextualSpacing/>
        <w:mirrorIndents/>
        <w:jc w:val="both"/>
        <w:rPr>
          <w:rFonts w:eastAsia="Calibri"/>
          <w:kern w:val="11"/>
          <w:lang w:val="uk-UA" w:eastAsia="en-US"/>
        </w:rPr>
      </w:pPr>
      <w:r w:rsidRPr="001416ED">
        <w:rPr>
          <w:rFonts w:eastAsia="Calibri"/>
          <w:kern w:val="11"/>
          <w:lang w:val="uk-UA" w:eastAsia="en-US"/>
        </w:rPr>
        <w:t>Tafazoli M.</w:t>
      </w:r>
      <w:r w:rsidRPr="001416ED">
        <w:rPr>
          <w:rFonts w:eastAsia="Calibri"/>
          <w:sz w:val="24"/>
          <w:szCs w:val="24"/>
          <w:lang w:val="uk-UA" w:eastAsia="en-US"/>
        </w:rPr>
        <w:t xml:space="preserve"> </w:t>
      </w:r>
      <w:r w:rsidRPr="001416ED">
        <w:rPr>
          <w:rFonts w:eastAsia="Calibri"/>
          <w:bCs/>
          <w:kern w:val="11"/>
          <w:lang w:val="uk-UA" w:eastAsia="en-US"/>
        </w:rPr>
        <w:t xml:space="preserve">The Study of Dermatoglyphic Patterns and Distribution of the Minutiae in Inherited Essential Hypertension Disease / M. Tafazoli, S. R. Dezfooli, N. M. Shahri [et al.] // Current Research Journal of Biological Sciences. –  2013. – </w:t>
      </w:r>
      <w:r w:rsidRPr="001416ED">
        <w:rPr>
          <w:rFonts w:eastAsia="Calibri"/>
          <w:bCs/>
          <w:iCs/>
          <w:kern w:val="11"/>
          <w:lang w:val="en-US" w:eastAsia="en-US"/>
        </w:rPr>
        <w:t>Vol.</w:t>
      </w:r>
      <w:r w:rsidRPr="001416ED">
        <w:rPr>
          <w:rFonts w:eastAsia="Calibri"/>
          <w:bCs/>
          <w:iCs/>
          <w:kern w:val="11"/>
          <w:lang w:val="uk-UA" w:eastAsia="en-US"/>
        </w:rPr>
        <w:t> </w:t>
      </w:r>
      <w:r w:rsidRPr="001416ED">
        <w:rPr>
          <w:rFonts w:eastAsia="Calibri"/>
          <w:bCs/>
          <w:kern w:val="11"/>
          <w:lang w:val="uk-UA" w:eastAsia="en-US"/>
        </w:rPr>
        <w:t>5</w:t>
      </w:r>
      <w:r w:rsidRPr="001416ED">
        <w:rPr>
          <w:rFonts w:eastAsia="Calibri"/>
          <w:bCs/>
          <w:kern w:val="11"/>
          <w:lang w:val="en-US" w:eastAsia="en-US"/>
        </w:rPr>
        <w:t xml:space="preserve"> </w:t>
      </w:r>
      <w:r w:rsidRPr="001416ED">
        <w:rPr>
          <w:rFonts w:eastAsia="Calibri"/>
          <w:bCs/>
          <w:kern w:val="11"/>
          <w:lang w:val="uk-UA" w:eastAsia="en-US"/>
        </w:rPr>
        <w:t xml:space="preserve">(6). – Р. 252–261. </w:t>
      </w:r>
    </w:p>
    <w:p w:rsidR="005107A1" w:rsidRPr="001416ED" w:rsidRDefault="005107A1" w:rsidP="0012229A">
      <w:pPr>
        <w:numPr>
          <w:ilvl w:val="0"/>
          <w:numId w:val="10"/>
        </w:numPr>
        <w:autoSpaceDE w:val="0"/>
        <w:autoSpaceDN w:val="0"/>
        <w:adjustRightInd w:val="0"/>
        <w:spacing w:line="360" w:lineRule="auto"/>
        <w:ind w:left="0" w:firstLine="0"/>
        <w:mirrorIndents/>
        <w:jc w:val="both"/>
        <w:rPr>
          <w:rFonts w:eastAsia="Calibri"/>
          <w:bCs/>
          <w:lang w:val="uk-UA" w:eastAsia="en-US"/>
        </w:rPr>
      </w:pPr>
      <w:r w:rsidRPr="001416ED">
        <w:rPr>
          <w:rFonts w:eastAsia="Calibri"/>
          <w:kern w:val="11"/>
          <w:lang w:val="uk-UA" w:eastAsia="en-US"/>
        </w:rPr>
        <w:t>Takahashi T. Expression of A–, B–, and C–type natriuretic peptide genes in failing and developing ventricles / T. Takahashi, P.</w:t>
      </w:r>
      <w:r w:rsidRPr="001416ED">
        <w:rPr>
          <w:rFonts w:eastAsia="Calibri"/>
          <w:kern w:val="11"/>
          <w:lang w:val="en-US" w:eastAsia="en-US"/>
        </w:rPr>
        <w:t xml:space="preserve"> </w:t>
      </w:r>
      <w:r w:rsidRPr="001416ED">
        <w:rPr>
          <w:rFonts w:eastAsia="Calibri"/>
          <w:kern w:val="11"/>
          <w:lang w:val="uk-UA" w:eastAsia="en-US"/>
        </w:rPr>
        <w:t xml:space="preserve">D. Allen, S. Izumo // Circ Res. – 1992. – </w:t>
      </w:r>
      <w:r w:rsidRPr="001416ED">
        <w:rPr>
          <w:rFonts w:eastAsia="Calibri"/>
          <w:kern w:val="11"/>
          <w:lang w:val="en-US" w:eastAsia="en-US"/>
        </w:rPr>
        <w:t>Vol</w:t>
      </w:r>
      <w:r w:rsidRPr="001416ED">
        <w:rPr>
          <w:rFonts w:eastAsia="Calibri"/>
          <w:kern w:val="11"/>
          <w:lang w:val="uk-UA" w:eastAsia="en-US"/>
        </w:rPr>
        <w:t>. 71. – Р. 9–17.</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kern w:val="11"/>
          <w:lang w:val="uk-UA" w:eastAsia="en-US"/>
        </w:rPr>
      </w:pPr>
      <w:r w:rsidRPr="001416ED">
        <w:rPr>
          <w:rFonts w:eastAsia="Calibri"/>
          <w:lang w:val="uk-UA" w:eastAsia="en-US"/>
        </w:rPr>
        <w:t>Tanaka С</w:t>
      </w:r>
      <w:r w:rsidRPr="001416ED">
        <w:rPr>
          <w:rFonts w:eastAsia="Calibri"/>
          <w:sz w:val="24"/>
          <w:szCs w:val="24"/>
          <w:lang w:val="uk-UA" w:eastAsia="en-US"/>
        </w:rPr>
        <w:t xml:space="preserve">. </w:t>
      </w:r>
      <w:r w:rsidRPr="001416ED">
        <w:rPr>
          <w:rFonts w:eastAsia="Calibri"/>
          <w:bCs/>
          <w:lang w:val="uk-UA" w:eastAsia="en-US"/>
        </w:rPr>
        <w:t xml:space="preserve">Evaluation of the Lys198Asn and 134delA Genetic Polymorphisms of the Endothelin–1 Gene / </w:t>
      </w:r>
      <w:r w:rsidRPr="001416ED">
        <w:rPr>
          <w:rFonts w:eastAsia="Calibri"/>
          <w:lang w:val="uk-UA" w:eastAsia="en-US"/>
        </w:rPr>
        <w:t>С.</w:t>
      </w:r>
      <w:r w:rsidRPr="001416ED">
        <w:rPr>
          <w:rFonts w:eastAsia="Calibri"/>
          <w:sz w:val="24"/>
          <w:szCs w:val="24"/>
          <w:lang w:val="uk-UA" w:eastAsia="en-US"/>
        </w:rPr>
        <w:t xml:space="preserve"> </w:t>
      </w:r>
      <w:r w:rsidRPr="001416ED">
        <w:rPr>
          <w:rFonts w:eastAsia="Calibri"/>
          <w:lang w:val="uk-UA" w:eastAsia="en-US"/>
        </w:rPr>
        <w:t xml:space="preserve">Tanaka, K. Kamide, S. Takiuchi </w:t>
      </w:r>
      <w:r w:rsidRPr="001416ED">
        <w:rPr>
          <w:rFonts w:eastAsia="Calibri"/>
          <w:lang w:val="en-US" w:eastAsia="en-US"/>
        </w:rPr>
        <w:t>[et al.]</w:t>
      </w:r>
      <w:r w:rsidRPr="001416ED">
        <w:rPr>
          <w:rFonts w:eastAsia="Calibri"/>
          <w:lang w:val="uk-UA" w:eastAsia="en-US"/>
        </w:rPr>
        <w:t xml:space="preserve"> // </w:t>
      </w:r>
      <w:r w:rsidRPr="001416ED">
        <w:rPr>
          <w:rFonts w:eastAsia="Calibri"/>
          <w:bCs/>
          <w:iCs/>
          <w:lang w:val="uk-UA" w:eastAsia="en-US"/>
        </w:rPr>
        <w:t xml:space="preserve">Hypertens Res. –  </w:t>
      </w:r>
      <w:r w:rsidRPr="001416ED">
        <w:rPr>
          <w:rFonts w:eastAsia="Calibri"/>
          <w:bCs/>
          <w:lang w:val="uk-UA" w:eastAsia="en-US"/>
        </w:rPr>
        <w:t>2004</w:t>
      </w:r>
      <w:r w:rsidRPr="001416ED">
        <w:rPr>
          <w:rFonts w:eastAsia="Calibri"/>
          <w:bCs/>
          <w:lang w:val="en-US" w:eastAsia="en-US"/>
        </w:rPr>
        <w:t xml:space="preserve">. </w:t>
      </w:r>
      <w:r w:rsidRPr="001416ED">
        <w:rPr>
          <w:rFonts w:eastAsia="Calibri"/>
          <w:bCs/>
          <w:lang w:val="uk-UA" w:eastAsia="en-US"/>
        </w:rPr>
        <w:t xml:space="preserve">– </w:t>
      </w:r>
      <w:r w:rsidRPr="001416ED">
        <w:rPr>
          <w:rFonts w:eastAsia="Calibri"/>
          <w:bCs/>
          <w:lang w:val="en-US" w:eastAsia="en-US"/>
        </w:rPr>
        <w:t>Vol.</w:t>
      </w:r>
      <w:r w:rsidRPr="001416ED">
        <w:rPr>
          <w:rFonts w:eastAsia="Calibri"/>
          <w:bCs/>
          <w:lang w:val="uk-UA" w:eastAsia="en-US"/>
        </w:rPr>
        <w:t xml:space="preserve"> 27. – Р. 367–371.</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rFonts w:eastAsia="Calibri"/>
          <w:kern w:val="11"/>
          <w:lang w:val="uk-UA" w:eastAsia="en-US"/>
        </w:rPr>
        <w:t>The ESHRE Capri Workshop Group. Hormones and cardiovascular health in women. Human Report Update. – 2006. – Vol. 12. – P. 483–497.</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kern w:val="11"/>
          <w:lang w:val="uk-UA" w:eastAsia="en-US"/>
        </w:rPr>
      </w:pPr>
      <w:r w:rsidRPr="001416ED">
        <w:rPr>
          <w:rFonts w:eastAsia="Calibri"/>
          <w:lang w:val="uk-UA" w:eastAsia="en-US"/>
        </w:rPr>
        <w:t>Tiret</w:t>
      </w:r>
      <w:r w:rsidRPr="001416ED">
        <w:rPr>
          <w:rFonts w:eastAsia="Calibri"/>
          <w:lang w:val="en-US" w:eastAsia="en-US"/>
        </w:rPr>
        <w:t xml:space="preserve"> L.</w:t>
      </w:r>
      <w:r w:rsidRPr="001416ED">
        <w:rPr>
          <w:rFonts w:eastAsia="Calibri"/>
          <w:lang w:val="uk-UA" w:eastAsia="en-US"/>
        </w:rPr>
        <w:t xml:space="preserve"> </w:t>
      </w:r>
      <w:r w:rsidRPr="001416ED">
        <w:rPr>
          <w:rFonts w:eastAsia="Calibri"/>
          <w:bCs/>
          <w:lang w:val="uk-UA" w:eastAsia="en-US"/>
        </w:rPr>
        <w:t xml:space="preserve">The Lys198Asn Polymorphism in the Endothelin–1 Gene Is Associated With Blood Pressure in Overweight People / </w:t>
      </w:r>
      <w:r w:rsidRPr="001416ED">
        <w:rPr>
          <w:rFonts w:eastAsia="Calibri"/>
          <w:lang w:val="uk-UA" w:eastAsia="en-US"/>
        </w:rPr>
        <w:t xml:space="preserve"> </w:t>
      </w:r>
      <w:r w:rsidRPr="001416ED">
        <w:rPr>
          <w:rFonts w:eastAsia="Calibri"/>
          <w:lang w:val="en-US" w:eastAsia="en-US"/>
        </w:rPr>
        <w:t>L.</w:t>
      </w:r>
      <w:r w:rsidRPr="001416ED">
        <w:rPr>
          <w:rFonts w:eastAsia="Calibri"/>
          <w:lang w:val="uk-UA" w:eastAsia="en-US"/>
        </w:rPr>
        <w:t xml:space="preserve"> Tiret,</w:t>
      </w:r>
      <w:r w:rsidRPr="001416ED">
        <w:rPr>
          <w:rFonts w:eastAsia="Calibri"/>
          <w:lang w:val="en-US" w:eastAsia="en-US"/>
        </w:rPr>
        <w:t xml:space="preserve"> </w:t>
      </w:r>
      <w:r w:rsidRPr="001416ED">
        <w:rPr>
          <w:rFonts w:eastAsia="Calibri"/>
          <w:lang w:val="uk-UA" w:eastAsia="en-US"/>
        </w:rPr>
        <w:t xml:space="preserve">O. Poirier, V. Hallet </w:t>
      </w:r>
      <w:r w:rsidRPr="001416ED">
        <w:rPr>
          <w:rFonts w:eastAsia="Calibri"/>
          <w:lang w:val="en-US" w:eastAsia="en-US"/>
        </w:rPr>
        <w:t>[et al.]</w:t>
      </w:r>
      <w:r w:rsidRPr="001416ED">
        <w:rPr>
          <w:rFonts w:eastAsia="Calibri"/>
          <w:lang w:val="uk-UA" w:eastAsia="en-US"/>
        </w:rPr>
        <w:t xml:space="preserve"> // </w:t>
      </w:r>
      <w:r w:rsidRPr="001416ED">
        <w:rPr>
          <w:rFonts w:eastAsia="Calibri"/>
          <w:bCs/>
          <w:iCs/>
          <w:lang w:val="uk-UA" w:eastAsia="en-US"/>
        </w:rPr>
        <w:t>Hypertension</w:t>
      </w:r>
      <w:r w:rsidRPr="001416ED">
        <w:rPr>
          <w:rFonts w:eastAsia="Calibri"/>
          <w:bCs/>
          <w:lang w:val="uk-UA" w:eastAsia="en-US"/>
        </w:rPr>
        <w:t xml:space="preserve">. – 1999. – </w:t>
      </w:r>
      <w:r w:rsidRPr="001416ED">
        <w:rPr>
          <w:rFonts w:eastAsia="Calibri"/>
          <w:bCs/>
          <w:lang w:val="en-US" w:eastAsia="en-US"/>
        </w:rPr>
        <w:t xml:space="preserve">Vol. </w:t>
      </w:r>
      <w:r w:rsidRPr="001416ED">
        <w:rPr>
          <w:rFonts w:eastAsia="Calibri"/>
          <w:bCs/>
          <w:lang w:val="uk-UA" w:eastAsia="en-US"/>
        </w:rPr>
        <w:t>33. – Р. 1169–1174.</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lang w:val="uk-UA" w:eastAsia="en-US"/>
        </w:rPr>
      </w:pPr>
      <w:r w:rsidRPr="001416ED">
        <w:rPr>
          <w:rFonts w:eastAsia="Calibri"/>
          <w:iCs/>
          <w:lang w:val="uk-UA" w:eastAsia="en-US"/>
        </w:rPr>
        <w:t>Togashi K.</w:t>
      </w:r>
      <w:r w:rsidRPr="001416ED">
        <w:rPr>
          <w:rFonts w:eastAsia="Calibri"/>
          <w:lang w:val="uk-UA" w:eastAsia="en-US"/>
        </w:rPr>
        <w:t xml:space="preserve"> Concentrations and molecular forms of C–type natriuretic peptide in brain and cerebrospin</w:t>
      </w:r>
      <w:r w:rsidRPr="001416ED">
        <w:rPr>
          <w:rFonts w:eastAsia="TimesNewRomanPSMT"/>
          <w:lang w:val="uk-UA" w:eastAsia="en-US"/>
        </w:rPr>
        <w:t xml:space="preserve">al </w:t>
      </w:r>
      <w:r w:rsidRPr="001416ED">
        <w:rPr>
          <w:rFonts w:eastAsia="Calibri"/>
          <w:lang w:val="uk-UA" w:eastAsia="en-US"/>
        </w:rPr>
        <w:t>flui</w:t>
      </w:r>
      <w:r w:rsidRPr="001416ED">
        <w:rPr>
          <w:rFonts w:eastAsia="TimesNewRomanPSMT"/>
          <w:lang w:val="uk-UA" w:eastAsia="en-US"/>
        </w:rPr>
        <w:t xml:space="preserve">d / </w:t>
      </w:r>
      <w:r w:rsidRPr="001416ED">
        <w:rPr>
          <w:rFonts w:eastAsia="Calibri"/>
          <w:iCs/>
          <w:lang w:val="uk-UA" w:eastAsia="en-US"/>
        </w:rPr>
        <w:t>K.</w:t>
      </w:r>
      <w:r w:rsidRPr="001416ED">
        <w:rPr>
          <w:rFonts w:eastAsia="Calibri"/>
          <w:lang w:val="uk-UA" w:eastAsia="en-US"/>
        </w:rPr>
        <w:t xml:space="preserve"> </w:t>
      </w:r>
      <w:r w:rsidRPr="001416ED">
        <w:rPr>
          <w:rFonts w:eastAsia="Calibri"/>
          <w:iCs/>
          <w:lang w:val="uk-UA" w:eastAsia="en-US"/>
        </w:rPr>
        <w:t xml:space="preserve">Togashi, T. Kameya, T. Kurosawa </w:t>
      </w:r>
      <w:r w:rsidRPr="001416ED">
        <w:rPr>
          <w:rFonts w:eastAsia="Calibri"/>
          <w:iCs/>
          <w:lang w:val="en-US" w:eastAsia="en-US"/>
        </w:rPr>
        <w:t>[</w:t>
      </w:r>
      <w:r w:rsidRPr="001416ED">
        <w:rPr>
          <w:rFonts w:eastAsia="Calibri"/>
          <w:iCs/>
          <w:lang w:val="uk-UA" w:eastAsia="en-US"/>
        </w:rPr>
        <w:t>et al.</w:t>
      </w:r>
      <w:r w:rsidRPr="001416ED">
        <w:rPr>
          <w:rFonts w:eastAsia="Calibri"/>
          <w:iCs/>
          <w:lang w:val="en-US" w:eastAsia="en-US"/>
        </w:rPr>
        <w:t>]</w:t>
      </w:r>
      <w:r w:rsidRPr="001416ED">
        <w:rPr>
          <w:rFonts w:eastAsia="Calibri"/>
          <w:iCs/>
          <w:lang w:val="uk-UA" w:eastAsia="en-US"/>
        </w:rPr>
        <w:t xml:space="preserve"> </w:t>
      </w:r>
      <w:r w:rsidRPr="001416ED">
        <w:rPr>
          <w:rFonts w:eastAsia="TimesNewRomanPSMT"/>
          <w:lang w:val="uk-UA" w:eastAsia="en-US"/>
        </w:rPr>
        <w:t xml:space="preserve">// </w:t>
      </w:r>
      <w:r w:rsidRPr="001416ED">
        <w:rPr>
          <w:rFonts w:eastAsia="Calibri"/>
          <w:lang w:val="uk-UA" w:eastAsia="en-US"/>
        </w:rPr>
        <w:t>Clin Che</w:t>
      </w:r>
      <w:r w:rsidRPr="001416ED">
        <w:rPr>
          <w:rFonts w:eastAsia="TimesNewRomanPSMT"/>
          <w:lang w:val="uk-UA" w:eastAsia="en-US"/>
        </w:rPr>
        <w:t xml:space="preserve">m. – </w:t>
      </w:r>
      <w:r w:rsidRPr="001416ED">
        <w:rPr>
          <w:rFonts w:eastAsia="Calibri"/>
          <w:lang w:val="uk-UA" w:eastAsia="en-US"/>
        </w:rPr>
        <w:t>1992</w:t>
      </w:r>
      <w:r w:rsidRPr="001416ED">
        <w:rPr>
          <w:rFonts w:eastAsia="TimesNewRomanPSMT"/>
          <w:lang w:val="uk-UA" w:eastAsia="en-US"/>
        </w:rPr>
        <w:t xml:space="preserve">. – </w:t>
      </w:r>
      <w:r w:rsidRPr="001416ED">
        <w:rPr>
          <w:rFonts w:eastAsia="Calibri"/>
          <w:bCs/>
          <w:lang w:val="en-US" w:eastAsia="en-US"/>
        </w:rPr>
        <w:t>Vol</w:t>
      </w:r>
      <w:r w:rsidRPr="001416ED">
        <w:rPr>
          <w:rFonts w:eastAsia="Calibri"/>
          <w:lang w:val="uk-UA" w:eastAsia="en-US"/>
        </w:rPr>
        <w:t>. 38. – Р. 2136–2139.</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lang w:val="uk-UA" w:eastAsia="en-US"/>
        </w:rPr>
      </w:pPr>
      <w:r w:rsidRPr="001416ED">
        <w:rPr>
          <w:rFonts w:eastAsia="Calibri"/>
          <w:iCs/>
          <w:lang w:val="uk-UA" w:eastAsia="en-US"/>
        </w:rPr>
        <w:lastRenderedPageBreak/>
        <w:t xml:space="preserve">Totsune K. </w:t>
      </w:r>
      <w:r w:rsidRPr="001416ED">
        <w:rPr>
          <w:rFonts w:eastAsia="Calibri"/>
          <w:lang w:val="uk-UA" w:eastAsia="en-US"/>
        </w:rPr>
        <w:t>C–type natriuretic peptide in the human central nervous system: distributio</w:t>
      </w:r>
      <w:r w:rsidRPr="001416ED">
        <w:rPr>
          <w:rFonts w:eastAsia="TimesNewRomanPSMT"/>
          <w:lang w:val="uk-UA" w:eastAsia="en-US"/>
        </w:rPr>
        <w:t>n and m</w:t>
      </w:r>
      <w:r w:rsidRPr="001416ED">
        <w:rPr>
          <w:rFonts w:eastAsia="Calibri"/>
          <w:lang w:val="uk-UA" w:eastAsia="en-US"/>
        </w:rPr>
        <w:t>olecu</w:t>
      </w:r>
      <w:r w:rsidRPr="001416ED">
        <w:rPr>
          <w:rFonts w:eastAsia="TimesNewRomanPSMT"/>
          <w:lang w:val="uk-UA" w:eastAsia="en-US"/>
        </w:rPr>
        <w:t>lar form /</w:t>
      </w:r>
      <w:r w:rsidRPr="001416ED">
        <w:rPr>
          <w:rFonts w:eastAsia="Calibri"/>
          <w:iCs/>
          <w:lang w:val="uk-UA" w:eastAsia="en-US"/>
        </w:rPr>
        <w:t xml:space="preserve"> K. Totsune, K. Takahashi, M. Ohneda </w:t>
      </w:r>
      <w:r w:rsidRPr="001416ED">
        <w:rPr>
          <w:rFonts w:eastAsia="Calibri"/>
          <w:iCs/>
          <w:lang w:val="en-US" w:eastAsia="en-US"/>
        </w:rPr>
        <w:t>[</w:t>
      </w:r>
      <w:r w:rsidRPr="001416ED">
        <w:rPr>
          <w:rFonts w:eastAsia="Calibri"/>
          <w:iCs/>
          <w:lang w:val="uk-UA" w:eastAsia="en-US"/>
        </w:rPr>
        <w:t>et al.</w:t>
      </w:r>
      <w:r w:rsidRPr="001416ED">
        <w:rPr>
          <w:rFonts w:eastAsia="Calibri"/>
          <w:iCs/>
          <w:lang w:val="en-US" w:eastAsia="en-US"/>
        </w:rPr>
        <w:t>]</w:t>
      </w:r>
      <w:r w:rsidRPr="001416ED">
        <w:rPr>
          <w:rFonts w:eastAsia="Calibri"/>
          <w:iCs/>
          <w:lang w:val="uk-UA" w:eastAsia="en-US"/>
        </w:rPr>
        <w:t xml:space="preserve"> </w:t>
      </w:r>
      <w:r w:rsidRPr="001416ED">
        <w:rPr>
          <w:rFonts w:eastAsia="TimesNewRomanPSMT"/>
          <w:lang w:val="uk-UA" w:eastAsia="en-US"/>
        </w:rPr>
        <w:t xml:space="preserve"> // Pep</w:t>
      </w:r>
      <w:r w:rsidRPr="001416ED">
        <w:rPr>
          <w:rFonts w:eastAsia="Calibri"/>
          <w:lang w:val="uk-UA" w:eastAsia="en-US"/>
        </w:rPr>
        <w:t>tides. – 1994</w:t>
      </w:r>
      <w:r w:rsidRPr="001416ED">
        <w:rPr>
          <w:rFonts w:eastAsia="TimesNewRomanPSMT"/>
          <w:lang w:val="uk-UA" w:eastAsia="en-US"/>
        </w:rPr>
        <w:t xml:space="preserve">. – </w:t>
      </w:r>
      <w:r w:rsidRPr="001416ED">
        <w:rPr>
          <w:rFonts w:eastAsia="Calibri"/>
          <w:bCs/>
          <w:lang w:val="en-US" w:eastAsia="en-US"/>
        </w:rPr>
        <w:t>Vol</w:t>
      </w:r>
      <w:r w:rsidRPr="001416ED">
        <w:rPr>
          <w:rFonts w:eastAsia="Calibri"/>
          <w:lang w:val="uk-UA" w:eastAsia="en-US"/>
        </w:rPr>
        <w:t>.</w:t>
      </w:r>
      <w:r w:rsidR="00FC322E" w:rsidRPr="001416ED">
        <w:rPr>
          <w:rFonts w:eastAsia="Calibri"/>
          <w:lang w:val="uk-UA" w:eastAsia="en-US"/>
        </w:rPr>
        <w:t xml:space="preserve"> </w:t>
      </w:r>
      <w:r w:rsidRPr="001416ED">
        <w:rPr>
          <w:rFonts w:eastAsia="Calibri"/>
          <w:lang w:val="uk-UA" w:eastAsia="en-US"/>
        </w:rPr>
        <w:t>15. – Р. 37–40.</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Calibri"/>
          <w:kern w:val="11"/>
          <w:lang w:val="uk-UA" w:eastAsia="en-US"/>
        </w:rPr>
      </w:pPr>
      <w:r w:rsidRPr="001416ED">
        <w:rPr>
          <w:rFonts w:eastAsia="Calibri"/>
          <w:kern w:val="11"/>
          <w:lang w:val="uk-UA" w:eastAsia="en-US"/>
        </w:rPr>
        <w:t>Treiber F. A. Endothelin–1 Gene LYS198ASN Polymorphism and Blood Pressure Reactivity / F. A. Treiber, P. Barbeau, G. Harshfield</w:t>
      </w:r>
      <w:r w:rsidRPr="001416ED">
        <w:rPr>
          <w:rFonts w:eastAsia="Calibri"/>
          <w:lang w:val="en-US" w:eastAsia="en-US"/>
        </w:rPr>
        <w:t xml:space="preserve"> [et al.]</w:t>
      </w:r>
      <w:r w:rsidRPr="001416ED">
        <w:rPr>
          <w:rFonts w:eastAsia="Calibri"/>
          <w:lang w:val="uk-UA" w:eastAsia="en-US"/>
        </w:rPr>
        <w:t xml:space="preserve"> // </w:t>
      </w:r>
      <w:r w:rsidRPr="001416ED">
        <w:rPr>
          <w:rFonts w:eastAsia="Calibri"/>
          <w:bCs/>
          <w:iCs/>
          <w:lang w:val="uk-UA" w:eastAsia="en-US"/>
        </w:rPr>
        <w:t>Hypertension</w:t>
      </w:r>
      <w:r w:rsidRPr="001416ED">
        <w:rPr>
          <w:rFonts w:eastAsia="Calibri"/>
          <w:bCs/>
          <w:lang w:val="uk-UA" w:eastAsia="en-US"/>
        </w:rPr>
        <w:t xml:space="preserve">. – 2003. – </w:t>
      </w:r>
      <w:r w:rsidRPr="001416ED">
        <w:rPr>
          <w:rFonts w:eastAsia="Calibri"/>
          <w:bCs/>
          <w:lang w:val="en-US" w:eastAsia="en-US"/>
        </w:rPr>
        <w:t>Vol.</w:t>
      </w:r>
      <w:r w:rsidRPr="001416ED">
        <w:rPr>
          <w:rFonts w:eastAsia="Calibri"/>
          <w:bCs/>
          <w:lang w:val="uk-UA" w:eastAsia="en-US"/>
        </w:rPr>
        <w:t xml:space="preserve"> 42. – Р. 494–499.</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mirrorIndents/>
        <w:jc w:val="both"/>
        <w:rPr>
          <w:rFonts w:eastAsia="Calibri"/>
          <w:kern w:val="11"/>
          <w:sz w:val="25"/>
          <w:szCs w:val="25"/>
          <w:lang w:val="uk-UA" w:eastAsia="en-US"/>
        </w:rPr>
      </w:pPr>
      <w:r w:rsidRPr="001416ED">
        <w:rPr>
          <w:rFonts w:eastAsia="Calibri"/>
          <w:kern w:val="11"/>
          <w:lang w:val="en-US" w:eastAsia="en-US"/>
        </w:rPr>
        <w:t>V</w:t>
      </w:r>
      <w:r w:rsidRPr="001416ED">
        <w:rPr>
          <w:rFonts w:eastAsia="Calibri"/>
          <w:kern w:val="11"/>
          <w:lang w:val="uk-UA" w:eastAsia="en-US"/>
        </w:rPr>
        <w:t>an Gee</w:t>
      </w:r>
      <w:r w:rsidRPr="001416ED">
        <w:rPr>
          <w:rFonts w:eastAsia="Calibri"/>
          <w:kern w:val="11"/>
          <w:lang w:val="en-US" w:eastAsia="en-US"/>
        </w:rPr>
        <w:t>l</w:t>
      </w:r>
      <w:r w:rsidRPr="001416ED">
        <w:rPr>
          <w:rFonts w:eastAsia="Calibri"/>
          <w:kern w:val="11"/>
          <w:lang w:val="uk-UA" w:eastAsia="en-US"/>
        </w:rPr>
        <w:t xml:space="preserve"> P</w:t>
      </w:r>
      <w:r w:rsidRPr="001416ED">
        <w:rPr>
          <w:rFonts w:eastAsia="Calibri"/>
          <w:kern w:val="11"/>
          <w:lang w:val="en-US" w:eastAsia="en-US"/>
        </w:rPr>
        <w:t xml:space="preserve">. </w:t>
      </w:r>
      <w:r w:rsidRPr="001416ED">
        <w:rPr>
          <w:rFonts w:eastAsia="Calibri"/>
          <w:kern w:val="11"/>
          <w:lang w:val="uk-UA" w:eastAsia="en-US"/>
        </w:rPr>
        <w:t>P</w:t>
      </w:r>
      <w:r w:rsidRPr="001416ED">
        <w:rPr>
          <w:rFonts w:eastAsia="Calibri"/>
          <w:kern w:val="11"/>
          <w:lang w:val="en-US" w:eastAsia="en-US"/>
        </w:rPr>
        <w:t>.</w:t>
      </w:r>
      <w:r w:rsidRPr="001416ED">
        <w:rPr>
          <w:rFonts w:eastAsia="Calibri"/>
          <w:kern w:val="11"/>
          <w:lang w:val="uk-UA" w:eastAsia="en-US"/>
        </w:rPr>
        <w:t xml:space="preserve"> Angiotensin II Type 1 Receptor A1166C Gene Polymorphism Is Associated With an Increased Response to Angiotensin II in Human Arteries</w:t>
      </w:r>
      <w:r w:rsidRPr="001416ED">
        <w:rPr>
          <w:rFonts w:eastAsia="Calibri"/>
          <w:kern w:val="11"/>
          <w:lang w:val="en-US" w:eastAsia="en-US"/>
        </w:rPr>
        <w:t xml:space="preserve"> / </w:t>
      </w:r>
      <w:r w:rsidRPr="001416ED">
        <w:rPr>
          <w:rFonts w:eastAsia="Calibri"/>
          <w:kern w:val="11"/>
          <w:lang w:val="uk-UA" w:eastAsia="en-US"/>
        </w:rPr>
        <w:t>P</w:t>
      </w:r>
      <w:r w:rsidRPr="001416ED">
        <w:rPr>
          <w:rFonts w:eastAsia="Calibri"/>
          <w:kern w:val="11"/>
          <w:lang w:val="en-US" w:eastAsia="en-US"/>
        </w:rPr>
        <w:t>.</w:t>
      </w:r>
      <w:r w:rsidRPr="001416ED">
        <w:rPr>
          <w:rFonts w:eastAsia="Calibri"/>
          <w:kern w:val="11"/>
          <w:lang w:val="uk-UA" w:eastAsia="en-US"/>
        </w:rPr>
        <w:t xml:space="preserve"> P</w:t>
      </w:r>
      <w:r w:rsidRPr="001416ED">
        <w:rPr>
          <w:rFonts w:eastAsia="Calibri"/>
          <w:kern w:val="11"/>
          <w:lang w:val="en-US" w:eastAsia="en-US"/>
        </w:rPr>
        <w:t>.</w:t>
      </w:r>
      <w:r w:rsidRPr="001416ED">
        <w:rPr>
          <w:rFonts w:eastAsia="Calibri"/>
          <w:kern w:val="11"/>
          <w:lang w:val="uk-UA" w:eastAsia="en-US"/>
        </w:rPr>
        <w:t xml:space="preserve"> van Gee</w:t>
      </w:r>
      <w:r w:rsidRPr="001416ED">
        <w:rPr>
          <w:rFonts w:eastAsia="Calibri"/>
          <w:kern w:val="11"/>
          <w:lang w:val="en-US" w:eastAsia="en-US"/>
        </w:rPr>
        <w:t>l,</w:t>
      </w:r>
      <w:r w:rsidRPr="001416ED">
        <w:rPr>
          <w:rFonts w:eastAsia="Calibri"/>
          <w:kern w:val="11"/>
          <w:lang w:val="uk-UA" w:eastAsia="en-US"/>
        </w:rPr>
        <w:t xml:space="preserve"> Yigal M. Pinto, Adriaan A. Voors</w:t>
      </w:r>
      <w:r w:rsidRPr="001416ED">
        <w:rPr>
          <w:rFonts w:eastAsia="Calibri"/>
          <w:kern w:val="11"/>
          <w:lang w:val="en-US" w:eastAsia="en-US"/>
        </w:rPr>
        <w:t xml:space="preserve"> [et al.] // </w:t>
      </w:r>
      <w:r w:rsidRPr="001416ED">
        <w:rPr>
          <w:rFonts w:eastAsia="Calibri"/>
          <w:kern w:val="11"/>
          <w:lang w:val="uk-UA" w:eastAsia="en-US"/>
        </w:rPr>
        <w:t>Hypertension.</w:t>
      </w:r>
      <w:r w:rsidRPr="001416ED">
        <w:rPr>
          <w:rFonts w:eastAsia="Calibri"/>
          <w:kern w:val="11"/>
          <w:lang w:val="en-US" w:eastAsia="en-US"/>
        </w:rPr>
        <w:t xml:space="preserve"> –</w:t>
      </w:r>
      <w:r w:rsidRPr="001416ED">
        <w:rPr>
          <w:rFonts w:eastAsia="Calibri"/>
          <w:kern w:val="11"/>
          <w:lang w:val="uk-UA" w:eastAsia="en-US"/>
        </w:rPr>
        <w:t xml:space="preserve"> 2000</w:t>
      </w:r>
      <w:r w:rsidRPr="001416ED">
        <w:rPr>
          <w:rFonts w:eastAsia="Calibri"/>
          <w:kern w:val="11"/>
          <w:lang w:val="en-US" w:eastAsia="en-US"/>
        </w:rPr>
        <w:t xml:space="preserve">. – Vol. </w:t>
      </w:r>
      <w:r w:rsidRPr="001416ED">
        <w:rPr>
          <w:rFonts w:eastAsia="Calibri"/>
          <w:kern w:val="11"/>
          <w:lang w:val="uk-UA" w:eastAsia="en-US"/>
        </w:rPr>
        <w:t>35</w:t>
      </w:r>
      <w:r w:rsidRPr="001416ED">
        <w:rPr>
          <w:rFonts w:eastAsia="Calibri"/>
          <w:kern w:val="11"/>
          <w:lang w:val="en-US" w:eastAsia="en-US"/>
        </w:rPr>
        <w:t xml:space="preserve">. – P. </w:t>
      </w:r>
      <w:r w:rsidRPr="001416ED">
        <w:rPr>
          <w:rFonts w:eastAsia="Calibri"/>
          <w:kern w:val="11"/>
          <w:lang w:val="uk-UA" w:eastAsia="en-US"/>
        </w:rPr>
        <w:t xml:space="preserve">717–721. </w:t>
      </w:r>
    </w:p>
    <w:p w:rsidR="005107A1" w:rsidRPr="001416ED" w:rsidRDefault="005107A1" w:rsidP="0012229A">
      <w:pPr>
        <w:numPr>
          <w:ilvl w:val="0"/>
          <w:numId w:val="10"/>
        </w:numPr>
        <w:spacing w:line="360" w:lineRule="auto"/>
        <w:ind w:left="0" w:firstLine="0"/>
        <w:mirrorIndents/>
        <w:jc w:val="both"/>
        <w:rPr>
          <w:rFonts w:eastAsia="Calibri"/>
          <w:kern w:val="11"/>
          <w:lang w:val="uk-UA" w:eastAsia="uk-UA"/>
        </w:rPr>
      </w:pPr>
      <w:r w:rsidRPr="001416ED">
        <w:rPr>
          <w:rFonts w:eastAsia="Calibri"/>
          <w:kern w:val="11"/>
          <w:shd w:val="clear" w:color="auto" w:fill="FFFFFF"/>
          <w:lang w:val="uk-UA" w:eastAsia="en-US"/>
        </w:rPr>
        <w:t xml:space="preserve">Vasan S. Ramachandran. </w:t>
      </w:r>
      <w:r w:rsidRPr="001416ED">
        <w:rPr>
          <w:rFonts w:eastAsia="Calibri"/>
          <w:kern w:val="11"/>
          <w:lang w:val="uk-UA" w:eastAsia="uk-UA"/>
        </w:rPr>
        <w:t xml:space="preserve">Impact of high–normal blood pressure on the risk of cardiovascular disease / </w:t>
      </w:r>
      <w:r w:rsidRPr="001416ED">
        <w:rPr>
          <w:rFonts w:eastAsia="Calibri"/>
          <w:kern w:val="11"/>
          <w:shd w:val="clear" w:color="auto" w:fill="FFFFFF"/>
          <w:lang w:val="uk-UA" w:eastAsia="en-US"/>
        </w:rPr>
        <w:t>Ramachandran S. Vasan, Martin G. Larson,</w:t>
      </w:r>
      <w:r w:rsidRPr="001416ED">
        <w:rPr>
          <w:rFonts w:eastAsia="Calibri"/>
          <w:kern w:val="11"/>
          <w:lang w:val="uk-UA" w:eastAsia="uk-UA"/>
        </w:rPr>
        <w:t xml:space="preserve"> </w:t>
      </w:r>
      <w:r w:rsidRPr="001416ED">
        <w:rPr>
          <w:rFonts w:eastAsia="Calibri"/>
          <w:kern w:val="11"/>
          <w:shd w:val="clear" w:color="auto" w:fill="FFFFFF"/>
          <w:lang w:val="uk-UA" w:eastAsia="en-US"/>
        </w:rPr>
        <w:t>Eric</w:t>
      </w:r>
      <w:r w:rsidRPr="001416ED">
        <w:rPr>
          <w:rFonts w:eastAsia="Calibri"/>
          <w:kern w:val="11"/>
          <w:lang w:val="uk-UA" w:eastAsia="uk-UA"/>
        </w:rPr>
        <w:t xml:space="preserve"> </w:t>
      </w:r>
      <w:r w:rsidRPr="001416ED">
        <w:rPr>
          <w:rFonts w:eastAsia="Calibri"/>
          <w:kern w:val="11"/>
          <w:shd w:val="clear" w:color="auto" w:fill="FFFFFF"/>
          <w:lang w:val="uk-UA" w:eastAsia="en-US"/>
        </w:rPr>
        <w:t>P. Leip</w:t>
      </w:r>
      <w:r w:rsidRPr="001416ED">
        <w:rPr>
          <w:rFonts w:eastAsia="Calibri"/>
          <w:kern w:val="11"/>
          <w:lang w:val="uk-UA" w:eastAsia="uk-UA"/>
        </w:rPr>
        <w:t xml:space="preserve"> </w:t>
      </w:r>
      <w:r w:rsidRPr="001416ED">
        <w:rPr>
          <w:rFonts w:eastAsia="Calibri"/>
          <w:kern w:val="11"/>
          <w:lang w:val="en-US" w:eastAsia="uk-UA"/>
        </w:rPr>
        <w:t>[</w:t>
      </w:r>
      <w:r w:rsidRPr="001416ED">
        <w:rPr>
          <w:rFonts w:eastAsia="Calibri"/>
          <w:kern w:val="11"/>
          <w:lang w:val="uk-UA" w:eastAsia="uk-UA"/>
        </w:rPr>
        <w:t>et al.</w:t>
      </w:r>
      <w:r w:rsidRPr="001416ED">
        <w:rPr>
          <w:rFonts w:eastAsia="Calibri"/>
          <w:kern w:val="11"/>
          <w:lang w:val="en-US" w:eastAsia="uk-UA"/>
        </w:rPr>
        <w:t>]</w:t>
      </w:r>
      <w:r w:rsidRPr="001416ED">
        <w:rPr>
          <w:rFonts w:eastAsia="Calibri"/>
          <w:kern w:val="11"/>
          <w:lang w:val="uk-UA" w:eastAsia="uk-UA"/>
        </w:rPr>
        <w:t xml:space="preserve"> // N. Engl. J. Med. – 2011. – Vol. 345. Nov. 1. – P. 1291–1297.</w:t>
      </w:r>
    </w:p>
    <w:p w:rsidR="005107A1" w:rsidRPr="001416ED" w:rsidRDefault="005107A1" w:rsidP="0012229A">
      <w:pPr>
        <w:numPr>
          <w:ilvl w:val="0"/>
          <w:numId w:val="10"/>
        </w:numPr>
        <w:tabs>
          <w:tab w:val="left" w:pos="709"/>
        </w:tabs>
        <w:autoSpaceDE w:val="0"/>
        <w:autoSpaceDN w:val="0"/>
        <w:adjustRightInd w:val="0"/>
        <w:spacing w:after="200" w:line="360" w:lineRule="auto"/>
        <w:ind w:left="0" w:firstLine="0"/>
        <w:contextualSpacing/>
        <w:mirrorIndents/>
        <w:jc w:val="both"/>
        <w:rPr>
          <w:rFonts w:eastAsia="Calibri"/>
          <w:bCs/>
          <w:lang w:val="uk-UA" w:eastAsia="en-US"/>
        </w:rPr>
      </w:pPr>
      <w:r w:rsidRPr="001416ED">
        <w:rPr>
          <w:rFonts w:eastAsia="Calibri"/>
          <w:kern w:val="11"/>
          <w:lang w:val="uk-UA" w:eastAsia="en-US"/>
        </w:rPr>
        <w:t xml:space="preserve">Wang </w:t>
      </w:r>
      <w:r w:rsidRPr="001416ED">
        <w:rPr>
          <w:rFonts w:eastAsia="Calibri"/>
          <w:kern w:val="11"/>
          <w:lang w:val="en-US" w:eastAsia="en-US"/>
        </w:rPr>
        <w:t>G.–L.</w:t>
      </w:r>
      <w:r w:rsidRPr="001416ED">
        <w:rPr>
          <w:rFonts w:eastAsia="Calibri"/>
          <w:kern w:val="11"/>
          <w:sz w:val="11"/>
          <w:szCs w:val="11"/>
          <w:lang w:val="uk-UA" w:eastAsia="en-US"/>
        </w:rPr>
        <w:t xml:space="preserve"> </w:t>
      </w:r>
      <w:r w:rsidRPr="001416ED">
        <w:rPr>
          <w:rFonts w:eastAsia="Calibri"/>
          <w:kern w:val="11"/>
          <w:lang w:val="uk-UA" w:eastAsia="en-US"/>
        </w:rPr>
        <w:t>Angiotensin II type 1 receptor gene A1166C polymorphism and essential hypertension in Chinese: a meta–analysis</w:t>
      </w:r>
      <w:r w:rsidRPr="001416ED">
        <w:rPr>
          <w:rFonts w:eastAsia="Calibri"/>
          <w:kern w:val="11"/>
          <w:lang w:val="en-US" w:eastAsia="en-US"/>
        </w:rPr>
        <w:t xml:space="preserve"> / G.–L.</w:t>
      </w:r>
      <w:r w:rsidRPr="001416ED">
        <w:rPr>
          <w:rFonts w:eastAsia="Calibri"/>
          <w:kern w:val="11"/>
          <w:lang w:val="uk-UA" w:eastAsia="en-US"/>
        </w:rPr>
        <w:t xml:space="preserve"> Wang</w:t>
      </w:r>
      <w:r w:rsidRPr="001416ED">
        <w:rPr>
          <w:rFonts w:eastAsia="Calibri"/>
          <w:kern w:val="11"/>
          <w:lang w:val="en-US" w:eastAsia="en-US"/>
        </w:rPr>
        <w:t>,</w:t>
      </w:r>
      <w:r w:rsidRPr="001416ED">
        <w:rPr>
          <w:rFonts w:eastAsia="Calibri"/>
          <w:kern w:val="11"/>
          <w:lang w:val="uk-UA" w:eastAsia="en-US"/>
        </w:rPr>
        <w:t xml:space="preserve"> L</w:t>
      </w:r>
      <w:r w:rsidRPr="001416ED">
        <w:rPr>
          <w:rFonts w:eastAsia="Calibri"/>
          <w:kern w:val="11"/>
          <w:lang w:val="en-US" w:eastAsia="en-US"/>
        </w:rPr>
        <w:t>.</w:t>
      </w:r>
      <w:r w:rsidRPr="001416ED">
        <w:rPr>
          <w:rFonts w:eastAsia="Calibri"/>
          <w:kern w:val="11"/>
          <w:lang w:val="uk-UA" w:eastAsia="en-US"/>
        </w:rPr>
        <w:t xml:space="preserve"> Xue,P</w:t>
      </w:r>
      <w:r w:rsidRPr="001416ED">
        <w:rPr>
          <w:rFonts w:eastAsia="Calibri"/>
          <w:kern w:val="11"/>
          <w:lang w:val="en-US" w:eastAsia="en-US"/>
        </w:rPr>
        <w:t>.</w:t>
      </w:r>
      <w:r w:rsidRPr="001416ED">
        <w:rPr>
          <w:rFonts w:eastAsia="Calibri"/>
          <w:kern w:val="11"/>
          <w:lang w:val="uk-UA" w:eastAsia="en-US"/>
        </w:rPr>
        <w:t>–P</w:t>
      </w:r>
      <w:r w:rsidRPr="001416ED">
        <w:rPr>
          <w:rFonts w:eastAsia="Calibri"/>
          <w:kern w:val="11"/>
          <w:lang w:val="en-US" w:eastAsia="en-US"/>
        </w:rPr>
        <w:t>.</w:t>
      </w:r>
      <w:r w:rsidRPr="001416ED">
        <w:rPr>
          <w:rFonts w:eastAsia="Calibri"/>
          <w:kern w:val="11"/>
          <w:lang w:val="uk-UA" w:eastAsia="en-US"/>
        </w:rPr>
        <w:t xml:space="preserve"> Hao</w:t>
      </w:r>
      <w:r w:rsidRPr="001416ED">
        <w:rPr>
          <w:rFonts w:eastAsia="Calibri"/>
          <w:kern w:val="11"/>
          <w:lang w:val="en-US" w:eastAsia="en-US"/>
        </w:rPr>
        <w:t xml:space="preserve"> </w:t>
      </w:r>
      <w:r w:rsidRPr="001416ED">
        <w:rPr>
          <w:rFonts w:eastAsia="Calibri"/>
          <w:kern w:val="11"/>
          <w:lang w:val="de-DE" w:eastAsia="en-US"/>
        </w:rPr>
        <w:t>[et al.]</w:t>
      </w:r>
      <w:r w:rsidRPr="001416ED">
        <w:rPr>
          <w:rFonts w:eastAsia="Calibri"/>
          <w:kern w:val="11"/>
          <w:lang w:val="en-US" w:eastAsia="en-US"/>
        </w:rPr>
        <w:t xml:space="preserve"> // SAGE. – 2010. – Vol. 11 (2). – P. 127–135.</w:t>
      </w:r>
    </w:p>
    <w:p w:rsidR="005107A1" w:rsidRPr="001416ED" w:rsidRDefault="005107A1" w:rsidP="0012229A">
      <w:pPr>
        <w:numPr>
          <w:ilvl w:val="0"/>
          <w:numId w:val="10"/>
        </w:numPr>
        <w:spacing w:after="200" w:line="360" w:lineRule="auto"/>
        <w:ind w:left="0" w:firstLine="0"/>
        <w:contextualSpacing/>
        <w:mirrorIndents/>
        <w:jc w:val="both"/>
        <w:rPr>
          <w:rFonts w:eastAsia="PragmaticaC"/>
          <w:lang w:val="uk-UA" w:eastAsia="en-US"/>
        </w:rPr>
      </w:pPr>
      <w:r w:rsidRPr="001416ED">
        <w:rPr>
          <w:rFonts w:eastAsia="PragmaticaC"/>
          <w:lang w:val="uk-UA" w:eastAsia="en-US"/>
        </w:rPr>
        <w:t>Wang T</w:t>
      </w:r>
      <w:r w:rsidRPr="001416ED">
        <w:rPr>
          <w:rFonts w:eastAsia="PragmaticaC"/>
          <w:lang w:val="en-US" w:eastAsia="en-US"/>
        </w:rPr>
        <w:t>.</w:t>
      </w:r>
      <w:r w:rsidRPr="001416ED">
        <w:rPr>
          <w:rFonts w:eastAsia="PragmaticaC"/>
          <w:lang w:val="uk-UA" w:eastAsia="en-US"/>
        </w:rPr>
        <w:t xml:space="preserve"> J.</w:t>
      </w:r>
      <w:r w:rsidRPr="001416ED">
        <w:rPr>
          <w:rFonts w:eastAsia="PragmaticaC"/>
          <w:lang w:val="en-US" w:eastAsia="en-US"/>
        </w:rPr>
        <w:t xml:space="preserve"> </w:t>
      </w:r>
      <w:r w:rsidRPr="001416ED">
        <w:rPr>
          <w:rFonts w:eastAsia="PragmaticaC"/>
          <w:lang w:val="uk-UA" w:eastAsia="en-US"/>
        </w:rPr>
        <w:t>Impact of Obesity on Plasma Natriuretic Peptide Levels</w:t>
      </w:r>
      <w:r w:rsidRPr="001416ED">
        <w:rPr>
          <w:rFonts w:eastAsia="PragmaticaC"/>
          <w:lang w:val="en-US" w:eastAsia="en-US"/>
        </w:rPr>
        <w:t xml:space="preserve"> / </w:t>
      </w:r>
      <w:r w:rsidRPr="001416ED">
        <w:rPr>
          <w:rFonts w:eastAsia="PragmaticaC"/>
          <w:lang w:val="uk-UA" w:eastAsia="en-US"/>
        </w:rPr>
        <w:t>T</w:t>
      </w:r>
      <w:r w:rsidRPr="001416ED">
        <w:rPr>
          <w:rFonts w:eastAsia="PragmaticaC"/>
          <w:lang w:val="en-US" w:eastAsia="en-US"/>
        </w:rPr>
        <w:t>.</w:t>
      </w:r>
      <w:r w:rsidRPr="001416ED">
        <w:rPr>
          <w:rFonts w:eastAsia="PragmaticaC"/>
          <w:lang w:val="uk-UA" w:eastAsia="en-US"/>
        </w:rPr>
        <w:t xml:space="preserve"> J.</w:t>
      </w:r>
      <w:r w:rsidRPr="001416ED">
        <w:rPr>
          <w:rFonts w:eastAsia="PragmaticaC"/>
          <w:lang w:val="en-US" w:eastAsia="en-US"/>
        </w:rPr>
        <w:t xml:space="preserve"> </w:t>
      </w:r>
      <w:r w:rsidRPr="001416ED">
        <w:rPr>
          <w:rFonts w:eastAsia="PragmaticaC"/>
          <w:lang w:val="uk-UA" w:eastAsia="en-US"/>
        </w:rPr>
        <w:t>Wang, M</w:t>
      </w:r>
      <w:r w:rsidRPr="001416ED">
        <w:rPr>
          <w:rFonts w:eastAsia="PragmaticaC"/>
          <w:lang w:val="en-US" w:eastAsia="en-US"/>
        </w:rPr>
        <w:t xml:space="preserve">. </w:t>
      </w:r>
      <w:r w:rsidRPr="001416ED">
        <w:rPr>
          <w:rFonts w:eastAsia="PragmaticaC"/>
          <w:lang w:val="uk-UA" w:eastAsia="en-US"/>
        </w:rPr>
        <w:t>G.</w:t>
      </w:r>
      <w:r w:rsidRPr="001416ED">
        <w:rPr>
          <w:rFonts w:eastAsia="PragmaticaC"/>
          <w:lang w:val="en-US" w:eastAsia="en-US"/>
        </w:rPr>
        <w:t xml:space="preserve"> </w:t>
      </w:r>
      <w:r w:rsidRPr="001416ED">
        <w:rPr>
          <w:rFonts w:eastAsia="PragmaticaC"/>
          <w:lang w:val="uk-UA" w:eastAsia="en-US"/>
        </w:rPr>
        <w:t xml:space="preserve"> Larson, D</w:t>
      </w:r>
      <w:r w:rsidRPr="001416ED">
        <w:rPr>
          <w:rFonts w:eastAsia="PragmaticaC"/>
          <w:lang w:val="en-US" w:eastAsia="en-US"/>
        </w:rPr>
        <w:t>.</w:t>
      </w:r>
      <w:r w:rsidRPr="001416ED">
        <w:rPr>
          <w:rFonts w:eastAsia="PragmaticaC"/>
          <w:lang w:val="uk-UA" w:eastAsia="en-US"/>
        </w:rPr>
        <w:t xml:space="preserve"> Levy </w:t>
      </w:r>
      <w:r w:rsidRPr="001416ED">
        <w:rPr>
          <w:rFonts w:eastAsia="PragmaticaC"/>
          <w:bCs/>
          <w:lang w:val="uk-UA" w:eastAsia="en-US"/>
        </w:rPr>
        <w:t>[et al.]</w:t>
      </w:r>
      <w:r w:rsidRPr="001416ED">
        <w:rPr>
          <w:rFonts w:eastAsia="PragmaticaC"/>
          <w:lang w:val="uk-UA" w:eastAsia="en-US"/>
        </w:rPr>
        <w:t xml:space="preserve">  // Circulation. – 2004. – Vol. 109. – P. 594–600.</w:t>
      </w:r>
    </w:p>
    <w:p w:rsidR="005107A1" w:rsidRPr="001416ED" w:rsidRDefault="005107A1" w:rsidP="0012229A">
      <w:pPr>
        <w:numPr>
          <w:ilvl w:val="0"/>
          <w:numId w:val="10"/>
        </w:numPr>
        <w:spacing w:line="360" w:lineRule="auto"/>
        <w:ind w:left="0" w:firstLine="0"/>
        <w:mirrorIndents/>
        <w:jc w:val="both"/>
        <w:rPr>
          <w:rFonts w:eastAsia="Calibri"/>
          <w:kern w:val="11"/>
          <w:lang w:val="uk-UA" w:eastAsia="en-US"/>
        </w:rPr>
      </w:pPr>
      <w:r w:rsidRPr="001416ED">
        <w:rPr>
          <w:rFonts w:eastAsia="Calibri"/>
          <w:kern w:val="11"/>
          <w:lang w:val="uk-UA" w:eastAsia="en-US"/>
        </w:rPr>
        <w:t>Wei C.</w:t>
      </w:r>
      <w:r w:rsidRPr="001416ED">
        <w:rPr>
          <w:rFonts w:eastAsia="Calibri"/>
          <w:kern w:val="11"/>
          <w:lang w:val="en-US" w:eastAsia="en-US"/>
        </w:rPr>
        <w:t xml:space="preserve"> </w:t>
      </w:r>
      <w:r w:rsidRPr="001416ED">
        <w:rPr>
          <w:rFonts w:eastAsia="Calibri"/>
          <w:kern w:val="11"/>
          <w:lang w:val="uk-UA" w:eastAsia="en-US"/>
        </w:rPr>
        <w:t>M. Natriuretic peptide system in human heart failure / C.</w:t>
      </w:r>
      <w:r w:rsidRPr="001416ED">
        <w:rPr>
          <w:rFonts w:eastAsia="Calibri"/>
          <w:kern w:val="11"/>
          <w:lang w:val="en-US" w:eastAsia="en-US"/>
        </w:rPr>
        <w:t xml:space="preserve"> </w:t>
      </w:r>
      <w:r w:rsidRPr="001416ED">
        <w:rPr>
          <w:rFonts w:eastAsia="Calibri"/>
          <w:kern w:val="11"/>
          <w:lang w:val="uk-UA" w:eastAsia="en-US"/>
        </w:rPr>
        <w:t>M. Wei, D.</w:t>
      </w:r>
      <w:r w:rsidRPr="001416ED">
        <w:rPr>
          <w:rFonts w:eastAsia="Calibri"/>
          <w:kern w:val="11"/>
          <w:lang w:val="en-US" w:eastAsia="en-US"/>
        </w:rPr>
        <w:t xml:space="preserve"> </w:t>
      </w:r>
      <w:r w:rsidRPr="001416ED">
        <w:rPr>
          <w:rFonts w:eastAsia="Calibri"/>
          <w:kern w:val="11"/>
          <w:lang w:val="uk-UA" w:eastAsia="en-US"/>
        </w:rPr>
        <w:t>M. Heublein, M.</w:t>
      </w:r>
      <w:r w:rsidRPr="001416ED">
        <w:rPr>
          <w:rFonts w:eastAsia="Calibri"/>
          <w:kern w:val="11"/>
          <w:lang w:val="en-US" w:eastAsia="en-US"/>
        </w:rPr>
        <w:t xml:space="preserve"> </w:t>
      </w:r>
      <w:r w:rsidRPr="001416ED">
        <w:rPr>
          <w:rFonts w:eastAsia="Calibri"/>
          <w:kern w:val="11"/>
          <w:lang w:val="uk-UA" w:eastAsia="en-US"/>
        </w:rPr>
        <w:t xml:space="preserve">A. Perrella [et al.] // Circulation. – 1993. – </w:t>
      </w:r>
      <w:r w:rsidRPr="001416ED">
        <w:rPr>
          <w:rFonts w:eastAsia="Calibri"/>
          <w:kern w:val="11"/>
          <w:lang w:val="en-US" w:eastAsia="en-US"/>
        </w:rPr>
        <w:t>Vol</w:t>
      </w:r>
      <w:r w:rsidRPr="001416ED">
        <w:rPr>
          <w:rFonts w:eastAsia="Calibri"/>
          <w:kern w:val="11"/>
          <w:lang w:val="uk-UA" w:eastAsia="en-US"/>
        </w:rPr>
        <w:t>. 88. – Р. 1004–1009.</w:t>
      </w:r>
    </w:p>
    <w:p w:rsidR="005107A1" w:rsidRPr="001416ED" w:rsidRDefault="005107A1"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outlineLvl w:val="0"/>
        <w:rPr>
          <w:rFonts w:eastAsia="PragmaticaC"/>
          <w:lang w:val="uk-UA" w:eastAsia="en-US"/>
        </w:rPr>
      </w:pPr>
      <w:r w:rsidRPr="001416ED">
        <w:rPr>
          <w:rFonts w:eastAsia="PragmaticaC"/>
          <w:lang w:val="uk-UA" w:eastAsia="en-US"/>
        </w:rPr>
        <w:t>Yamaoka–Tojo  M.  А specific biomarker for atherosclerosis–prone patients with metabolic syndrome / M. Yamaoka–Tojo, T. Tojo, K. Wakaume</w:t>
      </w:r>
      <w:r w:rsidRPr="001416ED">
        <w:rPr>
          <w:rFonts w:eastAsia="PragmaticaC"/>
          <w:lang w:val="en-US" w:eastAsia="en-US"/>
        </w:rPr>
        <w:t xml:space="preserve"> </w:t>
      </w:r>
      <w:r w:rsidRPr="001416ED">
        <w:rPr>
          <w:rFonts w:eastAsia="PragmaticaC"/>
          <w:lang w:val="uk-UA" w:eastAsia="en-US"/>
        </w:rPr>
        <w:t xml:space="preserve">[et al.] // Nutr Metab. – 2011. – </w:t>
      </w:r>
      <w:r w:rsidR="00FC322E" w:rsidRPr="001416ED">
        <w:rPr>
          <w:rFonts w:eastAsia="PragmaticaC"/>
          <w:lang w:val="en-US" w:eastAsia="en-US"/>
        </w:rPr>
        <w:t xml:space="preserve">Vol. </w:t>
      </w:r>
      <w:r w:rsidRPr="001416ED">
        <w:rPr>
          <w:rFonts w:eastAsia="PragmaticaC"/>
          <w:lang w:val="uk-UA" w:eastAsia="en-US"/>
        </w:rPr>
        <w:t>8</w:t>
      </w:r>
      <w:r w:rsidRPr="001416ED">
        <w:rPr>
          <w:rFonts w:eastAsia="PragmaticaC"/>
          <w:lang w:val="en-US" w:eastAsia="en-US"/>
        </w:rPr>
        <w:t xml:space="preserve"> </w:t>
      </w:r>
      <w:r w:rsidRPr="001416ED">
        <w:rPr>
          <w:rFonts w:eastAsia="PragmaticaC"/>
          <w:lang w:val="uk-UA" w:eastAsia="en-US"/>
        </w:rPr>
        <w:t>(1). – Р. 34–39.</w:t>
      </w:r>
    </w:p>
    <w:p w:rsidR="005107A1" w:rsidRPr="001416ED" w:rsidRDefault="00A9327B" w:rsidP="0012229A">
      <w:pPr>
        <w:numPr>
          <w:ilvl w:val="0"/>
          <w:numId w:val="10"/>
        </w:numPr>
        <w:autoSpaceDE w:val="0"/>
        <w:autoSpaceDN w:val="0"/>
        <w:adjustRightInd w:val="0"/>
        <w:spacing w:after="200" w:line="360" w:lineRule="auto"/>
        <w:ind w:left="0" w:firstLine="0"/>
        <w:contextualSpacing/>
        <w:mirrorIndents/>
        <w:jc w:val="both"/>
        <w:rPr>
          <w:rFonts w:eastAsia="PragmaticaC"/>
          <w:bCs/>
          <w:lang w:val="uk-UA" w:eastAsia="en-US"/>
        </w:rPr>
      </w:pPr>
      <w:hyperlink r:id="rId99" w:history="1">
        <w:r w:rsidR="005107A1" w:rsidRPr="001416ED">
          <w:rPr>
            <w:rFonts w:eastAsia="PragmaticaC"/>
            <w:lang w:val="uk-UA" w:eastAsia="en-US"/>
          </w:rPr>
          <w:t>Yamunadevi</w:t>
        </w:r>
      </w:hyperlink>
      <w:r w:rsidR="005107A1" w:rsidRPr="001416ED">
        <w:rPr>
          <w:rFonts w:eastAsia="PragmaticaC"/>
          <w:lang w:val="uk-UA" w:eastAsia="en-US"/>
        </w:rPr>
        <w:t xml:space="preserve"> А. </w:t>
      </w:r>
      <w:r w:rsidR="005107A1" w:rsidRPr="001416ED">
        <w:rPr>
          <w:rFonts w:eastAsia="PragmaticaC"/>
          <w:bCs/>
          <w:lang w:val="uk-UA" w:eastAsia="en-US"/>
        </w:rPr>
        <w:t xml:space="preserve">Dermatoglyphic patterns and salivary pH in subjects with and without dental caries: A cross–sectional study / </w:t>
      </w:r>
      <w:hyperlink r:id="rId100" w:history="1">
        <w:r w:rsidR="005107A1" w:rsidRPr="001416ED">
          <w:rPr>
            <w:rFonts w:eastAsia="PragmaticaC"/>
            <w:bCs/>
            <w:lang w:val="uk-UA" w:eastAsia="en-US"/>
          </w:rPr>
          <w:t>А. Yamunadevi</w:t>
        </w:r>
      </w:hyperlink>
      <w:r w:rsidR="005107A1" w:rsidRPr="001416ED">
        <w:rPr>
          <w:rFonts w:eastAsia="PragmaticaC"/>
          <w:bCs/>
          <w:lang w:val="uk-UA" w:eastAsia="en-US"/>
        </w:rPr>
        <w:t>, </w:t>
      </w:r>
      <w:hyperlink r:id="rId101" w:history="1">
        <w:r w:rsidR="005107A1" w:rsidRPr="001416ED">
          <w:rPr>
            <w:rFonts w:eastAsia="PragmaticaC"/>
            <w:bCs/>
            <w:lang w:val="uk-UA" w:eastAsia="en-US"/>
          </w:rPr>
          <w:t>J. Dineshshankar</w:t>
        </w:r>
      </w:hyperlink>
      <w:r w:rsidR="005107A1" w:rsidRPr="001416ED">
        <w:rPr>
          <w:rFonts w:eastAsia="PragmaticaC"/>
          <w:bCs/>
          <w:lang w:val="uk-UA" w:eastAsia="en-US"/>
        </w:rPr>
        <w:t>, </w:t>
      </w:r>
      <w:hyperlink r:id="rId102" w:history="1">
        <w:r w:rsidR="005107A1" w:rsidRPr="001416ED">
          <w:rPr>
            <w:rFonts w:eastAsia="PragmaticaC"/>
            <w:bCs/>
            <w:lang w:val="uk-UA" w:eastAsia="en-US"/>
          </w:rPr>
          <w:t>S. Banu</w:t>
        </w:r>
      </w:hyperlink>
      <w:r w:rsidR="005107A1" w:rsidRPr="001416ED">
        <w:rPr>
          <w:rFonts w:eastAsia="PragmaticaC"/>
          <w:bCs/>
          <w:lang w:val="uk-UA" w:eastAsia="en-US"/>
        </w:rPr>
        <w:t xml:space="preserve"> [et al.]</w:t>
      </w:r>
      <w:r w:rsidR="005107A1" w:rsidRPr="001416ED">
        <w:rPr>
          <w:rFonts w:eastAsia="PragmaticaC"/>
          <w:lang w:val="uk-UA" w:eastAsia="en-US"/>
        </w:rPr>
        <w:t xml:space="preserve">  // J Nat Sci Biol Med. – 2015.</w:t>
      </w:r>
      <w:r w:rsidR="00FC322E" w:rsidRPr="001416ED">
        <w:rPr>
          <w:rFonts w:eastAsia="PragmaticaC"/>
          <w:lang w:val="uk-UA" w:eastAsia="en-US"/>
        </w:rPr>
        <w:t xml:space="preserve"> -</w:t>
      </w:r>
      <w:r w:rsidR="005107A1" w:rsidRPr="001416ED">
        <w:rPr>
          <w:rFonts w:eastAsia="PragmaticaC"/>
          <w:lang w:val="uk-UA" w:eastAsia="en-US"/>
        </w:rPr>
        <w:t xml:space="preserve"> </w:t>
      </w:r>
      <w:r w:rsidR="005107A1" w:rsidRPr="001416ED">
        <w:rPr>
          <w:rFonts w:eastAsia="PragmaticaC"/>
          <w:lang w:val="en-US" w:eastAsia="en-US"/>
        </w:rPr>
        <w:t xml:space="preserve">Vol. </w:t>
      </w:r>
      <w:r w:rsidR="005107A1" w:rsidRPr="001416ED">
        <w:rPr>
          <w:rFonts w:eastAsia="PragmaticaC"/>
          <w:lang w:val="uk-UA" w:eastAsia="en-US"/>
        </w:rPr>
        <w:t>6</w:t>
      </w:r>
      <w:r w:rsidR="005107A1" w:rsidRPr="001416ED">
        <w:rPr>
          <w:rFonts w:eastAsia="PragmaticaC"/>
          <w:lang w:val="en-US" w:eastAsia="en-US"/>
        </w:rPr>
        <w:t xml:space="preserve"> </w:t>
      </w:r>
      <w:r w:rsidR="005107A1" w:rsidRPr="001416ED">
        <w:rPr>
          <w:rFonts w:eastAsia="PragmaticaC"/>
          <w:lang w:val="uk-UA" w:eastAsia="en-US"/>
        </w:rPr>
        <w:t>(2)</w:t>
      </w:r>
      <w:r w:rsidR="005107A1" w:rsidRPr="001416ED">
        <w:rPr>
          <w:rFonts w:eastAsia="PragmaticaC"/>
          <w:lang w:val="en-US" w:eastAsia="en-US"/>
        </w:rPr>
        <w:t>. – P.</w:t>
      </w:r>
      <w:r w:rsidR="005107A1" w:rsidRPr="001416ED">
        <w:rPr>
          <w:rFonts w:eastAsia="PragmaticaC"/>
          <w:lang w:val="uk-UA" w:eastAsia="en-US"/>
        </w:rPr>
        <w:t xml:space="preserve"> 295–299.</w:t>
      </w:r>
    </w:p>
    <w:p w:rsidR="005107A1" w:rsidRPr="001416ED" w:rsidRDefault="005107A1" w:rsidP="0012229A">
      <w:pPr>
        <w:numPr>
          <w:ilvl w:val="0"/>
          <w:numId w:val="10"/>
        </w:numPr>
        <w:shd w:val="clear" w:color="auto" w:fill="FFFFFF"/>
        <w:tabs>
          <w:tab w:val="left" w:pos="709"/>
        </w:tabs>
        <w:autoSpaceDE w:val="0"/>
        <w:autoSpaceDN w:val="0"/>
        <w:adjustRightInd w:val="0"/>
        <w:spacing w:after="200" w:line="360" w:lineRule="auto"/>
        <w:ind w:left="0" w:firstLine="0"/>
        <w:contextualSpacing/>
        <w:mirrorIndents/>
        <w:jc w:val="both"/>
        <w:rPr>
          <w:rFonts w:eastAsia="Calibri"/>
          <w:kern w:val="11"/>
          <w:lang w:val="uk-UA" w:eastAsia="uk-UA"/>
        </w:rPr>
      </w:pPr>
      <w:r w:rsidRPr="001416ED">
        <w:rPr>
          <w:rFonts w:eastAsia="Calibri"/>
          <w:kern w:val="11"/>
          <w:shd w:val="clear" w:color="auto" w:fill="FFFFFF"/>
          <w:lang w:val="uk-UA" w:eastAsia="en-US"/>
        </w:rPr>
        <w:t xml:space="preserve">Yanagisawa M. Primary structure, synthesis, and biological activity of rat endothelin, an endothelium–derived vasoconstrictor peptide / </w:t>
      </w:r>
      <w:r w:rsidRPr="001416ED">
        <w:rPr>
          <w:rFonts w:eastAsia="Calibri"/>
          <w:kern w:val="11"/>
          <w:lang w:val="uk-UA" w:eastAsia="en-US"/>
        </w:rPr>
        <w:t xml:space="preserve">M. Yanagizawa, A. Inou, T. Ishikawa </w:t>
      </w:r>
      <w:r w:rsidRPr="001416ED">
        <w:rPr>
          <w:rFonts w:eastAsia="Calibri"/>
          <w:kern w:val="11"/>
          <w:lang w:val="en-US" w:eastAsia="en-US"/>
        </w:rPr>
        <w:t>[</w:t>
      </w:r>
      <w:r w:rsidRPr="001416ED">
        <w:rPr>
          <w:rFonts w:eastAsia="Calibri"/>
          <w:kern w:val="11"/>
          <w:lang w:val="uk-UA" w:eastAsia="en-US"/>
        </w:rPr>
        <w:t>et al.</w:t>
      </w:r>
      <w:r w:rsidRPr="001416ED">
        <w:rPr>
          <w:rFonts w:eastAsia="Calibri"/>
          <w:kern w:val="11"/>
          <w:lang w:val="en-US" w:eastAsia="en-US"/>
        </w:rPr>
        <w:t>]</w:t>
      </w:r>
      <w:r w:rsidRPr="001416ED">
        <w:rPr>
          <w:rFonts w:eastAsia="Calibri"/>
          <w:kern w:val="11"/>
          <w:lang w:val="uk-UA" w:eastAsia="en-US"/>
        </w:rPr>
        <w:t xml:space="preserve"> // </w:t>
      </w:r>
      <w:r w:rsidRPr="001416ED">
        <w:rPr>
          <w:rFonts w:eastAsia="Calibri"/>
          <w:kern w:val="11"/>
          <w:shd w:val="clear" w:color="auto" w:fill="FFFFFF"/>
          <w:lang w:val="uk-UA" w:eastAsia="en-US"/>
        </w:rPr>
        <w:t>Proc Natl Acad Sci U S A. –</w:t>
      </w:r>
      <w:r w:rsidRPr="001416ED">
        <w:rPr>
          <w:rFonts w:eastAsia="Calibri"/>
          <w:kern w:val="11"/>
          <w:lang w:val="uk-UA" w:eastAsia="en-US"/>
        </w:rPr>
        <w:t xml:space="preserve"> 1988. – </w:t>
      </w:r>
      <w:r w:rsidRPr="001416ED">
        <w:rPr>
          <w:rFonts w:eastAsia="Calibri"/>
          <w:kern w:val="11"/>
          <w:shd w:val="clear" w:color="auto" w:fill="FFFFFF"/>
          <w:lang w:val="uk-UA" w:eastAsia="en-US"/>
        </w:rPr>
        <w:t>Vol.5</w:t>
      </w:r>
      <w:r w:rsidRPr="001416ED">
        <w:rPr>
          <w:rFonts w:eastAsia="Calibri"/>
          <w:kern w:val="11"/>
          <w:shd w:val="clear" w:color="auto" w:fill="FFFFFF"/>
          <w:lang w:val="en-US" w:eastAsia="en-US"/>
        </w:rPr>
        <w:t xml:space="preserve"> </w:t>
      </w:r>
      <w:r w:rsidRPr="001416ED">
        <w:rPr>
          <w:rFonts w:eastAsia="Calibri"/>
          <w:kern w:val="11"/>
          <w:shd w:val="clear" w:color="auto" w:fill="FFFFFF"/>
          <w:lang w:val="uk-UA" w:eastAsia="en-US"/>
        </w:rPr>
        <w:t>(18). – Р. 6964–6967.</w:t>
      </w:r>
    </w:p>
    <w:p w:rsidR="005107A1" w:rsidRPr="001416ED" w:rsidRDefault="005107A1" w:rsidP="0012229A">
      <w:pPr>
        <w:numPr>
          <w:ilvl w:val="0"/>
          <w:numId w:val="10"/>
        </w:numPr>
        <w:spacing w:line="360" w:lineRule="auto"/>
        <w:ind w:left="0" w:firstLine="0"/>
        <w:mirrorIndents/>
        <w:jc w:val="both"/>
        <w:rPr>
          <w:lang w:val="uk-UA" w:eastAsia="uk-UA"/>
        </w:rPr>
      </w:pPr>
      <w:r w:rsidRPr="001416ED">
        <w:rPr>
          <w:rFonts w:eastAsia="Calibri"/>
          <w:kern w:val="11"/>
          <w:lang w:val="uk-UA" w:eastAsia="en-US"/>
        </w:rPr>
        <w:lastRenderedPageBreak/>
        <w:t xml:space="preserve">Yip H. K. Prognostic value of circulating levels of endothelin–1 in patients after acute myocardial infarction undergoing primary coronary angioplasty / H. K. Yip, C. J. Wu, H. W. Chang </w:t>
      </w:r>
      <w:r w:rsidRPr="001416ED">
        <w:rPr>
          <w:rFonts w:eastAsia="Calibri"/>
          <w:kern w:val="11"/>
          <w:lang w:val="en-US" w:eastAsia="en-US"/>
        </w:rPr>
        <w:t>[</w:t>
      </w:r>
      <w:r w:rsidRPr="001416ED">
        <w:rPr>
          <w:rFonts w:eastAsia="Calibri"/>
          <w:kern w:val="11"/>
          <w:lang w:val="uk-UA" w:eastAsia="en-US"/>
        </w:rPr>
        <w:t>et al.</w:t>
      </w:r>
      <w:r w:rsidRPr="001416ED">
        <w:rPr>
          <w:rFonts w:eastAsia="Calibri"/>
          <w:kern w:val="11"/>
          <w:lang w:val="en-US" w:eastAsia="en-US"/>
        </w:rPr>
        <w:t>]</w:t>
      </w:r>
      <w:r w:rsidRPr="001416ED">
        <w:rPr>
          <w:rFonts w:eastAsia="Calibri"/>
          <w:kern w:val="11"/>
          <w:lang w:val="uk-UA" w:eastAsia="en-US"/>
        </w:rPr>
        <w:t xml:space="preserve">  // Chest. – 2005. – Vol. 127. – P. 1491–1497.</w:t>
      </w:r>
    </w:p>
    <w:p w:rsidR="005107A1" w:rsidRPr="001416ED" w:rsidRDefault="00A9327B" w:rsidP="0012229A">
      <w:pPr>
        <w:numPr>
          <w:ilvl w:val="0"/>
          <w:numId w:val="10"/>
        </w:numPr>
        <w:shd w:val="clear" w:color="auto" w:fill="FFFFFF"/>
        <w:autoSpaceDE w:val="0"/>
        <w:autoSpaceDN w:val="0"/>
        <w:adjustRightInd w:val="0"/>
        <w:spacing w:after="200" w:line="360" w:lineRule="auto"/>
        <w:ind w:left="0" w:firstLine="0"/>
        <w:contextualSpacing/>
        <w:mirrorIndents/>
        <w:jc w:val="both"/>
        <w:textAlignment w:val="baseline"/>
        <w:rPr>
          <w:lang w:val="uk-UA" w:eastAsia="uk-UA"/>
        </w:rPr>
      </w:pPr>
      <w:hyperlink r:id="rId103" w:history="1">
        <w:r w:rsidR="005107A1" w:rsidRPr="001416ED">
          <w:rPr>
            <w:rFonts w:eastAsia="Calibri"/>
            <w:bCs/>
            <w:kern w:val="11"/>
            <w:bdr w:val="none" w:sz="0" w:space="0" w:color="auto" w:frame="1"/>
            <w:lang w:val="uk-UA" w:eastAsia="en-US"/>
          </w:rPr>
          <w:t>Zoccali</w:t>
        </w:r>
      </w:hyperlink>
      <w:r w:rsidR="005107A1" w:rsidRPr="001416ED">
        <w:rPr>
          <w:rFonts w:eastAsia="Calibri"/>
          <w:kern w:val="11"/>
          <w:lang w:val="uk-UA" w:eastAsia="en-US"/>
        </w:rPr>
        <w:t xml:space="preserve"> </w:t>
      </w:r>
      <w:r w:rsidR="005107A1" w:rsidRPr="001416ED">
        <w:rPr>
          <w:rFonts w:eastAsia="Calibri"/>
          <w:bCs/>
          <w:kern w:val="11"/>
          <w:bdr w:val="none" w:sz="0" w:space="0" w:color="auto" w:frame="1"/>
          <w:lang w:val="uk-UA" w:eastAsia="en-US"/>
        </w:rPr>
        <w:t>C.</w:t>
      </w:r>
      <w:r w:rsidR="005107A1" w:rsidRPr="001416ED">
        <w:rPr>
          <w:rFonts w:eastAsia="Calibri"/>
          <w:kern w:val="11"/>
          <w:lang w:val="uk-UA" w:eastAsia="en-US"/>
        </w:rPr>
        <w:t xml:space="preserve"> Urinary and plasma endothelin</w:t>
      </w:r>
      <w:r w:rsidR="005107A1" w:rsidRPr="001416ED">
        <w:rPr>
          <w:rFonts w:eastAsia="Calibri"/>
          <w:kern w:val="11"/>
          <w:lang w:val="en-US" w:eastAsia="en-US"/>
        </w:rPr>
        <w:t>-</w:t>
      </w:r>
      <w:r w:rsidR="005107A1" w:rsidRPr="001416ED">
        <w:rPr>
          <w:rFonts w:eastAsia="Calibri"/>
          <w:kern w:val="11"/>
          <w:lang w:val="uk-UA" w:eastAsia="en-US"/>
        </w:rPr>
        <w:t xml:space="preserve">1 in essential hypertension and in hypertension secondary to renoparenchymal disease / </w:t>
      </w:r>
      <w:hyperlink r:id="rId104" w:history="1">
        <w:r w:rsidR="005107A1" w:rsidRPr="001416ED">
          <w:rPr>
            <w:rFonts w:eastAsia="Calibri"/>
            <w:bCs/>
            <w:kern w:val="11"/>
            <w:bdr w:val="none" w:sz="0" w:space="0" w:color="auto" w:frame="1"/>
            <w:lang w:val="uk-UA" w:eastAsia="en-US"/>
          </w:rPr>
          <w:t>C. Zoccali</w:t>
        </w:r>
      </w:hyperlink>
      <w:r w:rsidR="005107A1" w:rsidRPr="001416ED">
        <w:rPr>
          <w:rFonts w:eastAsia="Calibri"/>
          <w:bCs/>
          <w:kern w:val="11"/>
          <w:lang w:val="uk-UA" w:eastAsia="en-US"/>
        </w:rPr>
        <w:t>, </w:t>
      </w:r>
      <w:hyperlink r:id="rId105" w:history="1">
        <w:r w:rsidR="005107A1" w:rsidRPr="001416ED">
          <w:rPr>
            <w:rFonts w:eastAsia="Calibri"/>
            <w:bCs/>
            <w:kern w:val="11"/>
            <w:bdr w:val="none" w:sz="0" w:space="0" w:color="auto" w:frame="1"/>
            <w:lang w:val="uk-UA" w:eastAsia="en-US"/>
          </w:rPr>
          <w:t>D. Leonardis</w:t>
        </w:r>
      </w:hyperlink>
      <w:r w:rsidR="005107A1" w:rsidRPr="001416ED">
        <w:rPr>
          <w:rFonts w:eastAsia="Calibri"/>
          <w:bCs/>
          <w:kern w:val="11"/>
          <w:lang w:val="uk-UA" w:eastAsia="en-US"/>
        </w:rPr>
        <w:t>, </w:t>
      </w:r>
      <w:hyperlink r:id="rId106" w:history="1">
        <w:r w:rsidR="005107A1" w:rsidRPr="001416ED">
          <w:rPr>
            <w:rFonts w:eastAsia="Calibri"/>
            <w:bCs/>
            <w:kern w:val="11"/>
            <w:bdr w:val="none" w:sz="0" w:space="0" w:color="auto" w:frame="1"/>
            <w:lang w:val="uk-UA" w:eastAsia="en-US"/>
          </w:rPr>
          <w:t>S. Parlongo</w:t>
        </w:r>
      </w:hyperlink>
      <w:r w:rsidR="005107A1" w:rsidRPr="001416ED">
        <w:rPr>
          <w:rFonts w:eastAsia="Calibri"/>
          <w:lang w:val="en-US" w:eastAsia="en-US"/>
        </w:rPr>
        <w:t xml:space="preserve"> [et al.]</w:t>
      </w:r>
      <w:r w:rsidR="005107A1" w:rsidRPr="001416ED">
        <w:rPr>
          <w:rFonts w:eastAsia="Calibri"/>
          <w:lang w:val="uk-UA" w:eastAsia="en-US"/>
        </w:rPr>
        <w:t xml:space="preserve"> </w:t>
      </w:r>
      <w:r w:rsidR="005107A1" w:rsidRPr="001416ED">
        <w:rPr>
          <w:rFonts w:eastAsia="Calibri"/>
          <w:bCs/>
          <w:kern w:val="11"/>
          <w:bdr w:val="none" w:sz="0" w:space="0" w:color="auto" w:frame="1"/>
          <w:lang w:val="uk-UA" w:eastAsia="en-US"/>
        </w:rPr>
        <w:t xml:space="preserve"> // </w:t>
      </w:r>
      <w:r w:rsidR="005107A1" w:rsidRPr="001416ED">
        <w:rPr>
          <w:lang w:val="uk-UA" w:eastAsia="uk-UA"/>
        </w:rPr>
        <w:t>Nephrol. Dial. Transplant. – 1995. –</w:t>
      </w:r>
      <w:r w:rsidR="005107A1" w:rsidRPr="001416ED">
        <w:rPr>
          <w:lang w:val="en-US" w:eastAsia="uk-UA"/>
        </w:rPr>
        <w:t xml:space="preserve"> </w:t>
      </w:r>
      <w:r w:rsidR="005107A1" w:rsidRPr="001416ED">
        <w:rPr>
          <w:lang w:val="uk-UA" w:eastAsia="uk-UA"/>
        </w:rPr>
        <w:t>Vol. 10 (8)</w:t>
      </w:r>
      <w:r w:rsidR="005107A1" w:rsidRPr="001416ED">
        <w:rPr>
          <w:lang w:val="en-US" w:eastAsia="uk-UA"/>
        </w:rPr>
        <w:t xml:space="preserve">. – P. </w:t>
      </w:r>
      <w:r w:rsidR="005107A1" w:rsidRPr="001416ED">
        <w:rPr>
          <w:lang w:val="uk-UA" w:eastAsia="uk-UA"/>
        </w:rPr>
        <w:t>1320–1323.</w:t>
      </w:r>
    </w:p>
    <w:p w:rsidR="005107A1" w:rsidRPr="001416ED" w:rsidRDefault="005107A1" w:rsidP="0012229A">
      <w:pPr>
        <w:numPr>
          <w:ilvl w:val="0"/>
          <w:numId w:val="10"/>
        </w:numPr>
        <w:spacing w:after="200" w:line="360" w:lineRule="auto"/>
        <w:ind w:left="0" w:firstLine="0"/>
        <w:mirrorIndents/>
        <w:jc w:val="both"/>
        <w:rPr>
          <w:lang w:val="uk-UA" w:eastAsia="uk-UA"/>
        </w:rPr>
      </w:pPr>
      <w:r w:rsidRPr="001416ED">
        <w:rPr>
          <w:lang w:val="uk-UA" w:eastAsia="uk-UA"/>
        </w:rPr>
        <w:t>Zolk O. Expression of endothelin–1, endothelin–converting enzyme, and endothelin receptors in chronic heart failure</w:t>
      </w:r>
      <w:r w:rsidRPr="001416ED">
        <w:rPr>
          <w:lang w:val="en-US" w:eastAsia="uk-UA"/>
        </w:rPr>
        <w:t xml:space="preserve"> / </w:t>
      </w:r>
      <w:r w:rsidRPr="001416ED">
        <w:rPr>
          <w:lang w:val="uk-UA" w:eastAsia="uk-UA"/>
        </w:rPr>
        <w:t xml:space="preserve"> O. Zolk</w:t>
      </w:r>
      <w:r w:rsidRPr="001416ED">
        <w:rPr>
          <w:lang w:val="en-US" w:eastAsia="uk-UA"/>
        </w:rPr>
        <w:t>,</w:t>
      </w:r>
      <w:r w:rsidRPr="001416ED">
        <w:rPr>
          <w:lang w:val="uk-UA" w:eastAsia="uk-UA"/>
        </w:rPr>
        <w:t xml:space="preserve"> J.</w:t>
      </w:r>
      <w:r w:rsidRPr="001416ED">
        <w:rPr>
          <w:lang w:val="en-US" w:eastAsia="uk-UA"/>
        </w:rPr>
        <w:t xml:space="preserve"> </w:t>
      </w:r>
      <w:r w:rsidRPr="001416ED">
        <w:rPr>
          <w:lang w:val="uk-UA" w:eastAsia="uk-UA"/>
        </w:rPr>
        <w:t>Quattek, G. Sitzler [et al.] // Circulation. – 1999. – Vol. 99. – P. 2118–2123.</w:t>
      </w:r>
    </w:p>
    <w:p w:rsidR="005107A1" w:rsidRPr="001416ED" w:rsidRDefault="005107A1" w:rsidP="005107A1">
      <w:pPr>
        <w:spacing w:after="200" w:line="360" w:lineRule="auto"/>
        <w:rPr>
          <w:rFonts w:eastAsia="Calibri"/>
          <w:spacing w:val="-20"/>
          <w:lang w:eastAsia="en-US"/>
        </w:rPr>
      </w:pPr>
    </w:p>
    <w:p w:rsidR="005107A1" w:rsidRPr="001416ED" w:rsidRDefault="005107A1" w:rsidP="005107A1">
      <w:pPr>
        <w:spacing w:after="200" w:line="360" w:lineRule="auto"/>
        <w:rPr>
          <w:rFonts w:eastAsia="Calibri"/>
          <w:spacing w:val="-20"/>
          <w:lang w:eastAsia="en-US"/>
        </w:rPr>
      </w:pPr>
    </w:p>
    <w:p w:rsidR="008E7C2F" w:rsidRPr="001416ED" w:rsidRDefault="008E7C2F"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5107A1" w:rsidRPr="001416ED" w:rsidRDefault="005107A1" w:rsidP="00EF00D6">
      <w:pPr>
        <w:spacing w:after="200" w:line="276" w:lineRule="auto"/>
        <w:rPr>
          <w:rFonts w:eastAsiaTheme="minorHAnsi"/>
          <w:kern w:val="11"/>
          <w:sz w:val="11"/>
          <w:szCs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F3040" w:rsidRDefault="008F3040" w:rsidP="000A075A">
      <w:pPr>
        <w:shd w:val="clear" w:color="auto" w:fill="FFFFFF"/>
        <w:spacing w:line="360" w:lineRule="auto"/>
        <w:ind w:right="-1"/>
        <w:jc w:val="center"/>
        <w:rPr>
          <w:rFonts w:eastAsiaTheme="minorHAnsi"/>
          <w:kern w:val="11"/>
          <w:lang w:val="uk-UA" w:eastAsia="en-US"/>
        </w:rPr>
      </w:pPr>
    </w:p>
    <w:p w:rsidR="008E7C2F" w:rsidRPr="001416ED" w:rsidRDefault="000A075A" w:rsidP="000A075A">
      <w:pPr>
        <w:shd w:val="clear" w:color="auto" w:fill="FFFFFF"/>
        <w:spacing w:line="360" w:lineRule="auto"/>
        <w:ind w:right="-1"/>
        <w:jc w:val="center"/>
        <w:rPr>
          <w:rFonts w:eastAsiaTheme="minorHAnsi"/>
          <w:kern w:val="11"/>
          <w:lang w:val="uk-UA" w:eastAsia="en-US"/>
        </w:rPr>
      </w:pPr>
      <w:r w:rsidRPr="001416ED">
        <w:rPr>
          <w:rFonts w:eastAsiaTheme="minorHAnsi"/>
          <w:kern w:val="11"/>
          <w:lang w:val="uk-UA" w:eastAsia="en-US"/>
        </w:rPr>
        <w:lastRenderedPageBreak/>
        <w:t xml:space="preserve">ДОДАТОК </w:t>
      </w:r>
      <w:r w:rsidR="00713C82" w:rsidRPr="001416ED">
        <w:rPr>
          <w:rFonts w:eastAsiaTheme="minorHAnsi"/>
          <w:kern w:val="11"/>
          <w:lang w:val="uk-UA" w:eastAsia="en-US"/>
        </w:rPr>
        <w:t>А</w:t>
      </w:r>
    </w:p>
    <w:p w:rsidR="000A075A" w:rsidRPr="00855E87" w:rsidRDefault="000A075A" w:rsidP="000A075A">
      <w:pPr>
        <w:ind w:left="360"/>
        <w:jc w:val="center"/>
        <w:rPr>
          <w:b/>
          <w:sz w:val="22"/>
          <w:szCs w:val="22"/>
        </w:rPr>
      </w:pPr>
      <w:r w:rsidRPr="00855E87">
        <w:rPr>
          <w:b/>
          <w:sz w:val="22"/>
          <w:szCs w:val="22"/>
          <w:lang w:val="uk-UA"/>
        </w:rPr>
        <w:t>Карта обстеження №</w:t>
      </w:r>
      <w:r w:rsidRPr="00855E87">
        <w:rPr>
          <w:b/>
          <w:sz w:val="22"/>
          <w:szCs w:val="22"/>
        </w:rPr>
        <w:t xml:space="preserve"> _____</w:t>
      </w:r>
    </w:p>
    <w:p w:rsidR="000A075A" w:rsidRPr="00855E87" w:rsidRDefault="000A075A" w:rsidP="000A075A">
      <w:pPr>
        <w:ind w:left="360"/>
        <w:rPr>
          <w:sz w:val="22"/>
          <w:szCs w:val="22"/>
          <w:lang w:val="uk-UA"/>
        </w:rPr>
      </w:pPr>
      <w:r w:rsidRPr="00855E87">
        <w:rPr>
          <w:sz w:val="22"/>
          <w:szCs w:val="22"/>
          <w:lang w:val="uk-UA"/>
        </w:rPr>
        <w:t>Лікувальний заклад __________________________________________________________________</w:t>
      </w:r>
      <w:r w:rsidRPr="00855E87">
        <w:rPr>
          <w:sz w:val="22"/>
          <w:szCs w:val="22"/>
        </w:rPr>
        <w:t>____</w:t>
      </w:r>
      <w:r w:rsidRPr="00855E87">
        <w:rPr>
          <w:sz w:val="22"/>
          <w:szCs w:val="22"/>
          <w:lang w:val="uk-UA"/>
        </w:rPr>
        <w:t>_______</w:t>
      </w:r>
      <w:r w:rsidR="00855E87">
        <w:rPr>
          <w:sz w:val="22"/>
          <w:szCs w:val="22"/>
          <w:lang w:val="uk-UA"/>
        </w:rPr>
        <w:t>_________</w:t>
      </w:r>
    </w:p>
    <w:p w:rsidR="000A075A" w:rsidRPr="00855E87" w:rsidRDefault="000A075A" w:rsidP="000A075A">
      <w:pPr>
        <w:ind w:left="360"/>
        <w:rPr>
          <w:sz w:val="22"/>
          <w:szCs w:val="22"/>
          <w:lang w:val="uk-UA"/>
        </w:rPr>
      </w:pPr>
      <w:r w:rsidRPr="00855E87">
        <w:rPr>
          <w:sz w:val="22"/>
          <w:szCs w:val="22"/>
          <w:lang w:val="uk-UA"/>
        </w:rPr>
        <w:t>Іс</w:t>
      </w:r>
      <w:r w:rsidR="00855E87">
        <w:rPr>
          <w:sz w:val="22"/>
          <w:szCs w:val="22"/>
          <w:lang w:val="uk-UA"/>
        </w:rPr>
        <w:t>торія хвороби №___________</w:t>
      </w:r>
      <w:r w:rsidRPr="00855E87">
        <w:rPr>
          <w:sz w:val="22"/>
          <w:szCs w:val="22"/>
          <w:lang w:val="uk-UA"/>
        </w:rPr>
        <w:t>Дата поступлення _________</w:t>
      </w:r>
      <w:r w:rsidR="00855E87">
        <w:rPr>
          <w:sz w:val="22"/>
          <w:szCs w:val="22"/>
          <w:lang w:val="uk-UA"/>
        </w:rPr>
        <w:t>______ Дата виписки ________________</w:t>
      </w:r>
    </w:p>
    <w:p w:rsidR="000A075A" w:rsidRPr="00855E87" w:rsidRDefault="000A075A" w:rsidP="000A075A">
      <w:pPr>
        <w:ind w:left="360"/>
        <w:rPr>
          <w:b/>
          <w:sz w:val="22"/>
          <w:szCs w:val="22"/>
          <w:lang w:val="uk-UA"/>
        </w:rPr>
      </w:pPr>
    </w:p>
    <w:p w:rsidR="000A075A" w:rsidRPr="00855E87" w:rsidRDefault="000A075A" w:rsidP="000A075A">
      <w:pPr>
        <w:ind w:left="360"/>
        <w:rPr>
          <w:b/>
          <w:sz w:val="22"/>
          <w:szCs w:val="22"/>
          <w:lang w:val="uk-UA"/>
        </w:rPr>
      </w:pPr>
      <w:r w:rsidRPr="00855E87">
        <w:rPr>
          <w:b/>
          <w:sz w:val="22"/>
          <w:szCs w:val="22"/>
          <w:lang w:val="uk-UA"/>
        </w:rPr>
        <w:t>Клінічний діагноз:</w:t>
      </w:r>
    </w:p>
    <w:p w:rsidR="000A075A" w:rsidRPr="00855E87" w:rsidRDefault="000A075A" w:rsidP="000A075A">
      <w:pPr>
        <w:ind w:left="360"/>
        <w:rPr>
          <w:sz w:val="22"/>
          <w:szCs w:val="22"/>
          <w:lang w:val="uk-UA"/>
        </w:rPr>
      </w:pPr>
      <w:r w:rsidRPr="00855E87">
        <w:rPr>
          <w:sz w:val="22"/>
          <w:szCs w:val="22"/>
          <w:lang w:val="uk-UA"/>
        </w:rPr>
        <w:t>Основний __________________________________________________________________________________</w:t>
      </w:r>
      <w:r w:rsidRPr="00855E87">
        <w:rPr>
          <w:sz w:val="22"/>
          <w:szCs w:val="22"/>
        </w:rPr>
        <w:t>___</w:t>
      </w:r>
      <w:r w:rsidR="00855E87">
        <w:rPr>
          <w:sz w:val="22"/>
          <w:szCs w:val="22"/>
          <w:lang w:val="uk-UA"/>
        </w:rPr>
        <w:t>_</w:t>
      </w:r>
    </w:p>
    <w:p w:rsidR="000A075A" w:rsidRPr="00855E87" w:rsidRDefault="000A075A" w:rsidP="000A075A">
      <w:pPr>
        <w:ind w:left="360"/>
        <w:rPr>
          <w:sz w:val="22"/>
          <w:szCs w:val="22"/>
          <w:lang w:val="uk-UA"/>
        </w:rPr>
      </w:pPr>
      <w:r w:rsidRPr="00855E87">
        <w:rPr>
          <w:sz w:val="22"/>
          <w:szCs w:val="22"/>
          <w:lang w:val="uk-UA"/>
        </w:rPr>
        <w:t>___________________________________________________________</w:t>
      </w:r>
      <w:r w:rsidR="00855E87">
        <w:rPr>
          <w:sz w:val="22"/>
          <w:szCs w:val="22"/>
          <w:lang w:val="uk-UA"/>
        </w:rPr>
        <w:t>___________________________</w:t>
      </w:r>
    </w:p>
    <w:p w:rsidR="000A075A" w:rsidRPr="00855E87" w:rsidRDefault="000A075A" w:rsidP="000A075A">
      <w:pPr>
        <w:ind w:left="360"/>
        <w:rPr>
          <w:sz w:val="22"/>
          <w:szCs w:val="22"/>
          <w:lang w:val="uk-UA"/>
        </w:rPr>
      </w:pPr>
      <w:r w:rsidRPr="00855E87">
        <w:rPr>
          <w:sz w:val="22"/>
          <w:szCs w:val="22"/>
          <w:lang w:val="uk-UA"/>
        </w:rPr>
        <w:t>Ускладнення _______________________________________________________________________________</w:t>
      </w:r>
      <w:r w:rsidRPr="00855E87">
        <w:rPr>
          <w:sz w:val="22"/>
          <w:szCs w:val="22"/>
        </w:rPr>
        <w:t>___</w:t>
      </w:r>
      <w:r w:rsidR="00855E87">
        <w:rPr>
          <w:sz w:val="22"/>
          <w:szCs w:val="22"/>
          <w:lang w:val="uk-UA"/>
        </w:rPr>
        <w:t>____</w:t>
      </w:r>
    </w:p>
    <w:p w:rsidR="000A075A" w:rsidRPr="00855E87" w:rsidRDefault="000A075A" w:rsidP="000A075A">
      <w:pPr>
        <w:ind w:left="360"/>
        <w:rPr>
          <w:sz w:val="22"/>
          <w:szCs w:val="22"/>
          <w:lang w:val="uk-UA"/>
        </w:rPr>
      </w:pPr>
      <w:r w:rsidRPr="00855E87">
        <w:rPr>
          <w:sz w:val="22"/>
          <w:szCs w:val="22"/>
          <w:lang w:val="uk-UA"/>
        </w:rPr>
        <w:t>Супутний __________________________________________________________________________________</w:t>
      </w:r>
      <w:r w:rsidRPr="00855E87">
        <w:rPr>
          <w:sz w:val="22"/>
          <w:szCs w:val="22"/>
        </w:rPr>
        <w:t>___</w:t>
      </w:r>
      <w:r w:rsidR="00855E87">
        <w:rPr>
          <w:sz w:val="22"/>
          <w:szCs w:val="22"/>
          <w:lang w:val="uk-UA"/>
        </w:rPr>
        <w:t>_</w:t>
      </w:r>
    </w:p>
    <w:p w:rsidR="000A075A" w:rsidRPr="00855E87" w:rsidRDefault="000A075A" w:rsidP="000A075A">
      <w:pPr>
        <w:ind w:left="360"/>
        <w:jc w:val="center"/>
        <w:rPr>
          <w:b/>
          <w:sz w:val="22"/>
          <w:szCs w:val="22"/>
          <w:lang w:val="uk-UA"/>
        </w:rPr>
      </w:pPr>
    </w:p>
    <w:p w:rsidR="000A075A" w:rsidRPr="00855E87" w:rsidRDefault="000A075A" w:rsidP="000A075A">
      <w:pPr>
        <w:ind w:left="360"/>
        <w:jc w:val="center"/>
        <w:rPr>
          <w:b/>
          <w:sz w:val="22"/>
          <w:szCs w:val="22"/>
          <w:lang w:val="uk-UA"/>
        </w:rPr>
      </w:pPr>
      <w:r w:rsidRPr="00855E87">
        <w:rPr>
          <w:b/>
          <w:sz w:val="22"/>
          <w:szCs w:val="22"/>
          <w:lang w:val="uk-UA"/>
        </w:rPr>
        <w:t>Паспортна частина</w:t>
      </w:r>
    </w:p>
    <w:p w:rsidR="000A075A" w:rsidRPr="00855E87" w:rsidRDefault="000A075A" w:rsidP="000A075A">
      <w:pPr>
        <w:ind w:left="360"/>
        <w:rPr>
          <w:sz w:val="22"/>
          <w:szCs w:val="22"/>
          <w:lang w:val="uk-UA"/>
        </w:rPr>
      </w:pPr>
      <w:r w:rsidRPr="00855E87">
        <w:rPr>
          <w:sz w:val="22"/>
          <w:szCs w:val="22"/>
          <w:lang w:val="uk-UA"/>
        </w:rPr>
        <w:t>П. І. П. _______________________________________________________________________________</w:t>
      </w:r>
      <w:r w:rsidR="00855E87">
        <w:rPr>
          <w:sz w:val="22"/>
          <w:szCs w:val="22"/>
          <w:lang w:val="uk-UA"/>
        </w:rPr>
        <w:t>_</w:t>
      </w:r>
    </w:p>
    <w:p w:rsidR="000A075A" w:rsidRPr="00855E87" w:rsidRDefault="000A075A" w:rsidP="000A075A">
      <w:pPr>
        <w:ind w:left="360"/>
        <w:rPr>
          <w:sz w:val="22"/>
          <w:szCs w:val="22"/>
          <w:lang w:val="uk-UA"/>
        </w:rPr>
      </w:pPr>
      <w:r w:rsidRPr="00855E87">
        <w:rPr>
          <w:sz w:val="22"/>
          <w:szCs w:val="22"/>
          <w:lang w:val="uk-UA"/>
        </w:rPr>
        <w:t>Дата народження__________ Місце народження ________________________________________</w:t>
      </w:r>
      <w:r w:rsidRPr="00855E87">
        <w:rPr>
          <w:sz w:val="22"/>
          <w:szCs w:val="22"/>
        </w:rPr>
        <w:t>_</w:t>
      </w:r>
      <w:r w:rsidRPr="00855E87">
        <w:rPr>
          <w:sz w:val="22"/>
          <w:szCs w:val="22"/>
          <w:lang w:val="uk-UA"/>
        </w:rPr>
        <w:t>___</w:t>
      </w:r>
      <w:r w:rsidR="00855E87">
        <w:rPr>
          <w:sz w:val="22"/>
          <w:szCs w:val="22"/>
          <w:lang w:val="uk-UA"/>
        </w:rPr>
        <w:t>_</w:t>
      </w:r>
    </w:p>
    <w:p w:rsidR="000A075A" w:rsidRPr="00855E87" w:rsidRDefault="000A075A" w:rsidP="000A075A">
      <w:pPr>
        <w:ind w:left="360"/>
        <w:rPr>
          <w:sz w:val="22"/>
          <w:szCs w:val="22"/>
          <w:lang w:val="uk-UA"/>
        </w:rPr>
      </w:pPr>
      <w:r w:rsidRPr="00855E87">
        <w:rPr>
          <w:sz w:val="22"/>
          <w:szCs w:val="22"/>
          <w:lang w:val="uk-UA"/>
        </w:rPr>
        <w:t>Місце проживання_________________________________________________________________</w:t>
      </w:r>
      <w:r w:rsidRPr="00855E87">
        <w:rPr>
          <w:sz w:val="22"/>
          <w:szCs w:val="22"/>
        </w:rPr>
        <w:t>_</w:t>
      </w:r>
      <w:r w:rsidRPr="00855E87">
        <w:rPr>
          <w:sz w:val="22"/>
          <w:szCs w:val="22"/>
          <w:lang w:val="uk-UA"/>
        </w:rPr>
        <w:t>____</w:t>
      </w:r>
    </w:p>
    <w:p w:rsidR="000A075A" w:rsidRPr="00855E87" w:rsidRDefault="000A075A" w:rsidP="000A075A">
      <w:pPr>
        <w:ind w:left="360"/>
        <w:jc w:val="center"/>
        <w:rPr>
          <w:b/>
          <w:sz w:val="22"/>
          <w:szCs w:val="22"/>
          <w:lang w:val="uk-UA"/>
        </w:rPr>
      </w:pPr>
    </w:p>
    <w:p w:rsidR="000A075A" w:rsidRPr="00855E87" w:rsidRDefault="000A075A" w:rsidP="000A075A">
      <w:pPr>
        <w:ind w:left="360"/>
        <w:jc w:val="center"/>
        <w:rPr>
          <w:b/>
          <w:sz w:val="22"/>
          <w:szCs w:val="22"/>
          <w:lang w:val="uk-UA"/>
        </w:rPr>
      </w:pPr>
      <w:r w:rsidRPr="00855E87">
        <w:rPr>
          <w:b/>
          <w:sz w:val="22"/>
          <w:szCs w:val="22"/>
          <w:lang w:val="uk-UA"/>
        </w:rPr>
        <w:t>Дані анамнезу</w:t>
      </w:r>
    </w:p>
    <w:p w:rsidR="000A075A" w:rsidRPr="00855E87" w:rsidRDefault="000A075A" w:rsidP="000A075A">
      <w:pPr>
        <w:rPr>
          <w:sz w:val="22"/>
          <w:szCs w:val="22"/>
          <w:lang w:val="uk-UA"/>
        </w:rPr>
      </w:pPr>
      <w:r w:rsidRPr="00855E87">
        <w:rPr>
          <w:sz w:val="22"/>
          <w:szCs w:val="22"/>
          <w:lang w:val="uk-UA"/>
        </w:rPr>
        <w:t xml:space="preserve">       1.    Проф. шкідливості:так -1, ні – 2,  тривалість їх впливу __________________</w:t>
      </w:r>
      <w:r w:rsidR="00855E87">
        <w:rPr>
          <w:sz w:val="22"/>
          <w:szCs w:val="22"/>
          <w:lang w:val="uk-UA"/>
        </w:rPr>
        <w:t>__________________</w:t>
      </w:r>
    </w:p>
    <w:p w:rsidR="000A075A" w:rsidRPr="00855E87" w:rsidRDefault="000A075A" w:rsidP="0012229A">
      <w:pPr>
        <w:numPr>
          <w:ilvl w:val="0"/>
          <w:numId w:val="14"/>
        </w:numPr>
        <w:rPr>
          <w:sz w:val="22"/>
          <w:szCs w:val="22"/>
          <w:lang w:val="uk-UA"/>
        </w:rPr>
      </w:pPr>
      <w:r w:rsidRPr="00855E87">
        <w:rPr>
          <w:sz w:val="22"/>
          <w:szCs w:val="22"/>
          <w:lang w:val="uk-UA"/>
        </w:rPr>
        <w:t>Фактори ризику ГХ:</w:t>
      </w:r>
    </w:p>
    <w:p w:rsidR="000A075A" w:rsidRPr="00855E87" w:rsidRDefault="000A075A" w:rsidP="000A075A">
      <w:pPr>
        <w:ind w:left="360"/>
        <w:rPr>
          <w:sz w:val="22"/>
          <w:szCs w:val="22"/>
          <w:lang w:val="uk-UA"/>
        </w:rPr>
      </w:pPr>
      <w:r w:rsidRPr="00855E87">
        <w:rPr>
          <w:sz w:val="22"/>
          <w:szCs w:val="22"/>
          <w:lang w:val="uk-UA"/>
        </w:rPr>
        <w:t xml:space="preserve"> </w:t>
      </w:r>
      <w:r w:rsidRPr="00855E87">
        <w:rPr>
          <w:sz w:val="22"/>
          <w:szCs w:val="22"/>
          <w:lang w:val="uk-UA"/>
        </w:rPr>
        <w:tab/>
      </w:r>
      <w:r w:rsidRPr="00855E87">
        <w:rPr>
          <w:sz w:val="22"/>
          <w:szCs w:val="22"/>
          <w:lang w:val="uk-UA"/>
        </w:rPr>
        <w:tab/>
        <w:t>1. Перевантаження:</w:t>
      </w:r>
      <w:r w:rsidRPr="00855E87">
        <w:rPr>
          <w:sz w:val="22"/>
          <w:szCs w:val="22"/>
          <w:lang w:val="uk-UA"/>
        </w:rPr>
        <w:tab/>
        <w:t xml:space="preserve">так -1, </w:t>
      </w:r>
      <w:r w:rsidRPr="00855E87">
        <w:rPr>
          <w:sz w:val="22"/>
          <w:szCs w:val="22"/>
          <w:lang w:val="uk-UA"/>
        </w:rPr>
        <w:tab/>
        <w:t xml:space="preserve"> ні – 2,  розумові – 3, фізичні – 4____________</w:t>
      </w:r>
      <w:r w:rsidR="00855E87">
        <w:rPr>
          <w:sz w:val="22"/>
          <w:szCs w:val="22"/>
          <w:lang w:val="uk-UA"/>
        </w:rPr>
        <w:t>____________</w:t>
      </w:r>
      <w:r w:rsidRPr="00855E87">
        <w:rPr>
          <w:sz w:val="22"/>
          <w:szCs w:val="22"/>
          <w:lang w:val="uk-UA"/>
        </w:rPr>
        <w:t xml:space="preserve">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2. Підвласність стресу:  так -1,  ні – 2,  _________________________________</w:t>
      </w:r>
      <w:r w:rsidR="00855E87">
        <w:rPr>
          <w:sz w:val="22"/>
          <w:szCs w:val="22"/>
          <w:lang w:val="uk-UA"/>
        </w:rPr>
        <w:t>___________</w:t>
      </w:r>
      <w:r w:rsidRPr="00855E87">
        <w:rPr>
          <w:sz w:val="22"/>
          <w:szCs w:val="22"/>
          <w:lang w:val="uk-UA"/>
        </w:rPr>
        <w:t xml:space="preserve">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3. Спадковість:  батько – 1, мати – 2, брат – 3, сестра – 4, батько-дід – 5, батько-баба – 6,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    мати-дід – 7, мати-баба – 8, родичі батька – 9, родичі матері – 10.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4. Ожиріння:  так -1,  ні – 2,  ступінь ______________________</w:t>
      </w:r>
      <w:r w:rsidR="00855E87">
        <w:rPr>
          <w:sz w:val="22"/>
          <w:szCs w:val="22"/>
          <w:lang w:val="uk-UA"/>
        </w:rPr>
        <w:t>_______________________</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5. Гіподинамія:  так -1,  ні – 2,  ___________________________</w:t>
      </w:r>
      <w:r w:rsidR="00855E87">
        <w:rPr>
          <w:sz w:val="22"/>
          <w:szCs w:val="22"/>
          <w:lang w:val="uk-UA"/>
        </w:rPr>
        <w:t>_______________________</w:t>
      </w:r>
    </w:p>
    <w:p w:rsidR="000A075A" w:rsidRPr="00855E87" w:rsidRDefault="000A075A" w:rsidP="000A075A">
      <w:pPr>
        <w:rPr>
          <w:sz w:val="22"/>
          <w:szCs w:val="22"/>
          <w:lang w:val="uk-UA"/>
        </w:rPr>
      </w:pPr>
      <w:r w:rsidRPr="00855E87">
        <w:rPr>
          <w:sz w:val="22"/>
          <w:szCs w:val="22"/>
          <w:lang w:val="uk-UA"/>
        </w:rPr>
        <w:tab/>
      </w:r>
      <w:r w:rsidRPr="00855E87">
        <w:rPr>
          <w:sz w:val="22"/>
          <w:szCs w:val="22"/>
          <w:lang w:val="uk-UA"/>
        </w:rPr>
        <w:tab/>
        <w:t>6. Паління:  так -1,  ні – 2,  частота_____________ кількість______________</w:t>
      </w:r>
      <w:r w:rsidR="00855E87">
        <w:rPr>
          <w:sz w:val="22"/>
          <w:szCs w:val="22"/>
          <w:lang w:val="uk-UA"/>
        </w:rPr>
        <w:t>____________</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7. Алкоголь: так -1, ні – 2,  частота_____________ кількість______________</w:t>
      </w:r>
      <w:r w:rsidR="00855E87">
        <w:rPr>
          <w:sz w:val="22"/>
          <w:szCs w:val="22"/>
          <w:lang w:val="uk-UA"/>
        </w:rPr>
        <w:t>____________</w:t>
      </w:r>
    </w:p>
    <w:p w:rsidR="000A075A" w:rsidRPr="00855E87" w:rsidRDefault="000A075A" w:rsidP="000A075A">
      <w:pPr>
        <w:ind w:left="360"/>
        <w:rPr>
          <w:sz w:val="22"/>
          <w:szCs w:val="22"/>
          <w:lang w:val="uk-UA"/>
        </w:rPr>
      </w:pPr>
      <w:r w:rsidRPr="00855E87">
        <w:rPr>
          <w:sz w:val="22"/>
          <w:szCs w:val="22"/>
          <w:lang w:val="uk-UA"/>
        </w:rPr>
        <w:t xml:space="preserve">                     8. Надмірне вживання солі (&gt; 3,5 г/добу):  так -1,  ні – 2  _______________</w:t>
      </w:r>
      <w:r w:rsidR="00855E87">
        <w:rPr>
          <w:sz w:val="22"/>
          <w:szCs w:val="22"/>
          <w:lang w:val="uk-UA"/>
        </w:rPr>
        <w:t>_____________</w:t>
      </w:r>
    </w:p>
    <w:p w:rsidR="000A075A" w:rsidRPr="00855E87" w:rsidRDefault="000A075A" w:rsidP="000A075A">
      <w:pPr>
        <w:rPr>
          <w:sz w:val="22"/>
          <w:szCs w:val="22"/>
          <w:lang w:val="uk-UA"/>
        </w:rPr>
      </w:pPr>
      <w:r w:rsidRPr="00855E87">
        <w:rPr>
          <w:sz w:val="22"/>
          <w:szCs w:val="22"/>
          <w:lang w:val="uk-UA"/>
        </w:rPr>
        <w:t xml:space="preserve">       3.    Наявність хвороб:</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1. хвороби нирок:  так -1,  ні – 2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2. ендокринна патологія:  так -1,  ні – 2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3. ревматичні та вроджені вади серця: так -1,  ні – 2,  </w:t>
      </w:r>
    </w:p>
    <w:p w:rsidR="000A075A" w:rsidRPr="00855E87" w:rsidRDefault="000A075A" w:rsidP="000A075A">
      <w:pPr>
        <w:ind w:left="360"/>
        <w:rPr>
          <w:sz w:val="22"/>
          <w:szCs w:val="22"/>
          <w:lang w:val="uk-UA"/>
        </w:rPr>
      </w:pPr>
      <w:r w:rsidRPr="00855E87">
        <w:rPr>
          <w:sz w:val="22"/>
          <w:szCs w:val="22"/>
          <w:lang w:val="uk-UA"/>
        </w:rPr>
        <w:tab/>
      </w:r>
      <w:r w:rsidRPr="00855E87">
        <w:rPr>
          <w:sz w:val="22"/>
          <w:szCs w:val="22"/>
          <w:lang w:val="uk-UA"/>
        </w:rPr>
        <w:tab/>
        <w:t xml:space="preserve">4. травми або хвороби головного мозку: так -1,  ні – 2,  </w:t>
      </w:r>
    </w:p>
    <w:p w:rsidR="000A075A" w:rsidRPr="00855E87" w:rsidRDefault="000A075A" w:rsidP="000A075A">
      <w:pPr>
        <w:ind w:left="360"/>
        <w:rPr>
          <w:sz w:val="22"/>
          <w:szCs w:val="22"/>
          <w:lang w:val="uk-UA"/>
        </w:rPr>
      </w:pPr>
      <w:r w:rsidRPr="00855E87">
        <w:rPr>
          <w:sz w:val="22"/>
          <w:szCs w:val="22"/>
          <w:lang w:val="uk-UA"/>
        </w:rPr>
        <w:t>Зріст, см _________________________ Вага, кг _________________________ІМТ _______________</w:t>
      </w:r>
    </w:p>
    <w:p w:rsidR="000A075A" w:rsidRPr="00855E87" w:rsidRDefault="000A075A" w:rsidP="000A075A">
      <w:pPr>
        <w:ind w:left="360"/>
        <w:jc w:val="center"/>
        <w:rPr>
          <w:b/>
          <w:sz w:val="22"/>
          <w:szCs w:val="22"/>
          <w:lang w:val="uk-UA"/>
        </w:rPr>
      </w:pPr>
    </w:p>
    <w:p w:rsidR="000A075A" w:rsidRPr="00855E87" w:rsidRDefault="000A075A" w:rsidP="000A075A">
      <w:pPr>
        <w:ind w:left="360"/>
        <w:jc w:val="center"/>
        <w:rPr>
          <w:b/>
          <w:sz w:val="22"/>
          <w:szCs w:val="22"/>
          <w:lang w:val="uk-UA"/>
        </w:rPr>
      </w:pPr>
      <w:r w:rsidRPr="00855E87">
        <w:rPr>
          <w:b/>
          <w:sz w:val="22"/>
          <w:szCs w:val="22"/>
          <w:lang w:val="uk-UA"/>
        </w:rPr>
        <w:t>Клінічні дані</w:t>
      </w: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4485"/>
      </w:tblGrid>
      <w:tr w:rsidR="000A075A" w:rsidRPr="00855E87" w:rsidTr="00CB79C2">
        <w:trPr>
          <w:trHeight w:val="151"/>
        </w:trPr>
        <w:tc>
          <w:tcPr>
            <w:tcW w:w="3060" w:type="dxa"/>
          </w:tcPr>
          <w:p w:rsidR="000A075A" w:rsidRPr="00855E87" w:rsidRDefault="000A075A" w:rsidP="000A075A">
            <w:pPr>
              <w:ind w:left="360"/>
              <w:jc w:val="center"/>
              <w:rPr>
                <w:sz w:val="22"/>
                <w:szCs w:val="22"/>
                <w:lang w:val="uk-UA"/>
              </w:rPr>
            </w:pPr>
            <w:r w:rsidRPr="00855E87">
              <w:rPr>
                <w:sz w:val="22"/>
                <w:szCs w:val="22"/>
                <w:lang w:val="uk-UA"/>
              </w:rPr>
              <w:t>Симптом</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 xml:space="preserve">при огляді </w:t>
            </w:r>
          </w:p>
        </w:tc>
        <w:tc>
          <w:tcPr>
            <w:tcW w:w="4485" w:type="dxa"/>
          </w:tcPr>
          <w:p w:rsidR="000A075A" w:rsidRPr="00855E87" w:rsidRDefault="000A075A" w:rsidP="000A075A">
            <w:pPr>
              <w:ind w:left="360"/>
              <w:jc w:val="center"/>
              <w:rPr>
                <w:sz w:val="22"/>
                <w:szCs w:val="22"/>
                <w:lang w:val="uk-UA"/>
              </w:rPr>
            </w:pPr>
            <w:r w:rsidRPr="00855E87">
              <w:rPr>
                <w:sz w:val="22"/>
                <w:szCs w:val="22"/>
                <w:lang w:val="uk-UA"/>
              </w:rPr>
              <w:t>Результат</w:t>
            </w: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Головний біль</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Головокружіння</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Мушки перед очима</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Болі в ділянці серця</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Серцебиття</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Похитування при ході</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Неврологічні розлади</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Задишка при навантаженні</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right="-108" w:hanging="288"/>
              <w:jc w:val="both"/>
              <w:rPr>
                <w:sz w:val="22"/>
                <w:szCs w:val="22"/>
                <w:lang w:val="uk-UA"/>
              </w:rPr>
            </w:pPr>
            <w:r w:rsidRPr="00855E87">
              <w:rPr>
                <w:sz w:val="22"/>
                <w:szCs w:val="22"/>
                <w:lang w:val="uk-UA"/>
              </w:rPr>
              <w:t>Задишка у спокої</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right="-108" w:hanging="288"/>
              <w:jc w:val="both"/>
              <w:rPr>
                <w:sz w:val="22"/>
                <w:szCs w:val="22"/>
                <w:lang w:val="uk-UA"/>
              </w:rPr>
            </w:pPr>
            <w:r w:rsidRPr="00855E87">
              <w:rPr>
                <w:sz w:val="22"/>
                <w:szCs w:val="22"/>
                <w:lang w:val="uk-UA"/>
              </w:rPr>
              <w:t>Набряки ніг</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right="-108" w:hanging="288"/>
              <w:jc w:val="both"/>
              <w:rPr>
                <w:sz w:val="22"/>
                <w:szCs w:val="22"/>
                <w:lang w:val="uk-UA"/>
              </w:rPr>
            </w:pPr>
            <w:r w:rsidRPr="00855E87">
              <w:rPr>
                <w:sz w:val="22"/>
                <w:szCs w:val="22"/>
                <w:lang w:val="uk-UA"/>
              </w:rPr>
              <w:t>Збільшення печінки</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jc w:val="both"/>
              <w:rPr>
                <w:sz w:val="22"/>
                <w:szCs w:val="22"/>
                <w:lang w:val="uk-UA"/>
              </w:rPr>
            </w:pPr>
            <w:r w:rsidRPr="00855E87">
              <w:rPr>
                <w:sz w:val="22"/>
                <w:szCs w:val="22"/>
                <w:lang w:val="uk-UA"/>
              </w:rPr>
              <w:t>Пульс, нормо- ритмічний уд/хв.</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5220" w:type="dxa"/>
            <w:gridSpan w:val="2"/>
          </w:tcPr>
          <w:p w:rsidR="000A075A" w:rsidRPr="00855E87" w:rsidRDefault="000A075A" w:rsidP="000A075A">
            <w:pPr>
              <w:ind w:left="360" w:hanging="288"/>
              <w:rPr>
                <w:sz w:val="22"/>
                <w:szCs w:val="22"/>
                <w:lang w:val="uk-UA"/>
              </w:rPr>
            </w:pPr>
            <w:r w:rsidRPr="00855E87">
              <w:rPr>
                <w:sz w:val="22"/>
                <w:szCs w:val="22"/>
                <w:lang w:val="uk-UA"/>
              </w:rPr>
              <w:t>Тони серця:1 т. верхівка–посил.–1, посл.–2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5220" w:type="dxa"/>
            <w:gridSpan w:val="2"/>
          </w:tcPr>
          <w:p w:rsidR="000A075A" w:rsidRPr="00855E87" w:rsidRDefault="000A075A" w:rsidP="000A075A">
            <w:pPr>
              <w:ind w:left="360" w:hanging="288"/>
              <w:rPr>
                <w:sz w:val="22"/>
                <w:szCs w:val="22"/>
                <w:lang w:val="uk-UA"/>
              </w:rPr>
            </w:pPr>
            <w:r w:rsidRPr="00855E87">
              <w:rPr>
                <w:sz w:val="22"/>
                <w:szCs w:val="22"/>
                <w:lang w:val="uk-UA"/>
              </w:rPr>
              <w:lastRenderedPageBreak/>
              <w:t>2 т. – акцент на аорті   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9705" w:type="dxa"/>
            <w:gridSpan w:val="3"/>
          </w:tcPr>
          <w:p w:rsidR="000A075A" w:rsidRPr="00855E87" w:rsidRDefault="000A075A" w:rsidP="000A075A">
            <w:pPr>
              <w:ind w:left="360" w:hanging="288"/>
              <w:rPr>
                <w:sz w:val="22"/>
                <w:szCs w:val="22"/>
                <w:lang w:val="uk-UA"/>
              </w:rPr>
            </w:pPr>
            <w:r w:rsidRPr="00855E87">
              <w:rPr>
                <w:sz w:val="22"/>
                <w:szCs w:val="22"/>
                <w:lang w:val="uk-UA"/>
              </w:rPr>
              <w:t>Легені:</w:t>
            </w:r>
          </w:p>
        </w:tc>
      </w:tr>
      <w:tr w:rsidR="000A075A" w:rsidRPr="00855E87" w:rsidTr="00CB79C2">
        <w:tc>
          <w:tcPr>
            <w:tcW w:w="3060" w:type="dxa"/>
          </w:tcPr>
          <w:p w:rsidR="000A075A" w:rsidRPr="00855E87" w:rsidRDefault="000A075A" w:rsidP="000A075A">
            <w:pPr>
              <w:ind w:left="360" w:hanging="288"/>
              <w:rPr>
                <w:sz w:val="22"/>
                <w:szCs w:val="22"/>
                <w:lang w:val="uk-UA"/>
              </w:rPr>
            </w:pPr>
            <w:r w:rsidRPr="00855E87">
              <w:rPr>
                <w:sz w:val="22"/>
                <w:szCs w:val="22"/>
                <w:lang w:val="uk-UA"/>
              </w:rPr>
              <w:t>дихання везикулярне</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tcPr>
          <w:p w:rsidR="000A075A" w:rsidRPr="00855E87" w:rsidRDefault="000A075A" w:rsidP="000A075A">
            <w:pPr>
              <w:ind w:left="360" w:hanging="288"/>
              <w:rPr>
                <w:sz w:val="22"/>
                <w:szCs w:val="22"/>
                <w:lang w:val="uk-UA"/>
              </w:rPr>
            </w:pPr>
            <w:r w:rsidRPr="00855E87">
              <w:rPr>
                <w:sz w:val="22"/>
                <w:szCs w:val="22"/>
                <w:lang w:val="uk-UA"/>
              </w:rPr>
              <w:t xml:space="preserve">хрипи </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так -1,  ні – 2</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vMerge w:val="restart"/>
          </w:tcPr>
          <w:p w:rsidR="000A075A" w:rsidRPr="00855E87" w:rsidRDefault="000A075A" w:rsidP="000A075A">
            <w:pPr>
              <w:ind w:left="360" w:hanging="288"/>
              <w:rPr>
                <w:sz w:val="22"/>
                <w:szCs w:val="22"/>
                <w:lang w:val="uk-UA"/>
              </w:rPr>
            </w:pPr>
            <w:r w:rsidRPr="00855E87">
              <w:rPr>
                <w:sz w:val="22"/>
                <w:szCs w:val="22"/>
                <w:lang w:val="uk-UA"/>
              </w:rPr>
              <w:t>АТ, мм.рт.ст.</w:t>
            </w:r>
          </w:p>
        </w:tc>
        <w:tc>
          <w:tcPr>
            <w:tcW w:w="2160" w:type="dxa"/>
          </w:tcPr>
          <w:p w:rsidR="000A075A" w:rsidRPr="00855E87" w:rsidRDefault="000A075A" w:rsidP="000A075A">
            <w:pPr>
              <w:ind w:left="360"/>
              <w:jc w:val="center"/>
              <w:rPr>
                <w:sz w:val="22"/>
                <w:szCs w:val="22"/>
                <w:lang w:val="uk-UA"/>
              </w:rPr>
            </w:pPr>
            <w:r w:rsidRPr="00855E87">
              <w:rPr>
                <w:sz w:val="22"/>
                <w:szCs w:val="22"/>
                <w:lang w:val="uk-UA"/>
              </w:rPr>
              <w:t>САТ</w:t>
            </w:r>
          </w:p>
        </w:tc>
        <w:tc>
          <w:tcPr>
            <w:tcW w:w="4485" w:type="dxa"/>
          </w:tcPr>
          <w:p w:rsidR="000A075A" w:rsidRPr="00855E87" w:rsidRDefault="000A075A" w:rsidP="000A075A">
            <w:pPr>
              <w:ind w:left="360"/>
              <w:jc w:val="center"/>
              <w:rPr>
                <w:sz w:val="22"/>
                <w:szCs w:val="22"/>
                <w:lang w:val="uk-UA"/>
              </w:rPr>
            </w:pPr>
          </w:p>
        </w:tc>
      </w:tr>
      <w:tr w:rsidR="000A075A" w:rsidRPr="00855E87" w:rsidTr="00CB79C2">
        <w:tc>
          <w:tcPr>
            <w:tcW w:w="3060" w:type="dxa"/>
            <w:vMerge/>
          </w:tcPr>
          <w:p w:rsidR="000A075A" w:rsidRPr="00855E87" w:rsidRDefault="000A075A" w:rsidP="000A075A">
            <w:pPr>
              <w:ind w:left="360" w:hanging="288"/>
              <w:rPr>
                <w:sz w:val="22"/>
                <w:szCs w:val="22"/>
                <w:lang w:val="uk-UA"/>
              </w:rPr>
            </w:pPr>
          </w:p>
        </w:tc>
        <w:tc>
          <w:tcPr>
            <w:tcW w:w="2160" w:type="dxa"/>
          </w:tcPr>
          <w:p w:rsidR="000A075A" w:rsidRPr="00855E87" w:rsidRDefault="000A075A" w:rsidP="000A075A">
            <w:pPr>
              <w:ind w:left="360"/>
              <w:jc w:val="center"/>
              <w:rPr>
                <w:sz w:val="22"/>
                <w:szCs w:val="22"/>
                <w:lang w:val="uk-UA"/>
              </w:rPr>
            </w:pPr>
            <w:r w:rsidRPr="00855E87">
              <w:rPr>
                <w:sz w:val="22"/>
                <w:szCs w:val="22"/>
                <w:lang w:val="uk-UA"/>
              </w:rPr>
              <w:t>ДАТ</w:t>
            </w:r>
          </w:p>
        </w:tc>
        <w:tc>
          <w:tcPr>
            <w:tcW w:w="4485" w:type="dxa"/>
          </w:tcPr>
          <w:p w:rsidR="000A075A" w:rsidRPr="00855E87" w:rsidRDefault="000A075A" w:rsidP="000A075A">
            <w:pPr>
              <w:ind w:left="360"/>
              <w:jc w:val="center"/>
              <w:rPr>
                <w:sz w:val="22"/>
                <w:szCs w:val="22"/>
                <w:lang w:val="uk-UA"/>
              </w:rPr>
            </w:pPr>
          </w:p>
        </w:tc>
      </w:tr>
    </w:tbl>
    <w:p w:rsidR="000A075A" w:rsidRPr="00855E87" w:rsidRDefault="000A075A" w:rsidP="000A075A">
      <w:pPr>
        <w:ind w:left="360"/>
        <w:jc w:val="center"/>
        <w:rPr>
          <w:sz w:val="22"/>
          <w:szCs w:val="22"/>
          <w:lang w:val="uk-UA"/>
        </w:rPr>
      </w:pPr>
      <w:r w:rsidRPr="00855E87">
        <w:rPr>
          <w:sz w:val="22"/>
          <w:szCs w:val="22"/>
          <w:lang w:val="uk-UA"/>
        </w:rPr>
        <w:t xml:space="preserve">             </w:t>
      </w:r>
    </w:p>
    <w:p w:rsidR="000A075A" w:rsidRPr="00855E87" w:rsidRDefault="000A075A" w:rsidP="000A075A">
      <w:pPr>
        <w:ind w:left="360"/>
        <w:jc w:val="center"/>
        <w:rPr>
          <w:b/>
          <w:sz w:val="22"/>
          <w:szCs w:val="22"/>
          <w:lang w:val="uk-UA"/>
        </w:rPr>
      </w:pPr>
      <w:r w:rsidRPr="00855E87">
        <w:rPr>
          <w:b/>
          <w:sz w:val="22"/>
          <w:szCs w:val="22"/>
          <w:lang w:val="uk-UA"/>
        </w:rPr>
        <w:t>Лабораторні дані</w:t>
      </w:r>
    </w:p>
    <w:tbl>
      <w:tblPr>
        <w:tblW w:w="9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840"/>
      </w:tblGrid>
      <w:tr w:rsidR="000A075A" w:rsidRPr="00855E87" w:rsidTr="00855E87">
        <w:tc>
          <w:tcPr>
            <w:tcW w:w="2814" w:type="dxa"/>
          </w:tcPr>
          <w:p w:rsidR="000A075A" w:rsidRPr="00855E87" w:rsidRDefault="000A075A" w:rsidP="000A075A">
            <w:pPr>
              <w:ind w:left="360"/>
              <w:jc w:val="center"/>
              <w:rPr>
                <w:b/>
                <w:sz w:val="22"/>
                <w:szCs w:val="22"/>
                <w:lang w:val="uk-UA"/>
              </w:rPr>
            </w:pPr>
            <w:r w:rsidRPr="00855E87">
              <w:rPr>
                <w:b/>
                <w:sz w:val="22"/>
                <w:szCs w:val="22"/>
                <w:lang w:val="uk-UA"/>
              </w:rPr>
              <w:t>Показник</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Заг. холестерин,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Тригліцериди,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ЛПНЩ</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ЛПДНЩ</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ЛПВЩ</w:t>
            </w:r>
          </w:p>
        </w:tc>
        <w:tc>
          <w:tcPr>
            <w:tcW w:w="6840" w:type="dxa"/>
          </w:tcPr>
          <w:p w:rsidR="000A075A" w:rsidRPr="00855E87" w:rsidRDefault="000A075A" w:rsidP="000A075A">
            <w:pPr>
              <w:ind w:left="360"/>
              <w:rPr>
                <w:sz w:val="22"/>
                <w:szCs w:val="22"/>
                <w:lang w:val="uk-UA"/>
              </w:rPr>
            </w:pPr>
          </w:p>
        </w:tc>
      </w:tr>
      <w:tr w:rsidR="000A075A" w:rsidRPr="00855E87" w:rsidTr="00855E87">
        <w:trPr>
          <w:trHeight w:val="462"/>
        </w:trPr>
        <w:tc>
          <w:tcPr>
            <w:tcW w:w="2814" w:type="dxa"/>
          </w:tcPr>
          <w:p w:rsidR="000A075A" w:rsidRPr="00855E87" w:rsidRDefault="000A075A" w:rsidP="000A075A">
            <w:pPr>
              <w:ind w:left="252" w:hanging="180"/>
              <w:rPr>
                <w:sz w:val="22"/>
                <w:szCs w:val="22"/>
                <w:lang w:val="uk-UA"/>
              </w:rPr>
            </w:pPr>
            <w:r w:rsidRPr="00855E87">
              <w:rPr>
                <w:sz w:val="22"/>
                <w:szCs w:val="22"/>
                <w:lang w:val="uk-UA"/>
              </w:rPr>
              <w:t>Загальний аналіз крові</w:t>
            </w:r>
          </w:p>
        </w:tc>
        <w:tc>
          <w:tcPr>
            <w:tcW w:w="6840" w:type="dxa"/>
          </w:tcPr>
          <w:p w:rsidR="000A075A" w:rsidRPr="00855E87" w:rsidRDefault="000A075A" w:rsidP="000A075A">
            <w:pPr>
              <w:rPr>
                <w:sz w:val="22"/>
                <w:szCs w:val="22"/>
                <w:lang w:val="uk-UA"/>
              </w:rPr>
            </w:pPr>
            <w:r w:rsidRPr="00855E87">
              <w:rPr>
                <w:sz w:val="22"/>
                <w:szCs w:val="22"/>
                <w:lang w:val="uk-UA"/>
              </w:rPr>
              <w:t>ер-         10</w:t>
            </w:r>
            <w:r w:rsidRPr="00855E87">
              <w:rPr>
                <w:sz w:val="22"/>
                <w:szCs w:val="22"/>
                <w:vertAlign w:val="superscript"/>
                <w:lang w:val="uk-UA"/>
              </w:rPr>
              <w:t>12</w:t>
            </w:r>
            <w:r w:rsidRPr="00855E87">
              <w:rPr>
                <w:sz w:val="22"/>
                <w:szCs w:val="22"/>
              </w:rPr>
              <w:t>/</w:t>
            </w:r>
            <w:r w:rsidRPr="00855E87">
              <w:rPr>
                <w:sz w:val="22"/>
                <w:szCs w:val="22"/>
                <w:lang w:val="uk-UA"/>
              </w:rPr>
              <w:t>л, Н</w:t>
            </w:r>
            <w:r w:rsidRPr="00855E87">
              <w:rPr>
                <w:sz w:val="22"/>
                <w:szCs w:val="22"/>
                <w:lang w:val="en-US"/>
              </w:rPr>
              <w:t>b</w:t>
            </w:r>
            <w:r w:rsidRPr="00855E87">
              <w:rPr>
                <w:sz w:val="22"/>
                <w:szCs w:val="22"/>
                <w:lang w:val="uk-UA"/>
              </w:rPr>
              <w:t>-       г</w:t>
            </w:r>
            <w:r w:rsidRPr="00855E87">
              <w:rPr>
                <w:sz w:val="22"/>
                <w:szCs w:val="22"/>
              </w:rPr>
              <w:t>/</w:t>
            </w:r>
            <w:r w:rsidRPr="00855E87">
              <w:rPr>
                <w:sz w:val="22"/>
                <w:szCs w:val="22"/>
                <w:lang w:val="uk-UA"/>
              </w:rPr>
              <w:t>л, КП-      , лейк-      10</w:t>
            </w:r>
            <w:r w:rsidRPr="00855E87">
              <w:rPr>
                <w:sz w:val="22"/>
                <w:szCs w:val="22"/>
                <w:vertAlign w:val="superscript"/>
                <w:lang w:val="uk-UA"/>
              </w:rPr>
              <w:t>9</w:t>
            </w:r>
            <w:r w:rsidRPr="00855E87">
              <w:rPr>
                <w:sz w:val="22"/>
                <w:szCs w:val="22"/>
              </w:rPr>
              <w:t>/</w:t>
            </w:r>
            <w:r w:rsidRPr="00855E87">
              <w:rPr>
                <w:sz w:val="22"/>
                <w:szCs w:val="22"/>
                <w:lang w:val="uk-UA"/>
              </w:rPr>
              <w:t xml:space="preserve">л, пал-      </w:t>
            </w:r>
            <w:r w:rsidR="00D4219F" w:rsidRPr="00855E87">
              <w:rPr>
                <w:sz w:val="22"/>
                <w:szCs w:val="22"/>
                <w:lang w:val="uk-UA"/>
              </w:rPr>
              <w:t xml:space="preserve"> %</w:t>
            </w:r>
            <w:r w:rsidRPr="00855E87">
              <w:rPr>
                <w:sz w:val="22"/>
                <w:szCs w:val="22"/>
                <w:lang w:val="uk-UA"/>
              </w:rPr>
              <w:t xml:space="preserve">, сегм-       </w:t>
            </w:r>
            <w:r w:rsidR="00D4219F" w:rsidRPr="00855E87">
              <w:rPr>
                <w:sz w:val="22"/>
                <w:szCs w:val="22"/>
                <w:lang w:val="uk-UA"/>
              </w:rPr>
              <w:t xml:space="preserve"> %</w:t>
            </w:r>
            <w:r w:rsidRPr="00855E87">
              <w:rPr>
                <w:sz w:val="22"/>
                <w:szCs w:val="22"/>
                <w:lang w:val="uk-UA"/>
              </w:rPr>
              <w:t xml:space="preserve"> мон-       </w:t>
            </w:r>
            <w:r w:rsidR="00D4219F" w:rsidRPr="00855E87">
              <w:rPr>
                <w:sz w:val="22"/>
                <w:szCs w:val="22"/>
                <w:lang w:val="uk-UA"/>
              </w:rPr>
              <w:t xml:space="preserve"> %</w:t>
            </w:r>
            <w:r w:rsidRPr="00855E87">
              <w:rPr>
                <w:sz w:val="22"/>
                <w:szCs w:val="22"/>
                <w:lang w:val="uk-UA"/>
              </w:rPr>
              <w:t xml:space="preserve">, лімф-        </w:t>
            </w:r>
            <w:r w:rsidR="00D4219F" w:rsidRPr="00855E87">
              <w:rPr>
                <w:sz w:val="22"/>
                <w:szCs w:val="22"/>
                <w:lang w:val="uk-UA"/>
              </w:rPr>
              <w:t xml:space="preserve"> %</w:t>
            </w:r>
            <w:r w:rsidRPr="00855E87">
              <w:rPr>
                <w:sz w:val="22"/>
                <w:szCs w:val="22"/>
                <w:lang w:val="uk-UA"/>
              </w:rPr>
              <w:t xml:space="preserve">, еоз-       </w:t>
            </w:r>
            <w:r w:rsidR="00D4219F" w:rsidRPr="00855E87">
              <w:rPr>
                <w:sz w:val="22"/>
                <w:szCs w:val="22"/>
                <w:lang w:val="uk-UA"/>
              </w:rPr>
              <w:t xml:space="preserve"> %</w:t>
            </w:r>
            <w:r w:rsidRPr="00855E87">
              <w:rPr>
                <w:sz w:val="22"/>
                <w:szCs w:val="22"/>
                <w:lang w:val="uk-UA"/>
              </w:rPr>
              <w:t>, ШОЕ-         мм</w:t>
            </w:r>
            <w:r w:rsidRPr="00855E87">
              <w:rPr>
                <w:sz w:val="22"/>
                <w:szCs w:val="22"/>
              </w:rPr>
              <w:t>/</w:t>
            </w:r>
            <w:r w:rsidRPr="00855E87">
              <w:rPr>
                <w:sz w:val="22"/>
                <w:szCs w:val="22"/>
                <w:lang w:val="uk-UA"/>
              </w:rPr>
              <w:t xml:space="preserve">год,   тромб-    </w:t>
            </w:r>
            <w:r w:rsidRPr="00855E87">
              <w:rPr>
                <w:sz w:val="22"/>
                <w:szCs w:val="22"/>
              </w:rPr>
              <w:t xml:space="preserve">  </w:t>
            </w:r>
            <w:r w:rsidRPr="00855E87">
              <w:rPr>
                <w:sz w:val="22"/>
                <w:szCs w:val="22"/>
                <w:lang w:val="uk-UA"/>
              </w:rPr>
              <w:t xml:space="preserve"> 10</w:t>
            </w:r>
            <w:r w:rsidRPr="00855E87">
              <w:rPr>
                <w:sz w:val="22"/>
                <w:szCs w:val="22"/>
                <w:vertAlign w:val="superscript"/>
                <w:lang w:val="uk-UA"/>
              </w:rPr>
              <w:t>9</w:t>
            </w:r>
            <w:r w:rsidRPr="00855E87">
              <w:rPr>
                <w:sz w:val="22"/>
                <w:szCs w:val="22"/>
              </w:rPr>
              <w:t>/</w:t>
            </w:r>
            <w:r w:rsidRPr="00855E87">
              <w:rPr>
                <w:sz w:val="22"/>
                <w:szCs w:val="22"/>
                <w:lang w:val="uk-UA"/>
              </w:rPr>
              <w:t>л</w:t>
            </w: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Загальний аналіз сечі</w:t>
            </w:r>
          </w:p>
        </w:tc>
        <w:tc>
          <w:tcPr>
            <w:tcW w:w="6840" w:type="dxa"/>
          </w:tcPr>
          <w:p w:rsidR="000A075A" w:rsidRPr="00855E87" w:rsidRDefault="000A075A" w:rsidP="000A075A">
            <w:pPr>
              <w:rPr>
                <w:sz w:val="22"/>
                <w:szCs w:val="22"/>
                <w:lang w:val="uk-UA"/>
              </w:rPr>
            </w:pPr>
            <w:r w:rsidRPr="00855E87">
              <w:rPr>
                <w:sz w:val="22"/>
                <w:szCs w:val="22"/>
                <w:lang w:val="uk-UA"/>
              </w:rPr>
              <w:t>р-я-                          ПВ-                     білок-                      глюкоза-</w:t>
            </w:r>
          </w:p>
          <w:p w:rsidR="000A075A" w:rsidRPr="00855E87" w:rsidRDefault="000A075A" w:rsidP="000A075A">
            <w:pPr>
              <w:rPr>
                <w:sz w:val="22"/>
                <w:szCs w:val="22"/>
                <w:lang w:val="uk-UA"/>
              </w:rPr>
            </w:pPr>
            <w:r w:rsidRPr="00855E87">
              <w:rPr>
                <w:sz w:val="22"/>
                <w:szCs w:val="22"/>
                <w:lang w:val="uk-UA"/>
              </w:rPr>
              <w:t>ер-            в п</w:t>
            </w:r>
            <w:r w:rsidRPr="00855E87">
              <w:rPr>
                <w:sz w:val="22"/>
                <w:szCs w:val="22"/>
              </w:rPr>
              <w:t>/</w:t>
            </w:r>
            <w:r w:rsidRPr="00855E87">
              <w:rPr>
                <w:sz w:val="22"/>
                <w:szCs w:val="22"/>
                <w:lang w:val="uk-UA"/>
              </w:rPr>
              <w:t>з,  лейк-           в п</w:t>
            </w:r>
            <w:r w:rsidRPr="00855E87">
              <w:rPr>
                <w:sz w:val="22"/>
                <w:szCs w:val="22"/>
              </w:rPr>
              <w:t>/</w:t>
            </w:r>
            <w:r w:rsidRPr="00855E87">
              <w:rPr>
                <w:sz w:val="22"/>
                <w:szCs w:val="22"/>
                <w:lang w:val="uk-UA"/>
              </w:rPr>
              <w:t>з, циліндри-       в п</w:t>
            </w:r>
            <w:r w:rsidRPr="00855E87">
              <w:rPr>
                <w:sz w:val="22"/>
                <w:szCs w:val="22"/>
              </w:rPr>
              <w:t>/</w:t>
            </w:r>
            <w:r w:rsidRPr="00855E87">
              <w:rPr>
                <w:sz w:val="22"/>
                <w:szCs w:val="22"/>
                <w:lang w:val="uk-UA"/>
              </w:rPr>
              <w:t>з,   еп-         в п</w:t>
            </w:r>
            <w:r w:rsidRPr="00855E87">
              <w:rPr>
                <w:sz w:val="22"/>
                <w:szCs w:val="22"/>
              </w:rPr>
              <w:t>/</w:t>
            </w:r>
            <w:r w:rsidRPr="00855E87">
              <w:rPr>
                <w:sz w:val="22"/>
                <w:szCs w:val="22"/>
                <w:lang w:val="uk-UA"/>
              </w:rPr>
              <w:t>з</w:t>
            </w: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Цукор крові,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 xml:space="preserve">Протромбіновий індекс, </w:t>
            </w:r>
            <w:r w:rsidR="00D4219F" w:rsidRPr="00855E87">
              <w:rPr>
                <w:sz w:val="22"/>
                <w:szCs w:val="22"/>
                <w:lang w:val="uk-UA"/>
              </w:rPr>
              <w:t xml:space="preserve"> %</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Креатинін,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Сечовина,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252" w:hanging="180"/>
              <w:rPr>
                <w:sz w:val="22"/>
                <w:szCs w:val="22"/>
                <w:lang w:val="uk-UA"/>
              </w:rPr>
            </w:pPr>
            <w:r w:rsidRPr="00855E87">
              <w:rPr>
                <w:sz w:val="22"/>
                <w:szCs w:val="22"/>
                <w:lang w:val="uk-UA"/>
              </w:rPr>
              <w:t>К,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en-US"/>
              </w:rPr>
              <w:t>N</w:t>
            </w:r>
            <w:r w:rsidRPr="00855E87">
              <w:rPr>
                <w:sz w:val="22"/>
                <w:szCs w:val="22"/>
                <w:lang w:val="uk-UA"/>
              </w:rPr>
              <w:t>а,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Загальний білок, г/л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АЛТ, од/л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АСТ, од/л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Білірубін загальний, ммоль/л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Генотип гена ЕТ-1</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rPr>
            </w:pPr>
            <w:r w:rsidRPr="00855E87">
              <w:rPr>
                <w:sz w:val="22"/>
                <w:szCs w:val="22"/>
                <w:lang w:val="uk-UA"/>
              </w:rPr>
              <w:t xml:space="preserve">Генотип </w:t>
            </w:r>
            <w:r w:rsidRPr="00855E87">
              <w:rPr>
                <w:sz w:val="22"/>
                <w:szCs w:val="22"/>
              </w:rPr>
              <w:t>гена АТ1-Р</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ЕТ-1, фмоль/мл</w:t>
            </w:r>
          </w:p>
        </w:tc>
        <w:tc>
          <w:tcPr>
            <w:tcW w:w="6840" w:type="dxa"/>
          </w:tcPr>
          <w:p w:rsidR="000A075A" w:rsidRPr="00855E87" w:rsidRDefault="000A075A" w:rsidP="000A075A">
            <w:pPr>
              <w:ind w:left="360"/>
              <w:rPr>
                <w:sz w:val="22"/>
                <w:szCs w:val="22"/>
                <w:lang w:val="uk-UA"/>
              </w:rPr>
            </w:pPr>
          </w:p>
        </w:tc>
      </w:tr>
      <w:tr w:rsidR="000A075A" w:rsidRPr="00855E87" w:rsidTr="00855E87">
        <w:tc>
          <w:tcPr>
            <w:tcW w:w="2814" w:type="dxa"/>
          </w:tcPr>
          <w:p w:rsidR="000A075A" w:rsidRPr="00855E87" w:rsidRDefault="000A075A" w:rsidP="000A075A">
            <w:pPr>
              <w:ind w:left="360" w:hanging="288"/>
              <w:rPr>
                <w:sz w:val="22"/>
                <w:szCs w:val="22"/>
                <w:lang w:val="uk-UA"/>
              </w:rPr>
            </w:pPr>
            <w:r w:rsidRPr="00855E87">
              <w:rPr>
                <w:sz w:val="22"/>
                <w:szCs w:val="22"/>
                <w:lang w:val="uk-UA"/>
              </w:rPr>
              <w:t>СНП, пмоль</w:t>
            </w:r>
            <w:r w:rsidRPr="00855E87">
              <w:rPr>
                <w:sz w:val="22"/>
                <w:szCs w:val="22"/>
                <w:lang w:val="en-US"/>
              </w:rPr>
              <w:t>/</w:t>
            </w:r>
            <w:r w:rsidRPr="00855E87">
              <w:rPr>
                <w:sz w:val="22"/>
                <w:szCs w:val="22"/>
                <w:lang w:val="uk-UA"/>
              </w:rPr>
              <w:t>мл</w:t>
            </w:r>
          </w:p>
        </w:tc>
        <w:tc>
          <w:tcPr>
            <w:tcW w:w="6840" w:type="dxa"/>
          </w:tcPr>
          <w:p w:rsidR="000A075A" w:rsidRPr="00855E87" w:rsidRDefault="000A075A" w:rsidP="000A075A">
            <w:pPr>
              <w:ind w:left="360"/>
              <w:rPr>
                <w:sz w:val="22"/>
                <w:szCs w:val="22"/>
                <w:lang w:val="uk-UA"/>
              </w:rPr>
            </w:pPr>
          </w:p>
        </w:tc>
      </w:tr>
    </w:tbl>
    <w:p w:rsidR="000A075A" w:rsidRPr="00855E87" w:rsidRDefault="000A075A" w:rsidP="000A075A">
      <w:pPr>
        <w:ind w:left="360"/>
        <w:jc w:val="center"/>
        <w:rPr>
          <w:b/>
          <w:sz w:val="22"/>
          <w:szCs w:val="22"/>
          <w:lang w:val="en-US"/>
        </w:rPr>
      </w:pPr>
    </w:p>
    <w:p w:rsidR="000A075A" w:rsidRPr="00855E87" w:rsidRDefault="000A075A" w:rsidP="000A075A">
      <w:pPr>
        <w:ind w:left="360"/>
        <w:jc w:val="center"/>
        <w:rPr>
          <w:b/>
          <w:sz w:val="22"/>
          <w:szCs w:val="22"/>
          <w:lang w:val="uk-UA"/>
        </w:rPr>
      </w:pPr>
      <w:r w:rsidRPr="00855E87">
        <w:rPr>
          <w:b/>
          <w:sz w:val="22"/>
          <w:szCs w:val="22"/>
          <w:lang w:val="uk-UA"/>
        </w:rPr>
        <w:t>ЕКГ заключення</w:t>
      </w:r>
    </w:p>
    <w:tbl>
      <w:tblPr>
        <w:tblW w:w="9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0A075A" w:rsidRPr="00855E87" w:rsidTr="00CB79C2">
        <w:tc>
          <w:tcPr>
            <w:tcW w:w="9654" w:type="dxa"/>
          </w:tcPr>
          <w:p w:rsidR="000A075A" w:rsidRPr="00855E87" w:rsidRDefault="000A075A" w:rsidP="000A075A">
            <w:pPr>
              <w:ind w:left="360"/>
              <w:rPr>
                <w:sz w:val="22"/>
                <w:szCs w:val="22"/>
                <w:lang w:val="uk-UA"/>
              </w:rPr>
            </w:pPr>
          </w:p>
        </w:tc>
      </w:tr>
      <w:tr w:rsidR="000A075A" w:rsidRPr="00855E87" w:rsidTr="00CB79C2">
        <w:tc>
          <w:tcPr>
            <w:tcW w:w="9654" w:type="dxa"/>
          </w:tcPr>
          <w:p w:rsidR="000A075A" w:rsidRPr="00855E87" w:rsidRDefault="000A075A" w:rsidP="000A075A">
            <w:pPr>
              <w:ind w:left="360"/>
              <w:rPr>
                <w:sz w:val="22"/>
                <w:szCs w:val="22"/>
                <w:lang w:val="uk-UA"/>
              </w:rPr>
            </w:pPr>
          </w:p>
        </w:tc>
      </w:tr>
      <w:tr w:rsidR="000A075A" w:rsidRPr="00855E87" w:rsidTr="00CB79C2">
        <w:tc>
          <w:tcPr>
            <w:tcW w:w="9654" w:type="dxa"/>
          </w:tcPr>
          <w:p w:rsidR="000A075A" w:rsidRPr="00855E87" w:rsidRDefault="000A075A" w:rsidP="000A075A">
            <w:pPr>
              <w:ind w:left="360"/>
              <w:rPr>
                <w:sz w:val="22"/>
                <w:szCs w:val="22"/>
                <w:lang w:val="uk-UA"/>
              </w:rPr>
            </w:pPr>
          </w:p>
        </w:tc>
      </w:tr>
    </w:tbl>
    <w:p w:rsidR="000A075A" w:rsidRPr="00855E87" w:rsidRDefault="000A075A" w:rsidP="000A075A">
      <w:pPr>
        <w:ind w:left="360"/>
        <w:rPr>
          <w:b/>
          <w:sz w:val="22"/>
          <w:szCs w:val="22"/>
          <w:lang w:val="uk-UA"/>
        </w:rPr>
      </w:pPr>
      <w:r w:rsidRPr="00855E87">
        <w:rPr>
          <w:b/>
          <w:sz w:val="22"/>
          <w:szCs w:val="22"/>
          <w:lang w:val="uk-UA"/>
        </w:rPr>
        <w:t xml:space="preserve">                                                          </w:t>
      </w:r>
    </w:p>
    <w:p w:rsidR="000A075A" w:rsidRPr="00855E87" w:rsidRDefault="000A075A" w:rsidP="000A075A">
      <w:pPr>
        <w:ind w:left="360"/>
        <w:jc w:val="center"/>
        <w:rPr>
          <w:b/>
          <w:sz w:val="22"/>
          <w:szCs w:val="22"/>
          <w:lang w:val="uk-UA"/>
        </w:rPr>
      </w:pPr>
      <w:r w:rsidRPr="00855E87">
        <w:rPr>
          <w:b/>
          <w:sz w:val="22"/>
          <w:szCs w:val="22"/>
          <w:lang w:val="uk-UA"/>
        </w:rPr>
        <w:t>УЗД  серця</w:t>
      </w:r>
    </w:p>
    <w:tbl>
      <w:tblPr>
        <w:tblW w:w="9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834"/>
        <w:gridCol w:w="5580"/>
      </w:tblGrid>
      <w:tr w:rsidR="000A075A" w:rsidRPr="00855E87" w:rsidTr="00CB79C2">
        <w:tc>
          <w:tcPr>
            <w:tcW w:w="4074" w:type="dxa"/>
            <w:gridSpan w:val="2"/>
          </w:tcPr>
          <w:p w:rsidR="000A075A" w:rsidRPr="00855E87" w:rsidRDefault="000A075A" w:rsidP="000A075A">
            <w:pPr>
              <w:ind w:left="360"/>
              <w:jc w:val="center"/>
              <w:rPr>
                <w:b/>
                <w:sz w:val="22"/>
                <w:szCs w:val="22"/>
                <w:lang w:val="uk-UA"/>
              </w:rPr>
            </w:pPr>
            <w:r w:rsidRPr="00855E87">
              <w:rPr>
                <w:b/>
                <w:sz w:val="22"/>
                <w:szCs w:val="22"/>
                <w:lang w:val="uk-UA"/>
              </w:rPr>
              <w:t>Ознака</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val="restart"/>
          </w:tcPr>
          <w:p w:rsidR="000A075A" w:rsidRPr="00855E87" w:rsidRDefault="000A075A" w:rsidP="000A075A">
            <w:pPr>
              <w:ind w:left="360"/>
              <w:rPr>
                <w:sz w:val="22"/>
                <w:szCs w:val="22"/>
                <w:lang w:val="uk-UA"/>
              </w:rPr>
            </w:pPr>
          </w:p>
          <w:p w:rsidR="000A075A" w:rsidRPr="00855E87" w:rsidRDefault="000A075A" w:rsidP="000A075A">
            <w:pPr>
              <w:ind w:left="360"/>
              <w:rPr>
                <w:sz w:val="22"/>
                <w:szCs w:val="22"/>
                <w:lang w:val="uk-UA"/>
              </w:rPr>
            </w:pPr>
          </w:p>
          <w:p w:rsidR="000A075A" w:rsidRPr="00855E87" w:rsidRDefault="000A075A" w:rsidP="000A075A">
            <w:pPr>
              <w:ind w:left="360"/>
              <w:rPr>
                <w:sz w:val="22"/>
                <w:szCs w:val="22"/>
                <w:lang w:val="uk-UA"/>
              </w:rPr>
            </w:pPr>
          </w:p>
          <w:p w:rsidR="000A075A" w:rsidRPr="00855E87" w:rsidRDefault="000A075A" w:rsidP="000A075A">
            <w:pPr>
              <w:ind w:left="360"/>
              <w:rPr>
                <w:sz w:val="22"/>
                <w:szCs w:val="22"/>
                <w:lang w:val="uk-UA"/>
              </w:rPr>
            </w:pPr>
            <w:r w:rsidRPr="00855E87">
              <w:rPr>
                <w:sz w:val="22"/>
                <w:szCs w:val="22"/>
                <w:lang w:val="uk-UA"/>
              </w:rPr>
              <w:t>ЛШ</w:t>
            </w:r>
          </w:p>
        </w:tc>
        <w:tc>
          <w:tcPr>
            <w:tcW w:w="2834" w:type="dxa"/>
          </w:tcPr>
          <w:p w:rsidR="000A075A" w:rsidRPr="00855E87" w:rsidRDefault="000A075A" w:rsidP="000A075A">
            <w:pPr>
              <w:ind w:left="360"/>
              <w:rPr>
                <w:sz w:val="22"/>
                <w:szCs w:val="22"/>
                <w:lang w:val="uk-UA"/>
              </w:rPr>
            </w:pPr>
            <w:r w:rsidRPr="00855E87">
              <w:rPr>
                <w:sz w:val="22"/>
                <w:szCs w:val="22"/>
                <w:lang w:val="uk-UA"/>
              </w:rPr>
              <w:t xml:space="preserve">КСР, см </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tcPr>
          <w:p w:rsidR="000A075A" w:rsidRPr="00855E87" w:rsidRDefault="000A075A" w:rsidP="000A075A">
            <w:pPr>
              <w:ind w:left="360"/>
              <w:rPr>
                <w:sz w:val="22"/>
                <w:szCs w:val="22"/>
                <w:lang w:val="uk-UA"/>
              </w:rPr>
            </w:pPr>
          </w:p>
        </w:tc>
        <w:tc>
          <w:tcPr>
            <w:tcW w:w="2834" w:type="dxa"/>
          </w:tcPr>
          <w:p w:rsidR="000A075A" w:rsidRPr="00855E87" w:rsidRDefault="000A075A" w:rsidP="000A075A">
            <w:pPr>
              <w:ind w:left="360"/>
              <w:rPr>
                <w:sz w:val="22"/>
                <w:szCs w:val="22"/>
                <w:vertAlign w:val="superscript"/>
                <w:lang w:val="uk-UA"/>
              </w:rPr>
            </w:pPr>
            <w:r w:rsidRPr="00855E87">
              <w:rPr>
                <w:sz w:val="22"/>
                <w:szCs w:val="22"/>
                <w:lang w:val="uk-UA"/>
              </w:rPr>
              <w:t>КСО, мм</w:t>
            </w:r>
            <w:r w:rsidRPr="00855E87">
              <w:rPr>
                <w:sz w:val="22"/>
                <w:szCs w:val="22"/>
                <w:vertAlign w:val="superscript"/>
                <w:lang w:val="uk-UA"/>
              </w:rPr>
              <w:t>3</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tcPr>
          <w:p w:rsidR="000A075A" w:rsidRPr="00855E87" w:rsidRDefault="000A075A" w:rsidP="000A075A">
            <w:pPr>
              <w:ind w:left="360"/>
              <w:rPr>
                <w:sz w:val="22"/>
                <w:szCs w:val="22"/>
                <w:lang w:val="uk-UA"/>
              </w:rPr>
            </w:pPr>
          </w:p>
        </w:tc>
        <w:tc>
          <w:tcPr>
            <w:tcW w:w="2834" w:type="dxa"/>
          </w:tcPr>
          <w:p w:rsidR="000A075A" w:rsidRPr="00855E87" w:rsidRDefault="000A075A" w:rsidP="000A075A">
            <w:pPr>
              <w:ind w:left="360"/>
              <w:rPr>
                <w:sz w:val="22"/>
                <w:szCs w:val="22"/>
                <w:lang w:val="uk-UA"/>
              </w:rPr>
            </w:pPr>
            <w:r w:rsidRPr="00855E87">
              <w:rPr>
                <w:sz w:val="22"/>
                <w:szCs w:val="22"/>
                <w:lang w:val="uk-UA"/>
              </w:rPr>
              <w:t>КДР,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tcPr>
          <w:p w:rsidR="000A075A" w:rsidRPr="00855E87" w:rsidRDefault="000A075A" w:rsidP="000A075A">
            <w:pPr>
              <w:ind w:left="360"/>
              <w:rPr>
                <w:sz w:val="22"/>
                <w:szCs w:val="22"/>
                <w:lang w:val="uk-UA"/>
              </w:rPr>
            </w:pPr>
          </w:p>
        </w:tc>
        <w:tc>
          <w:tcPr>
            <w:tcW w:w="2834" w:type="dxa"/>
          </w:tcPr>
          <w:p w:rsidR="000A075A" w:rsidRPr="00855E87" w:rsidRDefault="000A075A" w:rsidP="000A075A">
            <w:pPr>
              <w:ind w:left="360"/>
              <w:rPr>
                <w:sz w:val="22"/>
                <w:szCs w:val="22"/>
                <w:lang w:val="uk-UA"/>
              </w:rPr>
            </w:pPr>
            <w:r w:rsidRPr="00855E87">
              <w:rPr>
                <w:sz w:val="22"/>
                <w:szCs w:val="22"/>
                <w:lang w:val="uk-UA"/>
              </w:rPr>
              <w:t>КДО, мм</w:t>
            </w:r>
            <w:r w:rsidRPr="00855E87">
              <w:rPr>
                <w:sz w:val="22"/>
                <w:szCs w:val="22"/>
                <w:vertAlign w:val="superscript"/>
                <w:lang w:val="uk-UA"/>
              </w:rPr>
              <w:t>3</w:t>
            </w:r>
            <w:r w:rsidRPr="00855E87">
              <w:rPr>
                <w:sz w:val="22"/>
                <w:szCs w:val="22"/>
                <w:lang w:val="uk-UA"/>
              </w:rPr>
              <w:t xml:space="preserve"> </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tcPr>
          <w:p w:rsidR="000A075A" w:rsidRPr="00855E87" w:rsidRDefault="000A075A" w:rsidP="000A075A">
            <w:pPr>
              <w:ind w:left="360"/>
              <w:rPr>
                <w:sz w:val="22"/>
                <w:szCs w:val="22"/>
                <w:lang w:val="uk-UA"/>
              </w:rPr>
            </w:pPr>
          </w:p>
        </w:tc>
        <w:tc>
          <w:tcPr>
            <w:tcW w:w="2834" w:type="dxa"/>
          </w:tcPr>
          <w:p w:rsidR="000A075A" w:rsidRPr="00855E87" w:rsidRDefault="000A075A" w:rsidP="000A075A">
            <w:pPr>
              <w:ind w:left="360"/>
              <w:rPr>
                <w:sz w:val="22"/>
                <w:szCs w:val="22"/>
                <w:lang w:val="uk-UA"/>
              </w:rPr>
            </w:pPr>
            <w:r w:rsidRPr="00855E87">
              <w:rPr>
                <w:sz w:val="22"/>
                <w:szCs w:val="22"/>
                <w:lang w:val="uk-UA"/>
              </w:rPr>
              <w:t>ТЗСЛШд,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1240" w:type="dxa"/>
            <w:vMerge/>
          </w:tcPr>
          <w:p w:rsidR="000A075A" w:rsidRPr="00855E87" w:rsidRDefault="000A075A" w:rsidP="000A075A">
            <w:pPr>
              <w:ind w:left="360"/>
              <w:rPr>
                <w:sz w:val="22"/>
                <w:szCs w:val="22"/>
                <w:lang w:val="uk-UA"/>
              </w:rPr>
            </w:pPr>
          </w:p>
        </w:tc>
        <w:tc>
          <w:tcPr>
            <w:tcW w:w="2834" w:type="dxa"/>
          </w:tcPr>
          <w:p w:rsidR="000A075A" w:rsidRPr="00855E87" w:rsidRDefault="000A075A" w:rsidP="000A075A">
            <w:pPr>
              <w:ind w:left="360"/>
              <w:rPr>
                <w:sz w:val="22"/>
                <w:szCs w:val="22"/>
                <w:lang w:val="uk-UA"/>
              </w:rPr>
            </w:pPr>
            <w:r w:rsidRPr="00855E87">
              <w:rPr>
                <w:sz w:val="22"/>
                <w:szCs w:val="22"/>
                <w:lang w:val="uk-UA"/>
              </w:rPr>
              <w:t>ТМШПд,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 xml:space="preserve">ФВ, </w:t>
            </w:r>
            <w:r w:rsidR="00D4219F" w:rsidRPr="00855E87">
              <w:rPr>
                <w:sz w:val="22"/>
                <w:szCs w:val="22"/>
                <w:lang w:val="uk-UA"/>
              </w:rPr>
              <w:t xml:space="preserve"> %</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en-US"/>
              </w:rPr>
            </w:pPr>
            <w:r w:rsidRPr="00855E87">
              <w:rPr>
                <w:sz w:val="22"/>
                <w:szCs w:val="22"/>
                <w:lang w:val="en-US"/>
              </w:rPr>
              <w:t>S,</w:t>
            </w:r>
            <w:r w:rsidR="00D4219F" w:rsidRPr="00855E87">
              <w:rPr>
                <w:sz w:val="22"/>
                <w:szCs w:val="22"/>
                <w:lang w:val="en-US"/>
              </w:rPr>
              <w:t xml:space="preserve"> %</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ВТС, ум.од.</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Маса міокарду ЛШ, г</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Індекс ММЛШ</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lastRenderedPageBreak/>
              <w:t>Мітральний клапан</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Трикуспідальний клапан</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ЛП,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ПШ,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Діаметр аорти,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Розкриття АК, см</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Аортальний клапан</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Е/А</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 xml:space="preserve">Т </w:t>
            </w:r>
            <w:r w:rsidRPr="00855E87">
              <w:rPr>
                <w:sz w:val="22"/>
                <w:szCs w:val="22"/>
                <w:lang w:val="en-US"/>
              </w:rPr>
              <w:t>dec</w:t>
            </w:r>
            <w:r w:rsidRPr="00855E87">
              <w:rPr>
                <w:sz w:val="22"/>
                <w:szCs w:val="22"/>
                <w:lang w:val="uk-UA"/>
              </w:rPr>
              <w:t xml:space="preserve">, сек. </w:t>
            </w:r>
          </w:p>
        </w:tc>
        <w:tc>
          <w:tcPr>
            <w:tcW w:w="5580" w:type="dxa"/>
          </w:tcPr>
          <w:p w:rsidR="000A075A" w:rsidRPr="00855E87" w:rsidRDefault="000A075A" w:rsidP="000A075A">
            <w:pPr>
              <w:ind w:left="360"/>
              <w:rPr>
                <w:sz w:val="22"/>
                <w:szCs w:val="22"/>
                <w:lang w:val="uk-UA"/>
              </w:rPr>
            </w:pPr>
          </w:p>
        </w:tc>
      </w:tr>
      <w:tr w:rsidR="000A075A" w:rsidRPr="00855E87" w:rsidTr="00CB79C2">
        <w:tc>
          <w:tcPr>
            <w:tcW w:w="4074" w:type="dxa"/>
            <w:gridSpan w:val="2"/>
          </w:tcPr>
          <w:p w:rsidR="000A075A" w:rsidRPr="00855E87" w:rsidRDefault="000A075A" w:rsidP="000A075A">
            <w:pPr>
              <w:ind w:left="360" w:hanging="253"/>
              <w:rPr>
                <w:sz w:val="22"/>
                <w:szCs w:val="22"/>
                <w:lang w:val="uk-UA"/>
              </w:rPr>
            </w:pPr>
            <w:r w:rsidRPr="00855E87">
              <w:rPr>
                <w:sz w:val="22"/>
                <w:szCs w:val="22"/>
                <w:lang w:val="en-US"/>
              </w:rPr>
              <w:t>IVRT, c</w:t>
            </w:r>
            <w:r w:rsidRPr="00855E87">
              <w:rPr>
                <w:sz w:val="22"/>
                <w:szCs w:val="22"/>
                <w:lang w:val="uk-UA"/>
              </w:rPr>
              <w:t>ек</w:t>
            </w:r>
          </w:p>
        </w:tc>
        <w:tc>
          <w:tcPr>
            <w:tcW w:w="5580" w:type="dxa"/>
          </w:tcPr>
          <w:p w:rsidR="000A075A" w:rsidRPr="00855E87" w:rsidRDefault="000A075A" w:rsidP="000A075A">
            <w:pPr>
              <w:ind w:left="360"/>
              <w:rPr>
                <w:sz w:val="22"/>
                <w:szCs w:val="22"/>
                <w:lang w:val="uk-UA"/>
              </w:rPr>
            </w:pPr>
          </w:p>
        </w:tc>
      </w:tr>
      <w:tr w:rsidR="000A075A" w:rsidRPr="00855E87" w:rsidTr="00CB79C2">
        <w:trPr>
          <w:trHeight w:val="550"/>
        </w:trPr>
        <w:tc>
          <w:tcPr>
            <w:tcW w:w="4074" w:type="dxa"/>
            <w:gridSpan w:val="2"/>
          </w:tcPr>
          <w:p w:rsidR="000A075A" w:rsidRPr="00855E87" w:rsidRDefault="000A075A" w:rsidP="000A075A">
            <w:pPr>
              <w:ind w:left="360" w:hanging="253"/>
              <w:rPr>
                <w:sz w:val="22"/>
                <w:szCs w:val="22"/>
                <w:lang w:val="uk-UA"/>
              </w:rPr>
            </w:pPr>
            <w:r w:rsidRPr="00855E87">
              <w:rPr>
                <w:sz w:val="22"/>
                <w:szCs w:val="22"/>
                <w:lang w:val="uk-UA"/>
              </w:rPr>
              <w:t>Тип трансмітрального</w:t>
            </w:r>
          </w:p>
          <w:p w:rsidR="000A075A" w:rsidRPr="00855E87" w:rsidRDefault="000A075A" w:rsidP="000A075A">
            <w:pPr>
              <w:ind w:left="360" w:hanging="253"/>
              <w:rPr>
                <w:sz w:val="22"/>
                <w:szCs w:val="22"/>
                <w:lang w:val="uk-UA"/>
              </w:rPr>
            </w:pPr>
            <w:r w:rsidRPr="00855E87">
              <w:rPr>
                <w:sz w:val="22"/>
                <w:szCs w:val="22"/>
                <w:lang w:val="uk-UA"/>
              </w:rPr>
              <w:t>кровотоку</w:t>
            </w:r>
          </w:p>
        </w:tc>
        <w:tc>
          <w:tcPr>
            <w:tcW w:w="5580" w:type="dxa"/>
          </w:tcPr>
          <w:p w:rsidR="000A075A" w:rsidRPr="00855E87" w:rsidRDefault="000A075A" w:rsidP="000A075A">
            <w:pPr>
              <w:ind w:left="360"/>
              <w:rPr>
                <w:sz w:val="22"/>
                <w:szCs w:val="22"/>
                <w:lang w:val="uk-UA"/>
              </w:rPr>
            </w:pPr>
          </w:p>
        </w:tc>
      </w:tr>
    </w:tbl>
    <w:p w:rsidR="000A075A" w:rsidRPr="001416ED" w:rsidRDefault="000A075A" w:rsidP="000A075A">
      <w:pPr>
        <w:rPr>
          <w:sz w:val="22"/>
          <w:szCs w:val="22"/>
        </w:rPr>
      </w:pPr>
    </w:p>
    <w:p w:rsidR="000A075A" w:rsidRPr="001416ED" w:rsidRDefault="000A075A" w:rsidP="000A075A">
      <w:pPr>
        <w:ind w:left="360"/>
        <w:rPr>
          <w:sz w:val="22"/>
          <w:szCs w:val="22"/>
          <w:lang w:val="uk-UA"/>
        </w:rPr>
      </w:pPr>
    </w:p>
    <w:sectPr w:rsidR="000A075A" w:rsidRPr="001416ED" w:rsidSect="001F4976">
      <w:pgSz w:w="11907" w:h="16840" w:code="9"/>
      <w:pgMar w:top="1134" w:right="851"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CC" w:rsidRDefault="00C369CC" w:rsidP="007D395E">
      <w:r>
        <w:separator/>
      </w:r>
    </w:p>
  </w:endnote>
  <w:endnote w:type="continuationSeparator" w:id="0">
    <w:p w:rsidR="00C369CC" w:rsidRDefault="00C369CC" w:rsidP="007D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10002FF" w:usb1="4000FCFF" w:usb2="00000009" w:usb3="00000000" w:csb0="0000019F" w:csb1="00000000"/>
  </w:font>
  <w:font w:name="Pragmatica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Myriad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CC" w:rsidRDefault="00C369CC" w:rsidP="007D395E">
      <w:r>
        <w:separator/>
      </w:r>
    </w:p>
  </w:footnote>
  <w:footnote w:type="continuationSeparator" w:id="0">
    <w:p w:rsidR="00C369CC" w:rsidRDefault="00C369CC" w:rsidP="007D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11276"/>
      <w:docPartObj>
        <w:docPartGallery w:val="Page Numbers (Top of Page)"/>
        <w:docPartUnique/>
      </w:docPartObj>
    </w:sdtPr>
    <w:sdtContent>
      <w:p w:rsidR="00A9327B" w:rsidRDefault="00A9327B">
        <w:pPr>
          <w:pStyle w:val="a7"/>
          <w:jc w:val="right"/>
        </w:pPr>
        <w:r>
          <w:fldChar w:fldCharType="begin"/>
        </w:r>
        <w:r>
          <w:instrText xml:space="preserve"> PAGE   \* MERGEFORMAT </w:instrText>
        </w:r>
        <w:r>
          <w:fldChar w:fldCharType="separate"/>
        </w:r>
        <w:r>
          <w:rPr>
            <w:noProof/>
          </w:rPr>
          <w:t>8</w:t>
        </w:r>
        <w:r>
          <w:rPr>
            <w:noProof/>
          </w:rPr>
          <w:fldChar w:fldCharType="end"/>
        </w:r>
      </w:p>
    </w:sdtContent>
  </w:sdt>
  <w:p w:rsidR="00A9327B" w:rsidRDefault="00A932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FE0"/>
    <w:multiLevelType w:val="multilevel"/>
    <w:tmpl w:val="3996B91C"/>
    <w:lvl w:ilvl="0">
      <w:start w:val="1"/>
      <w:numFmt w:val="decimal"/>
      <w:lvlText w:val="%1."/>
      <w:lvlJc w:val="left"/>
      <w:pPr>
        <w:ind w:left="450" w:hanging="450"/>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
    <w:nsid w:val="0D040453"/>
    <w:multiLevelType w:val="multilevel"/>
    <w:tmpl w:val="672EC69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223AC5"/>
    <w:multiLevelType w:val="multilevel"/>
    <w:tmpl w:val="38FC87C2"/>
    <w:lvl w:ilvl="0">
      <w:start w:val="1"/>
      <w:numFmt w:val="decimal"/>
      <w:lvlText w:val="%1."/>
      <w:lvlJc w:val="left"/>
      <w:pPr>
        <w:ind w:left="720" w:hanging="360"/>
      </w:pPr>
      <w:rPr>
        <w:rFonts w:hint="default"/>
        <w:b w:val="0"/>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261119F1"/>
    <w:multiLevelType w:val="hybridMultilevel"/>
    <w:tmpl w:val="230CFC6C"/>
    <w:lvl w:ilvl="0" w:tplc="5B14A296">
      <w:start w:val="1"/>
      <w:numFmt w:val="decimal"/>
      <w:lvlText w:val="%1."/>
      <w:lvlJc w:val="left"/>
      <w:pPr>
        <w:ind w:left="720" w:hanging="360"/>
      </w:pPr>
      <w:rPr>
        <w:rFonts w:eastAsia="Times New Roman"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C047BC"/>
    <w:multiLevelType w:val="hybridMultilevel"/>
    <w:tmpl w:val="AB1266A8"/>
    <w:lvl w:ilvl="0" w:tplc="A3FEE9D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B175847"/>
    <w:multiLevelType w:val="hybridMultilevel"/>
    <w:tmpl w:val="E2A45B1C"/>
    <w:lvl w:ilvl="0" w:tplc="A2F8975C">
      <w:start w:val="1"/>
      <w:numFmt w:val="decimal"/>
      <w:lvlText w:val="%1."/>
      <w:lvlJc w:val="left"/>
      <w:pPr>
        <w:ind w:left="360" w:hanging="360"/>
      </w:pPr>
      <w:rPr>
        <w:rFonts w:hint="default"/>
        <w:b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C15558D"/>
    <w:multiLevelType w:val="hybridMultilevel"/>
    <w:tmpl w:val="4118837C"/>
    <w:lvl w:ilvl="0" w:tplc="A066D2C2">
      <w:start w:val="1"/>
      <w:numFmt w:val="decimal"/>
      <w:lvlText w:val="%1."/>
      <w:lvlJc w:val="left"/>
      <w:pPr>
        <w:ind w:left="502" w:hanging="360"/>
      </w:pPr>
      <w:rPr>
        <w:rFonts w:hint="default"/>
        <w:i w:val="0"/>
        <w:sz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34C3647A"/>
    <w:multiLevelType w:val="multilevel"/>
    <w:tmpl w:val="ED709E34"/>
    <w:lvl w:ilvl="0">
      <w:start w:val="1"/>
      <w:numFmt w:val="decimal"/>
      <w:lvlText w:val="%1."/>
      <w:lvlJc w:val="left"/>
      <w:pPr>
        <w:ind w:left="450" w:hanging="450"/>
      </w:pPr>
      <w:rPr>
        <w:rFonts w:hint="default"/>
        <w:color w:val="000000"/>
      </w:rPr>
    </w:lvl>
    <w:lvl w:ilvl="1">
      <w:start w:val="2"/>
      <w:numFmt w:val="decimal"/>
      <w:lvlText w:val="%1.%2."/>
      <w:lvlJc w:val="left"/>
      <w:pPr>
        <w:ind w:left="171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7DF140F"/>
    <w:multiLevelType w:val="hybridMultilevel"/>
    <w:tmpl w:val="F600102A"/>
    <w:lvl w:ilvl="0" w:tplc="0084036E">
      <w:start w:val="2"/>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9">
    <w:nsid w:val="41AA566D"/>
    <w:multiLevelType w:val="hybridMultilevel"/>
    <w:tmpl w:val="22F43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7511CD"/>
    <w:multiLevelType w:val="hybridMultilevel"/>
    <w:tmpl w:val="C0F86204"/>
    <w:lvl w:ilvl="0" w:tplc="8260118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47234966"/>
    <w:multiLevelType w:val="hybridMultilevel"/>
    <w:tmpl w:val="A2C25FB0"/>
    <w:lvl w:ilvl="0" w:tplc="314EE3C6">
      <w:start w:val="1"/>
      <w:numFmt w:val="decimal"/>
      <w:suff w:val="space"/>
      <w:lvlText w:val="%1."/>
      <w:lvlJc w:val="left"/>
      <w:pPr>
        <w:ind w:left="474" w:hanging="474"/>
      </w:pPr>
      <w:rPr>
        <w:rFonts w:ascii="Times New Roman" w:hAnsi="Times New Roman" w:cs="Times New Roman" w:hint="default"/>
        <w:b w:val="0"/>
        <w:i w:val="0"/>
        <w:color w:val="auto"/>
        <w:sz w:val="28"/>
        <w:szCs w:val="28"/>
        <w:lang w:val="uk-U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46754F"/>
    <w:multiLevelType w:val="hybridMultilevel"/>
    <w:tmpl w:val="6C1C0BC4"/>
    <w:lvl w:ilvl="0" w:tplc="FFFFFFFF">
      <w:start w:val="1"/>
      <w:numFmt w:val="bullet"/>
      <w:lvlText w:val=""/>
      <w:lvlJc w:val="left"/>
      <w:pPr>
        <w:tabs>
          <w:tab w:val="num" w:pos="1429"/>
        </w:tabs>
        <w:ind w:left="1429" w:hanging="360"/>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7A469A"/>
    <w:multiLevelType w:val="hybridMultilevel"/>
    <w:tmpl w:val="ED8A755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4">
    <w:nsid w:val="58027A83"/>
    <w:multiLevelType w:val="hybridMultilevel"/>
    <w:tmpl w:val="0B341566"/>
    <w:lvl w:ilvl="0" w:tplc="70B8B81A">
      <w:start w:val="1"/>
      <w:numFmt w:val="decimal"/>
      <w:lvlText w:val="%1."/>
      <w:lvlJc w:val="left"/>
      <w:pPr>
        <w:ind w:left="1699" w:hanging="990"/>
      </w:pPr>
      <w:rPr>
        <w:rFonts w:hint="default"/>
        <w:b w:val="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BA875AF"/>
    <w:multiLevelType w:val="hybridMultilevel"/>
    <w:tmpl w:val="1A28B6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733354A"/>
    <w:multiLevelType w:val="hybridMultilevel"/>
    <w:tmpl w:val="F57EAD56"/>
    <w:lvl w:ilvl="0" w:tplc="969A1D50">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13"/>
  </w:num>
  <w:num w:numId="6">
    <w:abstractNumId w:val="7"/>
  </w:num>
  <w:num w:numId="7">
    <w:abstractNumId w:val="9"/>
  </w:num>
  <w:num w:numId="8">
    <w:abstractNumId w:val="14"/>
  </w:num>
  <w:num w:numId="9">
    <w:abstractNumId w:val="6"/>
  </w:num>
  <w:num w:numId="10">
    <w:abstractNumId w:val="11"/>
  </w:num>
  <w:num w:numId="11">
    <w:abstractNumId w:val="16"/>
  </w:num>
  <w:num w:numId="12">
    <w:abstractNumId w:val="5"/>
  </w:num>
  <w:num w:numId="13">
    <w:abstractNumId w:val="3"/>
  </w:num>
  <w:num w:numId="14">
    <w:abstractNumId w:val="8"/>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8EF"/>
    <w:rsid w:val="00000091"/>
    <w:rsid w:val="00002482"/>
    <w:rsid w:val="00002B88"/>
    <w:rsid w:val="00003310"/>
    <w:rsid w:val="00003E40"/>
    <w:rsid w:val="00004187"/>
    <w:rsid w:val="00004201"/>
    <w:rsid w:val="00004340"/>
    <w:rsid w:val="00004786"/>
    <w:rsid w:val="0000524C"/>
    <w:rsid w:val="000055C3"/>
    <w:rsid w:val="00005AF5"/>
    <w:rsid w:val="00005D2C"/>
    <w:rsid w:val="00005E0D"/>
    <w:rsid w:val="00005FB0"/>
    <w:rsid w:val="00006A1D"/>
    <w:rsid w:val="00007269"/>
    <w:rsid w:val="00007329"/>
    <w:rsid w:val="0000754F"/>
    <w:rsid w:val="00007F7D"/>
    <w:rsid w:val="000103A0"/>
    <w:rsid w:val="00010DE7"/>
    <w:rsid w:val="00011694"/>
    <w:rsid w:val="00011807"/>
    <w:rsid w:val="00012639"/>
    <w:rsid w:val="00012C09"/>
    <w:rsid w:val="00012EFD"/>
    <w:rsid w:val="000135B9"/>
    <w:rsid w:val="000142F5"/>
    <w:rsid w:val="00014F63"/>
    <w:rsid w:val="000151F5"/>
    <w:rsid w:val="000160E9"/>
    <w:rsid w:val="00016BB3"/>
    <w:rsid w:val="00017216"/>
    <w:rsid w:val="00017234"/>
    <w:rsid w:val="000205D6"/>
    <w:rsid w:val="000207D2"/>
    <w:rsid w:val="00021E1B"/>
    <w:rsid w:val="00021FFE"/>
    <w:rsid w:val="0002302C"/>
    <w:rsid w:val="00023CB5"/>
    <w:rsid w:val="00024F43"/>
    <w:rsid w:val="000250BA"/>
    <w:rsid w:val="00026082"/>
    <w:rsid w:val="00026A9E"/>
    <w:rsid w:val="00026E7E"/>
    <w:rsid w:val="00027C6F"/>
    <w:rsid w:val="00030AD5"/>
    <w:rsid w:val="000311C7"/>
    <w:rsid w:val="000317EC"/>
    <w:rsid w:val="0003252F"/>
    <w:rsid w:val="00032729"/>
    <w:rsid w:val="00033065"/>
    <w:rsid w:val="00033A9E"/>
    <w:rsid w:val="00034084"/>
    <w:rsid w:val="00034952"/>
    <w:rsid w:val="00034C5C"/>
    <w:rsid w:val="0003533A"/>
    <w:rsid w:val="0003608A"/>
    <w:rsid w:val="00036A83"/>
    <w:rsid w:val="00036BA0"/>
    <w:rsid w:val="00036E80"/>
    <w:rsid w:val="0004081E"/>
    <w:rsid w:val="00042639"/>
    <w:rsid w:val="00043307"/>
    <w:rsid w:val="000433E6"/>
    <w:rsid w:val="00043684"/>
    <w:rsid w:val="00043A9C"/>
    <w:rsid w:val="00046163"/>
    <w:rsid w:val="000464EA"/>
    <w:rsid w:val="00046A18"/>
    <w:rsid w:val="00047E52"/>
    <w:rsid w:val="00050C17"/>
    <w:rsid w:val="000513EE"/>
    <w:rsid w:val="0005260E"/>
    <w:rsid w:val="00052850"/>
    <w:rsid w:val="0005345B"/>
    <w:rsid w:val="00053939"/>
    <w:rsid w:val="00053CFB"/>
    <w:rsid w:val="00053D84"/>
    <w:rsid w:val="000547EA"/>
    <w:rsid w:val="00054CB0"/>
    <w:rsid w:val="00055C6C"/>
    <w:rsid w:val="00056B12"/>
    <w:rsid w:val="000570A2"/>
    <w:rsid w:val="00057697"/>
    <w:rsid w:val="00057D00"/>
    <w:rsid w:val="000609A1"/>
    <w:rsid w:val="00060B74"/>
    <w:rsid w:val="000634FE"/>
    <w:rsid w:val="00064686"/>
    <w:rsid w:val="00066AE2"/>
    <w:rsid w:val="00067182"/>
    <w:rsid w:val="0006770F"/>
    <w:rsid w:val="0007018E"/>
    <w:rsid w:val="00070555"/>
    <w:rsid w:val="00070AA6"/>
    <w:rsid w:val="000712CB"/>
    <w:rsid w:val="00072B28"/>
    <w:rsid w:val="00073A81"/>
    <w:rsid w:val="00073EC6"/>
    <w:rsid w:val="00073F7F"/>
    <w:rsid w:val="00074113"/>
    <w:rsid w:val="00074114"/>
    <w:rsid w:val="000742E4"/>
    <w:rsid w:val="000746E9"/>
    <w:rsid w:val="0007474D"/>
    <w:rsid w:val="000750AF"/>
    <w:rsid w:val="000750B9"/>
    <w:rsid w:val="00075D6E"/>
    <w:rsid w:val="000761E1"/>
    <w:rsid w:val="00076F8F"/>
    <w:rsid w:val="00076FF2"/>
    <w:rsid w:val="000776BE"/>
    <w:rsid w:val="00077F8C"/>
    <w:rsid w:val="00080435"/>
    <w:rsid w:val="00080789"/>
    <w:rsid w:val="00081C6E"/>
    <w:rsid w:val="00081EBD"/>
    <w:rsid w:val="000823BF"/>
    <w:rsid w:val="0008249D"/>
    <w:rsid w:val="000838C9"/>
    <w:rsid w:val="00083FA8"/>
    <w:rsid w:val="00084109"/>
    <w:rsid w:val="00084F7E"/>
    <w:rsid w:val="000854F5"/>
    <w:rsid w:val="00085D86"/>
    <w:rsid w:val="000862F8"/>
    <w:rsid w:val="00086474"/>
    <w:rsid w:val="00086675"/>
    <w:rsid w:val="000873F2"/>
    <w:rsid w:val="00087634"/>
    <w:rsid w:val="00087863"/>
    <w:rsid w:val="00087A9B"/>
    <w:rsid w:val="000901E4"/>
    <w:rsid w:val="0009065B"/>
    <w:rsid w:val="0009067D"/>
    <w:rsid w:val="00093A07"/>
    <w:rsid w:val="00093B5B"/>
    <w:rsid w:val="00094CFF"/>
    <w:rsid w:val="00094DD3"/>
    <w:rsid w:val="00095217"/>
    <w:rsid w:val="0009608F"/>
    <w:rsid w:val="0009648E"/>
    <w:rsid w:val="000964D2"/>
    <w:rsid w:val="000969C9"/>
    <w:rsid w:val="00096AA1"/>
    <w:rsid w:val="00096C98"/>
    <w:rsid w:val="000971FA"/>
    <w:rsid w:val="00097ACA"/>
    <w:rsid w:val="000A0293"/>
    <w:rsid w:val="000A075A"/>
    <w:rsid w:val="000A0963"/>
    <w:rsid w:val="000A0FD4"/>
    <w:rsid w:val="000A1BB2"/>
    <w:rsid w:val="000A2541"/>
    <w:rsid w:val="000A2C5E"/>
    <w:rsid w:val="000A334A"/>
    <w:rsid w:val="000A426E"/>
    <w:rsid w:val="000A43A7"/>
    <w:rsid w:val="000A4C8D"/>
    <w:rsid w:val="000A5E7A"/>
    <w:rsid w:val="000A5FC2"/>
    <w:rsid w:val="000A6250"/>
    <w:rsid w:val="000A683B"/>
    <w:rsid w:val="000A6DF7"/>
    <w:rsid w:val="000A72B7"/>
    <w:rsid w:val="000A76B0"/>
    <w:rsid w:val="000B082F"/>
    <w:rsid w:val="000B0A50"/>
    <w:rsid w:val="000B10F2"/>
    <w:rsid w:val="000B14EE"/>
    <w:rsid w:val="000B157C"/>
    <w:rsid w:val="000B160F"/>
    <w:rsid w:val="000B2F58"/>
    <w:rsid w:val="000B319F"/>
    <w:rsid w:val="000B3CFE"/>
    <w:rsid w:val="000B48EC"/>
    <w:rsid w:val="000B53ED"/>
    <w:rsid w:val="000B60D6"/>
    <w:rsid w:val="000B61ED"/>
    <w:rsid w:val="000B6239"/>
    <w:rsid w:val="000B64BF"/>
    <w:rsid w:val="000B7064"/>
    <w:rsid w:val="000C007C"/>
    <w:rsid w:val="000C048F"/>
    <w:rsid w:val="000C04AA"/>
    <w:rsid w:val="000C099F"/>
    <w:rsid w:val="000C0C78"/>
    <w:rsid w:val="000C1009"/>
    <w:rsid w:val="000C1682"/>
    <w:rsid w:val="000C1774"/>
    <w:rsid w:val="000C1FD6"/>
    <w:rsid w:val="000C20E0"/>
    <w:rsid w:val="000C22C3"/>
    <w:rsid w:val="000C2EB5"/>
    <w:rsid w:val="000C2F76"/>
    <w:rsid w:val="000C3A2D"/>
    <w:rsid w:val="000C3C75"/>
    <w:rsid w:val="000C3CFC"/>
    <w:rsid w:val="000C40E1"/>
    <w:rsid w:val="000C4F49"/>
    <w:rsid w:val="000C635E"/>
    <w:rsid w:val="000C6766"/>
    <w:rsid w:val="000C6AD7"/>
    <w:rsid w:val="000C6FAB"/>
    <w:rsid w:val="000C7220"/>
    <w:rsid w:val="000C7724"/>
    <w:rsid w:val="000D011F"/>
    <w:rsid w:val="000D0907"/>
    <w:rsid w:val="000D0D02"/>
    <w:rsid w:val="000D17CD"/>
    <w:rsid w:val="000D1F2D"/>
    <w:rsid w:val="000D2F38"/>
    <w:rsid w:val="000D3BE6"/>
    <w:rsid w:val="000D4428"/>
    <w:rsid w:val="000D5585"/>
    <w:rsid w:val="000D5691"/>
    <w:rsid w:val="000D61B6"/>
    <w:rsid w:val="000E01EB"/>
    <w:rsid w:val="000E0332"/>
    <w:rsid w:val="000E0BCB"/>
    <w:rsid w:val="000E11B0"/>
    <w:rsid w:val="000E1567"/>
    <w:rsid w:val="000E19D2"/>
    <w:rsid w:val="000E1BE3"/>
    <w:rsid w:val="000E25DC"/>
    <w:rsid w:val="000E2EB4"/>
    <w:rsid w:val="000E2EEA"/>
    <w:rsid w:val="000E4228"/>
    <w:rsid w:val="000E4720"/>
    <w:rsid w:val="000E52BD"/>
    <w:rsid w:val="000E5702"/>
    <w:rsid w:val="000E6220"/>
    <w:rsid w:val="000E6637"/>
    <w:rsid w:val="000E665D"/>
    <w:rsid w:val="000E7189"/>
    <w:rsid w:val="000E767B"/>
    <w:rsid w:val="000E7D8E"/>
    <w:rsid w:val="000F0337"/>
    <w:rsid w:val="000F0F8C"/>
    <w:rsid w:val="000F1B18"/>
    <w:rsid w:val="000F2292"/>
    <w:rsid w:val="000F3990"/>
    <w:rsid w:val="000F422D"/>
    <w:rsid w:val="000F46EC"/>
    <w:rsid w:val="000F4AEA"/>
    <w:rsid w:val="000F4F73"/>
    <w:rsid w:val="000F5285"/>
    <w:rsid w:val="000F5C0D"/>
    <w:rsid w:val="000F6138"/>
    <w:rsid w:val="000F6800"/>
    <w:rsid w:val="000F693D"/>
    <w:rsid w:val="000F6A18"/>
    <w:rsid w:val="000F6A9F"/>
    <w:rsid w:val="0010046D"/>
    <w:rsid w:val="001004EC"/>
    <w:rsid w:val="00101201"/>
    <w:rsid w:val="00101C83"/>
    <w:rsid w:val="001020A8"/>
    <w:rsid w:val="001023F3"/>
    <w:rsid w:val="001025C7"/>
    <w:rsid w:val="001032D4"/>
    <w:rsid w:val="0010435C"/>
    <w:rsid w:val="001062A0"/>
    <w:rsid w:val="0010780C"/>
    <w:rsid w:val="00110130"/>
    <w:rsid w:val="0011045A"/>
    <w:rsid w:val="00110565"/>
    <w:rsid w:val="00110DC7"/>
    <w:rsid w:val="00110ED8"/>
    <w:rsid w:val="001120CA"/>
    <w:rsid w:val="00112991"/>
    <w:rsid w:val="00113401"/>
    <w:rsid w:val="00113B24"/>
    <w:rsid w:val="00113EC1"/>
    <w:rsid w:val="0011440D"/>
    <w:rsid w:val="001148EC"/>
    <w:rsid w:val="001151C8"/>
    <w:rsid w:val="001158F3"/>
    <w:rsid w:val="00115CF2"/>
    <w:rsid w:val="00116F65"/>
    <w:rsid w:val="00117515"/>
    <w:rsid w:val="00120C03"/>
    <w:rsid w:val="00120DD5"/>
    <w:rsid w:val="0012148A"/>
    <w:rsid w:val="00121FAF"/>
    <w:rsid w:val="001220DC"/>
    <w:rsid w:val="00122299"/>
    <w:rsid w:val="0012229A"/>
    <w:rsid w:val="001222EA"/>
    <w:rsid w:val="0012230C"/>
    <w:rsid w:val="001234C9"/>
    <w:rsid w:val="00123550"/>
    <w:rsid w:val="001263AC"/>
    <w:rsid w:val="00126C3A"/>
    <w:rsid w:val="00126D8B"/>
    <w:rsid w:val="0012702B"/>
    <w:rsid w:val="0012776C"/>
    <w:rsid w:val="00127981"/>
    <w:rsid w:val="001279EE"/>
    <w:rsid w:val="0013012C"/>
    <w:rsid w:val="00130318"/>
    <w:rsid w:val="00130733"/>
    <w:rsid w:val="00130D83"/>
    <w:rsid w:val="00130E0F"/>
    <w:rsid w:val="00131EB6"/>
    <w:rsid w:val="0013287B"/>
    <w:rsid w:val="00133F59"/>
    <w:rsid w:val="001352DF"/>
    <w:rsid w:val="00135DF7"/>
    <w:rsid w:val="00136028"/>
    <w:rsid w:val="00136CA5"/>
    <w:rsid w:val="00136D97"/>
    <w:rsid w:val="00136D9E"/>
    <w:rsid w:val="00137246"/>
    <w:rsid w:val="00137FF0"/>
    <w:rsid w:val="001403EA"/>
    <w:rsid w:val="00140471"/>
    <w:rsid w:val="001413CB"/>
    <w:rsid w:val="001416ED"/>
    <w:rsid w:val="001420B8"/>
    <w:rsid w:val="0014221A"/>
    <w:rsid w:val="00142E55"/>
    <w:rsid w:val="00143256"/>
    <w:rsid w:val="001432FE"/>
    <w:rsid w:val="00143454"/>
    <w:rsid w:val="001437D4"/>
    <w:rsid w:val="00143DCD"/>
    <w:rsid w:val="00144744"/>
    <w:rsid w:val="00145533"/>
    <w:rsid w:val="00146B0E"/>
    <w:rsid w:val="00146BA8"/>
    <w:rsid w:val="001473C3"/>
    <w:rsid w:val="00147CB8"/>
    <w:rsid w:val="00147CF5"/>
    <w:rsid w:val="00150532"/>
    <w:rsid w:val="001505D7"/>
    <w:rsid w:val="00150860"/>
    <w:rsid w:val="00150B80"/>
    <w:rsid w:val="00151E97"/>
    <w:rsid w:val="00152089"/>
    <w:rsid w:val="00152FF1"/>
    <w:rsid w:val="0015336B"/>
    <w:rsid w:val="001534FD"/>
    <w:rsid w:val="0015358D"/>
    <w:rsid w:val="001539E9"/>
    <w:rsid w:val="00153BCF"/>
    <w:rsid w:val="00153FE2"/>
    <w:rsid w:val="0015449B"/>
    <w:rsid w:val="001545F4"/>
    <w:rsid w:val="00154AFA"/>
    <w:rsid w:val="00154F0A"/>
    <w:rsid w:val="00154F7B"/>
    <w:rsid w:val="00155A1B"/>
    <w:rsid w:val="00156456"/>
    <w:rsid w:val="00156DEB"/>
    <w:rsid w:val="00157487"/>
    <w:rsid w:val="00157ACC"/>
    <w:rsid w:val="001609FF"/>
    <w:rsid w:val="001619A9"/>
    <w:rsid w:val="00161A1B"/>
    <w:rsid w:val="001621C0"/>
    <w:rsid w:val="001629D5"/>
    <w:rsid w:val="00162E20"/>
    <w:rsid w:val="00163217"/>
    <w:rsid w:val="00163803"/>
    <w:rsid w:val="0016386D"/>
    <w:rsid w:val="00163C90"/>
    <w:rsid w:val="00166528"/>
    <w:rsid w:val="00166750"/>
    <w:rsid w:val="00166799"/>
    <w:rsid w:val="00166B22"/>
    <w:rsid w:val="001674D4"/>
    <w:rsid w:val="00167736"/>
    <w:rsid w:val="001711A3"/>
    <w:rsid w:val="00171DEC"/>
    <w:rsid w:val="001720EB"/>
    <w:rsid w:val="00172445"/>
    <w:rsid w:val="00173C6C"/>
    <w:rsid w:val="00173DBC"/>
    <w:rsid w:val="001742A6"/>
    <w:rsid w:val="00174C62"/>
    <w:rsid w:val="001750DF"/>
    <w:rsid w:val="00175311"/>
    <w:rsid w:val="0017532F"/>
    <w:rsid w:val="00175AFC"/>
    <w:rsid w:val="00175F78"/>
    <w:rsid w:val="00175F9E"/>
    <w:rsid w:val="00176276"/>
    <w:rsid w:val="001766D8"/>
    <w:rsid w:val="00176F4E"/>
    <w:rsid w:val="00177365"/>
    <w:rsid w:val="0018079E"/>
    <w:rsid w:val="0018246D"/>
    <w:rsid w:val="00182882"/>
    <w:rsid w:val="00182AF2"/>
    <w:rsid w:val="00184A9D"/>
    <w:rsid w:val="00184B7E"/>
    <w:rsid w:val="00184BBF"/>
    <w:rsid w:val="001853EE"/>
    <w:rsid w:val="00185B10"/>
    <w:rsid w:val="00186532"/>
    <w:rsid w:val="00186565"/>
    <w:rsid w:val="001868E0"/>
    <w:rsid w:val="001876C5"/>
    <w:rsid w:val="00190028"/>
    <w:rsid w:val="001900EA"/>
    <w:rsid w:val="001907F4"/>
    <w:rsid w:val="00191D74"/>
    <w:rsid w:val="00192AC1"/>
    <w:rsid w:val="00192E14"/>
    <w:rsid w:val="00194225"/>
    <w:rsid w:val="00195DC5"/>
    <w:rsid w:val="00196FD7"/>
    <w:rsid w:val="00197D0C"/>
    <w:rsid w:val="001A033A"/>
    <w:rsid w:val="001A117D"/>
    <w:rsid w:val="001A1390"/>
    <w:rsid w:val="001A1718"/>
    <w:rsid w:val="001A1A74"/>
    <w:rsid w:val="001A1D3F"/>
    <w:rsid w:val="001A28CC"/>
    <w:rsid w:val="001A2D48"/>
    <w:rsid w:val="001A3AEC"/>
    <w:rsid w:val="001A3DDC"/>
    <w:rsid w:val="001A431C"/>
    <w:rsid w:val="001A4349"/>
    <w:rsid w:val="001A486C"/>
    <w:rsid w:val="001A4C75"/>
    <w:rsid w:val="001A4F83"/>
    <w:rsid w:val="001A58B6"/>
    <w:rsid w:val="001A59EE"/>
    <w:rsid w:val="001A6D30"/>
    <w:rsid w:val="001A7748"/>
    <w:rsid w:val="001B1305"/>
    <w:rsid w:val="001B15DA"/>
    <w:rsid w:val="001B1943"/>
    <w:rsid w:val="001B1973"/>
    <w:rsid w:val="001B1FA9"/>
    <w:rsid w:val="001B214D"/>
    <w:rsid w:val="001B276D"/>
    <w:rsid w:val="001B28A9"/>
    <w:rsid w:val="001B2980"/>
    <w:rsid w:val="001B2C1D"/>
    <w:rsid w:val="001B2C7A"/>
    <w:rsid w:val="001B30B6"/>
    <w:rsid w:val="001B30CB"/>
    <w:rsid w:val="001B3959"/>
    <w:rsid w:val="001B445F"/>
    <w:rsid w:val="001B5143"/>
    <w:rsid w:val="001B5734"/>
    <w:rsid w:val="001B5AFF"/>
    <w:rsid w:val="001B628E"/>
    <w:rsid w:val="001B699D"/>
    <w:rsid w:val="001B6C26"/>
    <w:rsid w:val="001B7200"/>
    <w:rsid w:val="001B77E5"/>
    <w:rsid w:val="001B7E1B"/>
    <w:rsid w:val="001C0262"/>
    <w:rsid w:val="001C0DA2"/>
    <w:rsid w:val="001C1508"/>
    <w:rsid w:val="001C1729"/>
    <w:rsid w:val="001C41EE"/>
    <w:rsid w:val="001C423F"/>
    <w:rsid w:val="001C4D39"/>
    <w:rsid w:val="001C4EA7"/>
    <w:rsid w:val="001C562B"/>
    <w:rsid w:val="001C6279"/>
    <w:rsid w:val="001C6FE0"/>
    <w:rsid w:val="001C76B1"/>
    <w:rsid w:val="001C7F03"/>
    <w:rsid w:val="001D02FD"/>
    <w:rsid w:val="001D0954"/>
    <w:rsid w:val="001D0FCE"/>
    <w:rsid w:val="001D17D6"/>
    <w:rsid w:val="001D235E"/>
    <w:rsid w:val="001D26D6"/>
    <w:rsid w:val="001D2FCC"/>
    <w:rsid w:val="001D386E"/>
    <w:rsid w:val="001D391F"/>
    <w:rsid w:val="001D4A9F"/>
    <w:rsid w:val="001D52D7"/>
    <w:rsid w:val="001D5B68"/>
    <w:rsid w:val="001D5DB6"/>
    <w:rsid w:val="001D647F"/>
    <w:rsid w:val="001D68E1"/>
    <w:rsid w:val="001D6DEA"/>
    <w:rsid w:val="001D75DC"/>
    <w:rsid w:val="001D77A8"/>
    <w:rsid w:val="001E032B"/>
    <w:rsid w:val="001E078E"/>
    <w:rsid w:val="001E081B"/>
    <w:rsid w:val="001E1712"/>
    <w:rsid w:val="001E1A15"/>
    <w:rsid w:val="001E20E0"/>
    <w:rsid w:val="001E2A5B"/>
    <w:rsid w:val="001E3AAF"/>
    <w:rsid w:val="001E478E"/>
    <w:rsid w:val="001E56E0"/>
    <w:rsid w:val="001E57F3"/>
    <w:rsid w:val="001E643E"/>
    <w:rsid w:val="001E7971"/>
    <w:rsid w:val="001F01B6"/>
    <w:rsid w:val="001F0D0E"/>
    <w:rsid w:val="001F0DC8"/>
    <w:rsid w:val="001F1F5E"/>
    <w:rsid w:val="001F3FCC"/>
    <w:rsid w:val="001F41A3"/>
    <w:rsid w:val="001F4676"/>
    <w:rsid w:val="001F477C"/>
    <w:rsid w:val="001F48E7"/>
    <w:rsid w:val="001F4976"/>
    <w:rsid w:val="001F4A9C"/>
    <w:rsid w:val="001F55DF"/>
    <w:rsid w:val="001F5742"/>
    <w:rsid w:val="001F5782"/>
    <w:rsid w:val="001F580E"/>
    <w:rsid w:val="001F58A6"/>
    <w:rsid w:val="001F5C86"/>
    <w:rsid w:val="001F5D9E"/>
    <w:rsid w:val="001F6B3F"/>
    <w:rsid w:val="001F705F"/>
    <w:rsid w:val="001F7DD8"/>
    <w:rsid w:val="00200FE9"/>
    <w:rsid w:val="00201573"/>
    <w:rsid w:val="00201D99"/>
    <w:rsid w:val="00202971"/>
    <w:rsid w:val="00202D2D"/>
    <w:rsid w:val="00202E2F"/>
    <w:rsid w:val="0020363B"/>
    <w:rsid w:val="00203659"/>
    <w:rsid w:val="0020394C"/>
    <w:rsid w:val="00203AE4"/>
    <w:rsid w:val="00204290"/>
    <w:rsid w:val="00204F9C"/>
    <w:rsid w:val="002052E9"/>
    <w:rsid w:val="0020580C"/>
    <w:rsid w:val="00205F76"/>
    <w:rsid w:val="002063A2"/>
    <w:rsid w:val="00207366"/>
    <w:rsid w:val="00207370"/>
    <w:rsid w:val="00207B4E"/>
    <w:rsid w:val="00207E20"/>
    <w:rsid w:val="002115AA"/>
    <w:rsid w:val="0021197C"/>
    <w:rsid w:val="00211C65"/>
    <w:rsid w:val="00211CDC"/>
    <w:rsid w:val="00212A57"/>
    <w:rsid w:val="00212BC3"/>
    <w:rsid w:val="00213107"/>
    <w:rsid w:val="002131E1"/>
    <w:rsid w:val="00213552"/>
    <w:rsid w:val="00213FC9"/>
    <w:rsid w:val="0021514E"/>
    <w:rsid w:val="0021545D"/>
    <w:rsid w:val="0021561D"/>
    <w:rsid w:val="00216065"/>
    <w:rsid w:val="00216386"/>
    <w:rsid w:val="00217E53"/>
    <w:rsid w:val="00220257"/>
    <w:rsid w:val="00220F0F"/>
    <w:rsid w:val="00222B81"/>
    <w:rsid w:val="0022315B"/>
    <w:rsid w:val="002236CE"/>
    <w:rsid w:val="00223B14"/>
    <w:rsid w:val="00223CF0"/>
    <w:rsid w:val="00224829"/>
    <w:rsid w:val="00225CEC"/>
    <w:rsid w:val="002260F7"/>
    <w:rsid w:val="002263DD"/>
    <w:rsid w:val="0022642D"/>
    <w:rsid w:val="00226B51"/>
    <w:rsid w:val="002271CC"/>
    <w:rsid w:val="00227EA1"/>
    <w:rsid w:val="002305E1"/>
    <w:rsid w:val="00230A7B"/>
    <w:rsid w:val="002310D7"/>
    <w:rsid w:val="00231F7B"/>
    <w:rsid w:val="00232242"/>
    <w:rsid w:val="002329A8"/>
    <w:rsid w:val="0023407F"/>
    <w:rsid w:val="002341CB"/>
    <w:rsid w:val="00234510"/>
    <w:rsid w:val="00234559"/>
    <w:rsid w:val="00234871"/>
    <w:rsid w:val="002349C8"/>
    <w:rsid w:val="002362C9"/>
    <w:rsid w:val="00236882"/>
    <w:rsid w:val="002374AE"/>
    <w:rsid w:val="00237F9C"/>
    <w:rsid w:val="00240398"/>
    <w:rsid w:val="002417A6"/>
    <w:rsid w:val="002417EE"/>
    <w:rsid w:val="00242974"/>
    <w:rsid w:val="00242F53"/>
    <w:rsid w:val="002437E2"/>
    <w:rsid w:val="00244A10"/>
    <w:rsid w:val="00245BF8"/>
    <w:rsid w:val="00245FE0"/>
    <w:rsid w:val="00246032"/>
    <w:rsid w:val="00246BB0"/>
    <w:rsid w:val="00246DF8"/>
    <w:rsid w:val="002507A3"/>
    <w:rsid w:val="00250B3B"/>
    <w:rsid w:val="00250C34"/>
    <w:rsid w:val="00250D71"/>
    <w:rsid w:val="00251242"/>
    <w:rsid w:val="002517DD"/>
    <w:rsid w:val="002519B8"/>
    <w:rsid w:val="00251D5E"/>
    <w:rsid w:val="00252017"/>
    <w:rsid w:val="00252214"/>
    <w:rsid w:val="002529B1"/>
    <w:rsid w:val="0025308E"/>
    <w:rsid w:val="0025386E"/>
    <w:rsid w:val="00253CAC"/>
    <w:rsid w:val="00254224"/>
    <w:rsid w:val="00254265"/>
    <w:rsid w:val="00254734"/>
    <w:rsid w:val="002554C8"/>
    <w:rsid w:val="002558DF"/>
    <w:rsid w:val="002560C8"/>
    <w:rsid w:val="0025620D"/>
    <w:rsid w:val="0025679E"/>
    <w:rsid w:val="00256E67"/>
    <w:rsid w:val="002578B0"/>
    <w:rsid w:val="002578F9"/>
    <w:rsid w:val="0026087D"/>
    <w:rsid w:val="002613E0"/>
    <w:rsid w:val="002616A7"/>
    <w:rsid w:val="0026258F"/>
    <w:rsid w:val="00263945"/>
    <w:rsid w:val="002640EF"/>
    <w:rsid w:val="00264618"/>
    <w:rsid w:val="0026676A"/>
    <w:rsid w:val="00266CAF"/>
    <w:rsid w:val="00267166"/>
    <w:rsid w:val="00267835"/>
    <w:rsid w:val="00270354"/>
    <w:rsid w:val="00270938"/>
    <w:rsid w:val="00271927"/>
    <w:rsid w:val="002745B0"/>
    <w:rsid w:val="0027468E"/>
    <w:rsid w:val="0027469F"/>
    <w:rsid w:val="0027493C"/>
    <w:rsid w:val="00274D0A"/>
    <w:rsid w:val="00274F81"/>
    <w:rsid w:val="002811FB"/>
    <w:rsid w:val="00281361"/>
    <w:rsid w:val="00281D40"/>
    <w:rsid w:val="00283AB1"/>
    <w:rsid w:val="00283C62"/>
    <w:rsid w:val="002842D7"/>
    <w:rsid w:val="002850EE"/>
    <w:rsid w:val="0028516A"/>
    <w:rsid w:val="002861E7"/>
    <w:rsid w:val="00286DFF"/>
    <w:rsid w:val="00287561"/>
    <w:rsid w:val="002878AF"/>
    <w:rsid w:val="0029032E"/>
    <w:rsid w:val="002904C0"/>
    <w:rsid w:val="002908C6"/>
    <w:rsid w:val="002909FF"/>
    <w:rsid w:val="00290D0B"/>
    <w:rsid w:val="00290D7F"/>
    <w:rsid w:val="00290F14"/>
    <w:rsid w:val="00291BCF"/>
    <w:rsid w:val="002920F2"/>
    <w:rsid w:val="0029221B"/>
    <w:rsid w:val="0029275D"/>
    <w:rsid w:val="002928CC"/>
    <w:rsid w:val="0029299F"/>
    <w:rsid w:val="00292C3C"/>
    <w:rsid w:val="0029350A"/>
    <w:rsid w:val="00295055"/>
    <w:rsid w:val="00295AEF"/>
    <w:rsid w:val="002967CC"/>
    <w:rsid w:val="0029727F"/>
    <w:rsid w:val="002975E5"/>
    <w:rsid w:val="002979A6"/>
    <w:rsid w:val="002979EF"/>
    <w:rsid w:val="002A0F84"/>
    <w:rsid w:val="002A1E04"/>
    <w:rsid w:val="002A22E4"/>
    <w:rsid w:val="002A297D"/>
    <w:rsid w:val="002A34F8"/>
    <w:rsid w:val="002A3F89"/>
    <w:rsid w:val="002A4553"/>
    <w:rsid w:val="002A4CE7"/>
    <w:rsid w:val="002A5E17"/>
    <w:rsid w:val="002A6797"/>
    <w:rsid w:val="002A7547"/>
    <w:rsid w:val="002A791B"/>
    <w:rsid w:val="002B0158"/>
    <w:rsid w:val="002B0583"/>
    <w:rsid w:val="002B05EB"/>
    <w:rsid w:val="002B06E9"/>
    <w:rsid w:val="002B0D0B"/>
    <w:rsid w:val="002B1CB0"/>
    <w:rsid w:val="002B203E"/>
    <w:rsid w:val="002B3800"/>
    <w:rsid w:val="002B3B7D"/>
    <w:rsid w:val="002B4025"/>
    <w:rsid w:val="002B4275"/>
    <w:rsid w:val="002B43AE"/>
    <w:rsid w:val="002B4563"/>
    <w:rsid w:val="002B47BB"/>
    <w:rsid w:val="002B4EC9"/>
    <w:rsid w:val="002B5077"/>
    <w:rsid w:val="002B6F6B"/>
    <w:rsid w:val="002B7DCA"/>
    <w:rsid w:val="002C0154"/>
    <w:rsid w:val="002C0941"/>
    <w:rsid w:val="002C23CE"/>
    <w:rsid w:val="002C2477"/>
    <w:rsid w:val="002C27F0"/>
    <w:rsid w:val="002C3B32"/>
    <w:rsid w:val="002C3F65"/>
    <w:rsid w:val="002C427B"/>
    <w:rsid w:val="002C45FB"/>
    <w:rsid w:val="002C4F30"/>
    <w:rsid w:val="002C5445"/>
    <w:rsid w:val="002C55C1"/>
    <w:rsid w:val="002C56B3"/>
    <w:rsid w:val="002C5854"/>
    <w:rsid w:val="002C5F19"/>
    <w:rsid w:val="002C73EC"/>
    <w:rsid w:val="002C776A"/>
    <w:rsid w:val="002C7FE1"/>
    <w:rsid w:val="002D0BF2"/>
    <w:rsid w:val="002D0EEB"/>
    <w:rsid w:val="002D0F3B"/>
    <w:rsid w:val="002D12A6"/>
    <w:rsid w:val="002D1A1D"/>
    <w:rsid w:val="002D1BA4"/>
    <w:rsid w:val="002D2879"/>
    <w:rsid w:val="002D2CFF"/>
    <w:rsid w:val="002D3268"/>
    <w:rsid w:val="002D3BAC"/>
    <w:rsid w:val="002D40E4"/>
    <w:rsid w:val="002D4B7E"/>
    <w:rsid w:val="002D560A"/>
    <w:rsid w:val="002D5861"/>
    <w:rsid w:val="002D628A"/>
    <w:rsid w:val="002D63EC"/>
    <w:rsid w:val="002D678C"/>
    <w:rsid w:val="002D6DA4"/>
    <w:rsid w:val="002D75D2"/>
    <w:rsid w:val="002D7A97"/>
    <w:rsid w:val="002E113D"/>
    <w:rsid w:val="002E31F7"/>
    <w:rsid w:val="002E3B39"/>
    <w:rsid w:val="002E477A"/>
    <w:rsid w:val="002E5E28"/>
    <w:rsid w:val="002E6044"/>
    <w:rsid w:val="002E673E"/>
    <w:rsid w:val="002E73D7"/>
    <w:rsid w:val="002E76B8"/>
    <w:rsid w:val="002F1542"/>
    <w:rsid w:val="002F469C"/>
    <w:rsid w:val="002F4726"/>
    <w:rsid w:val="002F5283"/>
    <w:rsid w:val="002F55C5"/>
    <w:rsid w:val="002F59D4"/>
    <w:rsid w:val="002F5E01"/>
    <w:rsid w:val="002F66C4"/>
    <w:rsid w:val="002F680E"/>
    <w:rsid w:val="002F6CD1"/>
    <w:rsid w:val="002F6DC5"/>
    <w:rsid w:val="002F6FC3"/>
    <w:rsid w:val="002F77DD"/>
    <w:rsid w:val="002F7DEC"/>
    <w:rsid w:val="0030000E"/>
    <w:rsid w:val="00300C00"/>
    <w:rsid w:val="00301AC5"/>
    <w:rsid w:val="003029C8"/>
    <w:rsid w:val="00302D68"/>
    <w:rsid w:val="00304350"/>
    <w:rsid w:val="00304BA3"/>
    <w:rsid w:val="00305CEB"/>
    <w:rsid w:val="003076B5"/>
    <w:rsid w:val="00307CFB"/>
    <w:rsid w:val="003108E9"/>
    <w:rsid w:val="00310D10"/>
    <w:rsid w:val="00311937"/>
    <w:rsid w:val="00312306"/>
    <w:rsid w:val="00313175"/>
    <w:rsid w:val="00313197"/>
    <w:rsid w:val="00313281"/>
    <w:rsid w:val="00315B7F"/>
    <w:rsid w:val="003163CC"/>
    <w:rsid w:val="00317070"/>
    <w:rsid w:val="00317225"/>
    <w:rsid w:val="00317459"/>
    <w:rsid w:val="00317F5F"/>
    <w:rsid w:val="00320C6C"/>
    <w:rsid w:val="0032102A"/>
    <w:rsid w:val="00321719"/>
    <w:rsid w:val="00321C4A"/>
    <w:rsid w:val="00321D03"/>
    <w:rsid w:val="00321F85"/>
    <w:rsid w:val="0032360D"/>
    <w:rsid w:val="00324191"/>
    <w:rsid w:val="00324343"/>
    <w:rsid w:val="0032497D"/>
    <w:rsid w:val="00324FDF"/>
    <w:rsid w:val="0032593C"/>
    <w:rsid w:val="00325BC0"/>
    <w:rsid w:val="00326221"/>
    <w:rsid w:val="00326316"/>
    <w:rsid w:val="003266DD"/>
    <w:rsid w:val="00326884"/>
    <w:rsid w:val="00326921"/>
    <w:rsid w:val="003278D7"/>
    <w:rsid w:val="00327F52"/>
    <w:rsid w:val="00331FBF"/>
    <w:rsid w:val="0033201B"/>
    <w:rsid w:val="003323BB"/>
    <w:rsid w:val="0033276F"/>
    <w:rsid w:val="003336A9"/>
    <w:rsid w:val="0033419B"/>
    <w:rsid w:val="0033570A"/>
    <w:rsid w:val="0033647E"/>
    <w:rsid w:val="00336554"/>
    <w:rsid w:val="00336555"/>
    <w:rsid w:val="00336953"/>
    <w:rsid w:val="0033798D"/>
    <w:rsid w:val="00340286"/>
    <w:rsid w:val="00343089"/>
    <w:rsid w:val="003434FD"/>
    <w:rsid w:val="0034372A"/>
    <w:rsid w:val="003442EB"/>
    <w:rsid w:val="003448B0"/>
    <w:rsid w:val="00344AD1"/>
    <w:rsid w:val="00344BFB"/>
    <w:rsid w:val="00345AFB"/>
    <w:rsid w:val="00346223"/>
    <w:rsid w:val="00347B8E"/>
    <w:rsid w:val="0035073D"/>
    <w:rsid w:val="00351009"/>
    <w:rsid w:val="00351398"/>
    <w:rsid w:val="00352B92"/>
    <w:rsid w:val="003530EF"/>
    <w:rsid w:val="003532E1"/>
    <w:rsid w:val="003537F4"/>
    <w:rsid w:val="00353F1A"/>
    <w:rsid w:val="003547DD"/>
    <w:rsid w:val="0035483A"/>
    <w:rsid w:val="00355DA2"/>
    <w:rsid w:val="00355E86"/>
    <w:rsid w:val="003572ED"/>
    <w:rsid w:val="00357DB4"/>
    <w:rsid w:val="00357E05"/>
    <w:rsid w:val="0036003D"/>
    <w:rsid w:val="003603BE"/>
    <w:rsid w:val="00360870"/>
    <w:rsid w:val="00360EF9"/>
    <w:rsid w:val="00362D19"/>
    <w:rsid w:val="00362F9C"/>
    <w:rsid w:val="003633B7"/>
    <w:rsid w:val="0036366B"/>
    <w:rsid w:val="00363C92"/>
    <w:rsid w:val="003650FA"/>
    <w:rsid w:val="0036582A"/>
    <w:rsid w:val="00365900"/>
    <w:rsid w:val="003659B7"/>
    <w:rsid w:val="0036639C"/>
    <w:rsid w:val="00366635"/>
    <w:rsid w:val="003703BE"/>
    <w:rsid w:val="00370943"/>
    <w:rsid w:val="0037117B"/>
    <w:rsid w:val="00371F09"/>
    <w:rsid w:val="00372000"/>
    <w:rsid w:val="00372472"/>
    <w:rsid w:val="0037267F"/>
    <w:rsid w:val="00372CFD"/>
    <w:rsid w:val="00372D18"/>
    <w:rsid w:val="003734CD"/>
    <w:rsid w:val="00373754"/>
    <w:rsid w:val="00373E1B"/>
    <w:rsid w:val="00375451"/>
    <w:rsid w:val="00375523"/>
    <w:rsid w:val="0037619B"/>
    <w:rsid w:val="00376DD5"/>
    <w:rsid w:val="00376ED2"/>
    <w:rsid w:val="00376F32"/>
    <w:rsid w:val="003779A0"/>
    <w:rsid w:val="003779ED"/>
    <w:rsid w:val="00380970"/>
    <w:rsid w:val="00380B05"/>
    <w:rsid w:val="00381333"/>
    <w:rsid w:val="00381E32"/>
    <w:rsid w:val="00382246"/>
    <w:rsid w:val="003827AB"/>
    <w:rsid w:val="0038295E"/>
    <w:rsid w:val="00382A19"/>
    <w:rsid w:val="00384B7C"/>
    <w:rsid w:val="003850A0"/>
    <w:rsid w:val="0038516B"/>
    <w:rsid w:val="00385FD4"/>
    <w:rsid w:val="0038680C"/>
    <w:rsid w:val="0038707F"/>
    <w:rsid w:val="00387299"/>
    <w:rsid w:val="00387C37"/>
    <w:rsid w:val="0039040D"/>
    <w:rsid w:val="0039060F"/>
    <w:rsid w:val="00390E57"/>
    <w:rsid w:val="00392BB6"/>
    <w:rsid w:val="0039330C"/>
    <w:rsid w:val="00394210"/>
    <w:rsid w:val="0039449D"/>
    <w:rsid w:val="0039460C"/>
    <w:rsid w:val="003946BA"/>
    <w:rsid w:val="003947D5"/>
    <w:rsid w:val="00394DCC"/>
    <w:rsid w:val="00394FC8"/>
    <w:rsid w:val="00395477"/>
    <w:rsid w:val="00395A3A"/>
    <w:rsid w:val="003970FE"/>
    <w:rsid w:val="0039728F"/>
    <w:rsid w:val="00397DA9"/>
    <w:rsid w:val="00397F97"/>
    <w:rsid w:val="003A06B3"/>
    <w:rsid w:val="003A1157"/>
    <w:rsid w:val="003A12D9"/>
    <w:rsid w:val="003A1A06"/>
    <w:rsid w:val="003A2028"/>
    <w:rsid w:val="003A20ED"/>
    <w:rsid w:val="003A2264"/>
    <w:rsid w:val="003A2A69"/>
    <w:rsid w:val="003A2E58"/>
    <w:rsid w:val="003A2EA5"/>
    <w:rsid w:val="003A32B3"/>
    <w:rsid w:val="003A412A"/>
    <w:rsid w:val="003A4295"/>
    <w:rsid w:val="003A4466"/>
    <w:rsid w:val="003A465A"/>
    <w:rsid w:val="003A4666"/>
    <w:rsid w:val="003A64FB"/>
    <w:rsid w:val="003A6648"/>
    <w:rsid w:val="003A6D8B"/>
    <w:rsid w:val="003B0FB8"/>
    <w:rsid w:val="003B1D75"/>
    <w:rsid w:val="003B1FA7"/>
    <w:rsid w:val="003B22E6"/>
    <w:rsid w:val="003B2A04"/>
    <w:rsid w:val="003B5877"/>
    <w:rsid w:val="003B5A49"/>
    <w:rsid w:val="003B6E96"/>
    <w:rsid w:val="003B785C"/>
    <w:rsid w:val="003C0C20"/>
    <w:rsid w:val="003C1C59"/>
    <w:rsid w:val="003C2AB1"/>
    <w:rsid w:val="003C2C19"/>
    <w:rsid w:val="003C3AB5"/>
    <w:rsid w:val="003C43D4"/>
    <w:rsid w:val="003C488B"/>
    <w:rsid w:val="003C4B0A"/>
    <w:rsid w:val="003C4D9D"/>
    <w:rsid w:val="003C5357"/>
    <w:rsid w:val="003C5EE5"/>
    <w:rsid w:val="003C6184"/>
    <w:rsid w:val="003C7284"/>
    <w:rsid w:val="003D23F0"/>
    <w:rsid w:val="003D2D0A"/>
    <w:rsid w:val="003D2DD9"/>
    <w:rsid w:val="003D3261"/>
    <w:rsid w:val="003D32AE"/>
    <w:rsid w:val="003D34A9"/>
    <w:rsid w:val="003D4B15"/>
    <w:rsid w:val="003D4EA2"/>
    <w:rsid w:val="003D541D"/>
    <w:rsid w:val="003D5713"/>
    <w:rsid w:val="003D5A25"/>
    <w:rsid w:val="003D6DFA"/>
    <w:rsid w:val="003D7280"/>
    <w:rsid w:val="003E01CD"/>
    <w:rsid w:val="003E0FBB"/>
    <w:rsid w:val="003E11F7"/>
    <w:rsid w:val="003E1C6B"/>
    <w:rsid w:val="003E2888"/>
    <w:rsid w:val="003E4412"/>
    <w:rsid w:val="003E449E"/>
    <w:rsid w:val="003E48A7"/>
    <w:rsid w:val="003E50E4"/>
    <w:rsid w:val="003E555F"/>
    <w:rsid w:val="003E5EC1"/>
    <w:rsid w:val="003E610F"/>
    <w:rsid w:val="003E6521"/>
    <w:rsid w:val="003E669A"/>
    <w:rsid w:val="003E6766"/>
    <w:rsid w:val="003E6BD9"/>
    <w:rsid w:val="003E6E2C"/>
    <w:rsid w:val="003E7B34"/>
    <w:rsid w:val="003F000B"/>
    <w:rsid w:val="003F09CF"/>
    <w:rsid w:val="003F0FAA"/>
    <w:rsid w:val="003F16C8"/>
    <w:rsid w:val="003F191A"/>
    <w:rsid w:val="003F1AC6"/>
    <w:rsid w:val="003F2AFD"/>
    <w:rsid w:val="003F402A"/>
    <w:rsid w:val="003F48EA"/>
    <w:rsid w:val="003F492B"/>
    <w:rsid w:val="003F507E"/>
    <w:rsid w:val="003F5E9D"/>
    <w:rsid w:val="003F622D"/>
    <w:rsid w:val="003F6D33"/>
    <w:rsid w:val="003F6E7C"/>
    <w:rsid w:val="004002AF"/>
    <w:rsid w:val="00401494"/>
    <w:rsid w:val="00401810"/>
    <w:rsid w:val="00401927"/>
    <w:rsid w:val="00401951"/>
    <w:rsid w:val="00401CE8"/>
    <w:rsid w:val="0040272B"/>
    <w:rsid w:val="0040278A"/>
    <w:rsid w:val="00402FC1"/>
    <w:rsid w:val="00403FB9"/>
    <w:rsid w:val="004040F8"/>
    <w:rsid w:val="0040468A"/>
    <w:rsid w:val="00404762"/>
    <w:rsid w:val="00404DA4"/>
    <w:rsid w:val="00405308"/>
    <w:rsid w:val="00406007"/>
    <w:rsid w:val="00407875"/>
    <w:rsid w:val="00411BF2"/>
    <w:rsid w:val="00413E0C"/>
    <w:rsid w:val="00413E4B"/>
    <w:rsid w:val="004142EE"/>
    <w:rsid w:val="00415190"/>
    <w:rsid w:val="004155E2"/>
    <w:rsid w:val="004156AB"/>
    <w:rsid w:val="00416D58"/>
    <w:rsid w:val="00417A2E"/>
    <w:rsid w:val="00417A4D"/>
    <w:rsid w:val="00417E1B"/>
    <w:rsid w:val="004203D6"/>
    <w:rsid w:val="004203D8"/>
    <w:rsid w:val="00420447"/>
    <w:rsid w:val="0042111B"/>
    <w:rsid w:val="00421762"/>
    <w:rsid w:val="00421A9B"/>
    <w:rsid w:val="00421D10"/>
    <w:rsid w:val="00422131"/>
    <w:rsid w:val="004226A5"/>
    <w:rsid w:val="0042291E"/>
    <w:rsid w:val="00422D6A"/>
    <w:rsid w:val="004231A0"/>
    <w:rsid w:val="004231A6"/>
    <w:rsid w:val="00423481"/>
    <w:rsid w:val="0042458C"/>
    <w:rsid w:val="0042471F"/>
    <w:rsid w:val="0042498E"/>
    <w:rsid w:val="0042589A"/>
    <w:rsid w:val="004259F7"/>
    <w:rsid w:val="004261FA"/>
    <w:rsid w:val="0042648D"/>
    <w:rsid w:val="00427396"/>
    <w:rsid w:val="004273FF"/>
    <w:rsid w:val="00430023"/>
    <w:rsid w:val="004306E3"/>
    <w:rsid w:val="004315A2"/>
    <w:rsid w:val="004319E0"/>
    <w:rsid w:val="00431AE1"/>
    <w:rsid w:val="00431EF4"/>
    <w:rsid w:val="00433457"/>
    <w:rsid w:val="004334D9"/>
    <w:rsid w:val="00434450"/>
    <w:rsid w:val="00434825"/>
    <w:rsid w:val="00434A76"/>
    <w:rsid w:val="0043530F"/>
    <w:rsid w:val="0043546C"/>
    <w:rsid w:val="00435648"/>
    <w:rsid w:val="00436919"/>
    <w:rsid w:val="00436CB0"/>
    <w:rsid w:val="00440C33"/>
    <w:rsid w:val="00441053"/>
    <w:rsid w:val="00441A24"/>
    <w:rsid w:val="0044250A"/>
    <w:rsid w:val="00442911"/>
    <w:rsid w:val="0044299C"/>
    <w:rsid w:val="004435FF"/>
    <w:rsid w:val="00444275"/>
    <w:rsid w:val="004446A4"/>
    <w:rsid w:val="00444900"/>
    <w:rsid w:val="00445509"/>
    <w:rsid w:val="0044608B"/>
    <w:rsid w:val="004460D3"/>
    <w:rsid w:val="004468C9"/>
    <w:rsid w:val="00447195"/>
    <w:rsid w:val="00451362"/>
    <w:rsid w:val="00451A90"/>
    <w:rsid w:val="00451BB7"/>
    <w:rsid w:val="00451D8D"/>
    <w:rsid w:val="00452167"/>
    <w:rsid w:val="00452227"/>
    <w:rsid w:val="004522A2"/>
    <w:rsid w:val="0045260E"/>
    <w:rsid w:val="004531C9"/>
    <w:rsid w:val="0045347A"/>
    <w:rsid w:val="00453F14"/>
    <w:rsid w:val="00454402"/>
    <w:rsid w:val="00454FA4"/>
    <w:rsid w:val="00455CDA"/>
    <w:rsid w:val="00455F55"/>
    <w:rsid w:val="00456309"/>
    <w:rsid w:val="00456446"/>
    <w:rsid w:val="004573B3"/>
    <w:rsid w:val="004606A6"/>
    <w:rsid w:val="00460A2A"/>
    <w:rsid w:val="00461571"/>
    <w:rsid w:val="00461639"/>
    <w:rsid w:val="004626FE"/>
    <w:rsid w:val="00462729"/>
    <w:rsid w:val="00462D66"/>
    <w:rsid w:val="0046372D"/>
    <w:rsid w:val="00464042"/>
    <w:rsid w:val="004645BA"/>
    <w:rsid w:val="00464DBC"/>
    <w:rsid w:val="00465148"/>
    <w:rsid w:val="004652D5"/>
    <w:rsid w:val="00465A7B"/>
    <w:rsid w:val="00465E2C"/>
    <w:rsid w:val="00467248"/>
    <w:rsid w:val="0047004B"/>
    <w:rsid w:val="00470744"/>
    <w:rsid w:val="00470BB3"/>
    <w:rsid w:val="00470D24"/>
    <w:rsid w:val="00470E1A"/>
    <w:rsid w:val="0047141E"/>
    <w:rsid w:val="004719C0"/>
    <w:rsid w:val="00471DF7"/>
    <w:rsid w:val="00471F6C"/>
    <w:rsid w:val="004725F3"/>
    <w:rsid w:val="00472679"/>
    <w:rsid w:val="00472F94"/>
    <w:rsid w:val="00473AFD"/>
    <w:rsid w:val="00473BC4"/>
    <w:rsid w:val="00473D68"/>
    <w:rsid w:val="00475F91"/>
    <w:rsid w:val="00476397"/>
    <w:rsid w:val="00477536"/>
    <w:rsid w:val="00477E78"/>
    <w:rsid w:val="004801C5"/>
    <w:rsid w:val="00480F48"/>
    <w:rsid w:val="00480F70"/>
    <w:rsid w:val="004811C7"/>
    <w:rsid w:val="004813C2"/>
    <w:rsid w:val="0048145D"/>
    <w:rsid w:val="004823AB"/>
    <w:rsid w:val="0048363F"/>
    <w:rsid w:val="004841A9"/>
    <w:rsid w:val="00484872"/>
    <w:rsid w:val="00484D2A"/>
    <w:rsid w:val="00484DE9"/>
    <w:rsid w:val="00485C91"/>
    <w:rsid w:val="004868CD"/>
    <w:rsid w:val="00487368"/>
    <w:rsid w:val="00490C70"/>
    <w:rsid w:val="0049114B"/>
    <w:rsid w:val="0049181B"/>
    <w:rsid w:val="00491AA9"/>
    <w:rsid w:val="004937E4"/>
    <w:rsid w:val="00493A47"/>
    <w:rsid w:val="00493C0D"/>
    <w:rsid w:val="00494214"/>
    <w:rsid w:val="0049451D"/>
    <w:rsid w:val="00494719"/>
    <w:rsid w:val="00494FD1"/>
    <w:rsid w:val="004950D6"/>
    <w:rsid w:val="00495AF6"/>
    <w:rsid w:val="00495CE1"/>
    <w:rsid w:val="00496420"/>
    <w:rsid w:val="004966D3"/>
    <w:rsid w:val="00496E95"/>
    <w:rsid w:val="00497660"/>
    <w:rsid w:val="004977F7"/>
    <w:rsid w:val="004A01B5"/>
    <w:rsid w:val="004A052C"/>
    <w:rsid w:val="004A10C3"/>
    <w:rsid w:val="004A141E"/>
    <w:rsid w:val="004A2389"/>
    <w:rsid w:val="004A2BDE"/>
    <w:rsid w:val="004A383A"/>
    <w:rsid w:val="004A45D2"/>
    <w:rsid w:val="004A4BE7"/>
    <w:rsid w:val="004A4E68"/>
    <w:rsid w:val="004A5FBD"/>
    <w:rsid w:val="004A6963"/>
    <w:rsid w:val="004A6B8E"/>
    <w:rsid w:val="004A70DC"/>
    <w:rsid w:val="004A79EF"/>
    <w:rsid w:val="004B0541"/>
    <w:rsid w:val="004B0959"/>
    <w:rsid w:val="004B09C8"/>
    <w:rsid w:val="004B1C0B"/>
    <w:rsid w:val="004B1C12"/>
    <w:rsid w:val="004B1DE2"/>
    <w:rsid w:val="004B1EC2"/>
    <w:rsid w:val="004B2235"/>
    <w:rsid w:val="004B38DB"/>
    <w:rsid w:val="004B401C"/>
    <w:rsid w:val="004B4F61"/>
    <w:rsid w:val="004B4FEA"/>
    <w:rsid w:val="004B539F"/>
    <w:rsid w:val="004B53CF"/>
    <w:rsid w:val="004B5FDA"/>
    <w:rsid w:val="004B632E"/>
    <w:rsid w:val="004B6852"/>
    <w:rsid w:val="004B7DD0"/>
    <w:rsid w:val="004C0190"/>
    <w:rsid w:val="004C4D7C"/>
    <w:rsid w:val="004C5438"/>
    <w:rsid w:val="004C6643"/>
    <w:rsid w:val="004C6C34"/>
    <w:rsid w:val="004C71A7"/>
    <w:rsid w:val="004C78CA"/>
    <w:rsid w:val="004C7DE6"/>
    <w:rsid w:val="004D0267"/>
    <w:rsid w:val="004D0B76"/>
    <w:rsid w:val="004D1316"/>
    <w:rsid w:val="004D1E56"/>
    <w:rsid w:val="004D2BE0"/>
    <w:rsid w:val="004D32DA"/>
    <w:rsid w:val="004D3BB7"/>
    <w:rsid w:val="004D3F25"/>
    <w:rsid w:val="004D407F"/>
    <w:rsid w:val="004D4320"/>
    <w:rsid w:val="004D57BE"/>
    <w:rsid w:val="004D6084"/>
    <w:rsid w:val="004D6104"/>
    <w:rsid w:val="004D7D90"/>
    <w:rsid w:val="004D7F9E"/>
    <w:rsid w:val="004E07BB"/>
    <w:rsid w:val="004E0892"/>
    <w:rsid w:val="004E0AD5"/>
    <w:rsid w:val="004E0F3A"/>
    <w:rsid w:val="004E1086"/>
    <w:rsid w:val="004E183D"/>
    <w:rsid w:val="004E19A1"/>
    <w:rsid w:val="004E1F0B"/>
    <w:rsid w:val="004E1F9E"/>
    <w:rsid w:val="004E2BBE"/>
    <w:rsid w:val="004E2E3F"/>
    <w:rsid w:val="004E40F0"/>
    <w:rsid w:val="004E426C"/>
    <w:rsid w:val="004E45C7"/>
    <w:rsid w:val="004E4A9B"/>
    <w:rsid w:val="004E6236"/>
    <w:rsid w:val="004E682D"/>
    <w:rsid w:val="004E7237"/>
    <w:rsid w:val="004E7FC4"/>
    <w:rsid w:val="004F0163"/>
    <w:rsid w:val="004F0771"/>
    <w:rsid w:val="004F2E1D"/>
    <w:rsid w:val="004F3364"/>
    <w:rsid w:val="004F36BE"/>
    <w:rsid w:val="004F4043"/>
    <w:rsid w:val="004F41FE"/>
    <w:rsid w:val="004F5851"/>
    <w:rsid w:val="004F5FFD"/>
    <w:rsid w:val="004F6BB9"/>
    <w:rsid w:val="004F6BD5"/>
    <w:rsid w:val="004F7346"/>
    <w:rsid w:val="004F735E"/>
    <w:rsid w:val="004F7A8D"/>
    <w:rsid w:val="004F7E49"/>
    <w:rsid w:val="00500128"/>
    <w:rsid w:val="00500772"/>
    <w:rsid w:val="0050095C"/>
    <w:rsid w:val="00500B6A"/>
    <w:rsid w:val="00500EDC"/>
    <w:rsid w:val="00500F85"/>
    <w:rsid w:val="00501B7D"/>
    <w:rsid w:val="00501B93"/>
    <w:rsid w:val="00501FC2"/>
    <w:rsid w:val="00502094"/>
    <w:rsid w:val="00502456"/>
    <w:rsid w:val="005027C5"/>
    <w:rsid w:val="00504003"/>
    <w:rsid w:val="005052E9"/>
    <w:rsid w:val="0050534F"/>
    <w:rsid w:val="005064E5"/>
    <w:rsid w:val="00506550"/>
    <w:rsid w:val="00506B9A"/>
    <w:rsid w:val="0050708A"/>
    <w:rsid w:val="0050760C"/>
    <w:rsid w:val="00507625"/>
    <w:rsid w:val="00507853"/>
    <w:rsid w:val="00510408"/>
    <w:rsid w:val="00510576"/>
    <w:rsid w:val="005107A1"/>
    <w:rsid w:val="005108B6"/>
    <w:rsid w:val="00510AFD"/>
    <w:rsid w:val="00511436"/>
    <w:rsid w:val="00511C0A"/>
    <w:rsid w:val="00512ADF"/>
    <w:rsid w:val="00512D85"/>
    <w:rsid w:val="00513435"/>
    <w:rsid w:val="00514BB8"/>
    <w:rsid w:val="00514D88"/>
    <w:rsid w:val="0051566C"/>
    <w:rsid w:val="00515A36"/>
    <w:rsid w:val="00515AE5"/>
    <w:rsid w:val="00515B7F"/>
    <w:rsid w:val="00515D41"/>
    <w:rsid w:val="0051695F"/>
    <w:rsid w:val="00516D03"/>
    <w:rsid w:val="00516E94"/>
    <w:rsid w:val="00517160"/>
    <w:rsid w:val="00517427"/>
    <w:rsid w:val="0051775E"/>
    <w:rsid w:val="005203C9"/>
    <w:rsid w:val="005215B0"/>
    <w:rsid w:val="00521C98"/>
    <w:rsid w:val="00522E3E"/>
    <w:rsid w:val="00522E97"/>
    <w:rsid w:val="00522FEE"/>
    <w:rsid w:val="005236CA"/>
    <w:rsid w:val="00523D4B"/>
    <w:rsid w:val="00524903"/>
    <w:rsid w:val="0052499F"/>
    <w:rsid w:val="005249B3"/>
    <w:rsid w:val="00526DFA"/>
    <w:rsid w:val="005273FF"/>
    <w:rsid w:val="00527A97"/>
    <w:rsid w:val="005310B9"/>
    <w:rsid w:val="005312F9"/>
    <w:rsid w:val="005313D1"/>
    <w:rsid w:val="00531A92"/>
    <w:rsid w:val="00531A96"/>
    <w:rsid w:val="00533A36"/>
    <w:rsid w:val="00534FCD"/>
    <w:rsid w:val="00535560"/>
    <w:rsid w:val="005356BA"/>
    <w:rsid w:val="00536D50"/>
    <w:rsid w:val="00536ED1"/>
    <w:rsid w:val="00537EAB"/>
    <w:rsid w:val="00540497"/>
    <w:rsid w:val="00541735"/>
    <w:rsid w:val="00541F84"/>
    <w:rsid w:val="00544000"/>
    <w:rsid w:val="00544194"/>
    <w:rsid w:val="005449C1"/>
    <w:rsid w:val="00544BE2"/>
    <w:rsid w:val="005451C3"/>
    <w:rsid w:val="005459D5"/>
    <w:rsid w:val="00546341"/>
    <w:rsid w:val="005477AB"/>
    <w:rsid w:val="00547B1C"/>
    <w:rsid w:val="00547CD8"/>
    <w:rsid w:val="00547DC9"/>
    <w:rsid w:val="0055060F"/>
    <w:rsid w:val="005523C0"/>
    <w:rsid w:val="005523C8"/>
    <w:rsid w:val="00552E73"/>
    <w:rsid w:val="005534E8"/>
    <w:rsid w:val="00553AD0"/>
    <w:rsid w:val="00554013"/>
    <w:rsid w:val="00554199"/>
    <w:rsid w:val="00554E5F"/>
    <w:rsid w:val="00555FFF"/>
    <w:rsid w:val="00556E38"/>
    <w:rsid w:val="00557452"/>
    <w:rsid w:val="005578AC"/>
    <w:rsid w:val="00557E51"/>
    <w:rsid w:val="00560395"/>
    <w:rsid w:val="00560AF2"/>
    <w:rsid w:val="00560B30"/>
    <w:rsid w:val="00560F75"/>
    <w:rsid w:val="00560F9A"/>
    <w:rsid w:val="00561EB2"/>
    <w:rsid w:val="00562B55"/>
    <w:rsid w:val="00564447"/>
    <w:rsid w:val="005647E2"/>
    <w:rsid w:val="00564B47"/>
    <w:rsid w:val="00565B06"/>
    <w:rsid w:val="005671FA"/>
    <w:rsid w:val="00567C32"/>
    <w:rsid w:val="0057062E"/>
    <w:rsid w:val="00571291"/>
    <w:rsid w:val="00571660"/>
    <w:rsid w:val="005723C6"/>
    <w:rsid w:val="00572ED4"/>
    <w:rsid w:val="00573931"/>
    <w:rsid w:val="005743E5"/>
    <w:rsid w:val="00574A6E"/>
    <w:rsid w:val="00576074"/>
    <w:rsid w:val="00576444"/>
    <w:rsid w:val="005770C2"/>
    <w:rsid w:val="005775FA"/>
    <w:rsid w:val="0058130D"/>
    <w:rsid w:val="00581A3D"/>
    <w:rsid w:val="005863BD"/>
    <w:rsid w:val="00587147"/>
    <w:rsid w:val="00590099"/>
    <w:rsid w:val="0059030D"/>
    <w:rsid w:val="00591B00"/>
    <w:rsid w:val="005929A0"/>
    <w:rsid w:val="0059314E"/>
    <w:rsid w:val="005935A3"/>
    <w:rsid w:val="00593783"/>
    <w:rsid w:val="00594C78"/>
    <w:rsid w:val="0059502B"/>
    <w:rsid w:val="00595136"/>
    <w:rsid w:val="005953B6"/>
    <w:rsid w:val="005954EB"/>
    <w:rsid w:val="00595D34"/>
    <w:rsid w:val="00596290"/>
    <w:rsid w:val="005962A7"/>
    <w:rsid w:val="005964B9"/>
    <w:rsid w:val="005970B1"/>
    <w:rsid w:val="005A0095"/>
    <w:rsid w:val="005A0DD0"/>
    <w:rsid w:val="005A1644"/>
    <w:rsid w:val="005A2524"/>
    <w:rsid w:val="005A283E"/>
    <w:rsid w:val="005A5805"/>
    <w:rsid w:val="005A5A95"/>
    <w:rsid w:val="005A5FBD"/>
    <w:rsid w:val="005A6075"/>
    <w:rsid w:val="005A60F8"/>
    <w:rsid w:val="005A64A1"/>
    <w:rsid w:val="005A7716"/>
    <w:rsid w:val="005B10BA"/>
    <w:rsid w:val="005B1DF3"/>
    <w:rsid w:val="005B20E3"/>
    <w:rsid w:val="005B2396"/>
    <w:rsid w:val="005B2F7F"/>
    <w:rsid w:val="005B3004"/>
    <w:rsid w:val="005B3430"/>
    <w:rsid w:val="005B4A89"/>
    <w:rsid w:val="005B4AEE"/>
    <w:rsid w:val="005C1508"/>
    <w:rsid w:val="005C154D"/>
    <w:rsid w:val="005C171D"/>
    <w:rsid w:val="005C1B3D"/>
    <w:rsid w:val="005C252F"/>
    <w:rsid w:val="005C2A4D"/>
    <w:rsid w:val="005C301F"/>
    <w:rsid w:val="005C3E6B"/>
    <w:rsid w:val="005C3F64"/>
    <w:rsid w:val="005C44C7"/>
    <w:rsid w:val="005C4B6D"/>
    <w:rsid w:val="005C5699"/>
    <w:rsid w:val="005C5F18"/>
    <w:rsid w:val="005D0320"/>
    <w:rsid w:val="005D0771"/>
    <w:rsid w:val="005D0ED7"/>
    <w:rsid w:val="005D1AE9"/>
    <w:rsid w:val="005D26BA"/>
    <w:rsid w:val="005D2EBE"/>
    <w:rsid w:val="005D3762"/>
    <w:rsid w:val="005D3EF7"/>
    <w:rsid w:val="005D45C3"/>
    <w:rsid w:val="005D4898"/>
    <w:rsid w:val="005D4DD9"/>
    <w:rsid w:val="005D5000"/>
    <w:rsid w:val="005D5495"/>
    <w:rsid w:val="005D6034"/>
    <w:rsid w:val="005D6A13"/>
    <w:rsid w:val="005D74C1"/>
    <w:rsid w:val="005D7D18"/>
    <w:rsid w:val="005E05D9"/>
    <w:rsid w:val="005E05F4"/>
    <w:rsid w:val="005E078E"/>
    <w:rsid w:val="005E17DE"/>
    <w:rsid w:val="005E1B9F"/>
    <w:rsid w:val="005E1F0F"/>
    <w:rsid w:val="005E3248"/>
    <w:rsid w:val="005E35A2"/>
    <w:rsid w:val="005E35D9"/>
    <w:rsid w:val="005E3AB5"/>
    <w:rsid w:val="005E3C05"/>
    <w:rsid w:val="005E45D6"/>
    <w:rsid w:val="005E4D3A"/>
    <w:rsid w:val="005E4F36"/>
    <w:rsid w:val="005E5347"/>
    <w:rsid w:val="005E6016"/>
    <w:rsid w:val="005E6B4D"/>
    <w:rsid w:val="005E70AF"/>
    <w:rsid w:val="005E7992"/>
    <w:rsid w:val="005F002D"/>
    <w:rsid w:val="005F05F5"/>
    <w:rsid w:val="005F0756"/>
    <w:rsid w:val="005F0928"/>
    <w:rsid w:val="005F0D6D"/>
    <w:rsid w:val="005F0E60"/>
    <w:rsid w:val="005F12E3"/>
    <w:rsid w:val="005F1305"/>
    <w:rsid w:val="005F1E73"/>
    <w:rsid w:val="005F1F66"/>
    <w:rsid w:val="005F207A"/>
    <w:rsid w:val="005F2286"/>
    <w:rsid w:val="005F26BA"/>
    <w:rsid w:val="005F28A0"/>
    <w:rsid w:val="005F2DC0"/>
    <w:rsid w:val="005F2F3F"/>
    <w:rsid w:val="005F35D4"/>
    <w:rsid w:val="005F40A4"/>
    <w:rsid w:val="005F41EE"/>
    <w:rsid w:val="005F48EF"/>
    <w:rsid w:val="005F54A4"/>
    <w:rsid w:val="005F5E1F"/>
    <w:rsid w:val="005F607F"/>
    <w:rsid w:val="005F67F0"/>
    <w:rsid w:val="005F768A"/>
    <w:rsid w:val="005F768C"/>
    <w:rsid w:val="005F77CE"/>
    <w:rsid w:val="005F77DB"/>
    <w:rsid w:val="005F7EE5"/>
    <w:rsid w:val="0060099E"/>
    <w:rsid w:val="00600E18"/>
    <w:rsid w:val="00601079"/>
    <w:rsid w:val="0060120A"/>
    <w:rsid w:val="00601C56"/>
    <w:rsid w:val="00601DCC"/>
    <w:rsid w:val="00601E5B"/>
    <w:rsid w:val="00602690"/>
    <w:rsid w:val="00602A23"/>
    <w:rsid w:val="006035AD"/>
    <w:rsid w:val="006036CA"/>
    <w:rsid w:val="00604425"/>
    <w:rsid w:val="00604BEA"/>
    <w:rsid w:val="006050AE"/>
    <w:rsid w:val="006059B0"/>
    <w:rsid w:val="00605B0D"/>
    <w:rsid w:val="00606382"/>
    <w:rsid w:val="00607022"/>
    <w:rsid w:val="006108D0"/>
    <w:rsid w:val="00610F87"/>
    <w:rsid w:val="00610FA7"/>
    <w:rsid w:val="0061113D"/>
    <w:rsid w:val="00611422"/>
    <w:rsid w:val="00611FFD"/>
    <w:rsid w:val="0061223C"/>
    <w:rsid w:val="006124F6"/>
    <w:rsid w:val="006135A3"/>
    <w:rsid w:val="0061393D"/>
    <w:rsid w:val="0061411F"/>
    <w:rsid w:val="0061418B"/>
    <w:rsid w:val="00614CE3"/>
    <w:rsid w:val="0061538D"/>
    <w:rsid w:val="006163EA"/>
    <w:rsid w:val="00616DE0"/>
    <w:rsid w:val="00616FC3"/>
    <w:rsid w:val="0061794C"/>
    <w:rsid w:val="00620354"/>
    <w:rsid w:val="006204DD"/>
    <w:rsid w:val="00621065"/>
    <w:rsid w:val="006211BC"/>
    <w:rsid w:val="006213AC"/>
    <w:rsid w:val="0062163A"/>
    <w:rsid w:val="00621D1A"/>
    <w:rsid w:val="006220AB"/>
    <w:rsid w:val="00622358"/>
    <w:rsid w:val="006224D7"/>
    <w:rsid w:val="006229FE"/>
    <w:rsid w:val="00622B35"/>
    <w:rsid w:val="00623E91"/>
    <w:rsid w:val="00623ED7"/>
    <w:rsid w:val="0062432D"/>
    <w:rsid w:val="006245CA"/>
    <w:rsid w:val="00624703"/>
    <w:rsid w:val="00624794"/>
    <w:rsid w:val="00624AAC"/>
    <w:rsid w:val="00624D7C"/>
    <w:rsid w:val="00624DDE"/>
    <w:rsid w:val="006257B0"/>
    <w:rsid w:val="006264C9"/>
    <w:rsid w:val="00626E2D"/>
    <w:rsid w:val="00627507"/>
    <w:rsid w:val="00627B32"/>
    <w:rsid w:val="00627BE4"/>
    <w:rsid w:val="006303ED"/>
    <w:rsid w:val="00631397"/>
    <w:rsid w:val="006323AB"/>
    <w:rsid w:val="00632AA0"/>
    <w:rsid w:val="006339DF"/>
    <w:rsid w:val="00633E14"/>
    <w:rsid w:val="00634307"/>
    <w:rsid w:val="006350CD"/>
    <w:rsid w:val="00635316"/>
    <w:rsid w:val="006357A1"/>
    <w:rsid w:val="006358CB"/>
    <w:rsid w:val="0063605F"/>
    <w:rsid w:val="0063653A"/>
    <w:rsid w:val="00636A18"/>
    <w:rsid w:val="00637188"/>
    <w:rsid w:val="0063738A"/>
    <w:rsid w:val="00637413"/>
    <w:rsid w:val="00637BCC"/>
    <w:rsid w:val="00637E84"/>
    <w:rsid w:val="00640904"/>
    <w:rsid w:val="00640C6E"/>
    <w:rsid w:val="00640E1D"/>
    <w:rsid w:val="006410D0"/>
    <w:rsid w:val="006411C9"/>
    <w:rsid w:val="00641436"/>
    <w:rsid w:val="006416E5"/>
    <w:rsid w:val="00641931"/>
    <w:rsid w:val="006433CC"/>
    <w:rsid w:val="006435BB"/>
    <w:rsid w:val="00643C6F"/>
    <w:rsid w:val="00643E7A"/>
    <w:rsid w:val="0064433A"/>
    <w:rsid w:val="006454A9"/>
    <w:rsid w:val="006457BE"/>
    <w:rsid w:val="00645DAF"/>
    <w:rsid w:val="00646B89"/>
    <w:rsid w:val="00646CAA"/>
    <w:rsid w:val="00646F90"/>
    <w:rsid w:val="006479ED"/>
    <w:rsid w:val="00647B26"/>
    <w:rsid w:val="00650DDA"/>
    <w:rsid w:val="00650E6F"/>
    <w:rsid w:val="006513F6"/>
    <w:rsid w:val="00651430"/>
    <w:rsid w:val="00651BB4"/>
    <w:rsid w:val="00652266"/>
    <w:rsid w:val="00652999"/>
    <w:rsid w:val="006534E3"/>
    <w:rsid w:val="00653573"/>
    <w:rsid w:val="006537B7"/>
    <w:rsid w:val="00654FEC"/>
    <w:rsid w:val="006558AA"/>
    <w:rsid w:val="006562B4"/>
    <w:rsid w:val="00656550"/>
    <w:rsid w:val="00656C88"/>
    <w:rsid w:val="00656DBA"/>
    <w:rsid w:val="006609A4"/>
    <w:rsid w:val="00660D1F"/>
    <w:rsid w:val="00661755"/>
    <w:rsid w:val="0066191E"/>
    <w:rsid w:val="00661D64"/>
    <w:rsid w:val="00661E1B"/>
    <w:rsid w:val="00662590"/>
    <w:rsid w:val="00662A69"/>
    <w:rsid w:val="00662C83"/>
    <w:rsid w:val="00662EBC"/>
    <w:rsid w:val="006632D2"/>
    <w:rsid w:val="006637A0"/>
    <w:rsid w:val="00663E30"/>
    <w:rsid w:val="00664F03"/>
    <w:rsid w:val="0066531C"/>
    <w:rsid w:val="00665FAE"/>
    <w:rsid w:val="006663CE"/>
    <w:rsid w:val="006665B8"/>
    <w:rsid w:val="006678F3"/>
    <w:rsid w:val="00667CAB"/>
    <w:rsid w:val="006706D7"/>
    <w:rsid w:val="00670C87"/>
    <w:rsid w:val="00671029"/>
    <w:rsid w:val="00671124"/>
    <w:rsid w:val="00672107"/>
    <w:rsid w:val="00672DAE"/>
    <w:rsid w:val="006734A6"/>
    <w:rsid w:val="00674504"/>
    <w:rsid w:val="00674575"/>
    <w:rsid w:val="00676018"/>
    <w:rsid w:val="00676CEA"/>
    <w:rsid w:val="006772AD"/>
    <w:rsid w:val="006776A3"/>
    <w:rsid w:val="00677B98"/>
    <w:rsid w:val="00677E84"/>
    <w:rsid w:val="0068004F"/>
    <w:rsid w:val="00680164"/>
    <w:rsid w:val="00680494"/>
    <w:rsid w:val="006811E7"/>
    <w:rsid w:val="006813A9"/>
    <w:rsid w:val="0068150F"/>
    <w:rsid w:val="0068182F"/>
    <w:rsid w:val="006818C8"/>
    <w:rsid w:val="00681CF8"/>
    <w:rsid w:val="00681FC6"/>
    <w:rsid w:val="0068290B"/>
    <w:rsid w:val="00683BC8"/>
    <w:rsid w:val="00683C84"/>
    <w:rsid w:val="0068425C"/>
    <w:rsid w:val="00684D32"/>
    <w:rsid w:val="00684E05"/>
    <w:rsid w:val="00685284"/>
    <w:rsid w:val="00685379"/>
    <w:rsid w:val="00685496"/>
    <w:rsid w:val="00685793"/>
    <w:rsid w:val="00686694"/>
    <w:rsid w:val="006866E2"/>
    <w:rsid w:val="0069005A"/>
    <w:rsid w:val="00691D09"/>
    <w:rsid w:val="00691EBC"/>
    <w:rsid w:val="00692844"/>
    <w:rsid w:val="00692F03"/>
    <w:rsid w:val="00693F19"/>
    <w:rsid w:val="006950E1"/>
    <w:rsid w:val="006953B0"/>
    <w:rsid w:val="00695CFD"/>
    <w:rsid w:val="0069618A"/>
    <w:rsid w:val="006A0692"/>
    <w:rsid w:val="006A074A"/>
    <w:rsid w:val="006A0A96"/>
    <w:rsid w:val="006A2A37"/>
    <w:rsid w:val="006A344A"/>
    <w:rsid w:val="006A3980"/>
    <w:rsid w:val="006A423B"/>
    <w:rsid w:val="006A486F"/>
    <w:rsid w:val="006A4F0B"/>
    <w:rsid w:val="006A4F8B"/>
    <w:rsid w:val="006A5E97"/>
    <w:rsid w:val="006A60A6"/>
    <w:rsid w:val="006A66E9"/>
    <w:rsid w:val="006B0827"/>
    <w:rsid w:val="006B13ED"/>
    <w:rsid w:val="006B1E0F"/>
    <w:rsid w:val="006B30A5"/>
    <w:rsid w:val="006B33D8"/>
    <w:rsid w:val="006B3866"/>
    <w:rsid w:val="006B3BE0"/>
    <w:rsid w:val="006B4E45"/>
    <w:rsid w:val="006B5BF0"/>
    <w:rsid w:val="006B5F3F"/>
    <w:rsid w:val="006B66B3"/>
    <w:rsid w:val="006B6E1B"/>
    <w:rsid w:val="006B77F6"/>
    <w:rsid w:val="006C00C6"/>
    <w:rsid w:val="006C0C9B"/>
    <w:rsid w:val="006C111C"/>
    <w:rsid w:val="006C1652"/>
    <w:rsid w:val="006C17FE"/>
    <w:rsid w:val="006C1887"/>
    <w:rsid w:val="006C1D56"/>
    <w:rsid w:val="006C203C"/>
    <w:rsid w:val="006C2A48"/>
    <w:rsid w:val="006C2DEB"/>
    <w:rsid w:val="006C2E6B"/>
    <w:rsid w:val="006C31EC"/>
    <w:rsid w:val="006C3531"/>
    <w:rsid w:val="006C3E41"/>
    <w:rsid w:val="006C3E49"/>
    <w:rsid w:val="006C45EE"/>
    <w:rsid w:val="006C4C52"/>
    <w:rsid w:val="006C4EFF"/>
    <w:rsid w:val="006C4F5F"/>
    <w:rsid w:val="006C53B7"/>
    <w:rsid w:val="006C592B"/>
    <w:rsid w:val="006C5CFA"/>
    <w:rsid w:val="006C6136"/>
    <w:rsid w:val="006C626A"/>
    <w:rsid w:val="006C63F3"/>
    <w:rsid w:val="006C6BD6"/>
    <w:rsid w:val="006C6E65"/>
    <w:rsid w:val="006C70AA"/>
    <w:rsid w:val="006D0854"/>
    <w:rsid w:val="006D08B0"/>
    <w:rsid w:val="006D11C5"/>
    <w:rsid w:val="006D12E3"/>
    <w:rsid w:val="006D23F2"/>
    <w:rsid w:val="006D2CC6"/>
    <w:rsid w:val="006D33BE"/>
    <w:rsid w:val="006D3C03"/>
    <w:rsid w:val="006D4513"/>
    <w:rsid w:val="006D4A22"/>
    <w:rsid w:val="006D4EE3"/>
    <w:rsid w:val="006D4FD3"/>
    <w:rsid w:val="006D53FD"/>
    <w:rsid w:val="006D5F31"/>
    <w:rsid w:val="006D6043"/>
    <w:rsid w:val="006D6A0E"/>
    <w:rsid w:val="006D6A0F"/>
    <w:rsid w:val="006D6BA5"/>
    <w:rsid w:val="006D7430"/>
    <w:rsid w:val="006D7960"/>
    <w:rsid w:val="006E0D5A"/>
    <w:rsid w:val="006E1123"/>
    <w:rsid w:val="006E3466"/>
    <w:rsid w:val="006E4486"/>
    <w:rsid w:val="006E46C3"/>
    <w:rsid w:val="006E4904"/>
    <w:rsid w:val="006E66E5"/>
    <w:rsid w:val="006E6B03"/>
    <w:rsid w:val="006E72C8"/>
    <w:rsid w:val="006E770A"/>
    <w:rsid w:val="006F050C"/>
    <w:rsid w:val="006F0736"/>
    <w:rsid w:val="006F0D00"/>
    <w:rsid w:val="006F109C"/>
    <w:rsid w:val="006F1E82"/>
    <w:rsid w:val="006F216F"/>
    <w:rsid w:val="006F22D7"/>
    <w:rsid w:val="006F4006"/>
    <w:rsid w:val="006F4CEA"/>
    <w:rsid w:val="006F5134"/>
    <w:rsid w:val="006F55A1"/>
    <w:rsid w:val="006F569A"/>
    <w:rsid w:val="006F6830"/>
    <w:rsid w:val="006F6E93"/>
    <w:rsid w:val="006F773F"/>
    <w:rsid w:val="007002E8"/>
    <w:rsid w:val="00700381"/>
    <w:rsid w:val="0070045B"/>
    <w:rsid w:val="007006C3"/>
    <w:rsid w:val="007009B5"/>
    <w:rsid w:val="0070117B"/>
    <w:rsid w:val="007012B2"/>
    <w:rsid w:val="00702262"/>
    <w:rsid w:val="0070227C"/>
    <w:rsid w:val="0070244F"/>
    <w:rsid w:val="0070325E"/>
    <w:rsid w:val="0070499F"/>
    <w:rsid w:val="00704E03"/>
    <w:rsid w:val="00707E79"/>
    <w:rsid w:val="00710270"/>
    <w:rsid w:val="00710ADC"/>
    <w:rsid w:val="00710BEE"/>
    <w:rsid w:val="0071145F"/>
    <w:rsid w:val="00711524"/>
    <w:rsid w:val="00711BD6"/>
    <w:rsid w:val="007122F5"/>
    <w:rsid w:val="007123D6"/>
    <w:rsid w:val="00713BF4"/>
    <w:rsid w:val="00713C82"/>
    <w:rsid w:val="00714444"/>
    <w:rsid w:val="007148B0"/>
    <w:rsid w:val="00716B20"/>
    <w:rsid w:val="00717B1B"/>
    <w:rsid w:val="00717EE3"/>
    <w:rsid w:val="007218CE"/>
    <w:rsid w:val="007219DA"/>
    <w:rsid w:val="007222BA"/>
    <w:rsid w:val="00722894"/>
    <w:rsid w:val="00723003"/>
    <w:rsid w:val="007241C6"/>
    <w:rsid w:val="007250F8"/>
    <w:rsid w:val="007257DF"/>
    <w:rsid w:val="0072666E"/>
    <w:rsid w:val="00726A6A"/>
    <w:rsid w:val="00727047"/>
    <w:rsid w:val="0072751C"/>
    <w:rsid w:val="00731AF2"/>
    <w:rsid w:val="00731C3B"/>
    <w:rsid w:val="007340D3"/>
    <w:rsid w:val="007363DC"/>
    <w:rsid w:val="007369EC"/>
    <w:rsid w:val="007373E1"/>
    <w:rsid w:val="0074045E"/>
    <w:rsid w:val="007407C6"/>
    <w:rsid w:val="007408AA"/>
    <w:rsid w:val="007419F1"/>
    <w:rsid w:val="00742130"/>
    <w:rsid w:val="007425D0"/>
    <w:rsid w:val="00742DE0"/>
    <w:rsid w:val="00742E21"/>
    <w:rsid w:val="007430DE"/>
    <w:rsid w:val="007435C2"/>
    <w:rsid w:val="007442D8"/>
    <w:rsid w:val="007448B3"/>
    <w:rsid w:val="0074585F"/>
    <w:rsid w:val="00745D04"/>
    <w:rsid w:val="00747E22"/>
    <w:rsid w:val="00750972"/>
    <w:rsid w:val="00750FB6"/>
    <w:rsid w:val="007515A6"/>
    <w:rsid w:val="00751A6F"/>
    <w:rsid w:val="00751A94"/>
    <w:rsid w:val="0075272C"/>
    <w:rsid w:val="00752A23"/>
    <w:rsid w:val="00753504"/>
    <w:rsid w:val="00753C33"/>
    <w:rsid w:val="00754834"/>
    <w:rsid w:val="007548B5"/>
    <w:rsid w:val="00754E71"/>
    <w:rsid w:val="00755101"/>
    <w:rsid w:val="007551BE"/>
    <w:rsid w:val="007572FF"/>
    <w:rsid w:val="00757EB8"/>
    <w:rsid w:val="00760113"/>
    <w:rsid w:val="007611BC"/>
    <w:rsid w:val="007612C5"/>
    <w:rsid w:val="00761623"/>
    <w:rsid w:val="00761AF3"/>
    <w:rsid w:val="00761F01"/>
    <w:rsid w:val="007623CA"/>
    <w:rsid w:val="0076288E"/>
    <w:rsid w:val="00763125"/>
    <w:rsid w:val="00763D5D"/>
    <w:rsid w:val="00766239"/>
    <w:rsid w:val="00766701"/>
    <w:rsid w:val="00766999"/>
    <w:rsid w:val="00766D27"/>
    <w:rsid w:val="00766FD8"/>
    <w:rsid w:val="007672DB"/>
    <w:rsid w:val="00767D66"/>
    <w:rsid w:val="00767D95"/>
    <w:rsid w:val="00770545"/>
    <w:rsid w:val="00770BE6"/>
    <w:rsid w:val="00770D1D"/>
    <w:rsid w:val="00770D3E"/>
    <w:rsid w:val="00771937"/>
    <w:rsid w:val="00771BC6"/>
    <w:rsid w:val="00772EBA"/>
    <w:rsid w:val="00773197"/>
    <w:rsid w:val="0077484D"/>
    <w:rsid w:val="007757FF"/>
    <w:rsid w:val="00776460"/>
    <w:rsid w:val="00777E5D"/>
    <w:rsid w:val="0078037E"/>
    <w:rsid w:val="0078077F"/>
    <w:rsid w:val="00780D0F"/>
    <w:rsid w:val="00781454"/>
    <w:rsid w:val="00781F24"/>
    <w:rsid w:val="0078244A"/>
    <w:rsid w:val="00782882"/>
    <w:rsid w:val="0078366E"/>
    <w:rsid w:val="00783983"/>
    <w:rsid w:val="00784776"/>
    <w:rsid w:val="0078489E"/>
    <w:rsid w:val="00784C0B"/>
    <w:rsid w:val="00785340"/>
    <w:rsid w:val="00785480"/>
    <w:rsid w:val="00785532"/>
    <w:rsid w:val="00785922"/>
    <w:rsid w:val="0078621E"/>
    <w:rsid w:val="0079025F"/>
    <w:rsid w:val="00790CCB"/>
    <w:rsid w:val="00790FF0"/>
    <w:rsid w:val="00791187"/>
    <w:rsid w:val="00791336"/>
    <w:rsid w:val="0079167F"/>
    <w:rsid w:val="00791E5D"/>
    <w:rsid w:val="00791F33"/>
    <w:rsid w:val="0079340B"/>
    <w:rsid w:val="00794A4D"/>
    <w:rsid w:val="00794D64"/>
    <w:rsid w:val="00795698"/>
    <w:rsid w:val="00795930"/>
    <w:rsid w:val="00795E4E"/>
    <w:rsid w:val="00796745"/>
    <w:rsid w:val="00796F05"/>
    <w:rsid w:val="00797887"/>
    <w:rsid w:val="00797BF7"/>
    <w:rsid w:val="00797D00"/>
    <w:rsid w:val="007A032C"/>
    <w:rsid w:val="007A07A9"/>
    <w:rsid w:val="007A0ABC"/>
    <w:rsid w:val="007A14CC"/>
    <w:rsid w:val="007A155C"/>
    <w:rsid w:val="007A2086"/>
    <w:rsid w:val="007A2AE0"/>
    <w:rsid w:val="007A3C1A"/>
    <w:rsid w:val="007A3D63"/>
    <w:rsid w:val="007A3EA1"/>
    <w:rsid w:val="007A3F9B"/>
    <w:rsid w:val="007A571B"/>
    <w:rsid w:val="007A5E44"/>
    <w:rsid w:val="007A61A2"/>
    <w:rsid w:val="007A61F6"/>
    <w:rsid w:val="007A6367"/>
    <w:rsid w:val="007A6387"/>
    <w:rsid w:val="007A6513"/>
    <w:rsid w:val="007A6F3D"/>
    <w:rsid w:val="007A7587"/>
    <w:rsid w:val="007A77AE"/>
    <w:rsid w:val="007A785C"/>
    <w:rsid w:val="007A7E87"/>
    <w:rsid w:val="007B0947"/>
    <w:rsid w:val="007B0A68"/>
    <w:rsid w:val="007B22D4"/>
    <w:rsid w:val="007B3240"/>
    <w:rsid w:val="007B32B9"/>
    <w:rsid w:val="007B4954"/>
    <w:rsid w:val="007B5366"/>
    <w:rsid w:val="007B5D51"/>
    <w:rsid w:val="007B6259"/>
    <w:rsid w:val="007B6913"/>
    <w:rsid w:val="007B6DCC"/>
    <w:rsid w:val="007B6F3C"/>
    <w:rsid w:val="007B7966"/>
    <w:rsid w:val="007C1C6A"/>
    <w:rsid w:val="007C1D1E"/>
    <w:rsid w:val="007C1F0F"/>
    <w:rsid w:val="007C228F"/>
    <w:rsid w:val="007C2677"/>
    <w:rsid w:val="007C27BB"/>
    <w:rsid w:val="007C28C6"/>
    <w:rsid w:val="007C29A4"/>
    <w:rsid w:val="007C2A7C"/>
    <w:rsid w:val="007C2B89"/>
    <w:rsid w:val="007C2CD0"/>
    <w:rsid w:val="007C3579"/>
    <w:rsid w:val="007C3899"/>
    <w:rsid w:val="007C49D3"/>
    <w:rsid w:val="007C54C4"/>
    <w:rsid w:val="007C5605"/>
    <w:rsid w:val="007C5652"/>
    <w:rsid w:val="007C5784"/>
    <w:rsid w:val="007C58B0"/>
    <w:rsid w:val="007C59C5"/>
    <w:rsid w:val="007C5EDF"/>
    <w:rsid w:val="007C67DB"/>
    <w:rsid w:val="007C7454"/>
    <w:rsid w:val="007C775F"/>
    <w:rsid w:val="007D069F"/>
    <w:rsid w:val="007D20C3"/>
    <w:rsid w:val="007D235D"/>
    <w:rsid w:val="007D331A"/>
    <w:rsid w:val="007D395E"/>
    <w:rsid w:val="007D4A06"/>
    <w:rsid w:val="007D4A76"/>
    <w:rsid w:val="007D4BE6"/>
    <w:rsid w:val="007D5812"/>
    <w:rsid w:val="007D6296"/>
    <w:rsid w:val="007D71B9"/>
    <w:rsid w:val="007E1738"/>
    <w:rsid w:val="007E30B9"/>
    <w:rsid w:val="007E3B3E"/>
    <w:rsid w:val="007E53FE"/>
    <w:rsid w:val="007E61E3"/>
    <w:rsid w:val="007E6546"/>
    <w:rsid w:val="007E6879"/>
    <w:rsid w:val="007E7940"/>
    <w:rsid w:val="007E7BA5"/>
    <w:rsid w:val="007F0AEB"/>
    <w:rsid w:val="007F1E73"/>
    <w:rsid w:val="007F241B"/>
    <w:rsid w:val="007F3368"/>
    <w:rsid w:val="007F33BB"/>
    <w:rsid w:val="007F33EF"/>
    <w:rsid w:val="007F3DFB"/>
    <w:rsid w:val="007F40B5"/>
    <w:rsid w:val="007F4644"/>
    <w:rsid w:val="007F47B3"/>
    <w:rsid w:val="007F5DA4"/>
    <w:rsid w:val="007F5DA9"/>
    <w:rsid w:val="007F7AE6"/>
    <w:rsid w:val="007F7C78"/>
    <w:rsid w:val="007F7FC7"/>
    <w:rsid w:val="00800480"/>
    <w:rsid w:val="008007DD"/>
    <w:rsid w:val="00801D52"/>
    <w:rsid w:val="00801DDA"/>
    <w:rsid w:val="00801E39"/>
    <w:rsid w:val="00801E6F"/>
    <w:rsid w:val="00801F76"/>
    <w:rsid w:val="0080224E"/>
    <w:rsid w:val="00802698"/>
    <w:rsid w:val="00802787"/>
    <w:rsid w:val="0080291D"/>
    <w:rsid w:val="008029F8"/>
    <w:rsid w:val="008037E5"/>
    <w:rsid w:val="00803E1B"/>
    <w:rsid w:val="00803F07"/>
    <w:rsid w:val="0080440E"/>
    <w:rsid w:val="008048A4"/>
    <w:rsid w:val="008060A9"/>
    <w:rsid w:val="00806815"/>
    <w:rsid w:val="008073FA"/>
    <w:rsid w:val="00807B64"/>
    <w:rsid w:val="00807C4C"/>
    <w:rsid w:val="008105BF"/>
    <w:rsid w:val="008106D2"/>
    <w:rsid w:val="008112B3"/>
    <w:rsid w:val="00811C8F"/>
    <w:rsid w:val="008120A0"/>
    <w:rsid w:val="00812B61"/>
    <w:rsid w:val="00812E6F"/>
    <w:rsid w:val="00814B2F"/>
    <w:rsid w:val="00814BDE"/>
    <w:rsid w:val="00814D84"/>
    <w:rsid w:val="00815F59"/>
    <w:rsid w:val="008161CF"/>
    <w:rsid w:val="00817091"/>
    <w:rsid w:val="00817891"/>
    <w:rsid w:val="00817BC7"/>
    <w:rsid w:val="00820161"/>
    <w:rsid w:val="0082021B"/>
    <w:rsid w:val="00820531"/>
    <w:rsid w:val="008206C8"/>
    <w:rsid w:val="00820C89"/>
    <w:rsid w:val="00820E92"/>
    <w:rsid w:val="00821502"/>
    <w:rsid w:val="00821839"/>
    <w:rsid w:val="008230EC"/>
    <w:rsid w:val="008231D5"/>
    <w:rsid w:val="008237DA"/>
    <w:rsid w:val="008240CF"/>
    <w:rsid w:val="00824D14"/>
    <w:rsid w:val="00824D22"/>
    <w:rsid w:val="00825093"/>
    <w:rsid w:val="0082618F"/>
    <w:rsid w:val="00826DC6"/>
    <w:rsid w:val="00826E88"/>
    <w:rsid w:val="008271C8"/>
    <w:rsid w:val="00827384"/>
    <w:rsid w:val="0082795B"/>
    <w:rsid w:val="008300C0"/>
    <w:rsid w:val="00830114"/>
    <w:rsid w:val="008316A9"/>
    <w:rsid w:val="00831773"/>
    <w:rsid w:val="0083274E"/>
    <w:rsid w:val="008327A0"/>
    <w:rsid w:val="00832C5A"/>
    <w:rsid w:val="00833236"/>
    <w:rsid w:val="00835DC9"/>
    <w:rsid w:val="008361B7"/>
    <w:rsid w:val="00836745"/>
    <w:rsid w:val="00836F7B"/>
    <w:rsid w:val="00837B7E"/>
    <w:rsid w:val="00837BDB"/>
    <w:rsid w:val="008407E1"/>
    <w:rsid w:val="00840EDC"/>
    <w:rsid w:val="0084111C"/>
    <w:rsid w:val="0084197F"/>
    <w:rsid w:val="00842C4C"/>
    <w:rsid w:val="00843957"/>
    <w:rsid w:val="008448EE"/>
    <w:rsid w:val="00844DAB"/>
    <w:rsid w:val="00845458"/>
    <w:rsid w:val="008457A3"/>
    <w:rsid w:val="00845C80"/>
    <w:rsid w:val="00846078"/>
    <w:rsid w:val="008469B6"/>
    <w:rsid w:val="00847AD4"/>
    <w:rsid w:val="00847E33"/>
    <w:rsid w:val="0085074B"/>
    <w:rsid w:val="00851BFA"/>
    <w:rsid w:val="00852257"/>
    <w:rsid w:val="00854A33"/>
    <w:rsid w:val="00854CFC"/>
    <w:rsid w:val="00855E87"/>
    <w:rsid w:val="00856AB0"/>
    <w:rsid w:val="00856DC1"/>
    <w:rsid w:val="00860278"/>
    <w:rsid w:val="00860475"/>
    <w:rsid w:val="0086092B"/>
    <w:rsid w:val="00861024"/>
    <w:rsid w:val="0086213E"/>
    <w:rsid w:val="008628B4"/>
    <w:rsid w:val="00862D5D"/>
    <w:rsid w:val="008630D3"/>
    <w:rsid w:val="0086441E"/>
    <w:rsid w:val="00864470"/>
    <w:rsid w:val="008652B4"/>
    <w:rsid w:val="008656E0"/>
    <w:rsid w:val="00865C0D"/>
    <w:rsid w:val="00865D27"/>
    <w:rsid w:val="00865ECF"/>
    <w:rsid w:val="00866751"/>
    <w:rsid w:val="00866D19"/>
    <w:rsid w:val="00866E48"/>
    <w:rsid w:val="008672B3"/>
    <w:rsid w:val="00867791"/>
    <w:rsid w:val="0087145C"/>
    <w:rsid w:val="00871846"/>
    <w:rsid w:val="00872184"/>
    <w:rsid w:val="0087257E"/>
    <w:rsid w:val="00873BBE"/>
    <w:rsid w:val="00873DD6"/>
    <w:rsid w:val="00874462"/>
    <w:rsid w:val="00874483"/>
    <w:rsid w:val="00874505"/>
    <w:rsid w:val="00874A26"/>
    <w:rsid w:val="00876B1F"/>
    <w:rsid w:val="00876D3C"/>
    <w:rsid w:val="00876E15"/>
    <w:rsid w:val="00876F0D"/>
    <w:rsid w:val="008771BB"/>
    <w:rsid w:val="00877824"/>
    <w:rsid w:val="00880720"/>
    <w:rsid w:val="008825F4"/>
    <w:rsid w:val="00882657"/>
    <w:rsid w:val="00882791"/>
    <w:rsid w:val="008829A7"/>
    <w:rsid w:val="00883001"/>
    <w:rsid w:val="008836A1"/>
    <w:rsid w:val="00883728"/>
    <w:rsid w:val="00884035"/>
    <w:rsid w:val="00884038"/>
    <w:rsid w:val="0088462C"/>
    <w:rsid w:val="00884CA8"/>
    <w:rsid w:val="00885005"/>
    <w:rsid w:val="008856CF"/>
    <w:rsid w:val="008867D7"/>
    <w:rsid w:val="00886B10"/>
    <w:rsid w:val="00887056"/>
    <w:rsid w:val="0088791D"/>
    <w:rsid w:val="00887C7B"/>
    <w:rsid w:val="00890A89"/>
    <w:rsid w:val="00891B23"/>
    <w:rsid w:val="00891C5D"/>
    <w:rsid w:val="00891D21"/>
    <w:rsid w:val="00891F7E"/>
    <w:rsid w:val="00892670"/>
    <w:rsid w:val="008935B6"/>
    <w:rsid w:val="0089383C"/>
    <w:rsid w:val="008939B9"/>
    <w:rsid w:val="008944AE"/>
    <w:rsid w:val="00894747"/>
    <w:rsid w:val="00894AD6"/>
    <w:rsid w:val="00894C2A"/>
    <w:rsid w:val="00895CFC"/>
    <w:rsid w:val="00895D44"/>
    <w:rsid w:val="00895E23"/>
    <w:rsid w:val="00895EB6"/>
    <w:rsid w:val="0089612F"/>
    <w:rsid w:val="00896331"/>
    <w:rsid w:val="0089646C"/>
    <w:rsid w:val="00897219"/>
    <w:rsid w:val="008A035E"/>
    <w:rsid w:val="008A0CC2"/>
    <w:rsid w:val="008A0F7A"/>
    <w:rsid w:val="008A1385"/>
    <w:rsid w:val="008A16A8"/>
    <w:rsid w:val="008A22C3"/>
    <w:rsid w:val="008A2E2D"/>
    <w:rsid w:val="008A37F2"/>
    <w:rsid w:val="008A3D1A"/>
    <w:rsid w:val="008A42C3"/>
    <w:rsid w:val="008A5FBF"/>
    <w:rsid w:val="008A7230"/>
    <w:rsid w:val="008A7451"/>
    <w:rsid w:val="008A7798"/>
    <w:rsid w:val="008B010B"/>
    <w:rsid w:val="008B0C67"/>
    <w:rsid w:val="008B1F78"/>
    <w:rsid w:val="008B299A"/>
    <w:rsid w:val="008B4129"/>
    <w:rsid w:val="008B47AA"/>
    <w:rsid w:val="008B5014"/>
    <w:rsid w:val="008B512B"/>
    <w:rsid w:val="008B6576"/>
    <w:rsid w:val="008B6EE5"/>
    <w:rsid w:val="008B7446"/>
    <w:rsid w:val="008B7C42"/>
    <w:rsid w:val="008B7D10"/>
    <w:rsid w:val="008C017F"/>
    <w:rsid w:val="008C0375"/>
    <w:rsid w:val="008C07DA"/>
    <w:rsid w:val="008C117F"/>
    <w:rsid w:val="008C12FC"/>
    <w:rsid w:val="008C174A"/>
    <w:rsid w:val="008C188D"/>
    <w:rsid w:val="008C3F54"/>
    <w:rsid w:val="008C5BB5"/>
    <w:rsid w:val="008C6208"/>
    <w:rsid w:val="008C63D5"/>
    <w:rsid w:val="008C6BC9"/>
    <w:rsid w:val="008C76B0"/>
    <w:rsid w:val="008C7FCD"/>
    <w:rsid w:val="008D08E5"/>
    <w:rsid w:val="008D0C5A"/>
    <w:rsid w:val="008D10FB"/>
    <w:rsid w:val="008D112F"/>
    <w:rsid w:val="008D1333"/>
    <w:rsid w:val="008D185A"/>
    <w:rsid w:val="008D2FF4"/>
    <w:rsid w:val="008D4644"/>
    <w:rsid w:val="008D4C3A"/>
    <w:rsid w:val="008D4EEF"/>
    <w:rsid w:val="008D53F1"/>
    <w:rsid w:val="008D56B3"/>
    <w:rsid w:val="008D573F"/>
    <w:rsid w:val="008D5B97"/>
    <w:rsid w:val="008D5E99"/>
    <w:rsid w:val="008D61A7"/>
    <w:rsid w:val="008D63CB"/>
    <w:rsid w:val="008D7469"/>
    <w:rsid w:val="008D7521"/>
    <w:rsid w:val="008D7BAB"/>
    <w:rsid w:val="008E0DAE"/>
    <w:rsid w:val="008E1737"/>
    <w:rsid w:val="008E1CC0"/>
    <w:rsid w:val="008E1D07"/>
    <w:rsid w:val="008E1E70"/>
    <w:rsid w:val="008E31A8"/>
    <w:rsid w:val="008E3277"/>
    <w:rsid w:val="008E388E"/>
    <w:rsid w:val="008E4A68"/>
    <w:rsid w:val="008E50A1"/>
    <w:rsid w:val="008E50A7"/>
    <w:rsid w:val="008E5287"/>
    <w:rsid w:val="008E562A"/>
    <w:rsid w:val="008E57EC"/>
    <w:rsid w:val="008E586C"/>
    <w:rsid w:val="008E5BE9"/>
    <w:rsid w:val="008E5D18"/>
    <w:rsid w:val="008E5E08"/>
    <w:rsid w:val="008E6096"/>
    <w:rsid w:val="008E6659"/>
    <w:rsid w:val="008E675F"/>
    <w:rsid w:val="008E78BD"/>
    <w:rsid w:val="008E7C2F"/>
    <w:rsid w:val="008F07CC"/>
    <w:rsid w:val="008F09C7"/>
    <w:rsid w:val="008F0D3A"/>
    <w:rsid w:val="008F0D49"/>
    <w:rsid w:val="008F1309"/>
    <w:rsid w:val="008F16B9"/>
    <w:rsid w:val="008F180D"/>
    <w:rsid w:val="008F238A"/>
    <w:rsid w:val="008F29F3"/>
    <w:rsid w:val="008F3040"/>
    <w:rsid w:val="008F306D"/>
    <w:rsid w:val="008F520F"/>
    <w:rsid w:val="008F5306"/>
    <w:rsid w:val="008F5BA3"/>
    <w:rsid w:val="008F7A7E"/>
    <w:rsid w:val="009000B1"/>
    <w:rsid w:val="0090026C"/>
    <w:rsid w:val="00900361"/>
    <w:rsid w:val="009013E0"/>
    <w:rsid w:val="00903373"/>
    <w:rsid w:val="009054AA"/>
    <w:rsid w:val="00905733"/>
    <w:rsid w:val="0090627F"/>
    <w:rsid w:val="00906979"/>
    <w:rsid w:val="0090724A"/>
    <w:rsid w:val="00907EBB"/>
    <w:rsid w:val="009106D8"/>
    <w:rsid w:val="009108DB"/>
    <w:rsid w:val="00910ABE"/>
    <w:rsid w:val="00911052"/>
    <w:rsid w:val="00911131"/>
    <w:rsid w:val="00911FA9"/>
    <w:rsid w:val="009120A3"/>
    <w:rsid w:val="0091390A"/>
    <w:rsid w:val="009143C1"/>
    <w:rsid w:val="00915B1F"/>
    <w:rsid w:val="00916D91"/>
    <w:rsid w:val="00916F75"/>
    <w:rsid w:val="009170FF"/>
    <w:rsid w:val="00917326"/>
    <w:rsid w:val="00917931"/>
    <w:rsid w:val="0092065F"/>
    <w:rsid w:val="0092159E"/>
    <w:rsid w:val="0092316B"/>
    <w:rsid w:val="009235AF"/>
    <w:rsid w:val="00923863"/>
    <w:rsid w:val="00923F0E"/>
    <w:rsid w:val="009244AC"/>
    <w:rsid w:val="00924CF1"/>
    <w:rsid w:val="0092556A"/>
    <w:rsid w:val="00927A9D"/>
    <w:rsid w:val="00927ECA"/>
    <w:rsid w:val="0093079B"/>
    <w:rsid w:val="00931273"/>
    <w:rsid w:val="00931447"/>
    <w:rsid w:val="009317D9"/>
    <w:rsid w:val="00931F53"/>
    <w:rsid w:val="00932B58"/>
    <w:rsid w:val="009334B0"/>
    <w:rsid w:val="00933839"/>
    <w:rsid w:val="00933E7C"/>
    <w:rsid w:val="009349A3"/>
    <w:rsid w:val="00934D83"/>
    <w:rsid w:val="00934DF2"/>
    <w:rsid w:val="00936C48"/>
    <w:rsid w:val="00936EF6"/>
    <w:rsid w:val="00936F67"/>
    <w:rsid w:val="009375ED"/>
    <w:rsid w:val="00937888"/>
    <w:rsid w:val="00937F6A"/>
    <w:rsid w:val="00941480"/>
    <w:rsid w:val="00941E9C"/>
    <w:rsid w:val="00942032"/>
    <w:rsid w:val="009420AD"/>
    <w:rsid w:val="00942CB5"/>
    <w:rsid w:val="009441BA"/>
    <w:rsid w:val="00944454"/>
    <w:rsid w:val="00944965"/>
    <w:rsid w:val="00945B54"/>
    <w:rsid w:val="00945BF6"/>
    <w:rsid w:val="00945E50"/>
    <w:rsid w:val="0094668D"/>
    <w:rsid w:val="00947885"/>
    <w:rsid w:val="00947948"/>
    <w:rsid w:val="009479A2"/>
    <w:rsid w:val="00947E51"/>
    <w:rsid w:val="0095018F"/>
    <w:rsid w:val="00950C56"/>
    <w:rsid w:val="00950E82"/>
    <w:rsid w:val="00951436"/>
    <w:rsid w:val="00952263"/>
    <w:rsid w:val="009523D9"/>
    <w:rsid w:val="00953668"/>
    <w:rsid w:val="00954750"/>
    <w:rsid w:val="009559B5"/>
    <w:rsid w:val="00955D32"/>
    <w:rsid w:val="00955D78"/>
    <w:rsid w:val="0095642D"/>
    <w:rsid w:val="00956675"/>
    <w:rsid w:val="009568FF"/>
    <w:rsid w:val="00956931"/>
    <w:rsid w:val="00957F4F"/>
    <w:rsid w:val="00963986"/>
    <w:rsid w:val="00963BFC"/>
    <w:rsid w:val="009646AB"/>
    <w:rsid w:val="0096485A"/>
    <w:rsid w:val="00965283"/>
    <w:rsid w:val="009653FD"/>
    <w:rsid w:val="00966804"/>
    <w:rsid w:val="00966A51"/>
    <w:rsid w:val="009678F2"/>
    <w:rsid w:val="00967F9D"/>
    <w:rsid w:val="00970339"/>
    <w:rsid w:val="009706BF"/>
    <w:rsid w:val="00971AD2"/>
    <w:rsid w:val="00971AF2"/>
    <w:rsid w:val="009730A2"/>
    <w:rsid w:val="00974142"/>
    <w:rsid w:val="00975148"/>
    <w:rsid w:val="009755D6"/>
    <w:rsid w:val="00975C0F"/>
    <w:rsid w:val="009765FF"/>
    <w:rsid w:val="009767A8"/>
    <w:rsid w:val="00976A74"/>
    <w:rsid w:val="00976AF5"/>
    <w:rsid w:val="009800FF"/>
    <w:rsid w:val="009815EE"/>
    <w:rsid w:val="009822B3"/>
    <w:rsid w:val="0098234E"/>
    <w:rsid w:val="00983811"/>
    <w:rsid w:val="00983C26"/>
    <w:rsid w:val="00983FA1"/>
    <w:rsid w:val="00984224"/>
    <w:rsid w:val="00984413"/>
    <w:rsid w:val="00985B96"/>
    <w:rsid w:val="00986076"/>
    <w:rsid w:val="00986E2F"/>
    <w:rsid w:val="009873D5"/>
    <w:rsid w:val="009877CF"/>
    <w:rsid w:val="00987A0E"/>
    <w:rsid w:val="009900C5"/>
    <w:rsid w:val="00991BF6"/>
    <w:rsid w:val="00991F01"/>
    <w:rsid w:val="00992417"/>
    <w:rsid w:val="00992C5E"/>
    <w:rsid w:val="0099300A"/>
    <w:rsid w:val="00993842"/>
    <w:rsid w:val="009938CF"/>
    <w:rsid w:val="00994739"/>
    <w:rsid w:val="0099729F"/>
    <w:rsid w:val="00997F8A"/>
    <w:rsid w:val="00997F8C"/>
    <w:rsid w:val="009A105C"/>
    <w:rsid w:val="009A12B3"/>
    <w:rsid w:val="009A1883"/>
    <w:rsid w:val="009A1A8C"/>
    <w:rsid w:val="009A1D9B"/>
    <w:rsid w:val="009A2049"/>
    <w:rsid w:val="009A20E5"/>
    <w:rsid w:val="009A2531"/>
    <w:rsid w:val="009A2EE0"/>
    <w:rsid w:val="009A3A61"/>
    <w:rsid w:val="009A3C36"/>
    <w:rsid w:val="009A3F71"/>
    <w:rsid w:val="009A4036"/>
    <w:rsid w:val="009A404C"/>
    <w:rsid w:val="009A452F"/>
    <w:rsid w:val="009A46EA"/>
    <w:rsid w:val="009A4C3A"/>
    <w:rsid w:val="009A4D3D"/>
    <w:rsid w:val="009A4F60"/>
    <w:rsid w:val="009A5BCB"/>
    <w:rsid w:val="009A5E9B"/>
    <w:rsid w:val="009A6050"/>
    <w:rsid w:val="009A6567"/>
    <w:rsid w:val="009A76F7"/>
    <w:rsid w:val="009A771B"/>
    <w:rsid w:val="009A78FA"/>
    <w:rsid w:val="009B024A"/>
    <w:rsid w:val="009B0D5F"/>
    <w:rsid w:val="009B0FC9"/>
    <w:rsid w:val="009B1134"/>
    <w:rsid w:val="009B147F"/>
    <w:rsid w:val="009B17AA"/>
    <w:rsid w:val="009B1E56"/>
    <w:rsid w:val="009B2C92"/>
    <w:rsid w:val="009B2EB3"/>
    <w:rsid w:val="009B350A"/>
    <w:rsid w:val="009B3571"/>
    <w:rsid w:val="009B3709"/>
    <w:rsid w:val="009B4313"/>
    <w:rsid w:val="009B4CDB"/>
    <w:rsid w:val="009B5013"/>
    <w:rsid w:val="009B5357"/>
    <w:rsid w:val="009B5471"/>
    <w:rsid w:val="009B55A2"/>
    <w:rsid w:val="009B573D"/>
    <w:rsid w:val="009B5B52"/>
    <w:rsid w:val="009B5E1F"/>
    <w:rsid w:val="009B72B2"/>
    <w:rsid w:val="009C0415"/>
    <w:rsid w:val="009C097F"/>
    <w:rsid w:val="009C0DD3"/>
    <w:rsid w:val="009C0E75"/>
    <w:rsid w:val="009C1AC8"/>
    <w:rsid w:val="009C1E84"/>
    <w:rsid w:val="009C1EB3"/>
    <w:rsid w:val="009C2F30"/>
    <w:rsid w:val="009C3298"/>
    <w:rsid w:val="009C38D0"/>
    <w:rsid w:val="009C38DC"/>
    <w:rsid w:val="009C43AE"/>
    <w:rsid w:val="009C4852"/>
    <w:rsid w:val="009C53A7"/>
    <w:rsid w:val="009C566F"/>
    <w:rsid w:val="009C5A58"/>
    <w:rsid w:val="009C5AEE"/>
    <w:rsid w:val="009C5F71"/>
    <w:rsid w:val="009C78BB"/>
    <w:rsid w:val="009D0238"/>
    <w:rsid w:val="009D05AE"/>
    <w:rsid w:val="009D144F"/>
    <w:rsid w:val="009D1938"/>
    <w:rsid w:val="009D22B7"/>
    <w:rsid w:val="009D29CC"/>
    <w:rsid w:val="009D3174"/>
    <w:rsid w:val="009D366E"/>
    <w:rsid w:val="009D4240"/>
    <w:rsid w:val="009D4260"/>
    <w:rsid w:val="009D49E7"/>
    <w:rsid w:val="009D521C"/>
    <w:rsid w:val="009D52E4"/>
    <w:rsid w:val="009D7922"/>
    <w:rsid w:val="009D7FA7"/>
    <w:rsid w:val="009E001B"/>
    <w:rsid w:val="009E1E0F"/>
    <w:rsid w:val="009E1E36"/>
    <w:rsid w:val="009E219A"/>
    <w:rsid w:val="009E3204"/>
    <w:rsid w:val="009E3A46"/>
    <w:rsid w:val="009E3C09"/>
    <w:rsid w:val="009E3C7F"/>
    <w:rsid w:val="009E40B2"/>
    <w:rsid w:val="009E4E05"/>
    <w:rsid w:val="009E7711"/>
    <w:rsid w:val="009F0C3E"/>
    <w:rsid w:val="009F11CF"/>
    <w:rsid w:val="009F1C8B"/>
    <w:rsid w:val="009F25C4"/>
    <w:rsid w:val="009F36B4"/>
    <w:rsid w:val="009F3B8E"/>
    <w:rsid w:val="009F402A"/>
    <w:rsid w:val="009F41B7"/>
    <w:rsid w:val="009F429F"/>
    <w:rsid w:val="009F493E"/>
    <w:rsid w:val="009F4E52"/>
    <w:rsid w:val="009F55CA"/>
    <w:rsid w:val="009F6082"/>
    <w:rsid w:val="00A0016E"/>
    <w:rsid w:val="00A004B3"/>
    <w:rsid w:val="00A00896"/>
    <w:rsid w:val="00A00B39"/>
    <w:rsid w:val="00A01981"/>
    <w:rsid w:val="00A019D0"/>
    <w:rsid w:val="00A01BEF"/>
    <w:rsid w:val="00A01BFB"/>
    <w:rsid w:val="00A01E5D"/>
    <w:rsid w:val="00A0215A"/>
    <w:rsid w:val="00A04040"/>
    <w:rsid w:val="00A05B53"/>
    <w:rsid w:val="00A06162"/>
    <w:rsid w:val="00A06551"/>
    <w:rsid w:val="00A0678E"/>
    <w:rsid w:val="00A06DDF"/>
    <w:rsid w:val="00A07CE4"/>
    <w:rsid w:val="00A07F0E"/>
    <w:rsid w:val="00A07F60"/>
    <w:rsid w:val="00A1036D"/>
    <w:rsid w:val="00A13194"/>
    <w:rsid w:val="00A1319C"/>
    <w:rsid w:val="00A13351"/>
    <w:rsid w:val="00A13420"/>
    <w:rsid w:val="00A1375F"/>
    <w:rsid w:val="00A13D6C"/>
    <w:rsid w:val="00A142C5"/>
    <w:rsid w:val="00A144F2"/>
    <w:rsid w:val="00A1476A"/>
    <w:rsid w:val="00A14841"/>
    <w:rsid w:val="00A14B40"/>
    <w:rsid w:val="00A156E9"/>
    <w:rsid w:val="00A15A2D"/>
    <w:rsid w:val="00A15DDB"/>
    <w:rsid w:val="00A16392"/>
    <w:rsid w:val="00A16D91"/>
    <w:rsid w:val="00A16EE6"/>
    <w:rsid w:val="00A17DD6"/>
    <w:rsid w:val="00A17ECF"/>
    <w:rsid w:val="00A20777"/>
    <w:rsid w:val="00A2109C"/>
    <w:rsid w:val="00A2168B"/>
    <w:rsid w:val="00A22D89"/>
    <w:rsid w:val="00A22EDA"/>
    <w:rsid w:val="00A22F83"/>
    <w:rsid w:val="00A2328C"/>
    <w:rsid w:val="00A23A84"/>
    <w:rsid w:val="00A23C1D"/>
    <w:rsid w:val="00A23D96"/>
    <w:rsid w:val="00A24232"/>
    <w:rsid w:val="00A248BD"/>
    <w:rsid w:val="00A24C42"/>
    <w:rsid w:val="00A24CC3"/>
    <w:rsid w:val="00A24FA9"/>
    <w:rsid w:val="00A25894"/>
    <w:rsid w:val="00A25BF8"/>
    <w:rsid w:val="00A30D9D"/>
    <w:rsid w:val="00A31024"/>
    <w:rsid w:val="00A3149D"/>
    <w:rsid w:val="00A31A57"/>
    <w:rsid w:val="00A32534"/>
    <w:rsid w:val="00A32F32"/>
    <w:rsid w:val="00A338D0"/>
    <w:rsid w:val="00A36455"/>
    <w:rsid w:val="00A366B6"/>
    <w:rsid w:val="00A36D87"/>
    <w:rsid w:val="00A36D8B"/>
    <w:rsid w:val="00A36E48"/>
    <w:rsid w:val="00A3762B"/>
    <w:rsid w:val="00A37751"/>
    <w:rsid w:val="00A37F2C"/>
    <w:rsid w:val="00A40195"/>
    <w:rsid w:val="00A4040B"/>
    <w:rsid w:val="00A4076F"/>
    <w:rsid w:val="00A4128B"/>
    <w:rsid w:val="00A414C1"/>
    <w:rsid w:val="00A415C8"/>
    <w:rsid w:val="00A4245E"/>
    <w:rsid w:val="00A45931"/>
    <w:rsid w:val="00A459C6"/>
    <w:rsid w:val="00A460DE"/>
    <w:rsid w:val="00A460FB"/>
    <w:rsid w:val="00A474B4"/>
    <w:rsid w:val="00A47DD8"/>
    <w:rsid w:val="00A50B54"/>
    <w:rsid w:val="00A513DF"/>
    <w:rsid w:val="00A51616"/>
    <w:rsid w:val="00A51ADF"/>
    <w:rsid w:val="00A5216C"/>
    <w:rsid w:val="00A523A3"/>
    <w:rsid w:val="00A52F14"/>
    <w:rsid w:val="00A5452D"/>
    <w:rsid w:val="00A554D7"/>
    <w:rsid w:val="00A56AA9"/>
    <w:rsid w:val="00A56E30"/>
    <w:rsid w:val="00A56EC4"/>
    <w:rsid w:val="00A56ECE"/>
    <w:rsid w:val="00A57CF9"/>
    <w:rsid w:val="00A60600"/>
    <w:rsid w:val="00A608D6"/>
    <w:rsid w:val="00A60D7D"/>
    <w:rsid w:val="00A61777"/>
    <w:rsid w:val="00A61C60"/>
    <w:rsid w:val="00A61EAD"/>
    <w:rsid w:val="00A61F6E"/>
    <w:rsid w:val="00A61FA9"/>
    <w:rsid w:val="00A62649"/>
    <w:rsid w:val="00A626D0"/>
    <w:rsid w:val="00A63500"/>
    <w:rsid w:val="00A63A7A"/>
    <w:rsid w:val="00A63FC6"/>
    <w:rsid w:val="00A644F1"/>
    <w:rsid w:val="00A6481E"/>
    <w:rsid w:val="00A649A8"/>
    <w:rsid w:val="00A64D10"/>
    <w:rsid w:val="00A666A3"/>
    <w:rsid w:val="00A66A09"/>
    <w:rsid w:val="00A67DEF"/>
    <w:rsid w:val="00A7096F"/>
    <w:rsid w:val="00A7225A"/>
    <w:rsid w:val="00A72619"/>
    <w:rsid w:val="00A72694"/>
    <w:rsid w:val="00A74086"/>
    <w:rsid w:val="00A74176"/>
    <w:rsid w:val="00A74A0A"/>
    <w:rsid w:val="00A758E3"/>
    <w:rsid w:val="00A76034"/>
    <w:rsid w:val="00A76036"/>
    <w:rsid w:val="00A7666C"/>
    <w:rsid w:val="00A7687B"/>
    <w:rsid w:val="00A76C4E"/>
    <w:rsid w:val="00A76C79"/>
    <w:rsid w:val="00A770B7"/>
    <w:rsid w:val="00A7743F"/>
    <w:rsid w:val="00A7772A"/>
    <w:rsid w:val="00A77BB8"/>
    <w:rsid w:val="00A77C4A"/>
    <w:rsid w:val="00A81569"/>
    <w:rsid w:val="00A81BCA"/>
    <w:rsid w:val="00A83BEC"/>
    <w:rsid w:val="00A847A1"/>
    <w:rsid w:val="00A84973"/>
    <w:rsid w:val="00A85B4E"/>
    <w:rsid w:val="00A86440"/>
    <w:rsid w:val="00A870B3"/>
    <w:rsid w:val="00A871C5"/>
    <w:rsid w:val="00A8743C"/>
    <w:rsid w:val="00A87515"/>
    <w:rsid w:val="00A90480"/>
    <w:rsid w:val="00A91BA4"/>
    <w:rsid w:val="00A92AF0"/>
    <w:rsid w:val="00A9327B"/>
    <w:rsid w:val="00A932CF"/>
    <w:rsid w:val="00A933AE"/>
    <w:rsid w:val="00A9385F"/>
    <w:rsid w:val="00A93C77"/>
    <w:rsid w:val="00A94302"/>
    <w:rsid w:val="00A94906"/>
    <w:rsid w:val="00A94987"/>
    <w:rsid w:val="00A94D2B"/>
    <w:rsid w:val="00A94EA0"/>
    <w:rsid w:val="00A954DC"/>
    <w:rsid w:val="00A95995"/>
    <w:rsid w:val="00A96234"/>
    <w:rsid w:val="00A9686D"/>
    <w:rsid w:val="00A97E8F"/>
    <w:rsid w:val="00AA0A1C"/>
    <w:rsid w:val="00AA1816"/>
    <w:rsid w:val="00AA1841"/>
    <w:rsid w:val="00AA1CA5"/>
    <w:rsid w:val="00AA224D"/>
    <w:rsid w:val="00AA259D"/>
    <w:rsid w:val="00AA2C00"/>
    <w:rsid w:val="00AA34C5"/>
    <w:rsid w:val="00AA36EB"/>
    <w:rsid w:val="00AA428E"/>
    <w:rsid w:val="00AA547F"/>
    <w:rsid w:val="00AA5BE5"/>
    <w:rsid w:val="00AA5CC5"/>
    <w:rsid w:val="00AA67EB"/>
    <w:rsid w:val="00AA6B3F"/>
    <w:rsid w:val="00AA700E"/>
    <w:rsid w:val="00AA75B3"/>
    <w:rsid w:val="00AA7B10"/>
    <w:rsid w:val="00AB005A"/>
    <w:rsid w:val="00AB0B47"/>
    <w:rsid w:val="00AB0E33"/>
    <w:rsid w:val="00AB1386"/>
    <w:rsid w:val="00AB1ED8"/>
    <w:rsid w:val="00AB2282"/>
    <w:rsid w:val="00AB2FA9"/>
    <w:rsid w:val="00AB396F"/>
    <w:rsid w:val="00AB3B4A"/>
    <w:rsid w:val="00AB5546"/>
    <w:rsid w:val="00AB620B"/>
    <w:rsid w:val="00AB63DF"/>
    <w:rsid w:val="00AB66BB"/>
    <w:rsid w:val="00AB7116"/>
    <w:rsid w:val="00AC0422"/>
    <w:rsid w:val="00AC0AB4"/>
    <w:rsid w:val="00AC0CBD"/>
    <w:rsid w:val="00AC261F"/>
    <w:rsid w:val="00AC486E"/>
    <w:rsid w:val="00AC5407"/>
    <w:rsid w:val="00AC56C4"/>
    <w:rsid w:val="00AC61DA"/>
    <w:rsid w:val="00AC63DE"/>
    <w:rsid w:val="00AC6616"/>
    <w:rsid w:val="00AC6FEB"/>
    <w:rsid w:val="00AC70E8"/>
    <w:rsid w:val="00AC7175"/>
    <w:rsid w:val="00AC7B98"/>
    <w:rsid w:val="00AC7C25"/>
    <w:rsid w:val="00AD01D3"/>
    <w:rsid w:val="00AD0C52"/>
    <w:rsid w:val="00AD0CEA"/>
    <w:rsid w:val="00AD0D1C"/>
    <w:rsid w:val="00AD11DB"/>
    <w:rsid w:val="00AD2E40"/>
    <w:rsid w:val="00AD3360"/>
    <w:rsid w:val="00AD5290"/>
    <w:rsid w:val="00AD6174"/>
    <w:rsid w:val="00AD7ABE"/>
    <w:rsid w:val="00AE04CB"/>
    <w:rsid w:val="00AE04D1"/>
    <w:rsid w:val="00AE0CAC"/>
    <w:rsid w:val="00AE25B4"/>
    <w:rsid w:val="00AE35F9"/>
    <w:rsid w:val="00AE3B64"/>
    <w:rsid w:val="00AE3D61"/>
    <w:rsid w:val="00AE3DFF"/>
    <w:rsid w:val="00AE3E68"/>
    <w:rsid w:val="00AE460F"/>
    <w:rsid w:val="00AE4A91"/>
    <w:rsid w:val="00AE4FCA"/>
    <w:rsid w:val="00AE50E4"/>
    <w:rsid w:val="00AE51A6"/>
    <w:rsid w:val="00AE51FC"/>
    <w:rsid w:val="00AE59E0"/>
    <w:rsid w:val="00AF0516"/>
    <w:rsid w:val="00AF0C78"/>
    <w:rsid w:val="00AF14EE"/>
    <w:rsid w:val="00AF1F38"/>
    <w:rsid w:val="00AF2009"/>
    <w:rsid w:val="00AF2757"/>
    <w:rsid w:val="00AF28C5"/>
    <w:rsid w:val="00AF2DFA"/>
    <w:rsid w:val="00AF38C5"/>
    <w:rsid w:val="00AF3B9A"/>
    <w:rsid w:val="00AF3BA5"/>
    <w:rsid w:val="00AF4D05"/>
    <w:rsid w:val="00AF5FD5"/>
    <w:rsid w:val="00AF62D4"/>
    <w:rsid w:val="00AF687E"/>
    <w:rsid w:val="00AF69CE"/>
    <w:rsid w:val="00AF6A3A"/>
    <w:rsid w:val="00AF6F1E"/>
    <w:rsid w:val="00AF702E"/>
    <w:rsid w:val="00AF71B5"/>
    <w:rsid w:val="00AF721A"/>
    <w:rsid w:val="00AF76B0"/>
    <w:rsid w:val="00B00CC1"/>
    <w:rsid w:val="00B01342"/>
    <w:rsid w:val="00B02512"/>
    <w:rsid w:val="00B02DDF"/>
    <w:rsid w:val="00B0388C"/>
    <w:rsid w:val="00B04225"/>
    <w:rsid w:val="00B0479B"/>
    <w:rsid w:val="00B04A53"/>
    <w:rsid w:val="00B04C32"/>
    <w:rsid w:val="00B04C45"/>
    <w:rsid w:val="00B06475"/>
    <w:rsid w:val="00B06A27"/>
    <w:rsid w:val="00B077D1"/>
    <w:rsid w:val="00B07D0C"/>
    <w:rsid w:val="00B07D70"/>
    <w:rsid w:val="00B07E7A"/>
    <w:rsid w:val="00B10413"/>
    <w:rsid w:val="00B1054C"/>
    <w:rsid w:val="00B1195B"/>
    <w:rsid w:val="00B12727"/>
    <w:rsid w:val="00B12C6E"/>
    <w:rsid w:val="00B132B0"/>
    <w:rsid w:val="00B13A95"/>
    <w:rsid w:val="00B1589F"/>
    <w:rsid w:val="00B15F84"/>
    <w:rsid w:val="00B16656"/>
    <w:rsid w:val="00B166E6"/>
    <w:rsid w:val="00B169FF"/>
    <w:rsid w:val="00B1712A"/>
    <w:rsid w:val="00B1719B"/>
    <w:rsid w:val="00B17A17"/>
    <w:rsid w:val="00B20333"/>
    <w:rsid w:val="00B20941"/>
    <w:rsid w:val="00B21A51"/>
    <w:rsid w:val="00B2234F"/>
    <w:rsid w:val="00B232A2"/>
    <w:rsid w:val="00B2373D"/>
    <w:rsid w:val="00B244C7"/>
    <w:rsid w:val="00B25036"/>
    <w:rsid w:val="00B2669D"/>
    <w:rsid w:val="00B2771D"/>
    <w:rsid w:val="00B278E5"/>
    <w:rsid w:val="00B30AB5"/>
    <w:rsid w:val="00B31BED"/>
    <w:rsid w:val="00B32421"/>
    <w:rsid w:val="00B32568"/>
    <w:rsid w:val="00B32585"/>
    <w:rsid w:val="00B32626"/>
    <w:rsid w:val="00B32A8D"/>
    <w:rsid w:val="00B3303A"/>
    <w:rsid w:val="00B3337C"/>
    <w:rsid w:val="00B33561"/>
    <w:rsid w:val="00B33952"/>
    <w:rsid w:val="00B351E8"/>
    <w:rsid w:val="00B3668C"/>
    <w:rsid w:val="00B37CC2"/>
    <w:rsid w:val="00B40614"/>
    <w:rsid w:val="00B41188"/>
    <w:rsid w:val="00B4118F"/>
    <w:rsid w:val="00B4161B"/>
    <w:rsid w:val="00B42011"/>
    <w:rsid w:val="00B422F8"/>
    <w:rsid w:val="00B4326A"/>
    <w:rsid w:val="00B43594"/>
    <w:rsid w:val="00B43C0F"/>
    <w:rsid w:val="00B43FD9"/>
    <w:rsid w:val="00B45388"/>
    <w:rsid w:val="00B45B34"/>
    <w:rsid w:val="00B45E56"/>
    <w:rsid w:val="00B504E6"/>
    <w:rsid w:val="00B506C5"/>
    <w:rsid w:val="00B51590"/>
    <w:rsid w:val="00B51A29"/>
    <w:rsid w:val="00B51C4E"/>
    <w:rsid w:val="00B52317"/>
    <w:rsid w:val="00B52A17"/>
    <w:rsid w:val="00B52A56"/>
    <w:rsid w:val="00B52CEF"/>
    <w:rsid w:val="00B53A07"/>
    <w:rsid w:val="00B5444B"/>
    <w:rsid w:val="00B54D40"/>
    <w:rsid w:val="00B54F09"/>
    <w:rsid w:val="00B5511E"/>
    <w:rsid w:val="00B5533C"/>
    <w:rsid w:val="00B55D76"/>
    <w:rsid w:val="00B55E15"/>
    <w:rsid w:val="00B55F0E"/>
    <w:rsid w:val="00B562D7"/>
    <w:rsid w:val="00B56802"/>
    <w:rsid w:val="00B5729D"/>
    <w:rsid w:val="00B57759"/>
    <w:rsid w:val="00B602B5"/>
    <w:rsid w:val="00B60FB0"/>
    <w:rsid w:val="00B6104F"/>
    <w:rsid w:val="00B6209A"/>
    <w:rsid w:val="00B62B48"/>
    <w:rsid w:val="00B62FBB"/>
    <w:rsid w:val="00B64256"/>
    <w:rsid w:val="00B64C74"/>
    <w:rsid w:val="00B6581A"/>
    <w:rsid w:val="00B65AC0"/>
    <w:rsid w:val="00B66484"/>
    <w:rsid w:val="00B67566"/>
    <w:rsid w:val="00B70B54"/>
    <w:rsid w:val="00B7229C"/>
    <w:rsid w:val="00B722F7"/>
    <w:rsid w:val="00B72D1E"/>
    <w:rsid w:val="00B732FB"/>
    <w:rsid w:val="00B7358C"/>
    <w:rsid w:val="00B73595"/>
    <w:rsid w:val="00B73828"/>
    <w:rsid w:val="00B73F82"/>
    <w:rsid w:val="00B742FF"/>
    <w:rsid w:val="00B756CD"/>
    <w:rsid w:val="00B77CD9"/>
    <w:rsid w:val="00B77DD6"/>
    <w:rsid w:val="00B807AE"/>
    <w:rsid w:val="00B80EA8"/>
    <w:rsid w:val="00B8148D"/>
    <w:rsid w:val="00B81F09"/>
    <w:rsid w:val="00B81FAB"/>
    <w:rsid w:val="00B82F68"/>
    <w:rsid w:val="00B833FF"/>
    <w:rsid w:val="00B83470"/>
    <w:rsid w:val="00B839F6"/>
    <w:rsid w:val="00B83C2C"/>
    <w:rsid w:val="00B84518"/>
    <w:rsid w:val="00B84B67"/>
    <w:rsid w:val="00B86142"/>
    <w:rsid w:val="00B86353"/>
    <w:rsid w:val="00B8663B"/>
    <w:rsid w:val="00B878B9"/>
    <w:rsid w:val="00B87AA6"/>
    <w:rsid w:val="00B87C3F"/>
    <w:rsid w:val="00B91681"/>
    <w:rsid w:val="00B91E34"/>
    <w:rsid w:val="00B91F8D"/>
    <w:rsid w:val="00B9227C"/>
    <w:rsid w:val="00B92504"/>
    <w:rsid w:val="00B9375E"/>
    <w:rsid w:val="00B9418E"/>
    <w:rsid w:val="00B943FD"/>
    <w:rsid w:val="00B94BAE"/>
    <w:rsid w:val="00B951A7"/>
    <w:rsid w:val="00B96A04"/>
    <w:rsid w:val="00B96BD9"/>
    <w:rsid w:val="00B9723E"/>
    <w:rsid w:val="00B978E9"/>
    <w:rsid w:val="00BA0201"/>
    <w:rsid w:val="00BA0682"/>
    <w:rsid w:val="00BA07BC"/>
    <w:rsid w:val="00BA2A04"/>
    <w:rsid w:val="00BA35B2"/>
    <w:rsid w:val="00BA48FD"/>
    <w:rsid w:val="00BA4CC9"/>
    <w:rsid w:val="00BA4D18"/>
    <w:rsid w:val="00BA4DE5"/>
    <w:rsid w:val="00BA5366"/>
    <w:rsid w:val="00BA53A6"/>
    <w:rsid w:val="00BA5A93"/>
    <w:rsid w:val="00BA6299"/>
    <w:rsid w:val="00BA631F"/>
    <w:rsid w:val="00BB02C1"/>
    <w:rsid w:val="00BB0C01"/>
    <w:rsid w:val="00BB0E67"/>
    <w:rsid w:val="00BB14F8"/>
    <w:rsid w:val="00BB16F7"/>
    <w:rsid w:val="00BB1D87"/>
    <w:rsid w:val="00BB1E61"/>
    <w:rsid w:val="00BB26E3"/>
    <w:rsid w:val="00BB2F89"/>
    <w:rsid w:val="00BB4510"/>
    <w:rsid w:val="00BB4823"/>
    <w:rsid w:val="00BB493C"/>
    <w:rsid w:val="00BB49E7"/>
    <w:rsid w:val="00BB5096"/>
    <w:rsid w:val="00BB51B1"/>
    <w:rsid w:val="00BB524D"/>
    <w:rsid w:val="00BB71A5"/>
    <w:rsid w:val="00BB77CC"/>
    <w:rsid w:val="00BC00A7"/>
    <w:rsid w:val="00BC0119"/>
    <w:rsid w:val="00BC02FC"/>
    <w:rsid w:val="00BC07CC"/>
    <w:rsid w:val="00BC2745"/>
    <w:rsid w:val="00BC27AB"/>
    <w:rsid w:val="00BC3000"/>
    <w:rsid w:val="00BC3918"/>
    <w:rsid w:val="00BC3A36"/>
    <w:rsid w:val="00BC3A9F"/>
    <w:rsid w:val="00BC4120"/>
    <w:rsid w:val="00BC4549"/>
    <w:rsid w:val="00BC47DB"/>
    <w:rsid w:val="00BC4F34"/>
    <w:rsid w:val="00BC501E"/>
    <w:rsid w:val="00BC5036"/>
    <w:rsid w:val="00BC542E"/>
    <w:rsid w:val="00BC61C3"/>
    <w:rsid w:val="00BC6237"/>
    <w:rsid w:val="00BC6CC6"/>
    <w:rsid w:val="00BD039E"/>
    <w:rsid w:val="00BD16C0"/>
    <w:rsid w:val="00BD2356"/>
    <w:rsid w:val="00BD2756"/>
    <w:rsid w:val="00BD4D53"/>
    <w:rsid w:val="00BD4DD3"/>
    <w:rsid w:val="00BD6A3A"/>
    <w:rsid w:val="00BD78C5"/>
    <w:rsid w:val="00BE006D"/>
    <w:rsid w:val="00BE0904"/>
    <w:rsid w:val="00BE0E54"/>
    <w:rsid w:val="00BE103F"/>
    <w:rsid w:val="00BE1570"/>
    <w:rsid w:val="00BE166F"/>
    <w:rsid w:val="00BE1E65"/>
    <w:rsid w:val="00BE21DB"/>
    <w:rsid w:val="00BE2C4B"/>
    <w:rsid w:val="00BE3207"/>
    <w:rsid w:val="00BE3DDD"/>
    <w:rsid w:val="00BE3E96"/>
    <w:rsid w:val="00BE586A"/>
    <w:rsid w:val="00BE5BB7"/>
    <w:rsid w:val="00BE5E0D"/>
    <w:rsid w:val="00BE5F56"/>
    <w:rsid w:val="00BE63B8"/>
    <w:rsid w:val="00BE68BE"/>
    <w:rsid w:val="00BE6942"/>
    <w:rsid w:val="00BE735F"/>
    <w:rsid w:val="00BE77CD"/>
    <w:rsid w:val="00BE79FA"/>
    <w:rsid w:val="00BE7E44"/>
    <w:rsid w:val="00BE7F41"/>
    <w:rsid w:val="00BF017D"/>
    <w:rsid w:val="00BF1026"/>
    <w:rsid w:val="00BF1A56"/>
    <w:rsid w:val="00BF1B8B"/>
    <w:rsid w:val="00BF21EC"/>
    <w:rsid w:val="00BF3163"/>
    <w:rsid w:val="00BF3F69"/>
    <w:rsid w:val="00BF47AF"/>
    <w:rsid w:val="00BF4D19"/>
    <w:rsid w:val="00BF5B4B"/>
    <w:rsid w:val="00BF5D94"/>
    <w:rsid w:val="00BF607C"/>
    <w:rsid w:val="00BF6235"/>
    <w:rsid w:val="00BF68E5"/>
    <w:rsid w:val="00BF6D95"/>
    <w:rsid w:val="00BF774C"/>
    <w:rsid w:val="00BF7EB0"/>
    <w:rsid w:val="00C002BF"/>
    <w:rsid w:val="00C002D9"/>
    <w:rsid w:val="00C00CF4"/>
    <w:rsid w:val="00C0382D"/>
    <w:rsid w:val="00C03C9B"/>
    <w:rsid w:val="00C03DC6"/>
    <w:rsid w:val="00C040A3"/>
    <w:rsid w:val="00C0471D"/>
    <w:rsid w:val="00C0492F"/>
    <w:rsid w:val="00C04B9C"/>
    <w:rsid w:val="00C04BC3"/>
    <w:rsid w:val="00C050D2"/>
    <w:rsid w:val="00C053EC"/>
    <w:rsid w:val="00C05B85"/>
    <w:rsid w:val="00C05DA5"/>
    <w:rsid w:val="00C05EE2"/>
    <w:rsid w:val="00C076D2"/>
    <w:rsid w:val="00C07CB7"/>
    <w:rsid w:val="00C105EE"/>
    <w:rsid w:val="00C120AC"/>
    <w:rsid w:val="00C120BE"/>
    <w:rsid w:val="00C129B3"/>
    <w:rsid w:val="00C12F17"/>
    <w:rsid w:val="00C13260"/>
    <w:rsid w:val="00C144DE"/>
    <w:rsid w:val="00C146DB"/>
    <w:rsid w:val="00C15A2C"/>
    <w:rsid w:val="00C15F35"/>
    <w:rsid w:val="00C15F3A"/>
    <w:rsid w:val="00C16277"/>
    <w:rsid w:val="00C1640D"/>
    <w:rsid w:val="00C1778C"/>
    <w:rsid w:val="00C17E72"/>
    <w:rsid w:val="00C20283"/>
    <w:rsid w:val="00C215A1"/>
    <w:rsid w:val="00C21986"/>
    <w:rsid w:val="00C21ACF"/>
    <w:rsid w:val="00C21DBA"/>
    <w:rsid w:val="00C22841"/>
    <w:rsid w:val="00C229E4"/>
    <w:rsid w:val="00C235EF"/>
    <w:rsid w:val="00C24B2B"/>
    <w:rsid w:val="00C24D88"/>
    <w:rsid w:val="00C251CD"/>
    <w:rsid w:val="00C25F11"/>
    <w:rsid w:val="00C2626E"/>
    <w:rsid w:val="00C26BBB"/>
    <w:rsid w:val="00C27198"/>
    <w:rsid w:val="00C2726A"/>
    <w:rsid w:val="00C27456"/>
    <w:rsid w:val="00C305FA"/>
    <w:rsid w:val="00C30B2F"/>
    <w:rsid w:val="00C3120A"/>
    <w:rsid w:val="00C31255"/>
    <w:rsid w:val="00C3130C"/>
    <w:rsid w:val="00C316F9"/>
    <w:rsid w:val="00C32A93"/>
    <w:rsid w:val="00C33664"/>
    <w:rsid w:val="00C34030"/>
    <w:rsid w:val="00C34387"/>
    <w:rsid w:val="00C348BB"/>
    <w:rsid w:val="00C362B7"/>
    <w:rsid w:val="00C369CC"/>
    <w:rsid w:val="00C409EF"/>
    <w:rsid w:val="00C40AE1"/>
    <w:rsid w:val="00C40BB1"/>
    <w:rsid w:val="00C40CD1"/>
    <w:rsid w:val="00C40FAA"/>
    <w:rsid w:val="00C421D3"/>
    <w:rsid w:val="00C421EE"/>
    <w:rsid w:val="00C426B8"/>
    <w:rsid w:val="00C428C8"/>
    <w:rsid w:val="00C42A40"/>
    <w:rsid w:val="00C43469"/>
    <w:rsid w:val="00C4375C"/>
    <w:rsid w:val="00C438E7"/>
    <w:rsid w:val="00C448AF"/>
    <w:rsid w:val="00C44C83"/>
    <w:rsid w:val="00C450A3"/>
    <w:rsid w:val="00C4691B"/>
    <w:rsid w:val="00C47494"/>
    <w:rsid w:val="00C50398"/>
    <w:rsid w:val="00C51053"/>
    <w:rsid w:val="00C5156C"/>
    <w:rsid w:val="00C51609"/>
    <w:rsid w:val="00C5240F"/>
    <w:rsid w:val="00C52561"/>
    <w:rsid w:val="00C5261C"/>
    <w:rsid w:val="00C534C2"/>
    <w:rsid w:val="00C5382C"/>
    <w:rsid w:val="00C53AB0"/>
    <w:rsid w:val="00C53C22"/>
    <w:rsid w:val="00C54ACA"/>
    <w:rsid w:val="00C5655B"/>
    <w:rsid w:val="00C5669C"/>
    <w:rsid w:val="00C57C19"/>
    <w:rsid w:val="00C61048"/>
    <w:rsid w:val="00C62972"/>
    <w:rsid w:val="00C63659"/>
    <w:rsid w:val="00C63BDF"/>
    <w:rsid w:val="00C64132"/>
    <w:rsid w:val="00C64D1F"/>
    <w:rsid w:val="00C64DBD"/>
    <w:rsid w:val="00C651F6"/>
    <w:rsid w:val="00C6532B"/>
    <w:rsid w:val="00C657F2"/>
    <w:rsid w:val="00C65DE3"/>
    <w:rsid w:val="00C66604"/>
    <w:rsid w:val="00C670C5"/>
    <w:rsid w:val="00C6766C"/>
    <w:rsid w:val="00C67DC3"/>
    <w:rsid w:val="00C71AD2"/>
    <w:rsid w:val="00C71FE9"/>
    <w:rsid w:val="00C72223"/>
    <w:rsid w:val="00C729FE"/>
    <w:rsid w:val="00C72CC0"/>
    <w:rsid w:val="00C73203"/>
    <w:rsid w:val="00C74029"/>
    <w:rsid w:val="00C751F6"/>
    <w:rsid w:val="00C7556D"/>
    <w:rsid w:val="00C75AE5"/>
    <w:rsid w:val="00C7629D"/>
    <w:rsid w:val="00C768B6"/>
    <w:rsid w:val="00C773D0"/>
    <w:rsid w:val="00C77F33"/>
    <w:rsid w:val="00C81015"/>
    <w:rsid w:val="00C826A9"/>
    <w:rsid w:val="00C82D1D"/>
    <w:rsid w:val="00C82E27"/>
    <w:rsid w:val="00C8325C"/>
    <w:rsid w:val="00C83596"/>
    <w:rsid w:val="00C837F8"/>
    <w:rsid w:val="00C838FA"/>
    <w:rsid w:val="00C83B4A"/>
    <w:rsid w:val="00C83D2B"/>
    <w:rsid w:val="00C843A3"/>
    <w:rsid w:val="00C84824"/>
    <w:rsid w:val="00C84A9F"/>
    <w:rsid w:val="00C855C5"/>
    <w:rsid w:val="00C85A4E"/>
    <w:rsid w:val="00C86927"/>
    <w:rsid w:val="00C86B8C"/>
    <w:rsid w:val="00C91003"/>
    <w:rsid w:val="00C91303"/>
    <w:rsid w:val="00C92FAF"/>
    <w:rsid w:val="00C93B6D"/>
    <w:rsid w:val="00C94A0B"/>
    <w:rsid w:val="00C94DEA"/>
    <w:rsid w:val="00C94E2E"/>
    <w:rsid w:val="00C94FCB"/>
    <w:rsid w:val="00C962EC"/>
    <w:rsid w:val="00C96A73"/>
    <w:rsid w:val="00C96C60"/>
    <w:rsid w:val="00C9753F"/>
    <w:rsid w:val="00C97800"/>
    <w:rsid w:val="00CA1698"/>
    <w:rsid w:val="00CA1A0F"/>
    <w:rsid w:val="00CA2C2F"/>
    <w:rsid w:val="00CA2EC8"/>
    <w:rsid w:val="00CA3444"/>
    <w:rsid w:val="00CA4397"/>
    <w:rsid w:val="00CA45F6"/>
    <w:rsid w:val="00CA4B9C"/>
    <w:rsid w:val="00CA4BA8"/>
    <w:rsid w:val="00CA4C63"/>
    <w:rsid w:val="00CA4DB3"/>
    <w:rsid w:val="00CA56E5"/>
    <w:rsid w:val="00CA5BEA"/>
    <w:rsid w:val="00CA5E58"/>
    <w:rsid w:val="00CA6650"/>
    <w:rsid w:val="00CA671B"/>
    <w:rsid w:val="00CA6AD6"/>
    <w:rsid w:val="00CA6CBC"/>
    <w:rsid w:val="00CA7F4B"/>
    <w:rsid w:val="00CB0424"/>
    <w:rsid w:val="00CB0E8D"/>
    <w:rsid w:val="00CB1A20"/>
    <w:rsid w:val="00CB2B45"/>
    <w:rsid w:val="00CB4685"/>
    <w:rsid w:val="00CB4826"/>
    <w:rsid w:val="00CB4CE5"/>
    <w:rsid w:val="00CB4FD4"/>
    <w:rsid w:val="00CB61EB"/>
    <w:rsid w:val="00CB6442"/>
    <w:rsid w:val="00CB766A"/>
    <w:rsid w:val="00CB79C2"/>
    <w:rsid w:val="00CC0741"/>
    <w:rsid w:val="00CC0BDE"/>
    <w:rsid w:val="00CC0E30"/>
    <w:rsid w:val="00CC2761"/>
    <w:rsid w:val="00CC2D12"/>
    <w:rsid w:val="00CC2E6E"/>
    <w:rsid w:val="00CC2EBC"/>
    <w:rsid w:val="00CC3462"/>
    <w:rsid w:val="00CC37E1"/>
    <w:rsid w:val="00CC3BE8"/>
    <w:rsid w:val="00CC4853"/>
    <w:rsid w:val="00CC5038"/>
    <w:rsid w:val="00CC5DF4"/>
    <w:rsid w:val="00CC7FDE"/>
    <w:rsid w:val="00CD0030"/>
    <w:rsid w:val="00CD10A2"/>
    <w:rsid w:val="00CD1105"/>
    <w:rsid w:val="00CD1B32"/>
    <w:rsid w:val="00CD2F4F"/>
    <w:rsid w:val="00CD2F67"/>
    <w:rsid w:val="00CD496E"/>
    <w:rsid w:val="00CD5476"/>
    <w:rsid w:val="00CD588E"/>
    <w:rsid w:val="00CD5D36"/>
    <w:rsid w:val="00CD7AC6"/>
    <w:rsid w:val="00CD7BE8"/>
    <w:rsid w:val="00CD7E2D"/>
    <w:rsid w:val="00CE05EB"/>
    <w:rsid w:val="00CE1329"/>
    <w:rsid w:val="00CE1E60"/>
    <w:rsid w:val="00CE20FF"/>
    <w:rsid w:val="00CE38AF"/>
    <w:rsid w:val="00CE46EB"/>
    <w:rsid w:val="00CE4F55"/>
    <w:rsid w:val="00CE5A36"/>
    <w:rsid w:val="00CE6310"/>
    <w:rsid w:val="00CE6C23"/>
    <w:rsid w:val="00CE74F3"/>
    <w:rsid w:val="00CE7712"/>
    <w:rsid w:val="00CE799B"/>
    <w:rsid w:val="00CF0191"/>
    <w:rsid w:val="00CF05A8"/>
    <w:rsid w:val="00CF3177"/>
    <w:rsid w:val="00CF42B8"/>
    <w:rsid w:val="00CF437B"/>
    <w:rsid w:val="00CF45B8"/>
    <w:rsid w:val="00CF4A30"/>
    <w:rsid w:val="00CF4AE0"/>
    <w:rsid w:val="00CF567F"/>
    <w:rsid w:val="00CF60EC"/>
    <w:rsid w:val="00CF6283"/>
    <w:rsid w:val="00CF643D"/>
    <w:rsid w:val="00CF6935"/>
    <w:rsid w:val="00CF6DE9"/>
    <w:rsid w:val="00CF6ED8"/>
    <w:rsid w:val="00CF7AB4"/>
    <w:rsid w:val="00D001C5"/>
    <w:rsid w:val="00D01177"/>
    <w:rsid w:val="00D01793"/>
    <w:rsid w:val="00D01F09"/>
    <w:rsid w:val="00D02151"/>
    <w:rsid w:val="00D02878"/>
    <w:rsid w:val="00D02DD9"/>
    <w:rsid w:val="00D036A8"/>
    <w:rsid w:val="00D039F1"/>
    <w:rsid w:val="00D058DE"/>
    <w:rsid w:val="00D06225"/>
    <w:rsid w:val="00D06629"/>
    <w:rsid w:val="00D06AAB"/>
    <w:rsid w:val="00D07661"/>
    <w:rsid w:val="00D07B3D"/>
    <w:rsid w:val="00D07B44"/>
    <w:rsid w:val="00D07D7B"/>
    <w:rsid w:val="00D103DB"/>
    <w:rsid w:val="00D10541"/>
    <w:rsid w:val="00D10B13"/>
    <w:rsid w:val="00D10B38"/>
    <w:rsid w:val="00D10C90"/>
    <w:rsid w:val="00D10E58"/>
    <w:rsid w:val="00D11FB1"/>
    <w:rsid w:val="00D12B8B"/>
    <w:rsid w:val="00D13611"/>
    <w:rsid w:val="00D13E45"/>
    <w:rsid w:val="00D14786"/>
    <w:rsid w:val="00D14889"/>
    <w:rsid w:val="00D15564"/>
    <w:rsid w:val="00D15D0C"/>
    <w:rsid w:val="00D16145"/>
    <w:rsid w:val="00D167DB"/>
    <w:rsid w:val="00D16D38"/>
    <w:rsid w:val="00D17738"/>
    <w:rsid w:val="00D17CBD"/>
    <w:rsid w:val="00D201D1"/>
    <w:rsid w:val="00D2067C"/>
    <w:rsid w:val="00D20877"/>
    <w:rsid w:val="00D2190F"/>
    <w:rsid w:val="00D21FC2"/>
    <w:rsid w:val="00D23094"/>
    <w:rsid w:val="00D235D4"/>
    <w:rsid w:val="00D249AE"/>
    <w:rsid w:val="00D2505A"/>
    <w:rsid w:val="00D25C78"/>
    <w:rsid w:val="00D26AE1"/>
    <w:rsid w:val="00D26C67"/>
    <w:rsid w:val="00D2702F"/>
    <w:rsid w:val="00D27181"/>
    <w:rsid w:val="00D27D62"/>
    <w:rsid w:val="00D27FB6"/>
    <w:rsid w:val="00D30CAF"/>
    <w:rsid w:val="00D32116"/>
    <w:rsid w:val="00D323C7"/>
    <w:rsid w:val="00D33E82"/>
    <w:rsid w:val="00D34419"/>
    <w:rsid w:val="00D34BC3"/>
    <w:rsid w:val="00D35294"/>
    <w:rsid w:val="00D359CE"/>
    <w:rsid w:val="00D35C70"/>
    <w:rsid w:val="00D37D92"/>
    <w:rsid w:val="00D408FA"/>
    <w:rsid w:val="00D40B9B"/>
    <w:rsid w:val="00D41009"/>
    <w:rsid w:val="00D4112D"/>
    <w:rsid w:val="00D41256"/>
    <w:rsid w:val="00D41CE0"/>
    <w:rsid w:val="00D4219F"/>
    <w:rsid w:val="00D42201"/>
    <w:rsid w:val="00D424D8"/>
    <w:rsid w:val="00D42585"/>
    <w:rsid w:val="00D42C8D"/>
    <w:rsid w:val="00D446E1"/>
    <w:rsid w:val="00D4564D"/>
    <w:rsid w:val="00D464E4"/>
    <w:rsid w:val="00D472DA"/>
    <w:rsid w:val="00D4738D"/>
    <w:rsid w:val="00D47C7C"/>
    <w:rsid w:val="00D50A33"/>
    <w:rsid w:val="00D51600"/>
    <w:rsid w:val="00D5163B"/>
    <w:rsid w:val="00D5248A"/>
    <w:rsid w:val="00D52612"/>
    <w:rsid w:val="00D52B3D"/>
    <w:rsid w:val="00D52B44"/>
    <w:rsid w:val="00D52CD1"/>
    <w:rsid w:val="00D52D8C"/>
    <w:rsid w:val="00D52DFC"/>
    <w:rsid w:val="00D53FB9"/>
    <w:rsid w:val="00D5415C"/>
    <w:rsid w:val="00D548B8"/>
    <w:rsid w:val="00D54D29"/>
    <w:rsid w:val="00D54E3B"/>
    <w:rsid w:val="00D55D59"/>
    <w:rsid w:val="00D566C3"/>
    <w:rsid w:val="00D5680A"/>
    <w:rsid w:val="00D5710C"/>
    <w:rsid w:val="00D5745D"/>
    <w:rsid w:val="00D600DB"/>
    <w:rsid w:val="00D60C40"/>
    <w:rsid w:val="00D61C41"/>
    <w:rsid w:val="00D62C87"/>
    <w:rsid w:val="00D62C8C"/>
    <w:rsid w:val="00D62CF6"/>
    <w:rsid w:val="00D6376F"/>
    <w:rsid w:val="00D63FD7"/>
    <w:rsid w:val="00D63FF8"/>
    <w:rsid w:val="00D64945"/>
    <w:rsid w:val="00D64A39"/>
    <w:rsid w:val="00D64EAD"/>
    <w:rsid w:val="00D64F81"/>
    <w:rsid w:val="00D65313"/>
    <w:rsid w:val="00D66AFA"/>
    <w:rsid w:val="00D66B7E"/>
    <w:rsid w:val="00D66C8A"/>
    <w:rsid w:val="00D67B3E"/>
    <w:rsid w:val="00D71598"/>
    <w:rsid w:val="00D71647"/>
    <w:rsid w:val="00D71AAC"/>
    <w:rsid w:val="00D729CD"/>
    <w:rsid w:val="00D730C3"/>
    <w:rsid w:val="00D737AB"/>
    <w:rsid w:val="00D73A79"/>
    <w:rsid w:val="00D73AF9"/>
    <w:rsid w:val="00D73E94"/>
    <w:rsid w:val="00D74A7F"/>
    <w:rsid w:val="00D7552C"/>
    <w:rsid w:val="00D75A9C"/>
    <w:rsid w:val="00D761F4"/>
    <w:rsid w:val="00D76986"/>
    <w:rsid w:val="00D772A5"/>
    <w:rsid w:val="00D7793E"/>
    <w:rsid w:val="00D77C6B"/>
    <w:rsid w:val="00D80585"/>
    <w:rsid w:val="00D8094B"/>
    <w:rsid w:val="00D80EFD"/>
    <w:rsid w:val="00D8183E"/>
    <w:rsid w:val="00D819D3"/>
    <w:rsid w:val="00D81B96"/>
    <w:rsid w:val="00D8235D"/>
    <w:rsid w:val="00D8274B"/>
    <w:rsid w:val="00D843C8"/>
    <w:rsid w:val="00D84F1E"/>
    <w:rsid w:val="00D85FA3"/>
    <w:rsid w:val="00D86DE8"/>
    <w:rsid w:val="00D87070"/>
    <w:rsid w:val="00D872A3"/>
    <w:rsid w:val="00D8794B"/>
    <w:rsid w:val="00D9037A"/>
    <w:rsid w:val="00D91380"/>
    <w:rsid w:val="00D9158B"/>
    <w:rsid w:val="00D917AC"/>
    <w:rsid w:val="00D91A27"/>
    <w:rsid w:val="00D93F2B"/>
    <w:rsid w:val="00D95A3A"/>
    <w:rsid w:val="00D95B4C"/>
    <w:rsid w:val="00D95EEB"/>
    <w:rsid w:val="00D96DC1"/>
    <w:rsid w:val="00D97AED"/>
    <w:rsid w:val="00DA0599"/>
    <w:rsid w:val="00DA094C"/>
    <w:rsid w:val="00DA0F91"/>
    <w:rsid w:val="00DA1B4B"/>
    <w:rsid w:val="00DA1DCF"/>
    <w:rsid w:val="00DA2163"/>
    <w:rsid w:val="00DA2285"/>
    <w:rsid w:val="00DA26F3"/>
    <w:rsid w:val="00DA2909"/>
    <w:rsid w:val="00DA2CAC"/>
    <w:rsid w:val="00DA2FD7"/>
    <w:rsid w:val="00DA4A68"/>
    <w:rsid w:val="00DA4ECC"/>
    <w:rsid w:val="00DA502B"/>
    <w:rsid w:val="00DA6054"/>
    <w:rsid w:val="00DA6C1F"/>
    <w:rsid w:val="00DA73A4"/>
    <w:rsid w:val="00DA753C"/>
    <w:rsid w:val="00DB0185"/>
    <w:rsid w:val="00DB0B28"/>
    <w:rsid w:val="00DB0EF1"/>
    <w:rsid w:val="00DB1682"/>
    <w:rsid w:val="00DB1BDF"/>
    <w:rsid w:val="00DB1D82"/>
    <w:rsid w:val="00DB1FC3"/>
    <w:rsid w:val="00DB280F"/>
    <w:rsid w:val="00DB29C0"/>
    <w:rsid w:val="00DB36F1"/>
    <w:rsid w:val="00DB3D00"/>
    <w:rsid w:val="00DB3D0C"/>
    <w:rsid w:val="00DB4118"/>
    <w:rsid w:val="00DB4155"/>
    <w:rsid w:val="00DB41FA"/>
    <w:rsid w:val="00DB5015"/>
    <w:rsid w:val="00DB5275"/>
    <w:rsid w:val="00DB52CB"/>
    <w:rsid w:val="00DB628C"/>
    <w:rsid w:val="00DB66E8"/>
    <w:rsid w:val="00DB764A"/>
    <w:rsid w:val="00DB7E07"/>
    <w:rsid w:val="00DB7F3F"/>
    <w:rsid w:val="00DC05D7"/>
    <w:rsid w:val="00DC065A"/>
    <w:rsid w:val="00DC0B5C"/>
    <w:rsid w:val="00DC0D01"/>
    <w:rsid w:val="00DC16F3"/>
    <w:rsid w:val="00DC28EB"/>
    <w:rsid w:val="00DC2B93"/>
    <w:rsid w:val="00DC2D88"/>
    <w:rsid w:val="00DC39E0"/>
    <w:rsid w:val="00DC3F79"/>
    <w:rsid w:val="00DC47FD"/>
    <w:rsid w:val="00DC51A3"/>
    <w:rsid w:val="00DC5922"/>
    <w:rsid w:val="00DC5D4C"/>
    <w:rsid w:val="00DC5DFE"/>
    <w:rsid w:val="00DC6B3D"/>
    <w:rsid w:val="00DC6F00"/>
    <w:rsid w:val="00DC7F12"/>
    <w:rsid w:val="00DD0102"/>
    <w:rsid w:val="00DD0231"/>
    <w:rsid w:val="00DD116A"/>
    <w:rsid w:val="00DD1180"/>
    <w:rsid w:val="00DD1F2A"/>
    <w:rsid w:val="00DD252A"/>
    <w:rsid w:val="00DD274B"/>
    <w:rsid w:val="00DD28BC"/>
    <w:rsid w:val="00DD2E39"/>
    <w:rsid w:val="00DD4130"/>
    <w:rsid w:val="00DD465F"/>
    <w:rsid w:val="00DD4C23"/>
    <w:rsid w:val="00DD5489"/>
    <w:rsid w:val="00DD628E"/>
    <w:rsid w:val="00DD6B06"/>
    <w:rsid w:val="00DD6CFA"/>
    <w:rsid w:val="00DD791F"/>
    <w:rsid w:val="00DD7E76"/>
    <w:rsid w:val="00DE0A84"/>
    <w:rsid w:val="00DE0DDC"/>
    <w:rsid w:val="00DE0DDF"/>
    <w:rsid w:val="00DE198F"/>
    <w:rsid w:val="00DE302A"/>
    <w:rsid w:val="00DE322E"/>
    <w:rsid w:val="00DE3647"/>
    <w:rsid w:val="00DE3775"/>
    <w:rsid w:val="00DE37BF"/>
    <w:rsid w:val="00DE3EFC"/>
    <w:rsid w:val="00DE4BE0"/>
    <w:rsid w:val="00DE641F"/>
    <w:rsid w:val="00DE7056"/>
    <w:rsid w:val="00DE7A24"/>
    <w:rsid w:val="00DE7C2C"/>
    <w:rsid w:val="00DE7E29"/>
    <w:rsid w:val="00DF0548"/>
    <w:rsid w:val="00DF0672"/>
    <w:rsid w:val="00DF0D0C"/>
    <w:rsid w:val="00DF1D1D"/>
    <w:rsid w:val="00DF27A0"/>
    <w:rsid w:val="00DF3DB8"/>
    <w:rsid w:val="00DF440C"/>
    <w:rsid w:val="00DF4C57"/>
    <w:rsid w:val="00DF5038"/>
    <w:rsid w:val="00DF61C3"/>
    <w:rsid w:val="00DF6C23"/>
    <w:rsid w:val="00DF7258"/>
    <w:rsid w:val="00DF7402"/>
    <w:rsid w:val="00DF763A"/>
    <w:rsid w:val="00E002DB"/>
    <w:rsid w:val="00E00A70"/>
    <w:rsid w:val="00E027B3"/>
    <w:rsid w:val="00E029E8"/>
    <w:rsid w:val="00E02DAA"/>
    <w:rsid w:val="00E03499"/>
    <w:rsid w:val="00E03CB0"/>
    <w:rsid w:val="00E045B9"/>
    <w:rsid w:val="00E0515C"/>
    <w:rsid w:val="00E0621C"/>
    <w:rsid w:val="00E109D6"/>
    <w:rsid w:val="00E114F4"/>
    <w:rsid w:val="00E12B8F"/>
    <w:rsid w:val="00E13309"/>
    <w:rsid w:val="00E13E77"/>
    <w:rsid w:val="00E142D7"/>
    <w:rsid w:val="00E14485"/>
    <w:rsid w:val="00E15481"/>
    <w:rsid w:val="00E155DD"/>
    <w:rsid w:val="00E15635"/>
    <w:rsid w:val="00E15B6C"/>
    <w:rsid w:val="00E15E75"/>
    <w:rsid w:val="00E15F04"/>
    <w:rsid w:val="00E1781F"/>
    <w:rsid w:val="00E17C28"/>
    <w:rsid w:val="00E20105"/>
    <w:rsid w:val="00E2026D"/>
    <w:rsid w:val="00E219C6"/>
    <w:rsid w:val="00E21BDF"/>
    <w:rsid w:val="00E22089"/>
    <w:rsid w:val="00E22109"/>
    <w:rsid w:val="00E22FD7"/>
    <w:rsid w:val="00E23702"/>
    <w:rsid w:val="00E23AB9"/>
    <w:rsid w:val="00E23C39"/>
    <w:rsid w:val="00E2419D"/>
    <w:rsid w:val="00E246B9"/>
    <w:rsid w:val="00E24FB6"/>
    <w:rsid w:val="00E253F5"/>
    <w:rsid w:val="00E25532"/>
    <w:rsid w:val="00E25563"/>
    <w:rsid w:val="00E25E32"/>
    <w:rsid w:val="00E264E8"/>
    <w:rsid w:val="00E26559"/>
    <w:rsid w:val="00E26B8D"/>
    <w:rsid w:val="00E310B7"/>
    <w:rsid w:val="00E317D5"/>
    <w:rsid w:val="00E31885"/>
    <w:rsid w:val="00E31991"/>
    <w:rsid w:val="00E3306A"/>
    <w:rsid w:val="00E3416C"/>
    <w:rsid w:val="00E34497"/>
    <w:rsid w:val="00E346A4"/>
    <w:rsid w:val="00E34A22"/>
    <w:rsid w:val="00E34C7E"/>
    <w:rsid w:val="00E3547F"/>
    <w:rsid w:val="00E35EF5"/>
    <w:rsid w:val="00E3615A"/>
    <w:rsid w:val="00E3666E"/>
    <w:rsid w:val="00E367A4"/>
    <w:rsid w:val="00E36D7A"/>
    <w:rsid w:val="00E37608"/>
    <w:rsid w:val="00E37632"/>
    <w:rsid w:val="00E400C5"/>
    <w:rsid w:val="00E41205"/>
    <w:rsid w:val="00E41D78"/>
    <w:rsid w:val="00E42138"/>
    <w:rsid w:val="00E42F39"/>
    <w:rsid w:val="00E42FA1"/>
    <w:rsid w:val="00E4340F"/>
    <w:rsid w:val="00E43CB3"/>
    <w:rsid w:val="00E44C50"/>
    <w:rsid w:val="00E44E9E"/>
    <w:rsid w:val="00E45284"/>
    <w:rsid w:val="00E458B4"/>
    <w:rsid w:val="00E45A17"/>
    <w:rsid w:val="00E45CF4"/>
    <w:rsid w:val="00E46183"/>
    <w:rsid w:val="00E463CB"/>
    <w:rsid w:val="00E474C7"/>
    <w:rsid w:val="00E5065C"/>
    <w:rsid w:val="00E50D2B"/>
    <w:rsid w:val="00E50E1E"/>
    <w:rsid w:val="00E51856"/>
    <w:rsid w:val="00E51A5C"/>
    <w:rsid w:val="00E52DE7"/>
    <w:rsid w:val="00E53B97"/>
    <w:rsid w:val="00E53E78"/>
    <w:rsid w:val="00E545C5"/>
    <w:rsid w:val="00E5471B"/>
    <w:rsid w:val="00E5479B"/>
    <w:rsid w:val="00E55E6F"/>
    <w:rsid w:val="00E5637C"/>
    <w:rsid w:val="00E56A6C"/>
    <w:rsid w:val="00E57B5F"/>
    <w:rsid w:val="00E57CCF"/>
    <w:rsid w:val="00E6164F"/>
    <w:rsid w:val="00E619E6"/>
    <w:rsid w:val="00E62147"/>
    <w:rsid w:val="00E6245F"/>
    <w:rsid w:val="00E62BF6"/>
    <w:rsid w:val="00E63F1A"/>
    <w:rsid w:val="00E640B8"/>
    <w:rsid w:val="00E64911"/>
    <w:rsid w:val="00E64B56"/>
    <w:rsid w:val="00E64BDF"/>
    <w:rsid w:val="00E66706"/>
    <w:rsid w:val="00E6734F"/>
    <w:rsid w:val="00E6742D"/>
    <w:rsid w:val="00E70A2F"/>
    <w:rsid w:val="00E71158"/>
    <w:rsid w:val="00E71564"/>
    <w:rsid w:val="00E71701"/>
    <w:rsid w:val="00E728D3"/>
    <w:rsid w:val="00E72E47"/>
    <w:rsid w:val="00E733D7"/>
    <w:rsid w:val="00E7374E"/>
    <w:rsid w:val="00E73FEB"/>
    <w:rsid w:val="00E74AAC"/>
    <w:rsid w:val="00E74AF7"/>
    <w:rsid w:val="00E750CD"/>
    <w:rsid w:val="00E75ACC"/>
    <w:rsid w:val="00E75D41"/>
    <w:rsid w:val="00E762E5"/>
    <w:rsid w:val="00E76968"/>
    <w:rsid w:val="00E77823"/>
    <w:rsid w:val="00E77C88"/>
    <w:rsid w:val="00E77CD7"/>
    <w:rsid w:val="00E77CFD"/>
    <w:rsid w:val="00E804C3"/>
    <w:rsid w:val="00E80A1A"/>
    <w:rsid w:val="00E80D05"/>
    <w:rsid w:val="00E80FF6"/>
    <w:rsid w:val="00E818D6"/>
    <w:rsid w:val="00E81C2E"/>
    <w:rsid w:val="00E81E36"/>
    <w:rsid w:val="00E820C3"/>
    <w:rsid w:val="00E82501"/>
    <w:rsid w:val="00E82734"/>
    <w:rsid w:val="00E8284D"/>
    <w:rsid w:val="00E82C9D"/>
    <w:rsid w:val="00E83156"/>
    <w:rsid w:val="00E833AE"/>
    <w:rsid w:val="00E844D1"/>
    <w:rsid w:val="00E84C3A"/>
    <w:rsid w:val="00E855AE"/>
    <w:rsid w:val="00E8644F"/>
    <w:rsid w:val="00E86543"/>
    <w:rsid w:val="00E8670F"/>
    <w:rsid w:val="00E86714"/>
    <w:rsid w:val="00E86B58"/>
    <w:rsid w:val="00E871DC"/>
    <w:rsid w:val="00E8766C"/>
    <w:rsid w:val="00E9056D"/>
    <w:rsid w:val="00E908B3"/>
    <w:rsid w:val="00E90C4E"/>
    <w:rsid w:val="00E918AF"/>
    <w:rsid w:val="00E921CC"/>
    <w:rsid w:val="00E9226D"/>
    <w:rsid w:val="00E92A77"/>
    <w:rsid w:val="00E92E79"/>
    <w:rsid w:val="00E93723"/>
    <w:rsid w:val="00E9375B"/>
    <w:rsid w:val="00E9475C"/>
    <w:rsid w:val="00E96D21"/>
    <w:rsid w:val="00E9737D"/>
    <w:rsid w:val="00EA0471"/>
    <w:rsid w:val="00EA0EB4"/>
    <w:rsid w:val="00EA142E"/>
    <w:rsid w:val="00EA2338"/>
    <w:rsid w:val="00EA2A36"/>
    <w:rsid w:val="00EA2AC1"/>
    <w:rsid w:val="00EA2F81"/>
    <w:rsid w:val="00EA306E"/>
    <w:rsid w:val="00EA307F"/>
    <w:rsid w:val="00EA3B70"/>
    <w:rsid w:val="00EA3DAF"/>
    <w:rsid w:val="00EA4256"/>
    <w:rsid w:val="00EA4338"/>
    <w:rsid w:val="00EA486A"/>
    <w:rsid w:val="00EA5076"/>
    <w:rsid w:val="00EA6457"/>
    <w:rsid w:val="00EA6598"/>
    <w:rsid w:val="00EA6C70"/>
    <w:rsid w:val="00EA7C60"/>
    <w:rsid w:val="00EB0DB4"/>
    <w:rsid w:val="00EB27F7"/>
    <w:rsid w:val="00EB2875"/>
    <w:rsid w:val="00EB28A0"/>
    <w:rsid w:val="00EB335B"/>
    <w:rsid w:val="00EB4CC6"/>
    <w:rsid w:val="00EB5FC3"/>
    <w:rsid w:val="00EB7653"/>
    <w:rsid w:val="00EB76D5"/>
    <w:rsid w:val="00EB7835"/>
    <w:rsid w:val="00EC02CD"/>
    <w:rsid w:val="00EC03FB"/>
    <w:rsid w:val="00EC04B5"/>
    <w:rsid w:val="00EC0A64"/>
    <w:rsid w:val="00EC12E7"/>
    <w:rsid w:val="00EC134D"/>
    <w:rsid w:val="00EC1B3D"/>
    <w:rsid w:val="00EC1E47"/>
    <w:rsid w:val="00EC234F"/>
    <w:rsid w:val="00EC37D5"/>
    <w:rsid w:val="00EC3922"/>
    <w:rsid w:val="00EC476B"/>
    <w:rsid w:val="00EC5293"/>
    <w:rsid w:val="00EC547A"/>
    <w:rsid w:val="00EC598A"/>
    <w:rsid w:val="00EC5B42"/>
    <w:rsid w:val="00EC6ACB"/>
    <w:rsid w:val="00EC6DB5"/>
    <w:rsid w:val="00EC7C69"/>
    <w:rsid w:val="00EC7CC9"/>
    <w:rsid w:val="00ED16E0"/>
    <w:rsid w:val="00ED2382"/>
    <w:rsid w:val="00ED247E"/>
    <w:rsid w:val="00ED2548"/>
    <w:rsid w:val="00ED27B7"/>
    <w:rsid w:val="00ED2CF4"/>
    <w:rsid w:val="00ED4009"/>
    <w:rsid w:val="00ED47BF"/>
    <w:rsid w:val="00ED5152"/>
    <w:rsid w:val="00ED5713"/>
    <w:rsid w:val="00ED5DA8"/>
    <w:rsid w:val="00ED5E26"/>
    <w:rsid w:val="00ED61C9"/>
    <w:rsid w:val="00ED6CAE"/>
    <w:rsid w:val="00ED7420"/>
    <w:rsid w:val="00ED7AFE"/>
    <w:rsid w:val="00ED7D71"/>
    <w:rsid w:val="00EE001A"/>
    <w:rsid w:val="00EE02B4"/>
    <w:rsid w:val="00EE0FDD"/>
    <w:rsid w:val="00EE21DB"/>
    <w:rsid w:val="00EE2205"/>
    <w:rsid w:val="00EE2221"/>
    <w:rsid w:val="00EE25E5"/>
    <w:rsid w:val="00EE3808"/>
    <w:rsid w:val="00EE5E5A"/>
    <w:rsid w:val="00EE6483"/>
    <w:rsid w:val="00EE649A"/>
    <w:rsid w:val="00EE7244"/>
    <w:rsid w:val="00EE7A22"/>
    <w:rsid w:val="00EE7A73"/>
    <w:rsid w:val="00EE7A7A"/>
    <w:rsid w:val="00EF00D6"/>
    <w:rsid w:val="00EF039E"/>
    <w:rsid w:val="00EF07F5"/>
    <w:rsid w:val="00EF30EB"/>
    <w:rsid w:val="00EF39DC"/>
    <w:rsid w:val="00EF44EC"/>
    <w:rsid w:val="00EF45E5"/>
    <w:rsid w:val="00EF45F9"/>
    <w:rsid w:val="00EF4DE1"/>
    <w:rsid w:val="00EF598A"/>
    <w:rsid w:val="00EF5BD7"/>
    <w:rsid w:val="00EF6DF8"/>
    <w:rsid w:val="00EF7543"/>
    <w:rsid w:val="00F00198"/>
    <w:rsid w:val="00F01073"/>
    <w:rsid w:val="00F01684"/>
    <w:rsid w:val="00F01D74"/>
    <w:rsid w:val="00F02B15"/>
    <w:rsid w:val="00F03326"/>
    <w:rsid w:val="00F04D94"/>
    <w:rsid w:val="00F05848"/>
    <w:rsid w:val="00F109EC"/>
    <w:rsid w:val="00F127C4"/>
    <w:rsid w:val="00F1284F"/>
    <w:rsid w:val="00F12F21"/>
    <w:rsid w:val="00F15544"/>
    <w:rsid w:val="00F16C63"/>
    <w:rsid w:val="00F17F98"/>
    <w:rsid w:val="00F207B4"/>
    <w:rsid w:val="00F20961"/>
    <w:rsid w:val="00F212E3"/>
    <w:rsid w:val="00F21642"/>
    <w:rsid w:val="00F21914"/>
    <w:rsid w:val="00F21B81"/>
    <w:rsid w:val="00F221D5"/>
    <w:rsid w:val="00F223DB"/>
    <w:rsid w:val="00F225E8"/>
    <w:rsid w:val="00F22ECF"/>
    <w:rsid w:val="00F23184"/>
    <w:rsid w:val="00F23265"/>
    <w:rsid w:val="00F242DB"/>
    <w:rsid w:val="00F24DE2"/>
    <w:rsid w:val="00F2566C"/>
    <w:rsid w:val="00F2664D"/>
    <w:rsid w:val="00F306FC"/>
    <w:rsid w:val="00F30AA1"/>
    <w:rsid w:val="00F31083"/>
    <w:rsid w:val="00F31821"/>
    <w:rsid w:val="00F31973"/>
    <w:rsid w:val="00F31B79"/>
    <w:rsid w:val="00F31D0A"/>
    <w:rsid w:val="00F31FD3"/>
    <w:rsid w:val="00F32245"/>
    <w:rsid w:val="00F33B7C"/>
    <w:rsid w:val="00F34230"/>
    <w:rsid w:val="00F34C82"/>
    <w:rsid w:val="00F34CC1"/>
    <w:rsid w:val="00F35712"/>
    <w:rsid w:val="00F363EE"/>
    <w:rsid w:val="00F37EA6"/>
    <w:rsid w:val="00F37EE6"/>
    <w:rsid w:val="00F40087"/>
    <w:rsid w:val="00F40141"/>
    <w:rsid w:val="00F40216"/>
    <w:rsid w:val="00F40255"/>
    <w:rsid w:val="00F40C43"/>
    <w:rsid w:val="00F40E8F"/>
    <w:rsid w:val="00F40EA3"/>
    <w:rsid w:val="00F425A8"/>
    <w:rsid w:val="00F4311B"/>
    <w:rsid w:val="00F43460"/>
    <w:rsid w:val="00F434E9"/>
    <w:rsid w:val="00F44C50"/>
    <w:rsid w:val="00F4591B"/>
    <w:rsid w:val="00F46863"/>
    <w:rsid w:val="00F472AF"/>
    <w:rsid w:val="00F47B5B"/>
    <w:rsid w:val="00F5095C"/>
    <w:rsid w:val="00F50B98"/>
    <w:rsid w:val="00F5103A"/>
    <w:rsid w:val="00F515A3"/>
    <w:rsid w:val="00F51F04"/>
    <w:rsid w:val="00F52941"/>
    <w:rsid w:val="00F52A70"/>
    <w:rsid w:val="00F5324F"/>
    <w:rsid w:val="00F5358D"/>
    <w:rsid w:val="00F53598"/>
    <w:rsid w:val="00F53725"/>
    <w:rsid w:val="00F5461C"/>
    <w:rsid w:val="00F5498C"/>
    <w:rsid w:val="00F55162"/>
    <w:rsid w:val="00F55CCE"/>
    <w:rsid w:val="00F56FF0"/>
    <w:rsid w:val="00F57301"/>
    <w:rsid w:val="00F578A2"/>
    <w:rsid w:val="00F57B44"/>
    <w:rsid w:val="00F57F04"/>
    <w:rsid w:val="00F60E24"/>
    <w:rsid w:val="00F60E54"/>
    <w:rsid w:val="00F615A9"/>
    <w:rsid w:val="00F619E3"/>
    <w:rsid w:val="00F621A2"/>
    <w:rsid w:val="00F6302E"/>
    <w:rsid w:val="00F64831"/>
    <w:rsid w:val="00F66B82"/>
    <w:rsid w:val="00F677DA"/>
    <w:rsid w:val="00F70753"/>
    <w:rsid w:val="00F71FB1"/>
    <w:rsid w:val="00F72126"/>
    <w:rsid w:val="00F7274C"/>
    <w:rsid w:val="00F72873"/>
    <w:rsid w:val="00F73C17"/>
    <w:rsid w:val="00F7425E"/>
    <w:rsid w:val="00F742DF"/>
    <w:rsid w:val="00F742F2"/>
    <w:rsid w:val="00F7437E"/>
    <w:rsid w:val="00F74BEB"/>
    <w:rsid w:val="00F75701"/>
    <w:rsid w:val="00F760AF"/>
    <w:rsid w:val="00F770F0"/>
    <w:rsid w:val="00F77E25"/>
    <w:rsid w:val="00F807CD"/>
    <w:rsid w:val="00F807D1"/>
    <w:rsid w:val="00F808D7"/>
    <w:rsid w:val="00F80971"/>
    <w:rsid w:val="00F80AAE"/>
    <w:rsid w:val="00F81B96"/>
    <w:rsid w:val="00F81FF5"/>
    <w:rsid w:val="00F82CA7"/>
    <w:rsid w:val="00F8357C"/>
    <w:rsid w:val="00F846E8"/>
    <w:rsid w:val="00F8533D"/>
    <w:rsid w:val="00F857E6"/>
    <w:rsid w:val="00F858FE"/>
    <w:rsid w:val="00F85C45"/>
    <w:rsid w:val="00F85D7F"/>
    <w:rsid w:val="00F86AAE"/>
    <w:rsid w:val="00F870BD"/>
    <w:rsid w:val="00F87239"/>
    <w:rsid w:val="00F873F6"/>
    <w:rsid w:val="00F900E3"/>
    <w:rsid w:val="00F9048F"/>
    <w:rsid w:val="00F90D51"/>
    <w:rsid w:val="00F911B7"/>
    <w:rsid w:val="00F912D6"/>
    <w:rsid w:val="00F9180F"/>
    <w:rsid w:val="00F91C8C"/>
    <w:rsid w:val="00F924F0"/>
    <w:rsid w:val="00F92B23"/>
    <w:rsid w:val="00F930D2"/>
    <w:rsid w:val="00F9338D"/>
    <w:rsid w:val="00F937D3"/>
    <w:rsid w:val="00F9403A"/>
    <w:rsid w:val="00F942B3"/>
    <w:rsid w:val="00F94740"/>
    <w:rsid w:val="00F95B75"/>
    <w:rsid w:val="00F962E1"/>
    <w:rsid w:val="00F96455"/>
    <w:rsid w:val="00F974B7"/>
    <w:rsid w:val="00F97D0B"/>
    <w:rsid w:val="00FA196A"/>
    <w:rsid w:val="00FA1C9A"/>
    <w:rsid w:val="00FA1CE0"/>
    <w:rsid w:val="00FA1E5A"/>
    <w:rsid w:val="00FA2C36"/>
    <w:rsid w:val="00FA2ED8"/>
    <w:rsid w:val="00FA2F82"/>
    <w:rsid w:val="00FA305E"/>
    <w:rsid w:val="00FA3549"/>
    <w:rsid w:val="00FA3AAE"/>
    <w:rsid w:val="00FA45EF"/>
    <w:rsid w:val="00FA508F"/>
    <w:rsid w:val="00FA5983"/>
    <w:rsid w:val="00FA5A47"/>
    <w:rsid w:val="00FA6061"/>
    <w:rsid w:val="00FA6281"/>
    <w:rsid w:val="00FA684C"/>
    <w:rsid w:val="00FA733F"/>
    <w:rsid w:val="00FA7BFE"/>
    <w:rsid w:val="00FA7D38"/>
    <w:rsid w:val="00FA7D3C"/>
    <w:rsid w:val="00FB07C5"/>
    <w:rsid w:val="00FB1F9A"/>
    <w:rsid w:val="00FB297A"/>
    <w:rsid w:val="00FB29A1"/>
    <w:rsid w:val="00FB2C1E"/>
    <w:rsid w:val="00FB2CD1"/>
    <w:rsid w:val="00FB351C"/>
    <w:rsid w:val="00FB3DAC"/>
    <w:rsid w:val="00FB479C"/>
    <w:rsid w:val="00FB51E5"/>
    <w:rsid w:val="00FB653E"/>
    <w:rsid w:val="00FB74CC"/>
    <w:rsid w:val="00FC0A15"/>
    <w:rsid w:val="00FC0A27"/>
    <w:rsid w:val="00FC0EBA"/>
    <w:rsid w:val="00FC24C5"/>
    <w:rsid w:val="00FC2F7E"/>
    <w:rsid w:val="00FC2F98"/>
    <w:rsid w:val="00FC322E"/>
    <w:rsid w:val="00FC3488"/>
    <w:rsid w:val="00FC41E6"/>
    <w:rsid w:val="00FC52B3"/>
    <w:rsid w:val="00FC58F1"/>
    <w:rsid w:val="00FC5E15"/>
    <w:rsid w:val="00FC6930"/>
    <w:rsid w:val="00FC6A65"/>
    <w:rsid w:val="00FC7506"/>
    <w:rsid w:val="00FD04F5"/>
    <w:rsid w:val="00FD0C00"/>
    <w:rsid w:val="00FD19E3"/>
    <w:rsid w:val="00FD2AD4"/>
    <w:rsid w:val="00FD2B0C"/>
    <w:rsid w:val="00FD34BD"/>
    <w:rsid w:val="00FD3595"/>
    <w:rsid w:val="00FD4522"/>
    <w:rsid w:val="00FD514E"/>
    <w:rsid w:val="00FD5887"/>
    <w:rsid w:val="00FD58AB"/>
    <w:rsid w:val="00FD5A4E"/>
    <w:rsid w:val="00FD5E05"/>
    <w:rsid w:val="00FD66EC"/>
    <w:rsid w:val="00FD6EEA"/>
    <w:rsid w:val="00FD6F5D"/>
    <w:rsid w:val="00FE015D"/>
    <w:rsid w:val="00FE0E56"/>
    <w:rsid w:val="00FE0F2E"/>
    <w:rsid w:val="00FE136D"/>
    <w:rsid w:val="00FE25B2"/>
    <w:rsid w:val="00FE27FB"/>
    <w:rsid w:val="00FE3640"/>
    <w:rsid w:val="00FE36DB"/>
    <w:rsid w:val="00FE4E9F"/>
    <w:rsid w:val="00FE547F"/>
    <w:rsid w:val="00FE5564"/>
    <w:rsid w:val="00FE6CC7"/>
    <w:rsid w:val="00FE7047"/>
    <w:rsid w:val="00FE7A82"/>
    <w:rsid w:val="00FF079B"/>
    <w:rsid w:val="00FF0C71"/>
    <w:rsid w:val="00FF10E0"/>
    <w:rsid w:val="00FF15AB"/>
    <w:rsid w:val="00FF1B67"/>
    <w:rsid w:val="00FF1BD7"/>
    <w:rsid w:val="00FF1CF3"/>
    <w:rsid w:val="00FF21C3"/>
    <w:rsid w:val="00FF29CC"/>
    <w:rsid w:val="00FF368E"/>
    <w:rsid w:val="00FF42B0"/>
    <w:rsid w:val="00FF4429"/>
    <w:rsid w:val="00FF5B8D"/>
    <w:rsid w:val="00FF5C21"/>
    <w:rsid w:val="00FF5F49"/>
    <w:rsid w:val="00FF68F0"/>
    <w:rsid w:val="00FF7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color w:val="000000"/>
        <w:kern w:val="11"/>
        <w:sz w:val="11"/>
        <w:szCs w:val="11"/>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CA"/>
    <w:pPr>
      <w:spacing w:after="0" w:line="240" w:lineRule="auto"/>
    </w:pPr>
    <w:rPr>
      <w:rFonts w:ascii="Times New Roman" w:eastAsia="Times New Roman" w:hAnsi="Times New Roman"/>
      <w:color w:val="auto"/>
      <w:kern w:val="0"/>
      <w:sz w:val="28"/>
      <w:szCs w:val="28"/>
      <w:lang w:val="ru-RU" w:eastAsia="ru-RU"/>
    </w:rPr>
  </w:style>
  <w:style w:type="paragraph" w:styleId="1">
    <w:name w:val="heading 1"/>
    <w:basedOn w:val="a"/>
    <w:link w:val="10"/>
    <w:uiPriority w:val="9"/>
    <w:qFormat/>
    <w:rsid w:val="00305CEB"/>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305CEB"/>
    <w:pPr>
      <w:keepNext/>
      <w:keepLines/>
      <w:spacing w:before="200" w:line="276" w:lineRule="auto"/>
      <w:outlineLvl w:val="1"/>
    </w:pPr>
    <w:rPr>
      <w:rFonts w:asciiTheme="majorHAnsi" w:eastAsiaTheme="majorEastAsia" w:hAnsiTheme="majorHAnsi" w:cstheme="majorBidi"/>
      <w:b/>
      <w:bCs/>
      <w:color w:val="4F81BD" w:themeColor="accent1"/>
      <w:kern w:val="11"/>
      <w:sz w:val="26"/>
      <w:szCs w:val="26"/>
      <w:lang w:val="uk-UA" w:eastAsia="en-US"/>
    </w:rPr>
  </w:style>
  <w:style w:type="paragraph" w:styleId="3">
    <w:name w:val="heading 3"/>
    <w:basedOn w:val="a"/>
    <w:next w:val="a"/>
    <w:link w:val="30"/>
    <w:uiPriority w:val="9"/>
    <w:semiHidden/>
    <w:unhideWhenUsed/>
    <w:qFormat/>
    <w:rsid w:val="00305CEB"/>
    <w:pPr>
      <w:keepNext/>
      <w:keepLines/>
      <w:spacing w:before="200" w:line="276" w:lineRule="auto"/>
      <w:outlineLvl w:val="2"/>
    </w:pPr>
    <w:rPr>
      <w:rFonts w:asciiTheme="majorHAnsi" w:eastAsiaTheme="majorEastAsia" w:hAnsiTheme="majorHAnsi" w:cstheme="majorBidi"/>
      <w:b/>
      <w:bCs/>
      <w:color w:val="4F81BD" w:themeColor="accent1"/>
      <w:kern w:val="11"/>
      <w:sz w:val="11"/>
      <w:szCs w:val="11"/>
      <w:lang w:val="uk-UA" w:eastAsia="en-US"/>
    </w:rPr>
  </w:style>
  <w:style w:type="paragraph" w:styleId="8">
    <w:name w:val="heading 8"/>
    <w:basedOn w:val="a"/>
    <w:next w:val="a"/>
    <w:link w:val="80"/>
    <w:uiPriority w:val="9"/>
    <w:semiHidden/>
    <w:unhideWhenUsed/>
    <w:qFormat/>
    <w:rsid w:val="00305CEB"/>
    <w:pPr>
      <w:keepNext/>
      <w:keepLines/>
      <w:spacing w:before="200" w:line="276" w:lineRule="auto"/>
      <w:outlineLvl w:val="7"/>
    </w:pPr>
    <w:rPr>
      <w:rFonts w:asciiTheme="majorHAnsi" w:eastAsiaTheme="majorEastAsia" w:hAnsiTheme="majorHAnsi" w:cstheme="majorBidi"/>
      <w:color w:val="404040" w:themeColor="text1" w:themeTint="BF"/>
      <w:kern w:val="11"/>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5F48EF"/>
    <w:pPr>
      <w:spacing w:line="360" w:lineRule="auto"/>
      <w:ind w:firstLine="709"/>
      <w:jc w:val="both"/>
    </w:pPr>
    <w:rPr>
      <w:lang w:val="uk-UA"/>
    </w:rPr>
  </w:style>
  <w:style w:type="character" w:customStyle="1" w:styleId="22">
    <w:name w:val="Основной текст 2 Знак"/>
    <w:basedOn w:val="a0"/>
    <w:link w:val="21"/>
    <w:rsid w:val="005F48EF"/>
    <w:rPr>
      <w:rFonts w:ascii="Times New Roman" w:eastAsia="Times New Roman" w:hAnsi="Times New Roman"/>
      <w:color w:val="auto"/>
      <w:kern w:val="0"/>
      <w:sz w:val="28"/>
      <w:szCs w:val="28"/>
      <w:lang w:eastAsia="ru-RU"/>
    </w:rPr>
  </w:style>
  <w:style w:type="paragraph" w:styleId="a3">
    <w:name w:val="Body Text Indent"/>
    <w:basedOn w:val="a"/>
    <w:link w:val="a4"/>
    <w:uiPriority w:val="99"/>
    <w:rsid w:val="005F48EF"/>
    <w:pPr>
      <w:spacing w:after="120"/>
      <w:ind w:left="283"/>
    </w:pPr>
  </w:style>
  <w:style w:type="character" w:customStyle="1" w:styleId="a4">
    <w:name w:val="Основной текст с отступом Знак"/>
    <w:basedOn w:val="a0"/>
    <w:link w:val="a3"/>
    <w:uiPriority w:val="99"/>
    <w:rsid w:val="005F48EF"/>
    <w:rPr>
      <w:rFonts w:ascii="Times New Roman" w:eastAsia="Times New Roman" w:hAnsi="Times New Roman"/>
      <w:color w:val="auto"/>
      <w:kern w:val="0"/>
      <w:sz w:val="28"/>
      <w:szCs w:val="28"/>
      <w:lang w:val="ru-RU" w:eastAsia="ru-RU"/>
    </w:rPr>
  </w:style>
  <w:style w:type="paragraph" w:styleId="a5">
    <w:name w:val="Title"/>
    <w:basedOn w:val="a"/>
    <w:link w:val="a6"/>
    <w:qFormat/>
    <w:rsid w:val="005F48EF"/>
    <w:pPr>
      <w:spacing w:line="360" w:lineRule="auto"/>
      <w:ind w:left="-1701" w:right="-851"/>
      <w:jc w:val="center"/>
    </w:pPr>
    <w:rPr>
      <w:b/>
      <w:bCs/>
      <w:szCs w:val="24"/>
      <w:lang w:val="uk-UA"/>
    </w:rPr>
  </w:style>
  <w:style w:type="character" w:customStyle="1" w:styleId="a6">
    <w:name w:val="Название Знак"/>
    <w:basedOn w:val="a0"/>
    <w:link w:val="a5"/>
    <w:rsid w:val="005F48EF"/>
    <w:rPr>
      <w:rFonts w:ascii="Times New Roman" w:eastAsia="Times New Roman" w:hAnsi="Times New Roman"/>
      <w:b/>
      <w:bCs/>
      <w:color w:val="auto"/>
      <w:kern w:val="0"/>
      <w:sz w:val="28"/>
      <w:szCs w:val="24"/>
      <w:lang w:eastAsia="ru-RU"/>
    </w:rPr>
  </w:style>
  <w:style w:type="paragraph" w:styleId="a7">
    <w:name w:val="header"/>
    <w:basedOn w:val="a"/>
    <w:link w:val="a8"/>
    <w:uiPriority w:val="99"/>
    <w:unhideWhenUsed/>
    <w:rsid w:val="007D395E"/>
    <w:pPr>
      <w:tabs>
        <w:tab w:val="center" w:pos="4819"/>
        <w:tab w:val="right" w:pos="9639"/>
      </w:tabs>
    </w:pPr>
  </w:style>
  <w:style w:type="character" w:customStyle="1" w:styleId="a8">
    <w:name w:val="Верхний колонтитул Знак"/>
    <w:basedOn w:val="a0"/>
    <w:link w:val="a7"/>
    <w:uiPriority w:val="99"/>
    <w:rsid w:val="007D395E"/>
    <w:rPr>
      <w:rFonts w:ascii="Times New Roman" w:eastAsia="Times New Roman" w:hAnsi="Times New Roman"/>
      <w:color w:val="auto"/>
      <w:kern w:val="0"/>
      <w:sz w:val="28"/>
      <w:szCs w:val="28"/>
      <w:lang w:val="ru-RU" w:eastAsia="ru-RU"/>
    </w:rPr>
  </w:style>
  <w:style w:type="paragraph" w:styleId="a9">
    <w:name w:val="footer"/>
    <w:basedOn w:val="a"/>
    <w:link w:val="aa"/>
    <w:uiPriority w:val="99"/>
    <w:unhideWhenUsed/>
    <w:rsid w:val="007D395E"/>
    <w:pPr>
      <w:tabs>
        <w:tab w:val="center" w:pos="4819"/>
        <w:tab w:val="right" w:pos="9639"/>
      </w:tabs>
    </w:pPr>
  </w:style>
  <w:style w:type="character" w:customStyle="1" w:styleId="aa">
    <w:name w:val="Нижний колонтитул Знак"/>
    <w:basedOn w:val="a0"/>
    <w:link w:val="a9"/>
    <w:uiPriority w:val="99"/>
    <w:rsid w:val="007D395E"/>
    <w:rPr>
      <w:rFonts w:ascii="Times New Roman" w:eastAsia="Times New Roman" w:hAnsi="Times New Roman"/>
      <w:color w:val="auto"/>
      <w:kern w:val="0"/>
      <w:sz w:val="28"/>
      <w:szCs w:val="28"/>
      <w:lang w:val="ru-RU" w:eastAsia="ru-RU"/>
    </w:rPr>
  </w:style>
  <w:style w:type="character" w:customStyle="1" w:styleId="apple-converted-space">
    <w:name w:val="apple-converted-space"/>
    <w:basedOn w:val="a0"/>
    <w:rsid w:val="00B9418E"/>
  </w:style>
  <w:style w:type="character" w:styleId="ab">
    <w:name w:val="Strong"/>
    <w:basedOn w:val="a0"/>
    <w:uiPriority w:val="22"/>
    <w:qFormat/>
    <w:rsid w:val="00B9418E"/>
    <w:rPr>
      <w:b/>
      <w:bCs/>
    </w:rPr>
  </w:style>
  <w:style w:type="paragraph" w:styleId="ac">
    <w:name w:val="Normal (Web)"/>
    <w:basedOn w:val="a"/>
    <w:uiPriority w:val="99"/>
    <w:unhideWhenUsed/>
    <w:rsid w:val="00B9418E"/>
    <w:pPr>
      <w:spacing w:before="100" w:beforeAutospacing="1" w:after="100" w:afterAutospacing="1"/>
    </w:pPr>
    <w:rPr>
      <w:sz w:val="24"/>
      <w:szCs w:val="24"/>
      <w:lang w:val="uk-UA" w:eastAsia="uk-UA"/>
    </w:rPr>
  </w:style>
  <w:style w:type="character" w:customStyle="1" w:styleId="11">
    <w:name w:val="Основной текст1"/>
    <w:basedOn w:val="a0"/>
    <w:rsid w:val="00B9418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3">
    <w:name w:val="Основной текст (2)"/>
    <w:basedOn w:val="a0"/>
    <w:rsid w:val="00B9418E"/>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31">
    <w:name w:val="Основной текст (3)"/>
    <w:basedOn w:val="a0"/>
    <w:rsid w:val="00B9418E"/>
    <w:rPr>
      <w:rFonts w:ascii="Arial" w:eastAsia="Arial" w:hAnsi="Arial" w:cs="Arial"/>
      <w:b/>
      <w:bCs/>
      <w:i/>
      <w:iCs/>
      <w:smallCaps w:val="0"/>
      <w:strike w:val="0"/>
      <w:color w:val="000000"/>
      <w:spacing w:val="0"/>
      <w:w w:val="100"/>
      <w:position w:val="0"/>
      <w:sz w:val="18"/>
      <w:szCs w:val="18"/>
      <w:u w:val="none"/>
      <w:lang w:val="uk-UA" w:eastAsia="uk-UA" w:bidi="uk-UA"/>
    </w:rPr>
  </w:style>
  <w:style w:type="character" w:styleId="ad">
    <w:name w:val="Hyperlink"/>
    <w:basedOn w:val="a0"/>
    <w:uiPriority w:val="99"/>
    <w:unhideWhenUsed/>
    <w:rsid w:val="00B9418E"/>
    <w:rPr>
      <w:color w:val="0000FF"/>
      <w:u w:val="single"/>
    </w:rPr>
  </w:style>
  <w:style w:type="paragraph" w:styleId="ae">
    <w:name w:val="List Paragraph"/>
    <w:basedOn w:val="a"/>
    <w:uiPriority w:val="34"/>
    <w:qFormat/>
    <w:rsid w:val="00631397"/>
    <w:pPr>
      <w:suppressAutoHyphens/>
      <w:spacing w:line="100" w:lineRule="atLeast"/>
      <w:ind w:left="720"/>
      <w:contextualSpacing/>
    </w:pPr>
    <w:rPr>
      <w:color w:val="00000A"/>
      <w:kern w:val="1"/>
      <w:sz w:val="24"/>
      <w:szCs w:val="24"/>
      <w:lang w:val="en-US" w:eastAsia="ar-SA"/>
    </w:rPr>
  </w:style>
  <w:style w:type="paragraph" w:customStyle="1" w:styleId="af">
    <w:name w:val="Без інтервалів"/>
    <w:qFormat/>
    <w:rsid w:val="003E4412"/>
    <w:pPr>
      <w:spacing w:after="0" w:line="240" w:lineRule="auto"/>
    </w:pPr>
    <w:rPr>
      <w:rFonts w:ascii="Calibri" w:eastAsia="Calibri" w:hAnsi="Calibri"/>
      <w:color w:val="auto"/>
      <w:kern w:val="0"/>
      <w:sz w:val="22"/>
      <w:szCs w:val="22"/>
      <w:lang w:val="ru-RU"/>
    </w:rPr>
  </w:style>
  <w:style w:type="character" w:customStyle="1" w:styleId="af0">
    <w:name w:val="Основной текст_"/>
    <w:basedOn w:val="a0"/>
    <w:link w:val="24"/>
    <w:rsid w:val="0050534F"/>
    <w:rPr>
      <w:rFonts w:ascii="Bookman Old Style" w:eastAsia="Bookman Old Style" w:hAnsi="Bookman Old Style" w:cs="Bookman Old Style"/>
      <w:sz w:val="17"/>
      <w:szCs w:val="17"/>
      <w:shd w:val="clear" w:color="auto" w:fill="FFFFFF"/>
    </w:rPr>
  </w:style>
  <w:style w:type="character" w:customStyle="1" w:styleId="Arial75pt">
    <w:name w:val="Основной текст + Arial;7;5 pt"/>
    <w:basedOn w:val="af0"/>
    <w:rsid w:val="0050534F"/>
    <w:rPr>
      <w:rFonts w:ascii="Arial" w:eastAsia="Arial" w:hAnsi="Arial" w:cs="Arial"/>
      <w:color w:val="000000"/>
      <w:spacing w:val="0"/>
      <w:w w:val="100"/>
      <w:position w:val="0"/>
      <w:sz w:val="15"/>
      <w:szCs w:val="15"/>
      <w:shd w:val="clear" w:color="auto" w:fill="FFFFFF"/>
      <w:lang w:val="uk-UA" w:eastAsia="uk-UA" w:bidi="uk-UA"/>
    </w:rPr>
  </w:style>
  <w:style w:type="paragraph" w:customStyle="1" w:styleId="24">
    <w:name w:val="Основной текст2"/>
    <w:basedOn w:val="a"/>
    <w:link w:val="af0"/>
    <w:rsid w:val="0050534F"/>
    <w:pPr>
      <w:widowControl w:val="0"/>
      <w:shd w:val="clear" w:color="auto" w:fill="FFFFFF"/>
      <w:spacing w:before="60" w:line="240" w:lineRule="exact"/>
      <w:jc w:val="both"/>
    </w:pPr>
    <w:rPr>
      <w:rFonts w:ascii="Bookman Old Style" w:eastAsia="Bookman Old Style" w:hAnsi="Bookman Old Style" w:cs="Bookman Old Style"/>
      <w:color w:val="000000"/>
      <w:kern w:val="11"/>
      <w:sz w:val="17"/>
      <w:szCs w:val="17"/>
      <w:lang w:val="uk-UA" w:eastAsia="en-US"/>
    </w:rPr>
  </w:style>
  <w:style w:type="paragraph" w:styleId="af1">
    <w:name w:val="Balloon Text"/>
    <w:basedOn w:val="a"/>
    <w:link w:val="af2"/>
    <w:uiPriority w:val="99"/>
    <w:semiHidden/>
    <w:unhideWhenUsed/>
    <w:rsid w:val="007F1E73"/>
    <w:rPr>
      <w:rFonts w:ascii="Tahoma" w:hAnsi="Tahoma" w:cs="Tahoma"/>
      <w:sz w:val="16"/>
      <w:szCs w:val="16"/>
    </w:rPr>
  </w:style>
  <w:style w:type="character" w:customStyle="1" w:styleId="af2">
    <w:name w:val="Текст выноски Знак"/>
    <w:basedOn w:val="a0"/>
    <w:link w:val="af1"/>
    <w:uiPriority w:val="99"/>
    <w:semiHidden/>
    <w:rsid w:val="007F1E73"/>
    <w:rPr>
      <w:rFonts w:ascii="Tahoma" w:eastAsia="Times New Roman" w:hAnsi="Tahoma" w:cs="Tahoma"/>
      <w:color w:val="auto"/>
      <w:kern w:val="0"/>
      <w:sz w:val="16"/>
      <w:szCs w:val="16"/>
      <w:lang w:val="ru-RU" w:eastAsia="ru-RU"/>
    </w:rPr>
  </w:style>
  <w:style w:type="paragraph" w:customStyle="1" w:styleId="12">
    <w:name w:val="Обычный1"/>
    <w:rsid w:val="00003310"/>
    <w:pPr>
      <w:spacing w:before="100" w:after="100" w:line="240" w:lineRule="auto"/>
    </w:pPr>
    <w:rPr>
      <w:rFonts w:ascii="Times New Roman" w:eastAsia="Times New Roman" w:hAnsi="Times New Roman"/>
      <w:snapToGrid w:val="0"/>
      <w:color w:val="auto"/>
      <w:kern w:val="0"/>
      <w:sz w:val="24"/>
      <w:szCs w:val="20"/>
      <w:lang w:val="ru-RU" w:eastAsia="ru-RU"/>
    </w:rPr>
  </w:style>
  <w:style w:type="paragraph" w:customStyle="1" w:styleId="13">
    <w:name w:val="Абзац списка1"/>
    <w:basedOn w:val="a"/>
    <w:rsid w:val="002613E0"/>
    <w:pPr>
      <w:suppressAutoHyphens/>
      <w:spacing w:line="100" w:lineRule="atLeast"/>
      <w:ind w:left="720"/>
    </w:pPr>
    <w:rPr>
      <w:color w:val="00000A"/>
      <w:kern w:val="1"/>
      <w:sz w:val="24"/>
      <w:szCs w:val="24"/>
      <w:lang w:val="en-US" w:eastAsia="ar-SA"/>
    </w:rPr>
  </w:style>
  <w:style w:type="paragraph" w:customStyle="1" w:styleId="25">
    <w:name w:val="Абзац списка2"/>
    <w:basedOn w:val="a"/>
    <w:rsid w:val="00A86440"/>
    <w:pPr>
      <w:suppressAutoHyphens/>
      <w:spacing w:line="100" w:lineRule="atLeast"/>
      <w:ind w:left="720"/>
    </w:pPr>
    <w:rPr>
      <w:color w:val="00000A"/>
      <w:kern w:val="1"/>
      <w:sz w:val="24"/>
      <w:szCs w:val="24"/>
      <w:lang w:val="en-US" w:eastAsia="ar-SA"/>
    </w:rPr>
  </w:style>
  <w:style w:type="character" w:customStyle="1" w:styleId="af3">
    <w:name w:val="Основной текст + Малые прописные"/>
    <w:basedOn w:val="af0"/>
    <w:rsid w:val="00D51600"/>
    <w:rPr>
      <w:rFonts w:ascii="Times New Roman" w:eastAsia="Times New Roman" w:hAnsi="Times New Roman" w:cs="Times New Roman"/>
      <w:b w:val="0"/>
      <w:bCs w:val="0"/>
      <w:i w:val="0"/>
      <w:iCs w:val="0"/>
      <w:smallCaps/>
      <w:dstrike/>
      <w:color w:val="000000"/>
      <w:spacing w:val="0"/>
      <w:w w:val="100"/>
      <w:sz w:val="19"/>
      <w:szCs w:val="19"/>
      <w:u w:val="none"/>
      <w:shd w:val="clear" w:color="auto" w:fill="FFFFFF"/>
      <w:lang w:val="uk-UA" w:eastAsia="uk-UA" w:bidi="uk-UA"/>
    </w:rPr>
  </w:style>
  <w:style w:type="paragraph" w:customStyle="1" w:styleId="32">
    <w:name w:val="Абзац списка3"/>
    <w:basedOn w:val="a"/>
    <w:rsid w:val="00F23184"/>
    <w:pPr>
      <w:suppressAutoHyphens/>
      <w:spacing w:line="100" w:lineRule="atLeast"/>
      <w:ind w:left="720"/>
    </w:pPr>
    <w:rPr>
      <w:color w:val="00000A"/>
      <w:kern w:val="1"/>
      <w:sz w:val="24"/>
      <w:szCs w:val="24"/>
      <w:lang w:val="en-US" w:eastAsia="ar-SA"/>
    </w:rPr>
  </w:style>
  <w:style w:type="paragraph" w:styleId="26">
    <w:name w:val="Body Text Indent 2"/>
    <w:basedOn w:val="a"/>
    <w:link w:val="27"/>
    <w:uiPriority w:val="99"/>
    <w:unhideWhenUsed/>
    <w:rsid w:val="00F57B44"/>
    <w:pPr>
      <w:spacing w:after="120" w:line="480" w:lineRule="auto"/>
      <w:ind w:left="283"/>
    </w:pPr>
    <w:rPr>
      <w:szCs w:val="24"/>
    </w:rPr>
  </w:style>
  <w:style w:type="character" w:customStyle="1" w:styleId="27">
    <w:name w:val="Основной текст с отступом 2 Знак"/>
    <w:basedOn w:val="a0"/>
    <w:link w:val="26"/>
    <w:uiPriority w:val="99"/>
    <w:rsid w:val="00F57B44"/>
    <w:rPr>
      <w:rFonts w:ascii="Times New Roman" w:eastAsia="Times New Roman" w:hAnsi="Times New Roman"/>
      <w:color w:val="auto"/>
      <w:kern w:val="0"/>
      <w:sz w:val="28"/>
      <w:szCs w:val="24"/>
      <w:lang w:val="ru-RU" w:eastAsia="ru-RU"/>
    </w:rPr>
  </w:style>
  <w:style w:type="paragraph" w:customStyle="1" w:styleId="af4">
    <w:name w:val="Îñíîâíîé òåêñò ñ îòñòóïîì"/>
    <w:basedOn w:val="a"/>
    <w:rsid w:val="00F57B44"/>
    <w:pPr>
      <w:widowControl w:val="0"/>
      <w:overflowPunct w:val="0"/>
      <w:autoSpaceDE w:val="0"/>
      <w:autoSpaceDN w:val="0"/>
      <w:adjustRightInd w:val="0"/>
      <w:ind w:firstLine="851"/>
      <w:jc w:val="both"/>
      <w:textAlignment w:val="baseline"/>
    </w:pPr>
    <w:rPr>
      <w:szCs w:val="20"/>
      <w:lang w:val="uk-UA"/>
    </w:rPr>
  </w:style>
  <w:style w:type="character" w:customStyle="1" w:styleId="hps">
    <w:name w:val="hps"/>
    <w:basedOn w:val="a0"/>
    <w:rsid w:val="00101201"/>
  </w:style>
  <w:style w:type="table" w:styleId="af5">
    <w:name w:val="Table Grid"/>
    <w:basedOn w:val="a1"/>
    <w:uiPriority w:val="59"/>
    <w:rsid w:val="00AF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FC41E6"/>
    <w:pPr>
      <w:widowControl w:val="0"/>
      <w:jc w:val="both"/>
    </w:pPr>
    <w:rPr>
      <w:sz w:val="24"/>
      <w:szCs w:val="20"/>
    </w:rPr>
  </w:style>
  <w:style w:type="character" w:styleId="af6">
    <w:name w:val="annotation reference"/>
    <w:basedOn w:val="a0"/>
    <w:uiPriority w:val="99"/>
    <w:semiHidden/>
    <w:unhideWhenUsed/>
    <w:rsid w:val="00E762E5"/>
    <w:rPr>
      <w:sz w:val="16"/>
      <w:szCs w:val="16"/>
    </w:rPr>
  </w:style>
  <w:style w:type="paragraph" w:styleId="af7">
    <w:name w:val="annotation text"/>
    <w:basedOn w:val="a"/>
    <w:link w:val="af8"/>
    <w:uiPriority w:val="99"/>
    <w:semiHidden/>
    <w:unhideWhenUsed/>
    <w:rsid w:val="00E762E5"/>
    <w:rPr>
      <w:sz w:val="20"/>
      <w:szCs w:val="20"/>
    </w:rPr>
  </w:style>
  <w:style w:type="character" w:customStyle="1" w:styleId="af8">
    <w:name w:val="Текст примечания Знак"/>
    <w:basedOn w:val="a0"/>
    <w:link w:val="af7"/>
    <w:uiPriority w:val="99"/>
    <w:semiHidden/>
    <w:rsid w:val="00E762E5"/>
    <w:rPr>
      <w:rFonts w:ascii="Times New Roman" w:eastAsia="Times New Roman" w:hAnsi="Times New Roman"/>
      <w:color w:val="auto"/>
      <w:kern w:val="0"/>
      <w:sz w:val="20"/>
      <w:szCs w:val="20"/>
      <w:lang w:val="ru-RU" w:eastAsia="ru-RU"/>
    </w:rPr>
  </w:style>
  <w:style w:type="paragraph" w:styleId="af9">
    <w:name w:val="annotation subject"/>
    <w:basedOn w:val="af7"/>
    <w:next w:val="af7"/>
    <w:link w:val="afa"/>
    <w:uiPriority w:val="99"/>
    <w:semiHidden/>
    <w:unhideWhenUsed/>
    <w:rsid w:val="00E762E5"/>
    <w:rPr>
      <w:b/>
      <w:bCs/>
    </w:rPr>
  </w:style>
  <w:style w:type="character" w:customStyle="1" w:styleId="afa">
    <w:name w:val="Тема примечания Знак"/>
    <w:basedOn w:val="af8"/>
    <w:link w:val="af9"/>
    <w:uiPriority w:val="99"/>
    <w:semiHidden/>
    <w:rsid w:val="00E762E5"/>
    <w:rPr>
      <w:rFonts w:ascii="Times New Roman" w:eastAsia="Times New Roman" w:hAnsi="Times New Roman"/>
      <w:b/>
      <w:bCs/>
      <w:color w:val="auto"/>
      <w:kern w:val="0"/>
      <w:sz w:val="20"/>
      <w:szCs w:val="20"/>
      <w:lang w:val="ru-RU" w:eastAsia="ru-RU"/>
    </w:rPr>
  </w:style>
  <w:style w:type="paragraph" w:styleId="afb">
    <w:name w:val="No Spacing"/>
    <w:uiPriority w:val="1"/>
    <w:qFormat/>
    <w:rsid w:val="00305CEB"/>
    <w:pPr>
      <w:spacing w:after="0" w:line="240" w:lineRule="auto"/>
    </w:pPr>
    <w:rPr>
      <w:rFonts w:ascii="Times New Roman" w:eastAsia="Times New Roman" w:hAnsi="Times New Roman"/>
      <w:color w:val="auto"/>
      <w:kern w:val="0"/>
      <w:sz w:val="28"/>
      <w:szCs w:val="28"/>
      <w:lang w:val="ru-RU" w:eastAsia="ru-RU"/>
    </w:rPr>
  </w:style>
  <w:style w:type="character" w:customStyle="1" w:styleId="10">
    <w:name w:val="Заголовок 1 Знак"/>
    <w:basedOn w:val="a0"/>
    <w:link w:val="1"/>
    <w:uiPriority w:val="9"/>
    <w:rsid w:val="00305CEB"/>
    <w:rPr>
      <w:rFonts w:ascii="Times New Roman" w:eastAsia="Times New Roman" w:hAnsi="Times New Roman"/>
      <w:b/>
      <w:bCs/>
      <w:color w:val="auto"/>
      <w:kern w:val="36"/>
      <w:sz w:val="48"/>
      <w:szCs w:val="48"/>
      <w:lang w:eastAsia="uk-UA"/>
    </w:rPr>
  </w:style>
  <w:style w:type="character" w:customStyle="1" w:styleId="20">
    <w:name w:val="Заголовок 2 Знак"/>
    <w:basedOn w:val="a0"/>
    <w:link w:val="2"/>
    <w:uiPriority w:val="9"/>
    <w:semiHidden/>
    <w:rsid w:val="00305C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05CEB"/>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305CEB"/>
    <w:rPr>
      <w:rFonts w:asciiTheme="majorHAnsi" w:eastAsiaTheme="majorEastAsia" w:hAnsiTheme="majorHAnsi" w:cstheme="majorBidi"/>
      <w:color w:val="404040" w:themeColor="text1" w:themeTint="BF"/>
      <w:sz w:val="20"/>
      <w:szCs w:val="20"/>
    </w:rPr>
  </w:style>
  <w:style w:type="numbering" w:customStyle="1" w:styleId="14">
    <w:name w:val="Нет списка1"/>
    <w:next w:val="a2"/>
    <w:uiPriority w:val="99"/>
    <w:semiHidden/>
    <w:unhideWhenUsed/>
    <w:rsid w:val="00305CEB"/>
  </w:style>
  <w:style w:type="character" w:styleId="afc">
    <w:name w:val="Emphasis"/>
    <w:basedOn w:val="a0"/>
    <w:uiPriority w:val="20"/>
    <w:qFormat/>
    <w:rsid w:val="00305CEB"/>
    <w:rPr>
      <w:i/>
      <w:iCs/>
    </w:rPr>
  </w:style>
  <w:style w:type="character" w:customStyle="1" w:styleId="ref-journal">
    <w:name w:val="ref-journal"/>
    <w:basedOn w:val="a0"/>
    <w:rsid w:val="00305CEB"/>
  </w:style>
  <w:style w:type="character" w:customStyle="1" w:styleId="ref-vol">
    <w:name w:val="ref-vol"/>
    <w:basedOn w:val="a0"/>
    <w:rsid w:val="00305CEB"/>
  </w:style>
  <w:style w:type="character" w:customStyle="1" w:styleId="hl">
    <w:name w:val="hl"/>
    <w:basedOn w:val="a0"/>
    <w:rsid w:val="00305CEB"/>
  </w:style>
  <w:style w:type="character" w:customStyle="1" w:styleId="5">
    <w:name w:val="Основной текст (5)_"/>
    <w:basedOn w:val="a0"/>
    <w:rsid w:val="00305CEB"/>
    <w:rPr>
      <w:rFonts w:ascii="Bookman Old Style" w:eastAsia="Bookman Old Style" w:hAnsi="Bookman Old Style" w:cs="Bookman Old Style"/>
      <w:b w:val="0"/>
      <w:bCs w:val="0"/>
      <w:i w:val="0"/>
      <w:iCs w:val="0"/>
      <w:smallCaps w:val="0"/>
      <w:strike w:val="0"/>
      <w:sz w:val="16"/>
      <w:szCs w:val="16"/>
      <w:u w:val="none"/>
    </w:rPr>
  </w:style>
  <w:style w:type="character" w:customStyle="1" w:styleId="50">
    <w:name w:val="Основной текст (5)"/>
    <w:basedOn w:val="5"/>
    <w:rsid w:val="00305CE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uk-UA" w:eastAsia="uk-UA" w:bidi="uk-UA"/>
    </w:rPr>
  </w:style>
  <w:style w:type="paragraph" w:customStyle="1" w:styleId="15">
    <w:name w:val="Название1"/>
    <w:basedOn w:val="a"/>
    <w:rsid w:val="00305CEB"/>
    <w:pPr>
      <w:spacing w:before="100" w:beforeAutospacing="1" w:after="100" w:afterAutospacing="1"/>
    </w:pPr>
    <w:rPr>
      <w:sz w:val="24"/>
      <w:szCs w:val="24"/>
      <w:lang w:val="uk-UA" w:eastAsia="uk-UA"/>
    </w:rPr>
  </w:style>
  <w:style w:type="character" w:customStyle="1" w:styleId="jrnl">
    <w:name w:val="jrnl"/>
    <w:basedOn w:val="a0"/>
    <w:rsid w:val="00305CEB"/>
  </w:style>
  <w:style w:type="character" w:customStyle="1" w:styleId="journal">
    <w:name w:val="journal"/>
    <w:basedOn w:val="a0"/>
    <w:rsid w:val="00305CEB"/>
  </w:style>
  <w:style w:type="character" w:customStyle="1" w:styleId="jnumber">
    <w:name w:val="jnumber"/>
    <w:basedOn w:val="a0"/>
    <w:rsid w:val="00305CEB"/>
  </w:style>
  <w:style w:type="character" w:customStyle="1" w:styleId="16">
    <w:name w:val="Основной шрифт абзаца1"/>
    <w:rsid w:val="00305CEB"/>
  </w:style>
  <w:style w:type="character" w:customStyle="1" w:styleId="name">
    <w:name w:val="name"/>
    <w:basedOn w:val="a0"/>
    <w:rsid w:val="00305CEB"/>
  </w:style>
  <w:style w:type="character" w:styleId="HTML">
    <w:name w:val="HTML Cite"/>
    <w:basedOn w:val="a0"/>
    <w:uiPriority w:val="99"/>
    <w:semiHidden/>
    <w:unhideWhenUsed/>
    <w:rsid w:val="00305CEB"/>
    <w:rPr>
      <w:i/>
      <w:iCs/>
    </w:rPr>
  </w:style>
  <w:style w:type="character" w:customStyle="1" w:styleId="slug-pub-date">
    <w:name w:val="slug-pub-date"/>
    <w:basedOn w:val="a0"/>
    <w:rsid w:val="00305CEB"/>
  </w:style>
  <w:style w:type="character" w:customStyle="1" w:styleId="slug-vol">
    <w:name w:val="slug-vol"/>
    <w:basedOn w:val="a0"/>
    <w:rsid w:val="00305CEB"/>
  </w:style>
  <w:style w:type="character" w:customStyle="1" w:styleId="slug-issue">
    <w:name w:val="slug-issue"/>
    <w:basedOn w:val="a0"/>
    <w:rsid w:val="00305CEB"/>
  </w:style>
  <w:style w:type="character" w:customStyle="1" w:styleId="slug-pages">
    <w:name w:val="slug-pages"/>
    <w:basedOn w:val="a0"/>
    <w:rsid w:val="00305CEB"/>
  </w:style>
  <w:style w:type="paragraph" w:customStyle="1" w:styleId="Default">
    <w:name w:val="Default"/>
    <w:rsid w:val="00305CEB"/>
    <w:pPr>
      <w:autoSpaceDE w:val="0"/>
      <w:autoSpaceDN w:val="0"/>
      <w:adjustRightInd w:val="0"/>
      <w:spacing w:after="0" w:line="240" w:lineRule="auto"/>
    </w:pPr>
    <w:rPr>
      <w:rFonts w:ascii="Times New Roman" w:hAnsi="Times New Roman"/>
      <w:kern w:val="0"/>
      <w:sz w:val="24"/>
      <w:szCs w:val="24"/>
    </w:rPr>
  </w:style>
  <w:style w:type="character" w:styleId="afd">
    <w:name w:val="FollowedHyperlink"/>
    <w:basedOn w:val="a0"/>
    <w:uiPriority w:val="99"/>
    <w:semiHidden/>
    <w:unhideWhenUsed/>
    <w:rsid w:val="00305CEB"/>
    <w:rPr>
      <w:color w:val="800080" w:themeColor="followedHyperlink"/>
      <w:u w:val="single"/>
    </w:rPr>
  </w:style>
  <w:style w:type="paragraph" w:styleId="afe">
    <w:name w:val="Body Text"/>
    <w:basedOn w:val="a"/>
    <w:link w:val="aff"/>
    <w:uiPriority w:val="99"/>
    <w:rsid w:val="00305CEB"/>
    <w:pPr>
      <w:autoSpaceDE w:val="0"/>
      <w:autoSpaceDN w:val="0"/>
      <w:spacing w:after="120"/>
    </w:pPr>
    <w:rPr>
      <w:rFonts w:eastAsiaTheme="minorEastAsia"/>
      <w:sz w:val="20"/>
      <w:szCs w:val="20"/>
      <w:lang w:eastAsia="uk-UA"/>
    </w:rPr>
  </w:style>
  <w:style w:type="character" w:customStyle="1" w:styleId="aff">
    <w:name w:val="Основной текст Знак"/>
    <w:basedOn w:val="a0"/>
    <w:link w:val="afe"/>
    <w:uiPriority w:val="99"/>
    <w:rsid w:val="00305CEB"/>
    <w:rPr>
      <w:rFonts w:ascii="Times New Roman" w:eastAsiaTheme="minorEastAsia" w:hAnsi="Times New Roman"/>
      <w:color w:val="auto"/>
      <w:kern w:val="0"/>
      <w:sz w:val="20"/>
      <w:szCs w:val="20"/>
      <w:lang w:val="ru-RU" w:eastAsia="uk-UA"/>
    </w:rPr>
  </w:style>
  <w:style w:type="character" w:customStyle="1" w:styleId="label">
    <w:name w:val="label"/>
    <w:basedOn w:val="a0"/>
    <w:rsid w:val="00305CEB"/>
  </w:style>
  <w:style w:type="numbering" w:customStyle="1" w:styleId="28">
    <w:name w:val="Нет списка2"/>
    <w:next w:val="a2"/>
    <w:uiPriority w:val="99"/>
    <w:semiHidden/>
    <w:unhideWhenUsed/>
    <w:rsid w:val="008E7C2F"/>
  </w:style>
  <w:style w:type="numbering" w:customStyle="1" w:styleId="110">
    <w:name w:val="Нет списка11"/>
    <w:next w:val="a2"/>
    <w:uiPriority w:val="99"/>
    <w:semiHidden/>
    <w:unhideWhenUsed/>
    <w:rsid w:val="008E7C2F"/>
  </w:style>
  <w:style w:type="numbering" w:customStyle="1" w:styleId="111">
    <w:name w:val="Нет списка111"/>
    <w:next w:val="a2"/>
    <w:uiPriority w:val="99"/>
    <w:semiHidden/>
    <w:unhideWhenUsed/>
    <w:rsid w:val="008E7C2F"/>
  </w:style>
  <w:style w:type="character" w:styleId="aff0">
    <w:name w:val="Placeholder Text"/>
    <w:basedOn w:val="a0"/>
    <w:uiPriority w:val="99"/>
    <w:semiHidden/>
    <w:rsid w:val="00236882"/>
    <w:rPr>
      <w:color w:val="808080"/>
    </w:rPr>
  </w:style>
  <w:style w:type="numbering" w:customStyle="1" w:styleId="33">
    <w:name w:val="Нет списка3"/>
    <w:next w:val="a2"/>
    <w:uiPriority w:val="99"/>
    <w:semiHidden/>
    <w:unhideWhenUsed/>
    <w:rsid w:val="005107A1"/>
  </w:style>
  <w:style w:type="paragraph" w:customStyle="1" w:styleId="211">
    <w:name w:val="Заголовок 21"/>
    <w:basedOn w:val="a"/>
    <w:next w:val="a"/>
    <w:uiPriority w:val="9"/>
    <w:semiHidden/>
    <w:unhideWhenUsed/>
    <w:qFormat/>
    <w:rsid w:val="005107A1"/>
    <w:pPr>
      <w:keepNext/>
      <w:keepLines/>
      <w:spacing w:before="200" w:line="276" w:lineRule="auto"/>
      <w:outlineLvl w:val="1"/>
    </w:pPr>
    <w:rPr>
      <w:rFonts w:ascii="Cambria" w:hAnsi="Cambria"/>
      <w:b/>
      <w:bCs/>
      <w:color w:val="4F81BD"/>
      <w:kern w:val="11"/>
      <w:sz w:val="26"/>
      <w:szCs w:val="26"/>
      <w:lang w:val="uk-UA" w:eastAsia="en-US"/>
    </w:rPr>
  </w:style>
  <w:style w:type="paragraph" w:customStyle="1" w:styleId="310">
    <w:name w:val="Заголовок 31"/>
    <w:basedOn w:val="a"/>
    <w:next w:val="a"/>
    <w:uiPriority w:val="9"/>
    <w:semiHidden/>
    <w:unhideWhenUsed/>
    <w:qFormat/>
    <w:rsid w:val="005107A1"/>
    <w:pPr>
      <w:keepNext/>
      <w:keepLines/>
      <w:spacing w:before="200" w:line="276" w:lineRule="auto"/>
      <w:outlineLvl w:val="2"/>
    </w:pPr>
    <w:rPr>
      <w:rFonts w:ascii="Cambria" w:hAnsi="Cambria"/>
      <w:b/>
      <w:bCs/>
      <w:color w:val="4F81BD"/>
      <w:kern w:val="11"/>
      <w:sz w:val="11"/>
      <w:szCs w:val="11"/>
      <w:lang w:val="uk-UA" w:eastAsia="en-US"/>
    </w:rPr>
  </w:style>
  <w:style w:type="paragraph" w:customStyle="1" w:styleId="81">
    <w:name w:val="Заголовок 81"/>
    <w:basedOn w:val="a"/>
    <w:next w:val="a"/>
    <w:uiPriority w:val="9"/>
    <w:semiHidden/>
    <w:unhideWhenUsed/>
    <w:qFormat/>
    <w:rsid w:val="005107A1"/>
    <w:pPr>
      <w:keepNext/>
      <w:keepLines/>
      <w:spacing w:before="200" w:line="276" w:lineRule="auto"/>
      <w:outlineLvl w:val="7"/>
    </w:pPr>
    <w:rPr>
      <w:rFonts w:ascii="Cambria" w:hAnsi="Cambria"/>
      <w:color w:val="404040"/>
      <w:kern w:val="11"/>
      <w:sz w:val="20"/>
      <w:szCs w:val="20"/>
      <w:lang w:val="uk-UA" w:eastAsia="en-US"/>
    </w:rPr>
  </w:style>
  <w:style w:type="numbering" w:customStyle="1" w:styleId="120">
    <w:name w:val="Нет списка12"/>
    <w:next w:val="a2"/>
    <w:uiPriority w:val="99"/>
    <w:semiHidden/>
    <w:unhideWhenUsed/>
    <w:rsid w:val="005107A1"/>
  </w:style>
  <w:style w:type="table" w:customStyle="1" w:styleId="17">
    <w:name w:val="Сетка таблицы1"/>
    <w:basedOn w:val="a1"/>
    <w:next w:val="af5"/>
    <w:uiPriority w:val="59"/>
    <w:rsid w:val="005107A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107A1"/>
  </w:style>
  <w:style w:type="character" w:customStyle="1" w:styleId="18">
    <w:name w:val="Просмотренная гиперссылка1"/>
    <w:basedOn w:val="a0"/>
    <w:uiPriority w:val="99"/>
    <w:semiHidden/>
    <w:unhideWhenUsed/>
    <w:rsid w:val="005107A1"/>
    <w:rPr>
      <w:color w:val="800080"/>
      <w:u w:val="single"/>
    </w:rPr>
  </w:style>
  <w:style w:type="paragraph" w:customStyle="1" w:styleId="34">
    <w:name w:val="Основной текст3"/>
    <w:basedOn w:val="a"/>
    <w:next w:val="afe"/>
    <w:uiPriority w:val="99"/>
    <w:rsid w:val="005107A1"/>
    <w:pPr>
      <w:autoSpaceDE w:val="0"/>
      <w:autoSpaceDN w:val="0"/>
      <w:spacing w:after="120"/>
    </w:pPr>
    <w:rPr>
      <w:sz w:val="20"/>
      <w:szCs w:val="20"/>
      <w:lang w:eastAsia="uk-UA"/>
    </w:rPr>
  </w:style>
  <w:style w:type="numbering" w:customStyle="1" w:styleId="212">
    <w:name w:val="Нет списка21"/>
    <w:next w:val="a2"/>
    <w:uiPriority w:val="99"/>
    <w:semiHidden/>
    <w:unhideWhenUsed/>
    <w:rsid w:val="005107A1"/>
  </w:style>
  <w:style w:type="numbering" w:customStyle="1" w:styleId="1111">
    <w:name w:val="Нет списка1111"/>
    <w:next w:val="a2"/>
    <w:uiPriority w:val="99"/>
    <w:semiHidden/>
    <w:unhideWhenUsed/>
    <w:rsid w:val="005107A1"/>
  </w:style>
  <w:style w:type="numbering" w:customStyle="1" w:styleId="11111">
    <w:name w:val="Нет списка11111"/>
    <w:next w:val="a2"/>
    <w:uiPriority w:val="99"/>
    <w:semiHidden/>
    <w:unhideWhenUsed/>
    <w:rsid w:val="005107A1"/>
  </w:style>
  <w:style w:type="character" w:customStyle="1" w:styleId="213">
    <w:name w:val="Заголовок 2 Знак1"/>
    <w:basedOn w:val="a0"/>
    <w:uiPriority w:val="9"/>
    <w:semiHidden/>
    <w:rsid w:val="005107A1"/>
    <w:rPr>
      <w:rFonts w:ascii="Cambria" w:eastAsia="Times New Roman" w:hAnsi="Cambria" w:cs="Times New Roman"/>
      <w:b/>
      <w:bCs/>
      <w:color w:val="4F81BD"/>
      <w:spacing w:val="-20"/>
      <w:sz w:val="26"/>
      <w:szCs w:val="26"/>
      <w:lang w:val="ru-RU"/>
    </w:rPr>
  </w:style>
  <w:style w:type="character" w:customStyle="1" w:styleId="311">
    <w:name w:val="Заголовок 3 Знак1"/>
    <w:basedOn w:val="a0"/>
    <w:uiPriority w:val="9"/>
    <w:semiHidden/>
    <w:rsid w:val="005107A1"/>
    <w:rPr>
      <w:rFonts w:ascii="Cambria" w:eastAsia="Times New Roman" w:hAnsi="Cambria" w:cs="Times New Roman"/>
      <w:b/>
      <w:bCs/>
      <w:color w:val="4F81BD"/>
      <w:spacing w:val="-20"/>
      <w:sz w:val="28"/>
      <w:szCs w:val="28"/>
      <w:lang w:val="ru-RU"/>
    </w:rPr>
  </w:style>
  <w:style w:type="character" w:customStyle="1" w:styleId="810">
    <w:name w:val="Заголовок 8 Знак1"/>
    <w:basedOn w:val="a0"/>
    <w:uiPriority w:val="9"/>
    <w:semiHidden/>
    <w:rsid w:val="005107A1"/>
    <w:rPr>
      <w:rFonts w:ascii="Cambria" w:eastAsia="Times New Roman" w:hAnsi="Cambria" w:cs="Times New Roman"/>
      <w:color w:val="404040"/>
      <w:spacing w:val="-20"/>
      <w:sz w:val="20"/>
      <w:szCs w:val="20"/>
      <w:lang w:val="ru-RU"/>
    </w:rPr>
  </w:style>
  <w:style w:type="character" w:customStyle="1" w:styleId="19">
    <w:name w:val="Основной текст Знак1"/>
    <w:basedOn w:val="a0"/>
    <w:uiPriority w:val="99"/>
    <w:semiHidden/>
    <w:rsid w:val="005107A1"/>
    <w:rPr>
      <w:rFonts w:ascii="Times New Roman" w:hAnsi="Times New Roman"/>
      <w:spacing w:val="-2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color w:val="000000"/>
        <w:kern w:val="11"/>
        <w:sz w:val="11"/>
        <w:szCs w:val="11"/>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CA"/>
    <w:pPr>
      <w:spacing w:after="0" w:line="240" w:lineRule="auto"/>
    </w:pPr>
    <w:rPr>
      <w:rFonts w:ascii="Times New Roman" w:eastAsia="Times New Roman" w:hAnsi="Times New Roman"/>
      <w:color w:val="auto"/>
      <w:kern w:val="0"/>
      <w:sz w:val="28"/>
      <w:szCs w:val="28"/>
      <w:lang w:val="ru-RU" w:eastAsia="ru-RU"/>
    </w:rPr>
  </w:style>
  <w:style w:type="paragraph" w:styleId="1">
    <w:name w:val="heading 1"/>
    <w:basedOn w:val="a"/>
    <w:link w:val="10"/>
    <w:uiPriority w:val="9"/>
    <w:qFormat/>
    <w:rsid w:val="00305CEB"/>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305CEB"/>
    <w:pPr>
      <w:keepNext/>
      <w:keepLines/>
      <w:spacing w:before="200" w:line="276" w:lineRule="auto"/>
      <w:outlineLvl w:val="1"/>
    </w:pPr>
    <w:rPr>
      <w:rFonts w:asciiTheme="majorHAnsi" w:eastAsiaTheme="majorEastAsia" w:hAnsiTheme="majorHAnsi" w:cstheme="majorBidi"/>
      <w:b/>
      <w:bCs/>
      <w:color w:val="4F81BD" w:themeColor="accent1"/>
      <w:kern w:val="11"/>
      <w:sz w:val="26"/>
      <w:szCs w:val="26"/>
      <w:lang w:val="uk-UA" w:eastAsia="en-US"/>
    </w:rPr>
  </w:style>
  <w:style w:type="paragraph" w:styleId="3">
    <w:name w:val="heading 3"/>
    <w:basedOn w:val="a"/>
    <w:next w:val="a"/>
    <w:link w:val="30"/>
    <w:uiPriority w:val="9"/>
    <w:semiHidden/>
    <w:unhideWhenUsed/>
    <w:qFormat/>
    <w:rsid w:val="00305CEB"/>
    <w:pPr>
      <w:keepNext/>
      <w:keepLines/>
      <w:spacing w:before="200" w:line="276" w:lineRule="auto"/>
      <w:outlineLvl w:val="2"/>
    </w:pPr>
    <w:rPr>
      <w:rFonts w:asciiTheme="majorHAnsi" w:eastAsiaTheme="majorEastAsia" w:hAnsiTheme="majorHAnsi" w:cstheme="majorBidi"/>
      <w:b/>
      <w:bCs/>
      <w:color w:val="4F81BD" w:themeColor="accent1"/>
      <w:kern w:val="11"/>
      <w:sz w:val="11"/>
      <w:szCs w:val="11"/>
      <w:lang w:val="uk-UA" w:eastAsia="en-US"/>
    </w:rPr>
  </w:style>
  <w:style w:type="paragraph" w:styleId="8">
    <w:name w:val="heading 8"/>
    <w:basedOn w:val="a"/>
    <w:next w:val="a"/>
    <w:link w:val="80"/>
    <w:uiPriority w:val="9"/>
    <w:semiHidden/>
    <w:unhideWhenUsed/>
    <w:qFormat/>
    <w:rsid w:val="00305CEB"/>
    <w:pPr>
      <w:keepNext/>
      <w:keepLines/>
      <w:spacing w:before="200" w:line="276" w:lineRule="auto"/>
      <w:outlineLvl w:val="7"/>
    </w:pPr>
    <w:rPr>
      <w:rFonts w:asciiTheme="majorHAnsi" w:eastAsiaTheme="majorEastAsia" w:hAnsiTheme="majorHAnsi" w:cstheme="majorBidi"/>
      <w:color w:val="404040" w:themeColor="text1" w:themeTint="BF"/>
      <w:kern w:val="11"/>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5F48EF"/>
    <w:pPr>
      <w:spacing w:line="360" w:lineRule="auto"/>
      <w:ind w:firstLine="709"/>
      <w:jc w:val="both"/>
    </w:pPr>
    <w:rPr>
      <w:lang w:val="uk-UA"/>
    </w:rPr>
  </w:style>
  <w:style w:type="character" w:customStyle="1" w:styleId="22">
    <w:name w:val="Основной текст 2 Знак"/>
    <w:basedOn w:val="a0"/>
    <w:link w:val="21"/>
    <w:rsid w:val="005F48EF"/>
    <w:rPr>
      <w:rFonts w:ascii="Times New Roman" w:eastAsia="Times New Roman" w:hAnsi="Times New Roman"/>
      <w:color w:val="auto"/>
      <w:kern w:val="0"/>
      <w:sz w:val="28"/>
      <w:szCs w:val="28"/>
      <w:lang w:eastAsia="ru-RU"/>
    </w:rPr>
  </w:style>
  <w:style w:type="paragraph" w:styleId="a3">
    <w:name w:val="Body Text Indent"/>
    <w:basedOn w:val="a"/>
    <w:link w:val="a4"/>
    <w:uiPriority w:val="99"/>
    <w:rsid w:val="005F48EF"/>
    <w:pPr>
      <w:spacing w:after="120"/>
      <w:ind w:left="283"/>
    </w:pPr>
  </w:style>
  <w:style w:type="character" w:customStyle="1" w:styleId="a4">
    <w:name w:val="Основной текст с отступом Знак"/>
    <w:basedOn w:val="a0"/>
    <w:link w:val="a3"/>
    <w:uiPriority w:val="99"/>
    <w:rsid w:val="005F48EF"/>
    <w:rPr>
      <w:rFonts w:ascii="Times New Roman" w:eastAsia="Times New Roman" w:hAnsi="Times New Roman"/>
      <w:color w:val="auto"/>
      <w:kern w:val="0"/>
      <w:sz w:val="28"/>
      <w:szCs w:val="28"/>
      <w:lang w:val="ru-RU" w:eastAsia="ru-RU"/>
    </w:rPr>
  </w:style>
  <w:style w:type="paragraph" w:styleId="a5">
    <w:name w:val="Title"/>
    <w:basedOn w:val="a"/>
    <w:link w:val="a6"/>
    <w:qFormat/>
    <w:rsid w:val="005F48EF"/>
    <w:pPr>
      <w:spacing w:line="360" w:lineRule="auto"/>
      <w:ind w:left="-1701" w:right="-851"/>
      <w:jc w:val="center"/>
    </w:pPr>
    <w:rPr>
      <w:b/>
      <w:bCs/>
      <w:szCs w:val="24"/>
      <w:lang w:val="uk-UA"/>
    </w:rPr>
  </w:style>
  <w:style w:type="character" w:customStyle="1" w:styleId="a6">
    <w:name w:val="Название Знак"/>
    <w:basedOn w:val="a0"/>
    <w:link w:val="a5"/>
    <w:rsid w:val="005F48EF"/>
    <w:rPr>
      <w:rFonts w:ascii="Times New Roman" w:eastAsia="Times New Roman" w:hAnsi="Times New Roman"/>
      <w:b/>
      <w:bCs/>
      <w:color w:val="auto"/>
      <w:kern w:val="0"/>
      <w:sz w:val="28"/>
      <w:szCs w:val="24"/>
      <w:lang w:eastAsia="ru-RU"/>
    </w:rPr>
  </w:style>
  <w:style w:type="paragraph" w:styleId="a7">
    <w:name w:val="header"/>
    <w:basedOn w:val="a"/>
    <w:link w:val="a8"/>
    <w:uiPriority w:val="99"/>
    <w:unhideWhenUsed/>
    <w:rsid w:val="007D395E"/>
    <w:pPr>
      <w:tabs>
        <w:tab w:val="center" w:pos="4819"/>
        <w:tab w:val="right" w:pos="9639"/>
      </w:tabs>
    </w:pPr>
  </w:style>
  <w:style w:type="character" w:customStyle="1" w:styleId="a8">
    <w:name w:val="Верхний колонтитул Знак"/>
    <w:basedOn w:val="a0"/>
    <w:link w:val="a7"/>
    <w:uiPriority w:val="99"/>
    <w:rsid w:val="007D395E"/>
    <w:rPr>
      <w:rFonts w:ascii="Times New Roman" w:eastAsia="Times New Roman" w:hAnsi="Times New Roman"/>
      <w:color w:val="auto"/>
      <w:kern w:val="0"/>
      <w:sz w:val="28"/>
      <w:szCs w:val="28"/>
      <w:lang w:val="ru-RU" w:eastAsia="ru-RU"/>
    </w:rPr>
  </w:style>
  <w:style w:type="paragraph" w:styleId="a9">
    <w:name w:val="footer"/>
    <w:basedOn w:val="a"/>
    <w:link w:val="aa"/>
    <w:uiPriority w:val="99"/>
    <w:unhideWhenUsed/>
    <w:rsid w:val="007D395E"/>
    <w:pPr>
      <w:tabs>
        <w:tab w:val="center" w:pos="4819"/>
        <w:tab w:val="right" w:pos="9639"/>
      </w:tabs>
    </w:pPr>
  </w:style>
  <w:style w:type="character" w:customStyle="1" w:styleId="aa">
    <w:name w:val="Нижний колонтитул Знак"/>
    <w:basedOn w:val="a0"/>
    <w:link w:val="a9"/>
    <w:uiPriority w:val="99"/>
    <w:rsid w:val="007D395E"/>
    <w:rPr>
      <w:rFonts w:ascii="Times New Roman" w:eastAsia="Times New Roman" w:hAnsi="Times New Roman"/>
      <w:color w:val="auto"/>
      <w:kern w:val="0"/>
      <w:sz w:val="28"/>
      <w:szCs w:val="28"/>
      <w:lang w:val="ru-RU" w:eastAsia="ru-RU"/>
    </w:rPr>
  </w:style>
  <w:style w:type="character" w:customStyle="1" w:styleId="apple-converted-space">
    <w:name w:val="apple-converted-space"/>
    <w:basedOn w:val="a0"/>
    <w:rsid w:val="00B9418E"/>
  </w:style>
  <w:style w:type="character" w:styleId="ab">
    <w:name w:val="Strong"/>
    <w:basedOn w:val="a0"/>
    <w:uiPriority w:val="22"/>
    <w:qFormat/>
    <w:rsid w:val="00B9418E"/>
    <w:rPr>
      <w:b/>
      <w:bCs/>
    </w:rPr>
  </w:style>
  <w:style w:type="paragraph" w:styleId="ac">
    <w:name w:val="Normal (Web)"/>
    <w:basedOn w:val="a"/>
    <w:uiPriority w:val="99"/>
    <w:unhideWhenUsed/>
    <w:rsid w:val="00B9418E"/>
    <w:pPr>
      <w:spacing w:before="100" w:beforeAutospacing="1" w:after="100" w:afterAutospacing="1"/>
    </w:pPr>
    <w:rPr>
      <w:sz w:val="24"/>
      <w:szCs w:val="24"/>
      <w:lang w:val="uk-UA" w:eastAsia="uk-UA"/>
    </w:rPr>
  </w:style>
  <w:style w:type="character" w:customStyle="1" w:styleId="11">
    <w:name w:val="Основной текст1"/>
    <w:basedOn w:val="a0"/>
    <w:rsid w:val="00B9418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3">
    <w:name w:val="Основной текст (2)"/>
    <w:basedOn w:val="a0"/>
    <w:rsid w:val="00B9418E"/>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31">
    <w:name w:val="Основной текст (3)"/>
    <w:basedOn w:val="a0"/>
    <w:rsid w:val="00B9418E"/>
    <w:rPr>
      <w:rFonts w:ascii="Arial" w:eastAsia="Arial" w:hAnsi="Arial" w:cs="Arial"/>
      <w:b/>
      <w:bCs/>
      <w:i/>
      <w:iCs/>
      <w:smallCaps w:val="0"/>
      <w:strike w:val="0"/>
      <w:color w:val="000000"/>
      <w:spacing w:val="0"/>
      <w:w w:val="100"/>
      <w:position w:val="0"/>
      <w:sz w:val="18"/>
      <w:szCs w:val="18"/>
      <w:u w:val="none"/>
      <w:lang w:val="uk-UA" w:eastAsia="uk-UA" w:bidi="uk-UA"/>
    </w:rPr>
  </w:style>
  <w:style w:type="character" w:styleId="ad">
    <w:name w:val="Hyperlink"/>
    <w:basedOn w:val="a0"/>
    <w:uiPriority w:val="99"/>
    <w:unhideWhenUsed/>
    <w:rsid w:val="00B9418E"/>
    <w:rPr>
      <w:color w:val="0000FF"/>
      <w:u w:val="single"/>
    </w:rPr>
  </w:style>
  <w:style w:type="paragraph" w:styleId="ae">
    <w:name w:val="List Paragraph"/>
    <w:basedOn w:val="a"/>
    <w:qFormat/>
    <w:rsid w:val="00631397"/>
    <w:pPr>
      <w:suppressAutoHyphens/>
      <w:spacing w:line="100" w:lineRule="atLeast"/>
      <w:ind w:left="720"/>
      <w:contextualSpacing/>
    </w:pPr>
    <w:rPr>
      <w:color w:val="00000A"/>
      <w:kern w:val="1"/>
      <w:sz w:val="24"/>
      <w:szCs w:val="24"/>
      <w:lang w:val="en-US" w:eastAsia="ar-SA"/>
    </w:rPr>
  </w:style>
  <w:style w:type="paragraph" w:customStyle="1" w:styleId="af">
    <w:name w:val="Без інтервалів"/>
    <w:qFormat/>
    <w:rsid w:val="003E4412"/>
    <w:pPr>
      <w:spacing w:after="0" w:line="240" w:lineRule="auto"/>
    </w:pPr>
    <w:rPr>
      <w:rFonts w:ascii="Calibri" w:eastAsia="Calibri" w:hAnsi="Calibri"/>
      <w:color w:val="auto"/>
      <w:kern w:val="0"/>
      <w:sz w:val="22"/>
      <w:szCs w:val="22"/>
      <w:lang w:val="ru-RU"/>
    </w:rPr>
  </w:style>
  <w:style w:type="character" w:customStyle="1" w:styleId="af0">
    <w:name w:val="Основной текст_"/>
    <w:basedOn w:val="a0"/>
    <w:link w:val="24"/>
    <w:rsid w:val="0050534F"/>
    <w:rPr>
      <w:rFonts w:ascii="Bookman Old Style" w:eastAsia="Bookman Old Style" w:hAnsi="Bookman Old Style" w:cs="Bookman Old Style"/>
      <w:sz w:val="17"/>
      <w:szCs w:val="17"/>
      <w:shd w:val="clear" w:color="auto" w:fill="FFFFFF"/>
    </w:rPr>
  </w:style>
  <w:style w:type="character" w:customStyle="1" w:styleId="Arial75pt">
    <w:name w:val="Основной текст + Arial;7;5 pt"/>
    <w:basedOn w:val="af0"/>
    <w:rsid w:val="0050534F"/>
    <w:rPr>
      <w:rFonts w:ascii="Arial" w:eastAsia="Arial" w:hAnsi="Arial" w:cs="Arial"/>
      <w:color w:val="000000"/>
      <w:spacing w:val="0"/>
      <w:w w:val="100"/>
      <w:position w:val="0"/>
      <w:sz w:val="15"/>
      <w:szCs w:val="15"/>
      <w:shd w:val="clear" w:color="auto" w:fill="FFFFFF"/>
      <w:lang w:val="uk-UA" w:eastAsia="uk-UA" w:bidi="uk-UA"/>
    </w:rPr>
  </w:style>
  <w:style w:type="paragraph" w:customStyle="1" w:styleId="24">
    <w:name w:val="Основной текст2"/>
    <w:basedOn w:val="a"/>
    <w:link w:val="af0"/>
    <w:rsid w:val="0050534F"/>
    <w:pPr>
      <w:widowControl w:val="0"/>
      <w:shd w:val="clear" w:color="auto" w:fill="FFFFFF"/>
      <w:spacing w:before="60" w:line="240" w:lineRule="exact"/>
      <w:jc w:val="both"/>
    </w:pPr>
    <w:rPr>
      <w:rFonts w:ascii="Bookman Old Style" w:eastAsia="Bookman Old Style" w:hAnsi="Bookman Old Style" w:cs="Bookman Old Style"/>
      <w:color w:val="000000"/>
      <w:kern w:val="11"/>
      <w:sz w:val="17"/>
      <w:szCs w:val="17"/>
      <w:lang w:val="uk-UA" w:eastAsia="en-US"/>
    </w:rPr>
  </w:style>
  <w:style w:type="paragraph" w:styleId="af1">
    <w:name w:val="Balloon Text"/>
    <w:basedOn w:val="a"/>
    <w:link w:val="af2"/>
    <w:uiPriority w:val="99"/>
    <w:semiHidden/>
    <w:unhideWhenUsed/>
    <w:rsid w:val="007F1E73"/>
    <w:rPr>
      <w:rFonts w:ascii="Tahoma" w:hAnsi="Tahoma" w:cs="Tahoma"/>
      <w:sz w:val="16"/>
      <w:szCs w:val="16"/>
    </w:rPr>
  </w:style>
  <w:style w:type="character" w:customStyle="1" w:styleId="af2">
    <w:name w:val="Текст выноски Знак"/>
    <w:basedOn w:val="a0"/>
    <w:link w:val="af1"/>
    <w:uiPriority w:val="99"/>
    <w:semiHidden/>
    <w:rsid w:val="007F1E73"/>
    <w:rPr>
      <w:rFonts w:ascii="Tahoma" w:eastAsia="Times New Roman" w:hAnsi="Tahoma" w:cs="Tahoma"/>
      <w:color w:val="auto"/>
      <w:kern w:val="0"/>
      <w:sz w:val="16"/>
      <w:szCs w:val="16"/>
      <w:lang w:val="ru-RU" w:eastAsia="ru-RU"/>
    </w:rPr>
  </w:style>
  <w:style w:type="paragraph" w:customStyle="1" w:styleId="12">
    <w:name w:val="Обычный1"/>
    <w:rsid w:val="00003310"/>
    <w:pPr>
      <w:spacing w:before="100" w:after="100" w:line="240" w:lineRule="auto"/>
    </w:pPr>
    <w:rPr>
      <w:rFonts w:ascii="Times New Roman" w:eastAsia="Times New Roman" w:hAnsi="Times New Roman"/>
      <w:snapToGrid w:val="0"/>
      <w:color w:val="auto"/>
      <w:kern w:val="0"/>
      <w:sz w:val="24"/>
      <w:szCs w:val="20"/>
      <w:lang w:val="ru-RU" w:eastAsia="ru-RU"/>
    </w:rPr>
  </w:style>
  <w:style w:type="paragraph" w:customStyle="1" w:styleId="13">
    <w:name w:val="Абзац списка1"/>
    <w:basedOn w:val="a"/>
    <w:rsid w:val="002613E0"/>
    <w:pPr>
      <w:suppressAutoHyphens/>
      <w:spacing w:line="100" w:lineRule="atLeast"/>
      <w:ind w:left="720"/>
    </w:pPr>
    <w:rPr>
      <w:color w:val="00000A"/>
      <w:kern w:val="1"/>
      <w:sz w:val="24"/>
      <w:szCs w:val="24"/>
      <w:lang w:val="en-US" w:eastAsia="ar-SA"/>
    </w:rPr>
  </w:style>
  <w:style w:type="paragraph" w:customStyle="1" w:styleId="25">
    <w:name w:val="Абзац списка2"/>
    <w:basedOn w:val="a"/>
    <w:rsid w:val="00A86440"/>
    <w:pPr>
      <w:suppressAutoHyphens/>
      <w:spacing w:line="100" w:lineRule="atLeast"/>
      <w:ind w:left="720"/>
    </w:pPr>
    <w:rPr>
      <w:color w:val="00000A"/>
      <w:kern w:val="1"/>
      <w:sz w:val="24"/>
      <w:szCs w:val="24"/>
      <w:lang w:val="en-US" w:eastAsia="ar-SA"/>
    </w:rPr>
  </w:style>
  <w:style w:type="character" w:customStyle="1" w:styleId="af3">
    <w:name w:val="Основной текст + Малые прописные"/>
    <w:basedOn w:val="af0"/>
    <w:rsid w:val="00D51600"/>
    <w:rPr>
      <w:rFonts w:ascii="Times New Roman" w:eastAsia="Times New Roman" w:hAnsi="Times New Roman" w:cs="Times New Roman"/>
      <w:b w:val="0"/>
      <w:bCs w:val="0"/>
      <w:i w:val="0"/>
      <w:iCs w:val="0"/>
      <w:smallCaps/>
      <w:dstrike/>
      <w:color w:val="000000"/>
      <w:spacing w:val="0"/>
      <w:w w:val="100"/>
      <w:sz w:val="19"/>
      <w:szCs w:val="19"/>
      <w:u w:val="none"/>
      <w:shd w:val="clear" w:color="auto" w:fill="FFFFFF"/>
      <w:lang w:val="uk-UA" w:eastAsia="uk-UA" w:bidi="uk-UA"/>
    </w:rPr>
  </w:style>
  <w:style w:type="paragraph" w:customStyle="1" w:styleId="32">
    <w:name w:val="Абзац списка3"/>
    <w:basedOn w:val="a"/>
    <w:rsid w:val="00F23184"/>
    <w:pPr>
      <w:suppressAutoHyphens/>
      <w:spacing w:line="100" w:lineRule="atLeast"/>
      <w:ind w:left="720"/>
    </w:pPr>
    <w:rPr>
      <w:color w:val="00000A"/>
      <w:kern w:val="1"/>
      <w:sz w:val="24"/>
      <w:szCs w:val="24"/>
      <w:lang w:val="en-US" w:eastAsia="ar-SA"/>
    </w:rPr>
  </w:style>
  <w:style w:type="paragraph" w:styleId="26">
    <w:name w:val="Body Text Indent 2"/>
    <w:basedOn w:val="a"/>
    <w:link w:val="27"/>
    <w:uiPriority w:val="99"/>
    <w:unhideWhenUsed/>
    <w:rsid w:val="00F57B44"/>
    <w:pPr>
      <w:spacing w:after="120" w:line="480" w:lineRule="auto"/>
      <w:ind w:left="283"/>
    </w:pPr>
    <w:rPr>
      <w:szCs w:val="24"/>
    </w:rPr>
  </w:style>
  <w:style w:type="character" w:customStyle="1" w:styleId="27">
    <w:name w:val="Основной текст с отступом 2 Знак"/>
    <w:basedOn w:val="a0"/>
    <w:link w:val="26"/>
    <w:uiPriority w:val="99"/>
    <w:rsid w:val="00F57B44"/>
    <w:rPr>
      <w:rFonts w:ascii="Times New Roman" w:eastAsia="Times New Roman" w:hAnsi="Times New Roman"/>
      <w:color w:val="auto"/>
      <w:kern w:val="0"/>
      <w:sz w:val="28"/>
      <w:szCs w:val="24"/>
      <w:lang w:val="ru-RU" w:eastAsia="ru-RU"/>
    </w:rPr>
  </w:style>
  <w:style w:type="paragraph" w:customStyle="1" w:styleId="af4">
    <w:name w:val="Îñíîâíîé òåêñò ñ îòñòóïîì"/>
    <w:basedOn w:val="a"/>
    <w:rsid w:val="00F57B44"/>
    <w:pPr>
      <w:widowControl w:val="0"/>
      <w:overflowPunct w:val="0"/>
      <w:autoSpaceDE w:val="0"/>
      <w:autoSpaceDN w:val="0"/>
      <w:adjustRightInd w:val="0"/>
      <w:ind w:firstLine="851"/>
      <w:jc w:val="both"/>
      <w:textAlignment w:val="baseline"/>
    </w:pPr>
    <w:rPr>
      <w:szCs w:val="20"/>
      <w:lang w:val="uk-UA"/>
    </w:rPr>
  </w:style>
  <w:style w:type="character" w:customStyle="1" w:styleId="hps">
    <w:name w:val="hps"/>
    <w:basedOn w:val="a0"/>
    <w:rsid w:val="00101201"/>
  </w:style>
  <w:style w:type="table" w:styleId="af5">
    <w:name w:val="Table Grid"/>
    <w:basedOn w:val="a1"/>
    <w:uiPriority w:val="59"/>
    <w:rsid w:val="00AF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FC41E6"/>
    <w:pPr>
      <w:widowControl w:val="0"/>
      <w:jc w:val="both"/>
    </w:pPr>
    <w:rPr>
      <w:sz w:val="24"/>
      <w:szCs w:val="20"/>
    </w:rPr>
  </w:style>
  <w:style w:type="character" w:styleId="af6">
    <w:name w:val="annotation reference"/>
    <w:basedOn w:val="a0"/>
    <w:uiPriority w:val="99"/>
    <w:semiHidden/>
    <w:unhideWhenUsed/>
    <w:rsid w:val="00E762E5"/>
    <w:rPr>
      <w:sz w:val="16"/>
      <w:szCs w:val="16"/>
    </w:rPr>
  </w:style>
  <w:style w:type="paragraph" w:styleId="af7">
    <w:name w:val="annotation text"/>
    <w:basedOn w:val="a"/>
    <w:link w:val="af8"/>
    <w:uiPriority w:val="99"/>
    <w:semiHidden/>
    <w:unhideWhenUsed/>
    <w:rsid w:val="00E762E5"/>
    <w:rPr>
      <w:sz w:val="20"/>
      <w:szCs w:val="20"/>
    </w:rPr>
  </w:style>
  <w:style w:type="character" w:customStyle="1" w:styleId="af8">
    <w:name w:val="Текст примечания Знак"/>
    <w:basedOn w:val="a0"/>
    <w:link w:val="af7"/>
    <w:uiPriority w:val="99"/>
    <w:semiHidden/>
    <w:rsid w:val="00E762E5"/>
    <w:rPr>
      <w:rFonts w:ascii="Times New Roman" w:eastAsia="Times New Roman" w:hAnsi="Times New Roman"/>
      <w:color w:val="auto"/>
      <w:kern w:val="0"/>
      <w:sz w:val="20"/>
      <w:szCs w:val="20"/>
      <w:lang w:val="ru-RU" w:eastAsia="ru-RU"/>
    </w:rPr>
  </w:style>
  <w:style w:type="paragraph" w:styleId="af9">
    <w:name w:val="annotation subject"/>
    <w:basedOn w:val="af7"/>
    <w:next w:val="af7"/>
    <w:link w:val="afa"/>
    <w:uiPriority w:val="99"/>
    <w:semiHidden/>
    <w:unhideWhenUsed/>
    <w:rsid w:val="00E762E5"/>
    <w:rPr>
      <w:b/>
      <w:bCs/>
    </w:rPr>
  </w:style>
  <w:style w:type="character" w:customStyle="1" w:styleId="afa">
    <w:name w:val="Тема примечания Знак"/>
    <w:basedOn w:val="af8"/>
    <w:link w:val="af9"/>
    <w:uiPriority w:val="99"/>
    <w:semiHidden/>
    <w:rsid w:val="00E762E5"/>
    <w:rPr>
      <w:rFonts w:ascii="Times New Roman" w:eastAsia="Times New Roman" w:hAnsi="Times New Roman"/>
      <w:b/>
      <w:bCs/>
      <w:color w:val="auto"/>
      <w:kern w:val="0"/>
      <w:sz w:val="20"/>
      <w:szCs w:val="20"/>
      <w:lang w:val="ru-RU" w:eastAsia="ru-RU"/>
    </w:rPr>
  </w:style>
  <w:style w:type="paragraph" w:styleId="afb">
    <w:name w:val="No Spacing"/>
    <w:uiPriority w:val="1"/>
    <w:qFormat/>
    <w:rsid w:val="00305CEB"/>
    <w:pPr>
      <w:spacing w:after="0" w:line="240" w:lineRule="auto"/>
    </w:pPr>
    <w:rPr>
      <w:rFonts w:ascii="Times New Roman" w:eastAsia="Times New Roman" w:hAnsi="Times New Roman"/>
      <w:color w:val="auto"/>
      <w:kern w:val="0"/>
      <w:sz w:val="28"/>
      <w:szCs w:val="28"/>
      <w:lang w:val="ru-RU" w:eastAsia="ru-RU"/>
    </w:rPr>
  </w:style>
  <w:style w:type="character" w:customStyle="1" w:styleId="10">
    <w:name w:val="Заголовок 1 Знак"/>
    <w:basedOn w:val="a0"/>
    <w:link w:val="1"/>
    <w:uiPriority w:val="9"/>
    <w:rsid w:val="00305CEB"/>
    <w:rPr>
      <w:rFonts w:ascii="Times New Roman" w:eastAsia="Times New Roman" w:hAnsi="Times New Roman"/>
      <w:b/>
      <w:bCs/>
      <w:color w:val="auto"/>
      <w:kern w:val="36"/>
      <w:sz w:val="48"/>
      <w:szCs w:val="48"/>
      <w:lang w:eastAsia="uk-UA"/>
    </w:rPr>
  </w:style>
  <w:style w:type="character" w:customStyle="1" w:styleId="20">
    <w:name w:val="Заголовок 2 Знак"/>
    <w:basedOn w:val="a0"/>
    <w:link w:val="2"/>
    <w:uiPriority w:val="9"/>
    <w:semiHidden/>
    <w:rsid w:val="00305C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05CEB"/>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305CEB"/>
    <w:rPr>
      <w:rFonts w:asciiTheme="majorHAnsi" w:eastAsiaTheme="majorEastAsia" w:hAnsiTheme="majorHAnsi" w:cstheme="majorBidi"/>
      <w:color w:val="404040" w:themeColor="text1" w:themeTint="BF"/>
      <w:sz w:val="20"/>
      <w:szCs w:val="20"/>
    </w:rPr>
  </w:style>
  <w:style w:type="numbering" w:customStyle="1" w:styleId="14">
    <w:name w:val="Нет списка1"/>
    <w:next w:val="a2"/>
    <w:uiPriority w:val="99"/>
    <w:semiHidden/>
    <w:unhideWhenUsed/>
    <w:rsid w:val="00305CEB"/>
  </w:style>
  <w:style w:type="character" w:styleId="afc">
    <w:name w:val="Emphasis"/>
    <w:basedOn w:val="a0"/>
    <w:uiPriority w:val="20"/>
    <w:qFormat/>
    <w:rsid w:val="00305CEB"/>
    <w:rPr>
      <w:i/>
      <w:iCs/>
    </w:rPr>
  </w:style>
  <w:style w:type="character" w:customStyle="1" w:styleId="ref-journal">
    <w:name w:val="ref-journal"/>
    <w:basedOn w:val="a0"/>
    <w:rsid w:val="00305CEB"/>
  </w:style>
  <w:style w:type="character" w:customStyle="1" w:styleId="ref-vol">
    <w:name w:val="ref-vol"/>
    <w:basedOn w:val="a0"/>
    <w:rsid w:val="00305CEB"/>
  </w:style>
  <w:style w:type="character" w:customStyle="1" w:styleId="hl">
    <w:name w:val="hl"/>
    <w:basedOn w:val="a0"/>
    <w:rsid w:val="00305CEB"/>
  </w:style>
  <w:style w:type="character" w:customStyle="1" w:styleId="5">
    <w:name w:val="Основной текст (5)_"/>
    <w:basedOn w:val="a0"/>
    <w:rsid w:val="00305CEB"/>
    <w:rPr>
      <w:rFonts w:ascii="Bookman Old Style" w:eastAsia="Bookman Old Style" w:hAnsi="Bookman Old Style" w:cs="Bookman Old Style"/>
      <w:b w:val="0"/>
      <w:bCs w:val="0"/>
      <w:i w:val="0"/>
      <w:iCs w:val="0"/>
      <w:smallCaps w:val="0"/>
      <w:strike w:val="0"/>
      <w:sz w:val="16"/>
      <w:szCs w:val="16"/>
      <w:u w:val="none"/>
    </w:rPr>
  </w:style>
  <w:style w:type="character" w:customStyle="1" w:styleId="50">
    <w:name w:val="Основной текст (5)"/>
    <w:basedOn w:val="5"/>
    <w:rsid w:val="00305CE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uk-UA" w:eastAsia="uk-UA" w:bidi="uk-UA"/>
    </w:rPr>
  </w:style>
  <w:style w:type="paragraph" w:customStyle="1" w:styleId="15">
    <w:name w:val="Название1"/>
    <w:basedOn w:val="a"/>
    <w:rsid w:val="00305CEB"/>
    <w:pPr>
      <w:spacing w:before="100" w:beforeAutospacing="1" w:after="100" w:afterAutospacing="1"/>
    </w:pPr>
    <w:rPr>
      <w:sz w:val="24"/>
      <w:szCs w:val="24"/>
      <w:lang w:val="uk-UA" w:eastAsia="uk-UA"/>
    </w:rPr>
  </w:style>
  <w:style w:type="character" w:customStyle="1" w:styleId="jrnl">
    <w:name w:val="jrnl"/>
    <w:basedOn w:val="a0"/>
    <w:rsid w:val="00305CEB"/>
  </w:style>
  <w:style w:type="character" w:customStyle="1" w:styleId="journal">
    <w:name w:val="journal"/>
    <w:basedOn w:val="a0"/>
    <w:rsid w:val="00305CEB"/>
  </w:style>
  <w:style w:type="character" w:customStyle="1" w:styleId="jnumber">
    <w:name w:val="jnumber"/>
    <w:basedOn w:val="a0"/>
    <w:rsid w:val="00305CEB"/>
  </w:style>
  <w:style w:type="character" w:customStyle="1" w:styleId="16">
    <w:name w:val="Основной шрифт абзаца1"/>
    <w:rsid w:val="00305CEB"/>
  </w:style>
  <w:style w:type="character" w:customStyle="1" w:styleId="name">
    <w:name w:val="name"/>
    <w:basedOn w:val="a0"/>
    <w:rsid w:val="00305CEB"/>
  </w:style>
  <w:style w:type="character" w:styleId="HTML">
    <w:name w:val="HTML Cite"/>
    <w:basedOn w:val="a0"/>
    <w:uiPriority w:val="99"/>
    <w:semiHidden/>
    <w:unhideWhenUsed/>
    <w:rsid w:val="00305CEB"/>
    <w:rPr>
      <w:i/>
      <w:iCs/>
    </w:rPr>
  </w:style>
  <w:style w:type="character" w:customStyle="1" w:styleId="slug-pub-date">
    <w:name w:val="slug-pub-date"/>
    <w:basedOn w:val="a0"/>
    <w:rsid w:val="00305CEB"/>
  </w:style>
  <w:style w:type="character" w:customStyle="1" w:styleId="slug-vol">
    <w:name w:val="slug-vol"/>
    <w:basedOn w:val="a0"/>
    <w:rsid w:val="00305CEB"/>
  </w:style>
  <w:style w:type="character" w:customStyle="1" w:styleId="slug-issue">
    <w:name w:val="slug-issue"/>
    <w:basedOn w:val="a0"/>
    <w:rsid w:val="00305CEB"/>
  </w:style>
  <w:style w:type="character" w:customStyle="1" w:styleId="slug-pages">
    <w:name w:val="slug-pages"/>
    <w:basedOn w:val="a0"/>
    <w:rsid w:val="00305CEB"/>
  </w:style>
  <w:style w:type="paragraph" w:customStyle="1" w:styleId="Default">
    <w:name w:val="Default"/>
    <w:rsid w:val="00305CEB"/>
    <w:pPr>
      <w:autoSpaceDE w:val="0"/>
      <w:autoSpaceDN w:val="0"/>
      <w:adjustRightInd w:val="0"/>
      <w:spacing w:after="0" w:line="240" w:lineRule="auto"/>
    </w:pPr>
    <w:rPr>
      <w:rFonts w:ascii="Times New Roman" w:hAnsi="Times New Roman"/>
      <w:kern w:val="0"/>
      <w:sz w:val="24"/>
      <w:szCs w:val="24"/>
    </w:rPr>
  </w:style>
  <w:style w:type="character" w:styleId="afd">
    <w:name w:val="FollowedHyperlink"/>
    <w:basedOn w:val="a0"/>
    <w:uiPriority w:val="99"/>
    <w:semiHidden/>
    <w:unhideWhenUsed/>
    <w:rsid w:val="00305CEB"/>
    <w:rPr>
      <w:color w:val="800080" w:themeColor="followedHyperlink"/>
      <w:u w:val="single"/>
    </w:rPr>
  </w:style>
  <w:style w:type="paragraph" w:styleId="afe">
    <w:name w:val="Body Text"/>
    <w:basedOn w:val="a"/>
    <w:link w:val="aff"/>
    <w:uiPriority w:val="99"/>
    <w:rsid w:val="00305CEB"/>
    <w:pPr>
      <w:autoSpaceDE w:val="0"/>
      <w:autoSpaceDN w:val="0"/>
      <w:spacing w:after="120"/>
    </w:pPr>
    <w:rPr>
      <w:rFonts w:eastAsiaTheme="minorEastAsia"/>
      <w:sz w:val="20"/>
      <w:szCs w:val="20"/>
      <w:lang w:eastAsia="uk-UA"/>
    </w:rPr>
  </w:style>
  <w:style w:type="character" w:customStyle="1" w:styleId="aff">
    <w:name w:val="Основной текст Знак"/>
    <w:basedOn w:val="a0"/>
    <w:link w:val="afe"/>
    <w:uiPriority w:val="99"/>
    <w:rsid w:val="00305CEB"/>
    <w:rPr>
      <w:rFonts w:ascii="Times New Roman" w:eastAsiaTheme="minorEastAsia" w:hAnsi="Times New Roman"/>
      <w:color w:val="auto"/>
      <w:kern w:val="0"/>
      <w:sz w:val="20"/>
      <w:szCs w:val="20"/>
      <w:lang w:val="ru-RU" w:eastAsia="uk-UA"/>
    </w:rPr>
  </w:style>
  <w:style w:type="character" w:customStyle="1" w:styleId="label">
    <w:name w:val="label"/>
    <w:basedOn w:val="a0"/>
    <w:rsid w:val="00305CEB"/>
  </w:style>
  <w:style w:type="numbering" w:customStyle="1" w:styleId="28">
    <w:name w:val="Нет списка2"/>
    <w:next w:val="a2"/>
    <w:uiPriority w:val="99"/>
    <w:semiHidden/>
    <w:unhideWhenUsed/>
    <w:rsid w:val="008E7C2F"/>
  </w:style>
  <w:style w:type="numbering" w:customStyle="1" w:styleId="110">
    <w:name w:val="Нет списка11"/>
    <w:next w:val="a2"/>
    <w:uiPriority w:val="99"/>
    <w:semiHidden/>
    <w:unhideWhenUsed/>
    <w:rsid w:val="008E7C2F"/>
  </w:style>
  <w:style w:type="numbering" w:customStyle="1" w:styleId="111">
    <w:name w:val="Нет списка111"/>
    <w:next w:val="a2"/>
    <w:uiPriority w:val="99"/>
    <w:semiHidden/>
    <w:unhideWhenUsed/>
    <w:rsid w:val="008E7C2F"/>
  </w:style>
  <w:style w:type="character" w:styleId="aff0">
    <w:name w:val="Placeholder Text"/>
    <w:basedOn w:val="a0"/>
    <w:uiPriority w:val="99"/>
    <w:semiHidden/>
    <w:rsid w:val="0023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860">
      <w:bodyDiv w:val="1"/>
      <w:marLeft w:val="0"/>
      <w:marRight w:val="0"/>
      <w:marTop w:val="0"/>
      <w:marBottom w:val="0"/>
      <w:divBdr>
        <w:top w:val="none" w:sz="0" w:space="0" w:color="auto"/>
        <w:left w:val="none" w:sz="0" w:space="0" w:color="auto"/>
        <w:bottom w:val="none" w:sz="0" w:space="0" w:color="auto"/>
        <w:right w:val="none" w:sz="0" w:space="0" w:color="auto"/>
      </w:divBdr>
    </w:div>
    <w:div w:id="993073576">
      <w:bodyDiv w:val="1"/>
      <w:marLeft w:val="0"/>
      <w:marRight w:val="0"/>
      <w:marTop w:val="0"/>
      <w:marBottom w:val="0"/>
      <w:divBdr>
        <w:top w:val="none" w:sz="0" w:space="0" w:color="auto"/>
        <w:left w:val="none" w:sz="0" w:space="0" w:color="auto"/>
        <w:bottom w:val="none" w:sz="0" w:space="0" w:color="auto"/>
        <w:right w:val="none" w:sz="0" w:space="0" w:color="auto"/>
      </w:divBdr>
    </w:div>
    <w:div w:id="1008561794">
      <w:bodyDiv w:val="1"/>
      <w:marLeft w:val="0"/>
      <w:marRight w:val="0"/>
      <w:marTop w:val="0"/>
      <w:marBottom w:val="0"/>
      <w:divBdr>
        <w:top w:val="none" w:sz="0" w:space="0" w:color="auto"/>
        <w:left w:val="none" w:sz="0" w:space="0" w:color="auto"/>
        <w:bottom w:val="none" w:sz="0" w:space="0" w:color="auto"/>
        <w:right w:val="none" w:sz="0" w:space="0" w:color="auto"/>
      </w:divBdr>
    </w:div>
    <w:div w:id="1029914249">
      <w:bodyDiv w:val="1"/>
      <w:marLeft w:val="0"/>
      <w:marRight w:val="0"/>
      <w:marTop w:val="0"/>
      <w:marBottom w:val="0"/>
      <w:divBdr>
        <w:top w:val="none" w:sz="0" w:space="0" w:color="auto"/>
        <w:left w:val="none" w:sz="0" w:space="0" w:color="auto"/>
        <w:bottom w:val="none" w:sz="0" w:space="0" w:color="auto"/>
        <w:right w:val="none" w:sz="0" w:space="0" w:color="auto"/>
      </w:divBdr>
    </w:div>
    <w:div w:id="1108039124">
      <w:bodyDiv w:val="1"/>
      <w:marLeft w:val="0"/>
      <w:marRight w:val="0"/>
      <w:marTop w:val="0"/>
      <w:marBottom w:val="0"/>
      <w:divBdr>
        <w:top w:val="none" w:sz="0" w:space="0" w:color="auto"/>
        <w:left w:val="none" w:sz="0" w:space="0" w:color="auto"/>
        <w:bottom w:val="none" w:sz="0" w:space="0" w:color="auto"/>
        <w:right w:val="none" w:sz="0" w:space="0" w:color="auto"/>
      </w:divBdr>
    </w:div>
    <w:div w:id="1129662654">
      <w:bodyDiv w:val="1"/>
      <w:marLeft w:val="0"/>
      <w:marRight w:val="0"/>
      <w:marTop w:val="0"/>
      <w:marBottom w:val="0"/>
      <w:divBdr>
        <w:top w:val="none" w:sz="0" w:space="0" w:color="auto"/>
        <w:left w:val="none" w:sz="0" w:space="0" w:color="auto"/>
        <w:bottom w:val="none" w:sz="0" w:space="0" w:color="auto"/>
        <w:right w:val="none" w:sz="0" w:space="0" w:color="auto"/>
      </w:divBdr>
    </w:div>
    <w:div w:id="1521626374">
      <w:bodyDiv w:val="1"/>
      <w:marLeft w:val="0"/>
      <w:marRight w:val="0"/>
      <w:marTop w:val="0"/>
      <w:marBottom w:val="0"/>
      <w:divBdr>
        <w:top w:val="none" w:sz="0" w:space="0" w:color="auto"/>
        <w:left w:val="none" w:sz="0" w:space="0" w:color="auto"/>
        <w:bottom w:val="none" w:sz="0" w:space="0" w:color="auto"/>
        <w:right w:val="none" w:sz="0" w:space="0" w:color="auto"/>
      </w:divBdr>
    </w:div>
    <w:div w:id="1614362171">
      <w:bodyDiv w:val="1"/>
      <w:marLeft w:val="0"/>
      <w:marRight w:val="0"/>
      <w:marTop w:val="0"/>
      <w:marBottom w:val="0"/>
      <w:divBdr>
        <w:top w:val="none" w:sz="0" w:space="0" w:color="auto"/>
        <w:left w:val="none" w:sz="0" w:space="0" w:color="auto"/>
        <w:bottom w:val="none" w:sz="0" w:space="0" w:color="auto"/>
        <w:right w:val="none" w:sz="0" w:space="0" w:color="auto"/>
      </w:divBdr>
    </w:div>
    <w:div w:id="1632857468">
      <w:bodyDiv w:val="1"/>
      <w:marLeft w:val="0"/>
      <w:marRight w:val="0"/>
      <w:marTop w:val="0"/>
      <w:marBottom w:val="0"/>
      <w:divBdr>
        <w:top w:val="none" w:sz="0" w:space="0" w:color="auto"/>
        <w:left w:val="none" w:sz="0" w:space="0" w:color="auto"/>
        <w:bottom w:val="none" w:sz="0" w:space="0" w:color="auto"/>
        <w:right w:val="none" w:sz="0" w:space="0" w:color="auto"/>
      </w:divBdr>
    </w:div>
    <w:div w:id="1669744437">
      <w:bodyDiv w:val="1"/>
      <w:marLeft w:val="0"/>
      <w:marRight w:val="0"/>
      <w:marTop w:val="0"/>
      <w:marBottom w:val="0"/>
      <w:divBdr>
        <w:top w:val="none" w:sz="0" w:space="0" w:color="auto"/>
        <w:left w:val="none" w:sz="0" w:space="0" w:color="auto"/>
        <w:bottom w:val="none" w:sz="0" w:space="0" w:color="auto"/>
        <w:right w:val="none" w:sz="0" w:space="0" w:color="auto"/>
      </w:divBdr>
    </w:div>
    <w:div w:id="1940331321">
      <w:bodyDiv w:val="1"/>
      <w:marLeft w:val="0"/>
      <w:marRight w:val="0"/>
      <w:marTop w:val="0"/>
      <w:marBottom w:val="0"/>
      <w:divBdr>
        <w:top w:val="none" w:sz="0" w:space="0" w:color="auto"/>
        <w:left w:val="none" w:sz="0" w:space="0" w:color="auto"/>
        <w:bottom w:val="none" w:sz="0" w:space="0" w:color="auto"/>
        <w:right w:val="none" w:sz="0" w:space="0" w:color="auto"/>
      </w:divBdr>
    </w:div>
    <w:div w:id="19930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hyperlink" Target="http://uapatents.com/patents/singkh-oksana-oleksandrivna" TargetMode="External"/><Relationship Id="rId42" Type="http://schemas.openxmlformats.org/officeDocument/2006/relationships/hyperlink" Target="http://irbis-nbuv.gov.ua/cgi-bin/irbis_nbuv/cgiirbis_64.exe?Z21ID=&amp;I21DBN=REF&amp;P21DBN=REF&amp;S21STN=1&amp;S21REF=10&amp;S21FMT=fullwebr&amp;C21COM=S&amp;S21CNR=20&amp;S21P01=0&amp;S21P02=0&amp;S21P03=A=&amp;S21COLORTERMS=1&amp;S21STR=%D0%9A%D0%B0%D0%B9%D0%B4%D0%B0%D1%88%D0%B5%D0%B2%20%D0%98$" TargetMode="External"/><Relationship Id="rId47" Type="http://schemas.openxmlformats.org/officeDocument/2006/relationships/hyperlink" Target="http://cyberleninka.ru/journal/n/visnik-dnipropetrovskogo-universitetu-biologiya-meditsina" TargetMode="External"/><Relationship Id="rId63" Type="http://schemas.openxmlformats.org/officeDocument/2006/relationships/hyperlink" Target="http://www.ncbi.nlm.nih.gov/pubmed/8064169" TargetMode="External"/><Relationship Id="rId68" Type="http://schemas.openxmlformats.org/officeDocument/2006/relationships/hyperlink" Target="http://www.ncbi.nlm.nih.gov/pubmed/?term=Halawa%20B%5BAuthor%5D&amp;cauthor=true&amp;cauthor_uid=10522417" TargetMode="External"/><Relationship Id="rId84" Type="http://schemas.openxmlformats.org/officeDocument/2006/relationships/hyperlink" Target="http://www.ncbi.nlm.nih.gov/pubmed/?term=Kooffreh%20ME%5Bauth%5D" TargetMode="External"/><Relationship Id="rId89" Type="http://schemas.openxmlformats.org/officeDocument/2006/relationships/hyperlink" Target="http://www.ncbi.nlm.nih.gov/pubmed?term=Cameron%20EC%5BAuthor%5D&amp;cauthor=true&amp;cauthor_uid=393299" TargetMode="External"/><Relationship Id="rId7" Type="http://schemas.openxmlformats.org/officeDocument/2006/relationships/footnotes" Target="footnotes.xml"/><Relationship Id="rId71" Type="http://schemas.openxmlformats.org/officeDocument/2006/relationships/hyperlink" Target="http://hyper.ahajournals.org/search?author1=Ruben+O.+Halperin&amp;sortspec=date&amp;submit=Submit" TargetMode="External"/><Relationship Id="rId92" Type="http://schemas.openxmlformats.org/officeDocument/2006/relationships/hyperlink" Target="http://www.ncbi.nlm.nih.gov/pubmed/?term=Parrinello%20G%5BAuthor%5D&amp;cauthor=true&amp;cauthor_uid=8972889"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chart" Target="charts/chart8.xml"/><Relationship Id="rId107" Type="http://schemas.openxmlformats.org/officeDocument/2006/relationships/fontTable" Target="fontTable.xml"/><Relationship Id="rId11" Type="http://schemas.openxmlformats.org/officeDocument/2006/relationships/hyperlink" Target="http://www.ncbi.nlm.nih.gov/pubmed/?term=Yanagisawa%20M%5Bauth%5D"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5.xml"/><Relationship Id="rId40" Type="http://schemas.openxmlformats.org/officeDocument/2006/relationships/hyperlink" Target="http://www.ncbi.nlm.nih.gov/pubmed/?term=Barden%20AE%5BAuthor%5D&amp;cauthor=true&amp;cauthor_uid=11593097" TargetMode="External"/><Relationship Id="rId45" Type="http://schemas.openxmlformats.org/officeDocument/2006/relationships/hyperlink" Target="http://cyberleninka.ru/journal/n/vestnik-harkovskogo-natsionalnogo-universiteta-imeni-v-n-karazina-seriya-meditsina" TargetMode="External"/><Relationship Id="rId53" Type="http://schemas.openxmlformats.org/officeDocument/2006/relationships/hyperlink" Target="javascript:void(0);" TargetMode="External"/><Relationship Id="rId58" Type="http://schemas.openxmlformats.org/officeDocument/2006/relationships/hyperlink" Target="http://www.ncbi.nlm.nih.gov/pubmed?term=Zamudio%20S%5BAuthor%5D&amp;cauthor=true&amp;cauthor_uid=9374841" TargetMode="External"/><Relationship Id="rId66" Type="http://schemas.openxmlformats.org/officeDocument/2006/relationships/hyperlink" Target="http://www.ncbi.nlm.nih.gov/pubmed/?term=Hryniewicz%20A%5BAuthor%5D&amp;cauthor=true&amp;cauthor_uid=15841114" TargetMode="External"/><Relationship Id="rId74" Type="http://schemas.openxmlformats.org/officeDocument/2006/relationships/hyperlink" Target="http://www.ncbi.nlm.nih.gov/pubmed/?term=Hlubock%C3%A1%20Z%5BAuthor%5D&amp;cauthor=true&amp;cauthor_uid=12425201" TargetMode="External"/><Relationship Id="rId79" Type="http://schemas.openxmlformats.org/officeDocument/2006/relationships/hyperlink" Target="http://www.ncbi.nlm.nih.gov/pubmed/?term=Hoffman%20A%5BAuthor%5D&amp;cauthor=true&amp;cauthor_uid=8164445" TargetMode="External"/><Relationship Id="rId87" Type="http://schemas.openxmlformats.org/officeDocument/2006/relationships/hyperlink" Target="http://www.ncbi.nlm.nih.gov/pubmed?term=Lind%20T%5BAuthor%5D&amp;cauthor=true&amp;cauthor_uid=393299" TargetMode="External"/><Relationship Id="rId102" Type="http://schemas.openxmlformats.org/officeDocument/2006/relationships/hyperlink" Target="http://www.ncbi.nlm.nih.gov/pubmed/?term=Banu%20S%5Bauth%5D" TargetMode="External"/><Relationship Id="rId5" Type="http://schemas.openxmlformats.org/officeDocument/2006/relationships/settings" Target="settings.xml"/><Relationship Id="rId61" Type="http://schemas.openxmlformats.org/officeDocument/2006/relationships/hyperlink" Target="http://www.ncbi.nlm.nih.gov/pubmed/?term=Cheung%20BM%5BAuthor%5D&amp;cauthor=true&amp;cauthor_uid=8064169" TargetMode="External"/><Relationship Id="rId82" Type="http://schemas.openxmlformats.org/officeDocument/2006/relationships/hyperlink" Target="http://www.ncbi.nlm.nih.gov/pubmed/8164445" TargetMode="External"/><Relationship Id="rId90" Type="http://schemas.openxmlformats.org/officeDocument/2006/relationships/hyperlink" Target="http://www.ncbi.nlm.nih.gov/pubmed?term=Hunter%20WM%5BAuthor%5D&amp;cauthor=true&amp;cauthor_uid=393299" TargetMode="External"/><Relationship Id="rId95" Type="http://schemas.openxmlformats.org/officeDocument/2006/relationships/hyperlink" Target="http://www.ncbi.nlm.nih.gov/pubmed/8972889" TargetMode="External"/><Relationship Id="rId19" Type="http://schemas.openxmlformats.org/officeDocument/2006/relationships/hyperlink" Target="http://uapatents.com/patents/sakovich-olena-oleksandrivna" TargetMode="External"/><Relationship Id="rId14" Type="http://schemas.openxmlformats.org/officeDocument/2006/relationships/hyperlink" Target="http://www.ncbi.nlm.nih.gov/pubmed/?term=Halawa%20B%5BAuthor%5D&amp;cauthor=true&amp;cauthor_uid=10522417"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hyperlink" Target="http://irbis-nbuv.gov.ua/cgi-bin/irbis_nbuv/cgiirbis_64.exe?Z21ID=&amp;I21DBN=REF&amp;P21DBN=REF&amp;S21STN=1&amp;S21REF=10&amp;S21FMT=fullwebr&amp;C21COM=S&amp;S21CNR=20&amp;S21P01=0&amp;S21P02=0&amp;S21P03=TJ=&amp;S21COLORTERMS=1&amp;S21STR=%D0%A6%D0%B8%D1%82%D0%BE%D0%BB%D0%BE%D0%B3%D0%B8%D1%8F%20%D0%B8%20%D0%B3%D0%B5%D0%BD%D0%B5%D1%82%D0%B8%D0%BA%D0%B0" TargetMode="External"/><Relationship Id="rId48" Type="http://schemas.openxmlformats.org/officeDocument/2006/relationships/hyperlink" Target="http://www.irbis-nbuv.gov.ua/cgi-bin/irbis_nbuv/cgiirbis_64.exe?Z21ID=&amp;I21DBN=REF&amp;P21DBN=REF&amp;S21STN=1&amp;S21REF=10&amp;S21FMT=fullwebr&amp;C21COM=S&amp;S21CNR=20&amp;S21P01=0&amp;S21P02=0&amp;S21P03=A=&amp;S21COLORTERMS=1&amp;S21STR=%D0%A1%D0%B2%D0%B8%D1%89%D0%B5%D0%BD%D0%BA%D0%BE%20%D0%95$" TargetMode="External"/><Relationship Id="rId56" Type="http://schemas.openxmlformats.org/officeDocument/2006/relationships/hyperlink" Target="http://www.ncbi.nlm.nih.gov/pubmed/11593097" TargetMode="External"/><Relationship Id="rId64" Type="http://schemas.openxmlformats.org/officeDocument/2006/relationships/hyperlink" Target="http://www.ncbi.nlm.nih.gov/pubmed/?term=G%C5%82owi%C5%84ska%20B%5BAuthor%5D&amp;cauthor=true&amp;cauthor_uid=15841114" TargetMode="External"/><Relationship Id="rId69" Type="http://schemas.openxmlformats.org/officeDocument/2006/relationships/hyperlink" Target="http://www.ncbi.nlm.nih.gov/pubmed/?term=Halawa%20B%5BAuthor%5D&amp;cauthor=true&amp;cauthor_uid=10522417" TargetMode="External"/><Relationship Id="rId77" Type="http://schemas.openxmlformats.org/officeDocument/2006/relationships/hyperlink" Target="http://www.ncbi.nlm.nih.gov/pubmed/12425201" TargetMode="External"/><Relationship Id="rId100" Type="http://schemas.openxmlformats.org/officeDocument/2006/relationships/hyperlink" Target="http://www.ncbi.nlm.nih.gov/pubmed/?term=Yamunadevi%20A%5Bauth%5D" TargetMode="External"/><Relationship Id="rId105" Type="http://schemas.openxmlformats.org/officeDocument/2006/relationships/hyperlink" Target="http://ndt.oxfordjournals.org/search?author1=D.+Leonardis&amp;sortspec=date&amp;submit=Submit" TargetMode="External"/><Relationship Id="rId8" Type="http://schemas.openxmlformats.org/officeDocument/2006/relationships/endnotes" Target="endnotes.xml"/><Relationship Id="rId51" Type="http://schemas.openxmlformats.org/officeDocument/2006/relationships/hyperlink" Target="javascript:void(0);" TargetMode="External"/><Relationship Id="rId72" Type="http://schemas.openxmlformats.org/officeDocument/2006/relationships/hyperlink" Target="http://hyper.ahajournals.org/search?author1=Howard+D.+Sesso&amp;sortspec=date&amp;submit=Submit" TargetMode="External"/><Relationship Id="rId80" Type="http://schemas.openxmlformats.org/officeDocument/2006/relationships/hyperlink" Target="http://www.ncbi.nlm.nih.gov/pubmed/?term=Grossman%20E%5BAuthor%5D&amp;cauthor=true&amp;cauthor_uid=8164445" TargetMode="External"/><Relationship Id="rId85" Type="http://schemas.openxmlformats.org/officeDocument/2006/relationships/hyperlink" Target="http://www.ncbi.nlm.nih.gov/pubmed/?term=Anumudu%20CI%5Bauth%5D" TargetMode="External"/><Relationship Id="rId93" Type="http://schemas.openxmlformats.org/officeDocument/2006/relationships/hyperlink" Target="http://www.ncbi.nlm.nih.gov/pubmed/?term=Scaglione%20R%5BAuthor%5D&amp;cauthor=true&amp;cauthor_uid=8972889" TargetMode="External"/><Relationship Id="rId98" Type="http://schemas.openxmlformats.org/officeDocument/2006/relationships/hyperlink" Target="http://www.ncbi.nlm.nih.gov/pubmed?term=Giles%20TD%5BAuthor%5D&amp;cauthor=true&amp;cauthor_uid=12419175"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gen-expert.ru/calculator_or.php" TargetMode="External"/><Relationship Id="rId25" Type="http://schemas.openxmlformats.org/officeDocument/2006/relationships/chart" Target="charts/chart4.xml"/><Relationship Id="rId33" Type="http://schemas.openxmlformats.org/officeDocument/2006/relationships/header" Target="header1.xml"/><Relationship Id="rId38" Type="http://schemas.openxmlformats.org/officeDocument/2006/relationships/chart" Target="charts/chart16.xml"/><Relationship Id="rId46" Type="http://schemas.openxmlformats.org/officeDocument/2006/relationships/hyperlink" Target="https://www.google.com.ua/url?sa=t&amp;rct=j&amp;q=&amp;esrc=s&amp;source=web&amp;cd=2&amp;cad=rja&amp;uact=8&amp;ved=0CCYQFjAB&amp;url=http%3A%2F%2Flibrary.vsmu.edu.ua%2Findex.php%3Foption%3Dcom_content%26task%3Dview%26id%3D91%26Itemid%3D37&amp;ei=H_FFVePzFsfxUuhh&amp;usg=AFQjCNEqafOJzGKC5DX9kYsNcLzEi1WcZw" TargetMode="External"/><Relationship Id="rId59" Type="http://schemas.openxmlformats.org/officeDocument/2006/relationships/hyperlink" Target="http://www.ncbi.nlm.nih.gov/pubmed?term=Woodmansee%20W%5BAuthor%5D&amp;cauthor=true&amp;cauthor_uid=9374841" TargetMode="External"/><Relationship Id="rId67" Type="http://schemas.openxmlformats.org/officeDocument/2006/relationships/hyperlink" Target="http://www.ncbi.nlm.nih.gov/pubmed/15841114" TargetMode="External"/><Relationship Id="rId103" Type="http://schemas.openxmlformats.org/officeDocument/2006/relationships/hyperlink" Target="http://ndt.oxfordjournals.org/search?author1=C.+Zoccali&amp;sortspec=date&amp;submit=Submit" TargetMode="External"/><Relationship Id="rId108" Type="http://schemas.openxmlformats.org/officeDocument/2006/relationships/theme" Target="theme/theme1.xml"/><Relationship Id="rId20" Type="http://schemas.openxmlformats.org/officeDocument/2006/relationships/hyperlink" Target="http://uapatents.com/patents/vilchinskijj-genrikh-vitalijjovich" TargetMode="External"/><Relationship Id="rId41" Type="http://schemas.openxmlformats.org/officeDocument/2006/relationships/hyperlink" Target="http://famous-scientists.ru/list/sp-14.01.05" TargetMode="External"/><Relationship Id="rId54" Type="http://schemas.openxmlformats.org/officeDocument/2006/relationships/hyperlink" Target="javascript:void(0);" TargetMode="External"/><Relationship Id="rId62" Type="http://schemas.openxmlformats.org/officeDocument/2006/relationships/hyperlink" Target="http://www.ncbi.nlm.nih.gov/pubmed/?term=Brown%20MJ%5BAuthor%5D&amp;cauthor=true&amp;cauthor_uid=8064169" TargetMode="External"/><Relationship Id="rId70" Type="http://schemas.openxmlformats.org/officeDocument/2006/relationships/hyperlink" Target="http://www.ncbi.nlm.nih.gov/pubmed/10522417" TargetMode="External"/><Relationship Id="rId75" Type="http://schemas.openxmlformats.org/officeDocument/2006/relationships/hyperlink" Target="http://www.ncbi.nlm.nih.gov/pubmed/?term=Umnerov%C3%A1%20V%5BAuthor%5D&amp;cauthor=true&amp;cauthor_uid=12425201" TargetMode="External"/><Relationship Id="rId83" Type="http://schemas.openxmlformats.org/officeDocument/2006/relationships/hyperlink" Target="http://www.ncbi.nlm.nih.gov/pubmed/?term=Kooffreh%20ME%5Bauth%5D" TargetMode="External"/><Relationship Id="rId88" Type="http://schemas.openxmlformats.org/officeDocument/2006/relationships/hyperlink" Target="http://www.ncbi.nlm.nih.gov/pubmed?term=Lind%20T%5BAuthor%5D&amp;cauthor=true&amp;cauthor_uid=393299" TargetMode="External"/><Relationship Id="rId91" Type="http://schemas.openxmlformats.org/officeDocument/2006/relationships/hyperlink" Target="http://www.ncbi.nlm.nih.gov/pubmed/?term=Parrinello%20G%5BAuthor%5D&amp;cauthor=true&amp;cauthor_uid=8972889" TargetMode="External"/><Relationship Id="rId96" Type="http://schemas.openxmlformats.org/officeDocument/2006/relationships/hyperlink" Target="http://www.ncbi.nlm.nih.gov/pubmed?term=Sander%20GE%5BAuthor%5D&amp;cauthor=true&amp;cauthor_uid=124191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4.xml"/><Relationship Id="rId49" Type="http://schemas.openxmlformats.org/officeDocument/2006/relationships/hyperlink" Target="http://library.univer.kharkov.ua/OpacUnicode/index.php?url=/auteurs/view/326021/source:default" TargetMode="External"/><Relationship Id="rId57" Type="http://schemas.openxmlformats.org/officeDocument/2006/relationships/hyperlink" Target="http://www.ncbi.nlm.nih.gov/pubmed/8952600" TargetMode="External"/><Relationship Id="rId106" Type="http://schemas.openxmlformats.org/officeDocument/2006/relationships/hyperlink" Target="http://ndt.oxfordjournals.org/search?author1=S.+Parlongo&amp;sortspec=date&amp;submit=Submit" TargetMode="External"/><Relationship Id="rId10" Type="http://schemas.openxmlformats.org/officeDocument/2006/relationships/hyperlink" Target="https://uk.wikipedia.org/wiki/%D0%90%D0%BD%D0%B3%D0%BB%D1%96%D0%B9%D1%81%D1%8C%D0%BA%D0%B0_%D0%BC%D0%BE%D0%B2%D0%B0" TargetMode="External"/><Relationship Id="rId31" Type="http://schemas.openxmlformats.org/officeDocument/2006/relationships/chart" Target="charts/chart10.xml"/><Relationship Id="rId44" Type="http://schemas.openxmlformats.org/officeDocument/2006/relationships/hyperlink" Target="http://medi.ru/doc/66.htm" TargetMode="External"/><Relationship Id="rId52" Type="http://schemas.openxmlformats.org/officeDocument/2006/relationships/hyperlink" Target="javascript:void(0);" TargetMode="External"/><Relationship Id="rId60" Type="http://schemas.openxmlformats.org/officeDocument/2006/relationships/hyperlink" Target="http://www.ncbi.nlm.nih.gov/pubmed/?term=Cheung%20BM%5BAuthor%5D&amp;cauthor=true&amp;cauthor_uid=8064169" TargetMode="External"/><Relationship Id="rId65" Type="http://schemas.openxmlformats.org/officeDocument/2006/relationships/hyperlink" Target="http://www.ncbi.nlm.nih.gov/pubmed/?term=Urban%20M%5BAuthor%5D&amp;cauthor=true&amp;cauthor_uid=15841114" TargetMode="External"/><Relationship Id="rId73" Type="http://schemas.openxmlformats.org/officeDocument/2006/relationships/hyperlink" Target="http://www.ncbi.nlm.nih.gov/pubmed/?term=Hlubock%C3%A1%20Z%5BAuthor%5D&amp;cauthor=true&amp;cauthor_uid=12425201" TargetMode="External"/><Relationship Id="rId78" Type="http://schemas.openxmlformats.org/officeDocument/2006/relationships/hyperlink" Target="http://www.ncbi.nlm.nih.gov/pubmed/?term=Hoffman%20A%5BAuthor%5D&amp;cauthor=true&amp;cauthor_uid=8164445" TargetMode="External"/><Relationship Id="rId81" Type="http://schemas.openxmlformats.org/officeDocument/2006/relationships/hyperlink" Target="http://www.ncbi.nlm.nih.gov/pubmed/?term=Goldstein%20DS%5BAuthor%5D&amp;cauthor=true&amp;cauthor_uid=8164445" TargetMode="External"/><Relationship Id="rId86" Type="http://schemas.openxmlformats.org/officeDocument/2006/relationships/hyperlink" Target="http://www.ncbi.nlm.nih.gov/pubmed/?term=Duke%20R%5Bauth%5D" TargetMode="External"/><Relationship Id="rId94" Type="http://schemas.openxmlformats.org/officeDocument/2006/relationships/hyperlink" Target="http://www.ncbi.nlm.nih.gov/pubmed/?term=Pinto%20A%5BAuthor%5D&amp;cauthor=true&amp;cauthor_uid=8972889" TargetMode="External"/><Relationship Id="rId99" Type="http://schemas.openxmlformats.org/officeDocument/2006/relationships/hyperlink" Target="http://www.ncbi.nlm.nih.gov/pubmed/?term=Yamunadevi%20A%5Bauth%5D" TargetMode="External"/><Relationship Id="rId101" Type="http://schemas.openxmlformats.org/officeDocument/2006/relationships/hyperlink" Target="http://www.ncbi.nlm.nih.gov/pubmed/?term=Dineshshankar%20J%5Bauth%5D" TargetMode="External"/><Relationship Id="rId4" Type="http://schemas.microsoft.com/office/2007/relationships/stylesWithEffects" Target="stylesWithEffects.xml"/><Relationship Id="rId9" Type="http://schemas.openxmlformats.org/officeDocument/2006/relationships/hyperlink" Target="https://uk.wikipedia.org/wiki/%D0%A5%D1%80%D0%BE%D0%BD%D1%96%D1%87%D0%BD%D0%B0_%D1%81%D0%B5%D1%80%D1%86%D0%B5%D0%B2%D0%B0_%D0%BD%D0%B5%D0%B4%D0%BE%D1%81%D1%82%D0%B0%D1%82%D0%BD%D1%96%D1%81%D1%82%D1%8C" TargetMode="External"/><Relationship Id="rId13" Type="http://schemas.openxmlformats.org/officeDocument/2006/relationships/image" Target="media/image2.jpeg"/><Relationship Id="rId18" Type="http://schemas.openxmlformats.org/officeDocument/2006/relationships/hyperlink" Target="http://uapatents.com/patents/zhebel-vadim-mikolajjovich" TargetMode="External"/><Relationship Id="rId39" Type="http://schemas.openxmlformats.org/officeDocument/2006/relationships/chart" Target="charts/chart17.xml"/><Relationship Id="rId34" Type="http://schemas.openxmlformats.org/officeDocument/2006/relationships/chart" Target="charts/chart12.xml"/><Relationship Id="rId50" Type="http://schemas.openxmlformats.org/officeDocument/2006/relationships/hyperlink" Target="http://famous-scientists.ru/list/sp-14.01.05" TargetMode="External"/><Relationship Id="rId55" Type="http://schemas.openxmlformats.org/officeDocument/2006/relationships/hyperlink" Target="http://www.ncbi.nlm.nih.gov/pubmed/?term=Barden%20AE%5BAuthor%5D&amp;cauthor=true&amp;cauthor_uid=11593097" TargetMode="External"/><Relationship Id="rId76" Type="http://schemas.openxmlformats.org/officeDocument/2006/relationships/hyperlink" Target="http://www.ncbi.nlm.nih.gov/pubmed/?term=Heller%20S%5BAuthor%5D&amp;cauthor=true&amp;cauthor_uid=12425201" TargetMode="External"/><Relationship Id="rId97" Type="http://schemas.openxmlformats.org/officeDocument/2006/relationships/hyperlink" Target="http://www.ncbi.nlm.nih.gov/pubmed?term=Sander%20GE%5BAuthor%5D&amp;cauthor=true&amp;cauthor_uid=12419175" TargetMode="External"/><Relationship Id="rId104" Type="http://schemas.openxmlformats.org/officeDocument/2006/relationships/hyperlink" Target="http://ndt.oxfordjournals.org/search?author1=C.+Zoccali&amp;sortspec=date&amp;submit=Submi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manualLayout>
          <c:layoutTarget val="inner"/>
          <c:xMode val="edge"/>
          <c:yMode val="edge"/>
          <c:x val="6.6129983694204766E-2"/>
          <c:y val="9.1507549209053116E-2"/>
          <c:w val="0.54339067673318953"/>
          <c:h val="0.70933874823960952"/>
        </c:manualLayout>
      </c:layout>
      <c:bar3DChart>
        <c:barDir val="col"/>
        <c:grouping val="clustered"/>
        <c:varyColors val="0"/>
        <c:ser>
          <c:idx val="0"/>
          <c:order val="0"/>
          <c:tx>
            <c:strRef>
              <c:f>Лист1!$B$1</c:f>
              <c:strCache>
                <c:ptCount val="1"/>
                <c:pt idx="0">
                  <c:v>Носії генотипу Lys/Lys (n=52)</c:v>
                </c:pt>
              </c:strCache>
            </c:strRef>
          </c:tx>
          <c:spPr>
            <a:pattFill prst="solidDmnd">
              <a:fgClr>
                <a:srgbClr val="000099"/>
              </a:fgClr>
              <a:bgClr>
                <a:schemeClr val="bg1"/>
              </a:bgClr>
            </a:pattFill>
          </c:spPr>
          <c:invertIfNegative val="0"/>
          <c:dLbls>
            <c:dLbl>
              <c:idx val="0"/>
              <c:layout>
                <c:manualLayout>
                  <c:x val="1.4256899458562693E-2"/>
                  <c:y val="1.2132446860773576E-2"/>
                </c:manualLayout>
              </c:layout>
              <c:showLegendKey val="0"/>
              <c:showVal val="1"/>
              <c:showCatName val="0"/>
              <c:showSerName val="0"/>
              <c:showPercent val="0"/>
              <c:showBubbleSize val="0"/>
            </c:dLbl>
            <c:txPr>
              <a:bodyPr/>
              <a:lstStyle/>
              <a:p>
                <a:pPr>
                  <a:defRPr sz="1200"/>
                </a:pPr>
                <a:endParaRPr lang="uk-UA"/>
              </a:p>
            </c:txPr>
            <c:showLegendKey val="0"/>
            <c:showVal val="1"/>
            <c:showCatName val="0"/>
            <c:showSerName val="0"/>
            <c:showPercent val="0"/>
            <c:showBubbleSize val="0"/>
            <c:showLeaderLines val="0"/>
          </c:dLbls>
          <c:cat>
            <c:strRef>
              <c:f>Лист1!$A$2</c:f>
              <c:strCache>
                <c:ptCount val="1"/>
                <c:pt idx="0">
                  <c:v>Група контролю</c:v>
                </c:pt>
              </c:strCache>
            </c:strRef>
          </c:cat>
          <c:val>
            <c:numRef>
              <c:f>Лист1!$B$2</c:f>
              <c:numCache>
                <c:formatCode>General</c:formatCode>
                <c:ptCount val="1"/>
                <c:pt idx="0">
                  <c:v>65.819999999999993</c:v>
                </c:pt>
              </c:numCache>
            </c:numRef>
          </c:val>
        </c:ser>
        <c:ser>
          <c:idx val="1"/>
          <c:order val="1"/>
          <c:tx>
            <c:strRef>
              <c:f>Лист1!$C$1</c:f>
              <c:strCache>
                <c:ptCount val="1"/>
                <c:pt idx="0">
                  <c:v>Носії алелі Asn  (n=27)</c:v>
                </c:pt>
              </c:strCache>
            </c:strRef>
          </c:tx>
          <c:spPr>
            <a:pattFill prst="wdUpDiag">
              <a:fgClr>
                <a:srgbClr val="000099"/>
              </a:fgClr>
              <a:bgClr>
                <a:schemeClr val="bg1"/>
              </a:bgClr>
            </a:pattFill>
          </c:spPr>
          <c:invertIfNegative val="0"/>
          <c:dLbls>
            <c:dLbl>
              <c:idx val="0"/>
              <c:layout>
                <c:manualLayout>
                  <c:x val="1.9718309859154931E-2"/>
                  <c:y val="-4.0677966101694885E-2"/>
                </c:manualLayout>
              </c:layout>
              <c:tx>
                <c:rich>
                  <a:bodyPr/>
                  <a:lstStyle/>
                  <a:p>
                    <a:r>
                      <a:rPr lang="uk-UA" sz="1200"/>
                      <a:t>*</a:t>
                    </a:r>
                  </a:p>
                  <a:p>
                    <a:r>
                      <a:rPr lang="en-US" sz="1200"/>
                      <a:t>34,18</a:t>
                    </a:r>
                    <a:endParaRPr lang="en-US"/>
                  </a:p>
                </c:rich>
              </c:tx>
              <c:showLegendKey val="0"/>
              <c:showVal val="1"/>
              <c:showCatName val="0"/>
              <c:showSerName val="0"/>
              <c:showPercent val="0"/>
              <c:showBubbleSize val="0"/>
            </c:dLbl>
            <c:txPr>
              <a:bodyPr/>
              <a:lstStyle/>
              <a:p>
                <a:pPr>
                  <a:defRPr sz="1200"/>
                </a:pPr>
                <a:endParaRPr lang="uk-UA"/>
              </a:p>
            </c:txPr>
            <c:showLegendKey val="0"/>
            <c:showVal val="1"/>
            <c:showCatName val="0"/>
            <c:showSerName val="0"/>
            <c:showPercent val="0"/>
            <c:showBubbleSize val="0"/>
            <c:showLeaderLines val="0"/>
          </c:dLbls>
          <c:cat>
            <c:strRef>
              <c:f>Лист1!$A$2</c:f>
              <c:strCache>
                <c:ptCount val="1"/>
                <c:pt idx="0">
                  <c:v>Група контролю</c:v>
                </c:pt>
              </c:strCache>
            </c:strRef>
          </c:cat>
          <c:val>
            <c:numRef>
              <c:f>Лист1!$C$2</c:f>
              <c:numCache>
                <c:formatCode>General</c:formatCode>
                <c:ptCount val="1"/>
                <c:pt idx="0">
                  <c:v>34.18</c:v>
                </c:pt>
              </c:numCache>
            </c:numRef>
          </c:val>
        </c:ser>
        <c:dLbls>
          <c:showLegendKey val="0"/>
          <c:showVal val="0"/>
          <c:showCatName val="0"/>
          <c:showSerName val="0"/>
          <c:showPercent val="0"/>
          <c:showBubbleSize val="0"/>
        </c:dLbls>
        <c:gapWidth val="150"/>
        <c:shape val="cylinder"/>
        <c:axId val="130587648"/>
        <c:axId val="147686144"/>
        <c:axId val="0"/>
      </c:bar3DChart>
      <c:catAx>
        <c:axId val="130587648"/>
        <c:scaling>
          <c:orientation val="minMax"/>
        </c:scaling>
        <c:delete val="0"/>
        <c:axPos val="b"/>
        <c:majorTickMark val="out"/>
        <c:minorTickMark val="none"/>
        <c:tickLblPos val="nextTo"/>
        <c:txPr>
          <a:bodyPr/>
          <a:lstStyle/>
          <a:p>
            <a:pPr>
              <a:defRPr sz="1200"/>
            </a:pPr>
            <a:endParaRPr lang="uk-UA"/>
          </a:p>
        </c:txPr>
        <c:crossAx val="147686144"/>
        <c:crosses val="autoZero"/>
        <c:auto val="1"/>
        <c:lblAlgn val="ctr"/>
        <c:lblOffset val="100"/>
        <c:noMultiLvlLbl val="0"/>
      </c:catAx>
      <c:valAx>
        <c:axId val="147686144"/>
        <c:scaling>
          <c:orientation val="minMax"/>
        </c:scaling>
        <c:delete val="0"/>
        <c:axPos val="l"/>
        <c:majorGridlines/>
        <c:numFmt formatCode="General" sourceLinked="0"/>
        <c:majorTickMark val="out"/>
        <c:minorTickMark val="none"/>
        <c:tickLblPos val="nextTo"/>
        <c:txPr>
          <a:bodyPr/>
          <a:lstStyle/>
          <a:p>
            <a:pPr>
              <a:defRPr sz="1200"/>
            </a:pPr>
            <a:endParaRPr lang="uk-UA"/>
          </a:p>
        </c:txPr>
        <c:crossAx val="130587648"/>
        <c:crosses val="autoZero"/>
        <c:crossBetween val="between"/>
      </c:valAx>
    </c:plotArea>
    <c:legend>
      <c:legendPos val="r"/>
      <c:legendEntry>
        <c:idx val="0"/>
        <c:txPr>
          <a:bodyPr/>
          <a:lstStyle/>
          <a:p>
            <a:pPr>
              <a:defRPr sz="1400"/>
            </a:pPr>
            <a:endParaRPr lang="uk-UA"/>
          </a:p>
        </c:txPr>
      </c:legendEntry>
      <c:layout>
        <c:manualLayout>
          <c:xMode val="edge"/>
          <c:yMode val="edge"/>
          <c:x val="0.65370964935141707"/>
          <c:y val="7.3278132246780286E-2"/>
          <c:w val="0.32844984023962492"/>
          <c:h val="0.7615876426428394"/>
        </c:manualLayout>
      </c:layout>
      <c:overlay val="0"/>
      <c:txPr>
        <a:bodyPr/>
        <a:lstStyle/>
        <a:p>
          <a:pPr>
            <a:defRPr sz="1400"/>
          </a:pPr>
          <a:endParaRPr lang="uk-UA"/>
        </a:p>
      </c:txPr>
    </c:legend>
    <c:plotVisOnly val="1"/>
    <c:dispBlanksAs val="gap"/>
    <c:showDLblsOverMax val="0"/>
  </c:chart>
  <c:txPr>
    <a:bodyPr/>
    <a:lstStyle/>
    <a:p>
      <a:pPr>
        <a:defRPr sz="1000">
          <a:latin typeface="Times New Roman" pitchFamily="18" charset="0"/>
          <a:cs typeface="Times New Roman" pitchFamily="18" charset="0"/>
        </a:defRPr>
      </a:pPr>
      <a:endParaRPr lang="uk-UA"/>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manualLayout>
          <c:layoutTarget val="inner"/>
          <c:xMode val="edge"/>
          <c:yMode val="edge"/>
          <c:x val="5.0170186323882662E-2"/>
          <c:y val="0.25422404296085438"/>
          <c:w val="0.67286232243017763"/>
          <c:h val="0.5663815351771837"/>
        </c:manualLayout>
      </c:layout>
      <c:bar3DChart>
        <c:barDir val="col"/>
        <c:grouping val="clustered"/>
        <c:varyColors val="0"/>
        <c:ser>
          <c:idx val="0"/>
          <c:order val="0"/>
          <c:tx>
            <c:strRef>
              <c:f>Лист1!$B$1</c:f>
              <c:strCache>
                <c:ptCount val="1"/>
                <c:pt idx="0">
                  <c:v>Носії генотипу Lys/Lys</c:v>
                </c:pt>
              </c:strCache>
            </c:strRef>
          </c:tx>
          <c:spPr>
            <a:pattFill prst="solidDmnd">
              <a:fgClr>
                <a:srgbClr val="000099"/>
              </a:fgClr>
              <a:bgClr>
                <a:schemeClr val="bg1"/>
              </a:bgClr>
            </a:pattFill>
          </c:spPr>
          <c:invertIfNegative val="0"/>
          <c:dLbls>
            <c:dLbl>
              <c:idx val="2"/>
              <c:layout>
                <c:manualLayout>
                  <c:x val="2.3090707572006645E-3"/>
                  <c:y val="3.3838377782840212E-2"/>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Група контролю</c:v>
                </c:pt>
                <c:pt idx="1">
                  <c:v>ГХ ІІ ст.</c:v>
                </c:pt>
                <c:pt idx="2">
                  <c:v>ГХ ІІІ ст.</c:v>
                </c:pt>
              </c:strCache>
            </c:strRef>
          </c:cat>
          <c:val>
            <c:numRef>
              <c:f>Лист1!$B$2:$B$4</c:f>
              <c:numCache>
                <c:formatCode>General</c:formatCode>
                <c:ptCount val="3"/>
                <c:pt idx="0">
                  <c:v>1.41</c:v>
                </c:pt>
                <c:pt idx="1">
                  <c:v>11.58</c:v>
                </c:pt>
                <c:pt idx="2">
                  <c:v>12.89</c:v>
                </c:pt>
              </c:numCache>
            </c:numRef>
          </c:val>
        </c:ser>
        <c:ser>
          <c:idx val="1"/>
          <c:order val="1"/>
          <c:tx>
            <c:strRef>
              <c:f>Лист1!$C$1</c:f>
              <c:strCache>
                <c:ptCount val="1"/>
                <c:pt idx="0">
                  <c:v>Носії алелі Asn</c:v>
                </c:pt>
              </c:strCache>
            </c:strRef>
          </c:tx>
          <c:spPr>
            <a:pattFill prst="wdUpDiag">
              <a:fgClr>
                <a:srgbClr val="000099"/>
              </a:fgClr>
              <a:bgClr>
                <a:schemeClr val="bg1"/>
              </a:bgClr>
            </a:pattFill>
          </c:spPr>
          <c:invertIfNegative val="0"/>
          <c:dLbls>
            <c:dLbl>
              <c:idx val="0"/>
              <c:layout>
                <c:manualLayout>
                  <c:x val="0"/>
                  <c:y val="1.6919188891420182E-2"/>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Група контролю</c:v>
                </c:pt>
                <c:pt idx="1">
                  <c:v>ГХ ІІ ст.</c:v>
                </c:pt>
                <c:pt idx="2">
                  <c:v>ГХ ІІІ ст.</c:v>
                </c:pt>
              </c:strCache>
            </c:strRef>
          </c:cat>
          <c:val>
            <c:numRef>
              <c:f>Лист1!$C$2:$C$4</c:f>
              <c:numCache>
                <c:formatCode>General</c:formatCode>
                <c:ptCount val="3"/>
                <c:pt idx="0">
                  <c:v>2.5299999999999998</c:v>
                </c:pt>
                <c:pt idx="1">
                  <c:v>13.9</c:v>
                </c:pt>
                <c:pt idx="2">
                  <c:v>14.07</c:v>
                </c:pt>
              </c:numCache>
            </c:numRef>
          </c:val>
        </c:ser>
        <c:dLbls>
          <c:showLegendKey val="0"/>
          <c:showVal val="0"/>
          <c:showCatName val="0"/>
          <c:showSerName val="0"/>
          <c:showPercent val="0"/>
          <c:showBubbleSize val="0"/>
        </c:dLbls>
        <c:gapWidth val="150"/>
        <c:shape val="cylinder"/>
        <c:axId val="109721088"/>
        <c:axId val="109722624"/>
        <c:axId val="0"/>
      </c:bar3DChart>
      <c:catAx>
        <c:axId val="10972108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uk-UA"/>
          </a:p>
        </c:txPr>
        <c:crossAx val="109722624"/>
        <c:crosses val="autoZero"/>
        <c:auto val="1"/>
        <c:lblAlgn val="ctr"/>
        <c:lblOffset val="100"/>
        <c:noMultiLvlLbl val="0"/>
      </c:catAx>
      <c:valAx>
        <c:axId val="1097226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09721088"/>
        <c:crosses val="autoZero"/>
        <c:crossBetween val="between"/>
      </c:valAx>
    </c:plotArea>
    <c:legend>
      <c:legendPos val="r"/>
      <c:legendEntry>
        <c:idx val="0"/>
        <c:txPr>
          <a:bodyPr/>
          <a:lstStyle/>
          <a:p>
            <a:pPr>
              <a:defRPr sz="1300">
                <a:latin typeface="Times New Roman" pitchFamily="18" charset="0"/>
                <a:cs typeface="Times New Roman" pitchFamily="18" charset="0"/>
              </a:defRPr>
            </a:pPr>
            <a:endParaRPr lang="uk-UA"/>
          </a:p>
        </c:txPr>
      </c:legendEntry>
      <c:layout>
        <c:manualLayout>
          <c:xMode val="edge"/>
          <c:yMode val="edge"/>
          <c:x val="0.74459857067520141"/>
          <c:y val="0.10973396432180411"/>
          <c:w val="0.2396334851540764"/>
          <c:h val="0.64188269350702187"/>
        </c:manualLayout>
      </c:layout>
      <c:overlay val="0"/>
      <c:txPr>
        <a:bodyPr/>
        <a:lstStyle/>
        <a:p>
          <a:pPr>
            <a:defRPr sz="13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uk-UA" sz="1050">
                <a:latin typeface="Times New Roman" pitchFamily="18" charset="0"/>
                <a:cs typeface="Times New Roman" pitchFamily="18" charset="0"/>
              </a:rPr>
              <a:t>СНП</a:t>
            </a:r>
          </a:p>
        </c:rich>
      </c:tx>
      <c:overlay val="0"/>
    </c:title>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7.5603795493305273E-2"/>
          <c:y val="0.28690243288377482"/>
          <c:w val="0.791314271199971"/>
          <c:h val="0.55217107101859075"/>
        </c:manualLayout>
      </c:layout>
      <c:bar3DChart>
        <c:barDir val="col"/>
        <c:grouping val="clustered"/>
        <c:varyColors val="0"/>
        <c:ser>
          <c:idx val="0"/>
          <c:order val="0"/>
          <c:tx>
            <c:strRef>
              <c:f>Лист1!$B$1</c:f>
              <c:strCache>
                <c:ptCount val="1"/>
                <c:pt idx="0">
                  <c:v>СНП</c:v>
                </c:pt>
              </c:strCache>
            </c:strRef>
          </c:tx>
          <c:spPr>
            <a:solidFill>
              <a:srgbClr val="00B050"/>
            </a:solidFill>
          </c:spPr>
          <c:invertIfNegative val="0"/>
          <c:dLbls>
            <c:dLbl>
              <c:idx val="1"/>
              <c:layout>
                <c:manualLayout>
                  <c:x val="0"/>
                  <c:y val="3.718854592785422E-2"/>
                </c:manualLayout>
              </c:layout>
              <c:showLegendKey val="0"/>
              <c:showVal val="1"/>
              <c:showCatName val="0"/>
              <c:showSerName val="0"/>
              <c:showPercent val="0"/>
              <c:showBubbleSize val="0"/>
            </c:dLbl>
            <c:dLbl>
              <c:idx val="2"/>
              <c:layout>
                <c:manualLayout>
                  <c:x val="0"/>
                  <c:y val="2.2304832713754646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Група контролю (n=79)</c:v>
                </c:pt>
                <c:pt idx="1">
                  <c:v>ГХ ІІ ст. (n=60)</c:v>
                </c:pt>
                <c:pt idx="2">
                  <c:v>ГХ ІІІ ст. (n=50)</c:v>
                </c:pt>
              </c:strCache>
            </c:strRef>
          </c:cat>
          <c:val>
            <c:numRef>
              <c:f>Лист1!$B$2:$B$4</c:f>
              <c:numCache>
                <c:formatCode>General</c:formatCode>
                <c:ptCount val="3"/>
                <c:pt idx="0">
                  <c:v>2.35</c:v>
                </c:pt>
                <c:pt idx="1">
                  <c:v>5.21</c:v>
                </c:pt>
                <c:pt idx="2">
                  <c:v>5.22</c:v>
                </c:pt>
              </c:numCache>
            </c:numRef>
          </c:val>
        </c:ser>
        <c:dLbls>
          <c:showLegendKey val="0"/>
          <c:showVal val="0"/>
          <c:showCatName val="0"/>
          <c:showSerName val="0"/>
          <c:showPercent val="0"/>
          <c:showBubbleSize val="0"/>
        </c:dLbls>
        <c:gapWidth val="150"/>
        <c:shape val="cylinder"/>
        <c:axId val="112388352"/>
        <c:axId val="112390144"/>
        <c:axId val="0"/>
      </c:bar3DChart>
      <c:catAx>
        <c:axId val="112388352"/>
        <c:scaling>
          <c:orientation val="minMax"/>
        </c:scaling>
        <c:delete val="0"/>
        <c:axPos val="b"/>
        <c:majorTickMark val="none"/>
        <c:minorTickMark val="none"/>
        <c:tickLblPos val="nextTo"/>
        <c:txPr>
          <a:bodyPr/>
          <a:lstStyle/>
          <a:p>
            <a:pPr>
              <a:defRPr sz="1000">
                <a:latin typeface="Times New Roman" pitchFamily="18" charset="0"/>
                <a:cs typeface="Times New Roman" pitchFamily="18" charset="0"/>
              </a:defRPr>
            </a:pPr>
            <a:endParaRPr lang="uk-UA"/>
          </a:p>
        </c:txPr>
        <c:crossAx val="112390144"/>
        <c:crosses val="autoZero"/>
        <c:auto val="1"/>
        <c:lblAlgn val="ctr"/>
        <c:lblOffset val="100"/>
        <c:noMultiLvlLbl val="0"/>
      </c:catAx>
      <c:valAx>
        <c:axId val="11239014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uk-UA"/>
          </a:p>
        </c:txPr>
        <c:crossAx val="112388352"/>
        <c:crosses val="autoZero"/>
        <c:crossBetween val="between"/>
      </c:valAx>
    </c:plotArea>
    <c:legend>
      <c:legendPos val="r"/>
      <c:overlay val="0"/>
      <c:txPr>
        <a:bodyPr/>
        <a:lstStyle/>
        <a:p>
          <a:pPr>
            <a:defRPr sz="10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7.2630958041778118E-2"/>
          <c:y val="7.6976906927921626E-2"/>
          <c:w val="0.83060641261062262"/>
          <c:h val="0.67501749475157458"/>
        </c:manualLayout>
      </c:layout>
      <c:bar3DChart>
        <c:barDir val="col"/>
        <c:grouping val="clustered"/>
        <c:varyColors val="0"/>
        <c:ser>
          <c:idx val="0"/>
          <c:order val="0"/>
          <c:tx>
            <c:strRef>
              <c:f>Лист1!$B$1</c:f>
              <c:strCache>
                <c:ptCount val="1"/>
                <c:pt idx="0">
                  <c:v>СГР</c:v>
                </c:pt>
              </c:strCache>
            </c:strRef>
          </c:tx>
          <c:spPr>
            <a:solidFill>
              <a:srgbClr val="000099"/>
            </a:solidFill>
          </c:spPr>
          <c:invertIfNegative val="0"/>
          <c:dLbls>
            <c:dLbl>
              <c:idx val="0"/>
              <c:layout>
                <c:manualLayout>
                  <c:x val="-2.7490563918050161E-3"/>
                  <c:y val="4.1968386118628083E-2"/>
                </c:manualLayout>
              </c:layout>
              <c:showLegendKey val="0"/>
              <c:showVal val="1"/>
              <c:showCatName val="0"/>
              <c:showSerName val="0"/>
              <c:showPercent val="0"/>
              <c:showBubbleSize val="0"/>
            </c:dLbl>
            <c:dLbl>
              <c:idx val="1"/>
              <c:layout>
                <c:manualLayout>
                  <c:x val="2.7472527472527475E-3"/>
                  <c:y val="4.195804195804196E-2"/>
                </c:manualLayout>
              </c:layout>
              <c:showLegendKey val="0"/>
              <c:showVal val="1"/>
              <c:showCatName val="0"/>
              <c:showSerName val="0"/>
              <c:showPercent val="0"/>
              <c:showBubbleSize val="0"/>
            </c:dLbl>
            <c:dLbl>
              <c:idx val="2"/>
              <c:layout>
                <c:manualLayout>
                  <c:x val="0"/>
                  <c:y val="4.197995539767465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Група контролю (n=79)</c:v>
                </c:pt>
                <c:pt idx="1">
                  <c:v>Пацієнти з ГХ ІІ ст. (n=62)</c:v>
                </c:pt>
                <c:pt idx="2">
                  <c:v>Пацієнти з ГХ ІІІ ст. (n=43)</c:v>
                </c:pt>
              </c:strCache>
            </c:strRef>
          </c:cat>
          <c:val>
            <c:numRef>
              <c:f>Лист1!$B$2:$B$4</c:f>
              <c:numCache>
                <c:formatCode>General</c:formatCode>
                <c:ptCount val="3"/>
                <c:pt idx="0">
                  <c:v>163.43</c:v>
                </c:pt>
                <c:pt idx="1">
                  <c:v>133.81</c:v>
                </c:pt>
                <c:pt idx="2">
                  <c:v>169.14</c:v>
                </c:pt>
              </c:numCache>
            </c:numRef>
          </c:val>
        </c:ser>
        <c:dLbls>
          <c:showLegendKey val="0"/>
          <c:showVal val="0"/>
          <c:showCatName val="0"/>
          <c:showSerName val="0"/>
          <c:showPercent val="0"/>
          <c:showBubbleSize val="0"/>
        </c:dLbls>
        <c:gapWidth val="150"/>
        <c:shape val="cylinder"/>
        <c:axId val="109930368"/>
        <c:axId val="109931904"/>
        <c:axId val="0"/>
      </c:bar3DChart>
      <c:catAx>
        <c:axId val="10993036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uk-UA"/>
          </a:p>
        </c:txPr>
        <c:crossAx val="109931904"/>
        <c:crosses val="autoZero"/>
        <c:auto val="1"/>
        <c:lblAlgn val="ctr"/>
        <c:lblOffset val="100"/>
        <c:noMultiLvlLbl val="0"/>
      </c:catAx>
      <c:valAx>
        <c:axId val="1099319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09930368"/>
        <c:crosses val="autoZero"/>
        <c:crossBetween val="between"/>
      </c:valAx>
    </c:plotArea>
    <c:legend>
      <c:legendPos val="r"/>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1"/>
    </c:view3D>
    <c:floor>
      <c:thickness val="0"/>
    </c:floor>
    <c:sideWall>
      <c:thickness val="0"/>
    </c:sideWall>
    <c:backWall>
      <c:thickness val="0"/>
    </c:backWall>
    <c:plotArea>
      <c:layout>
        <c:manualLayout>
          <c:layoutTarget val="inner"/>
          <c:xMode val="edge"/>
          <c:yMode val="edge"/>
          <c:x val="4.656909205793721E-2"/>
          <c:y val="7.687789949656125E-2"/>
          <c:w val="0.6469817488091768"/>
          <c:h val="0.78129336921421311"/>
        </c:manualLayout>
      </c:layout>
      <c:bar3DChart>
        <c:barDir val="col"/>
        <c:grouping val="clustered"/>
        <c:varyColors val="0"/>
        <c:ser>
          <c:idx val="0"/>
          <c:order val="0"/>
          <c:tx>
            <c:strRef>
              <c:f>Лист1!$B$1</c:f>
              <c:strCache>
                <c:ptCount val="1"/>
                <c:pt idx="0">
                  <c:v>ГХ ІІІ ст. з ФВ &gt; 45 %</c:v>
                </c:pt>
              </c:strCache>
            </c:strRef>
          </c:tx>
          <c:spPr>
            <a:pattFill prst="wdUpDiag">
              <a:fgClr>
                <a:srgbClr val="000099"/>
              </a:fgClr>
              <a:bgClr>
                <a:sysClr val="window" lastClr="FFFFFF"/>
              </a:bgClr>
            </a:pattFill>
          </c:spPr>
          <c:invertIfNegative val="0"/>
          <c:dLbls>
            <c:dLbl>
              <c:idx val="0"/>
              <c:layout>
                <c:manualLayout>
                  <c:x val="-7.447177657859589E-3"/>
                  <c:y val="1.8896522367176899E-2"/>
                </c:manualLayout>
              </c:layout>
              <c:showLegendKey val="0"/>
              <c:showVal val="1"/>
              <c:showCatName val="0"/>
              <c:showSerName val="0"/>
              <c:showPercent val="0"/>
              <c:showBubbleSize val="0"/>
            </c:dLbl>
            <c:dLbl>
              <c:idx val="1"/>
              <c:layout>
                <c:manualLayout>
                  <c:x val="6.5276562651896402E-4"/>
                  <c:y val="1.174917065029876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Носії генотипу Lys/Lys  (n=33)</c:v>
                </c:pt>
                <c:pt idx="1">
                  <c:v>Носії алелі Asn (n=17)</c:v>
                </c:pt>
              </c:strCache>
            </c:strRef>
          </c:cat>
          <c:val>
            <c:numRef>
              <c:f>Лист1!$B$2:$B$3</c:f>
              <c:numCache>
                <c:formatCode>General</c:formatCode>
                <c:ptCount val="2"/>
                <c:pt idx="0">
                  <c:v>36.36</c:v>
                </c:pt>
                <c:pt idx="1">
                  <c:v>47.06</c:v>
                </c:pt>
              </c:numCache>
            </c:numRef>
          </c:val>
        </c:ser>
        <c:ser>
          <c:idx val="1"/>
          <c:order val="1"/>
          <c:tx>
            <c:strRef>
              <c:f>Лист1!$C$1</c:f>
              <c:strCache>
                <c:ptCount val="1"/>
                <c:pt idx="0">
                  <c:v>ГХ ІІІ ст. з ФВ &lt; 45 %</c:v>
                </c:pt>
              </c:strCache>
            </c:strRef>
          </c:tx>
          <c:spPr>
            <a:solidFill>
              <a:srgbClr val="000099"/>
            </a:solidFill>
          </c:spPr>
          <c:invertIfNegative val="0"/>
          <c:dLbls>
            <c:dLbl>
              <c:idx val="0"/>
              <c:layout>
                <c:manualLayout>
                  <c:x val="1.755249343832021E-3"/>
                  <c:y val="1.6516960129963808E-2"/>
                </c:manualLayout>
              </c:layout>
              <c:showLegendKey val="0"/>
              <c:showVal val="1"/>
              <c:showCatName val="0"/>
              <c:showSerName val="0"/>
              <c:showPercent val="0"/>
              <c:showBubbleSize val="0"/>
            </c:dLbl>
            <c:dLbl>
              <c:idx val="1"/>
              <c:layout>
                <c:manualLayout>
                  <c:x val="3.2984592203752312E-3"/>
                  <c:y val="2.40735793328202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Носії генотипу Lys/Lys  (n=33)</c:v>
                </c:pt>
                <c:pt idx="1">
                  <c:v>Носії алелі Asn (n=17)</c:v>
                </c:pt>
              </c:strCache>
            </c:strRef>
          </c:cat>
          <c:val>
            <c:numRef>
              <c:f>Лист1!$C$2:$C$3</c:f>
              <c:numCache>
                <c:formatCode>General</c:formatCode>
                <c:ptCount val="2"/>
                <c:pt idx="0">
                  <c:v>63.64</c:v>
                </c:pt>
                <c:pt idx="1">
                  <c:v>52.94</c:v>
                </c:pt>
              </c:numCache>
            </c:numRef>
          </c:val>
        </c:ser>
        <c:dLbls>
          <c:showLegendKey val="0"/>
          <c:showVal val="0"/>
          <c:showCatName val="0"/>
          <c:showSerName val="0"/>
          <c:showPercent val="0"/>
          <c:showBubbleSize val="0"/>
        </c:dLbls>
        <c:gapWidth val="150"/>
        <c:shape val="cylinder"/>
        <c:axId val="112675072"/>
        <c:axId val="112689152"/>
        <c:axId val="0"/>
      </c:bar3DChart>
      <c:catAx>
        <c:axId val="112675072"/>
        <c:scaling>
          <c:orientation val="minMax"/>
        </c:scaling>
        <c:delete val="0"/>
        <c:axPos val="b"/>
        <c:majorTickMark val="out"/>
        <c:minorTickMark val="none"/>
        <c:tickLblPos val="nextTo"/>
        <c:crossAx val="112689152"/>
        <c:crosses val="autoZero"/>
        <c:auto val="1"/>
        <c:lblAlgn val="ctr"/>
        <c:lblOffset val="100"/>
        <c:noMultiLvlLbl val="0"/>
      </c:catAx>
      <c:valAx>
        <c:axId val="112689152"/>
        <c:scaling>
          <c:orientation val="minMax"/>
        </c:scaling>
        <c:delete val="0"/>
        <c:axPos val="l"/>
        <c:majorGridlines/>
        <c:numFmt formatCode="General" sourceLinked="1"/>
        <c:majorTickMark val="out"/>
        <c:minorTickMark val="none"/>
        <c:tickLblPos val="nextTo"/>
        <c:crossAx val="112675072"/>
        <c:crosses val="autoZero"/>
        <c:crossBetween val="between"/>
      </c:valAx>
    </c:plotArea>
    <c:legend>
      <c:legendPos val="r"/>
      <c:layout>
        <c:manualLayout>
          <c:xMode val="edge"/>
          <c:yMode val="edge"/>
          <c:x val="0.70540173149998042"/>
          <c:y val="0.16333341058144657"/>
          <c:w val="0.27951619570818143"/>
          <c:h val="0.6733331788371068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КГЛШ</c:v>
                </c:pt>
              </c:strCache>
            </c:strRef>
          </c:tx>
          <c:spPr>
            <a:solidFill>
              <a:srgbClr val="000099"/>
            </a:solidFill>
          </c:spPr>
          <c:invertIfNegative val="0"/>
          <c:dLbls>
            <c:dLbl>
              <c:idx val="1"/>
              <c:layout>
                <c:manualLayout>
                  <c:x val="2.5510204081632651E-3"/>
                  <c:y val="3.4042553191489362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Генотип Lys/Lys</c:v>
                </c:pt>
                <c:pt idx="1">
                  <c:v>Алель Asn</c:v>
                </c:pt>
              </c:strCache>
            </c:strRef>
          </c:cat>
          <c:val>
            <c:numRef>
              <c:f>Лист1!$B$2:$B$3</c:f>
              <c:numCache>
                <c:formatCode>General</c:formatCode>
                <c:ptCount val="2"/>
                <c:pt idx="0">
                  <c:v>39.39</c:v>
                </c:pt>
                <c:pt idx="1">
                  <c:v>29.41</c:v>
                </c:pt>
              </c:numCache>
            </c:numRef>
          </c:val>
        </c:ser>
        <c:ser>
          <c:idx val="1"/>
          <c:order val="1"/>
          <c:tx>
            <c:strRef>
              <c:f>Лист1!$C$1</c:f>
              <c:strCache>
                <c:ptCount val="1"/>
                <c:pt idx="0">
                  <c:v>ЕГЛШ</c:v>
                </c:pt>
              </c:strCache>
            </c:strRef>
          </c:tx>
          <c:spPr>
            <a:pattFill prst="dkHorz">
              <a:fgClr>
                <a:srgbClr val="000099"/>
              </a:fgClr>
              <a:bgClr>
                <a:schemeClr val="bg1"/>
              </a:bgClr>
            </a:pattFill>
          </c:spPr>
          <c:invertIfNegative val="0"/>
          <c:dLbls>
            <c:dLbl>
              <c:idx val="1"/>
              <c:layout>
                <c:manualLayout>
                  <c:x val="2.5493180002168266E-3"/>
                  <c:y val="4.249157550588794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Генотип Lys/Lys</c:v>
                </c:pt>
                <c:pt idx="1">
                  <c:v>Алель Asn</c:v>
                </c:pt>
              </c:strCache>
            </c:strRef>
          </c:cat>
          <c:val>
            <c:numRef>
              <c:f>Лист1!$C$2:$C$3</c:f>
              <c:numCache>
                <c:formatCode>General</c:formatCode>
                <c:ptCount val="2"/>
                <c:pt idx="0">
                  <c:v>60.61</c:v>
                </c:pt>
                <c:pt idx="1">
                  <c:v>70.709999999999994</c:v>
                </c:pt>
              </c:numCache>
            </c:numRef>
          </c:val>
        </c:ser>
        <c:ser>
          <c:idx val="2"/>
          <c:order val="2"/>
          <c:tx>
            <c:strRef>
              <c:f>Лист1!$D$1</c:f>
              <c:strCache>
                <c:ptCount val="1"/>
                <c:pt idx="0">
                  <c:v>ПГЛШ</c:v>
                </c:pt>
              </c:strCache>
            </c:strRef>
          </c:tx>
          <c:spPr>
            <a:pattFill prst="lgCheck">
              <a:fgClr>
                <a:srgbClr val="000099"/>
              </a:fgClr>
              <a:bgClr>
                <a:schemeClr val="bg1"/>
              </a:bgClr>
            </a:pattFill>
          </c:spPr>
          <c:invertIfNegative val="0"/>
          <c:dLbls>
            <c:dLbl>
              <c:idx val="0"/>
              <c:layout>
                <c:manualLayout>
                  <c:x val="0"/>
                  <c:y val="4.2553191489361701E-2"/>
                </c:manualLayout>
              </c:layout>
              <c:showLegendKey val="0"/>
              <c:showVal val="1"/>
              <c:showCatName val="0"/>
              <c:showSerName val="0"/>
              <c:showPercent val="0"/>
              <c:showBubbleSize val="0"/>
            </c:dLbl>
            <c:dLbl>
              <c:idx val="1"/>
              <c:layout>
                <c:manualLayout>
                  <c:x val="5.1020408163265302E-3"/>
                  <c:y val="5.106382978723404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Генотип Lys/Lys</c:v>
                </c:pt>
                <c:pt idx="1">
                  <c:v>Алель Asn</c:v>
                </c:pt>
              </c:strCache>
            </c:strRef>
          </c:cat>
          <c:val>
            <c:numRef>
              <c:f>Лист1!$D$2:$D$3</c:f>
              <c:numCache>
                <c:formatCode>General</c:formatCode>
                <c:ptCount val="2"/>
                <c:pt idx="0">
                  <c:v>30.3</c:v>
                </c:pt>
                <c:pt idx="1">
                  <c:v>29.41</c:v>
                </c:pt>
              </c:numCache>
            </c:numRef>
          </c:val>
        </c:ser>
        <c:ser>
          <c:idx val="3"/>
          <c:order val="3"/>
          <c:tx>
            <c:strRef>
              <c:f>Лист1!$E$1</c:f>
              <c:strCache>
                <c:ptCount val="1"/>
                <c:pt idx="0">
                  <c:v>ВГЛШ</c:v>
                </c:pt>
              </c:strCache>
            </c:strRef>
          </c:tx>
          <c:spPr>
            <a:pattFill prst="dkVert">
              <a:fgClr>
                <a:srgbClr val="000099"/>
              </a:fgClr>
              <a:bgClr>
                <a:schemeClr val="bg1"/>
              </a:bgClr>
            </a:pattFill>
          </c:spPr>
          <c:invertIfNegative val="0"/>
          <c:dLbls>
            <c:dLbl>
              <c:idx val="0"/>
              <c:layout>
                <c:manualLayout>
                  <c:x val="2.5497195308515704E-3"/>
                  <c:y val="5.0998725031874213E-2"/>
                </c:manualLayout>
              </c:layout>
              <c:showLegendKey val="0"/>
              <c:showVal val="1"/>
              <c:showCatName val="0"/>
              <c:showSerName val="0"/>
              <c:showPercent val="0"/>
              <c:showBubbleSize val="0"/>
            </c:dLbl>
            <c:dLbl>
              <c:idx val="1"/>
              <c:layout>
                <c:manualLayout>
                  <c:x val="7.6484015744064009E-3"/>
                  <c:y val="5.0989340417416672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Генотип Lys/Lys</c:v>
                </c:pt>
                <c:pt idx="1">
                  <c:v>Алель Asn</c:v>
                </c:pt>
              </c:strCache>
            </c:strRef>
          </c:cat>
          <c:val>
            <c:numRef>
              <c:f>Лист1!$E$2:$E$3</c:f>
              <c:numCache>
                <c:formatCode>General</c:formatCode>
                <c:ptCount val="2"/>
                <c:pt idx="0">
                  <c:v>69.7</c:v>
                </c:pt>
                <c:pt idx="1">
                  <c:v>70.709999999999994</c:v>
                </c:pt>
              </c:numCache>
            </c:numRef>
          </c:val>
        </c:ser>
        <c:dLbls>
          <c:showLegendKey val="0"/>
          <c:showVal val="0"/>
          <c:showCatName val="0"/>
          <c:showSerName val="0"/>
          <c:showPercent val="0"/>
          <c:showBubbleSize val="0"/>
        </c:dLbls>
        <c:gapWidth val="150"/>
        <c:shape val="cylinder"/>
        <c:axId val="112636672"/>
        <c:axId val="112638208"/>
        <c:axId val="0"/>
      </c:bar3DChart>
      <c:catAx>
        <c:axId val="1126366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2638208"/>
        <c:crosses val="autoZero"/>
        <c:auto val="1"/>
        <c:lblAlgn val="ctr"/>
        <c:lblOffset val="100"/>
        <c:noMultiLvlLbl val="0"/>
      </c:catAx>
      <c:valAx>
        <c:axId val="112638208"/>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1263667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Гіпертрофічний тип ТМК</c:v>
                </c:pt>
              </c:strCache>
            </c:strRef>
          </c:tx>
          <c:spPr>
            <a:pattFill prst="wdUpDiag">
              <a:fgClr>
                <a:srgbClr val="000099"/>
              </a:fgClr>
              <a:bgClr>
                <a:schemeClr val="bg1"/>
              </a:bgClr>
            </a:pattFill>
          </c:spPr>
          <c:invertIfNegative val="0"/>
          <c:dLbls>
            <c:dLbl>
              <c:idx val="0"/>
              <c:layout>
                <c:manualLayout>
                  <c:x val="-6.5073810097200802E-3"/>
                  <c:y val="0"/>
                </c:manualLayout>
              </c:layout>
              <c:showLegendKey val="0"/>
              <c:showVal val="1"/>
              <c:showCatName val="0"/>
              <c:showSerName val="0"/>
              <c:showPercent val="0"/>
              <c:showBubbleSize val="0"/>
            </c:dLbl>
            <c:dLbl>
              <c:idx val="1"/>
              <c:layout>
                <c:manualLayout>
                  <c:x val="-6.5073810097200802E-3"/>
                  <c:y val="-6.0711715624396846E-17"/>
                </c:manualLayout>
              </c:layout>
              <c:showLegendKey val="0"/>
              <c:showVal val="1"/>
              <c:showCatName val="0"/>
              <c:showSerName val="0"/>
              <c:showPercent val="0"/>
              <c:showBubbleSize val="0"/>
            </c:dLbl>
            <c:dLbl>
              <c:idx val="2"/>
              <c:layout>
                <c:manualLayout>
                  <c:x val="-6.5073810097200802E-3"/>
                  <c:y val="0"/>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Носії генотипу Lys/Lys, ФВ ˃ 45 % (n=11)</c:v>
                </c:pt>
                <c:pt idx="1">
                  <c:v>Носії алелі Asn ФВ ˃ 45 % (n=9)</c:v>
                </c:pt>
                <c:pt idx="2">
                  <c:v>Носії генотипу Lys/Lys, ФВ ˂ 45 % (n=22)</c:v>
                </c:pt>
                <c:pt idx="3">
                  <c:v>Носії алелі Asn ФВ ˂ 45 % (n=8)</c:v>
                </c:pt>
              </c:strCache>
            </c:strRef>
          </c:cat>
          <c:val>
            <c:numRef>
              <c:f>Лист1!$B$2:$B$5</c:f>
              <c:numCache>
                <c:formatCode>General</c:formatCode>
                <c:ptCount val="4"/>
                <c:pt idx="0">
                  <c:v>16.670000000000002</c:v>
                </c:pt>
                <c:pt idx="1">
                  <c:v>12.5</c:v>
                </c:pt>
                <c:pt idx="2">
                  <c:v>38.1</c:v>
                </c:pt>
                <c:pt idx="3">
                  <c:v>11.11</c:v>
                </c:pt>
              </c:numCache>
            </c:numRef>
          </c:val>
        </c:ser>
        <c:ser>
          <c:idx val="1"/>
          <c:order val="1"/>
          <c:tx>
            <c:strRef>
              <c:f>Лист1!$C$1</c:f>
              <c:strCache>
                <c:ptCount val="1"/>
                <c:pt idx="0">
                  <c:v>Псевдонормальний тип ТМК</c:v>
                </c:pt>
              </c:strCache>
            </c:strRef>
          </c:tx>
          <c:spPr>
            <a:solidFill>
              <a:srgbClr val="000099"/>
            </a:solidFill>
          </c:spPr>
          <c:invertIfNegative val="0"/>
          <c:dLbls>
            <c:dLbl>
              <c:idx val="1"/>
              <c:layout>
                <c:manualLayout>
                  <c:x val="0"/>
                  <c:y val="2.6498840675720631E-2"/>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Носії генотипу Lys/Lys, ФВ ˃ 45 % (n=11)</c:v>
                </c:pt>
                <c:pt idx="1">
                  <c:v>Носії алелі Asn ФВ ˃ 45 % (n=9)</c:v>
                </c:pt>
                <c:pt idx="2">
                  <c:v>Носії генотипу Lys/Lys, ФВ ˂ 45 % (n=22)</c:v>
                </c:pt>
                <c:pt idx="3">
                  <c:v>Носії алелі Asn ФВ ˂ 45 % (n=8)</c:v>
                </c:pt>
              </c:strCache>
            </c:strRef>
          </c:cat>
          <c:val>
            <c:numRef>
              <c:f>Лист1!$C$2:$C$5</c:f>
              <c:numCache>
                <c:formatCode>General</c:formatCode>
                <c:ptCount val="4"/>
                <c:pt idx="0">
                  <c:v>66.67</c:v>
                </c:pt>
                <c:pt idx="1">
                  <c:v>87.5</c:v>
                </c:pt>
                <c:pt idx="2">
                  <c:v>52.38</c:v>
                </c:pt>
                <c:pt idx="3">
                  <c:v>77.78</c:v>
                </c:pt>
              </c:numCache>
            </c:numRef>
          </c:val>
        </c:ser>
        <c:ser>
          <c:idx val="2"/>
          <c:order val="2"/>
          <c:tx>
            <c:strRef>
              <c:f>Лист1!$D$1</c:f>
              <c:strCache>
                <c:ptCount val="1"/>
                <c:pt idx="0">
                  <c:v>Рестриктивний тип ТМК</c:v>
                </c:pt>
              </c:strCache>
            </c:strRef>
          </c:tx>
          <c:spPr>
            <a:pattFill prst="lgCheck">
              <a:fgClr>
                <a:srgbClr val="000099"/>
              </a:fgClr>
              <a:bgClr>
                <a:schemeClr val="bg1"/>
              </a:bgClr>
            </a:pattFill>
          </c:spPr>
          <c:invertIfNegative val="0"/>
          <c:dLbls>
            <c:dLbl>
              <c:idx val="0"/>
              <c:layout>
                <c:manualLayout>
                  <c:x val="6.5073810097200802E-3"/>
                  <c:y val="0"/>
                </c:manualLayout>
              </c:layout>
              <c:showLegendKey val="0"/>
              <c:showVal val="1"/>
              <c:showCatName val="0"/>
              <c:showSerName val="0"/>
              <c:showPercent val="0"/>
              <c:showBubbleSize val="0"/>
            </c:dLbl>
            <c:dLbl>
              <c:idx val="2"/>
              <c:layout>
                <c:manualLayout>
                  <c:x val="8.676508012960155E-3"/>
                  <c:y val="0"/>
                </c:manualLayout>
              </c:layout>
              <c:showLegendKey val="0"/>
              <c:showVal val="1"/>
              <c:showCatName val="0"/>
              <c:showSerName val="0"/>
              <c:showPercent val="0"/>
              <c:showBubbleSize val="0"/>
            </c:dLbl>
            <c:dLbl>
              <c:idx val="3"/>
              <c:layout>
                <c:manualLayout>
                  <c:x val="6.5073810097200802E-3"/>
                  <c:y val="0"/>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Носії генотипу Lys/Lys, ФВ ˃ 45 % (n=11)</c:v>
                </c:pt>
                <c:pt idx="1">
                  <c:v>Носії алелі Asn ФВ ˃ 45 % (n=9)</c:v>
                </c:pt>
                <c:pt idx="2">
                  <c:v>Носії генотипу Lys/Lys, ФВ ˂ 45 % (n=22)</c:v>
                </c:pt>
                <c:pt idx="3">
                  <c:v>Носії алелі Asn ФВ ˂ 45 % (n=8)</c:v>
                </c:pt>
              </c:strCache>
            </c:strRef>
          </c:cat>
          <c:val>
            <c:numRef>
              <c:f>Лист1!$D$2:$D$5</c:f>
              <c:numCache>
                <c:formatCode>General</c:formatCode>
                <c:ptCount val="4"/>
                <c:pt idx="0">
                  <c:v>16.670000000000002</c:v>
                </c:pt>
                <c:pt idx="1">
                  <c:v>0</c:v>
                </c:pt>
                <c:pt idx="2">
                  <c:v>9.52</c:v>
                </c:pt>
                <c:pt idx="3">
                  <c:v>11.11</c:v>
                </c:pt>
              </c:numCache>
            </c:numRef>
          </c:val>
        </c:ser>
        <c:dLbls>
          <c:showLegendKey val="0"/>
          <c:showVal val="0"/>
          <c:showCatName val="0"/>
          <c:showSerName val="0"/>
          <c:showPercent val="0"/>
          <c:showBubbleSize val="0"/>
        </c:dLbls>
        <c:gapWidth val="150"/>
        <c:shape val="cylinder"/>
        <c:axId val="114068480"/>
        <c:axId val="114078464"/>
        <c:axId val="0"/>
      </c:bar3DChart>
      <c:catAx>
        <c:axId val="114068480"/>
        <c:scaling>
          <c:orientation val="minMax"/>
        </c:scaling>
        <c:delete val="0"/>
        <c:axPos val="b"/>
        <c:majorTickMark val="out"/>
        <c:minorTickMark val="none"/>
        <c:tickLblPos val="nextTo"/>
        <c:txPr>
          <a:bodyPr/>
          <a:lstStyle/>
          <a:p>
            <a:pPr>
              <a:defRPr sz="1000">
                <a:latin typeface="Times New Roman" pitchFamily="18" charset="0"/>
                <a:cs typeface="Times New Roman" pitchFamily="18" charset="0"/>
              </a:defRPr>
            </a:pPr>
            <a:endParaRPr lang="uk-UA"/>
          </a:p>
        </c:txPr>
        <c:crossAx val="114078464"/>
        <c:crosses val="autoZero"/>
        <c:auto val="1"/>
        <c:lblAlgn val="ctr"/>
        <c:lblOffset val="100"/>
        <c:noMultiLvlLbl val="0"/>
      </c:catAx>
      <c:valAx>
        <c:axId val="1140784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4068480"/>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uk-UA"/>
          </a:p>
        </c:txPr>
      </c:legendEntry>
      <c:legendEntry>
        <c:idx val="1"/>
        <c:txPr>
          <a:bodyPr/>
          <a:lstStyle/>
          <a:p>
            <a:pPr>
              <a:defRPr sz="1200">
                <a:latin typeface="Times New Roman" pitchFamily="18" charset="0"/>
                <a:cs typeface="Times New Roman" pitchFamily="18" charset="0"/>
              </a:defRPr>
            </a:pPr>
            <a:endParaRPr lang="uk-UA"/>
          </a:p>
        </c:txPr>
      </c:legendEntry>
      <c:legendEntry>
        <c:idx val="2"/>
        <c:txPr>
          <a:bodyPr/>
          <a:lstStyle/>
          <a:p>
            <a:pPr>
              <a:defRPr sz="1200">
                <a:latin typeface="Times New Roman" pitchFamily="18" charset="0"/>
                <a:cs typeface="Times New Roman" pitchFamily="18" charset="0"/>
              </a:defRPr>
            </a:pPr>
            <a:endParaRPr lang="uk-UA"/>
          </a:p>
        </c:txPr>
      </c:legendEntry>
      <c:layout>
        <c:manualLayout>
          <c:xMode val="edge"/>
          <c:yMode val="edge"/>
          <c:x val="0.69327326763113395"/>
          <c:y val="9.9490105969281137E-2"/>
          <c:w val="0.29370112915573054"/>
          <c:h val="0.70813196214004215"/>
        </c:manualLayout>
      </c:layout>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6.4828205612341414E-2"/>
          <c:y val="0.193156035478006"/>
          <c:w val="0.84819870122272678"/>
          <c:h val="0.54660463315659347"/>
        </c:manualLayout>
      </c:layout>
      <c:bar3DChart>
        <c:barDir val="col"/>
        <c:grouping val="clustered"/>
        <c:varyColors val="0"/>
        <c:ser>
          <c:idx val="0"/>
          <c:order val="0"/>
          <c:tx>
            <c:strRef>
              <c:f>Лист1!$B$1</c:f>
              <c:strCache>
                <c:ptCount val="1"/>
                <c:pt idx="0">
                  <c:v>ЕТ-1</c:v>
                </c:pt>
              </c:strCache>
            </c:strRef>
          </c:tx>
          <c:spPr>
            <a:solidFill>
              <a:srgbClr val="000099"/>
            </a:solidFill>
          </c:spPr>
          <c:invertIfNegative val="0"/>
          <c:dLbls>
            <c:dLbl>
              <c:idx val="0"/>
              <c:layout>
                <c:manualLayout>
                  <c:x val="-9.1069594266840167E-4"/>
                  <c:y val="1.0809601321103462E-2"/>
                </c:manualLayout>
              </c:layout>
              <c:showLegendKey val="0"/>
              <c:showVal val="1"/>
              <c:showCatName val="0"/>
              <c:showSerName val="0"/>
              <c:showPercent val="0"/>
              <c:showBubbleSize val="0"/>
            </c:dLbl>
            <c:dLbl>
              <c:idx val="1"/>
              <c:layout>
                <c:manualLayout>
                  <c:x val="1.6316051731693681E-3"/>
                  <c:y val="1.4777849036406479E-2"/>
                </c:manualLayout>
              </c:layout>
              <c:showLegendKey val="0"/>
              <c:showVal val="1"/>
              <c:showCatName val="0"/>
              <c:showSerName val="0"/>
              <c:showPercent val="0"/>
              <c:showBubbleSize val="0"/>
            </c:dLbl>
            <c:dLbl>
              <c:idx val="2"/>
              <c:layout>
                <c:manualLayout>
                  <c:x val="3.7188586131035707E-3"/>
                  <c:y val="-5.234095100330247E-3"/>
                </c:manualLayout>
              </c:layout>
              <c:showLegendKey val="0"/>
              <c:showVal val="1"/>
              <c:showCatName val="0"/>
              <c:showSerName val="0"/>
              <c:showPercent val="0"/>
              <c:showBubbleSize val="0"/>
            </c:dLbl>
            <c:dLbl>
              <c:idx val="3"/>
              <c:layout>
                <c:manualLayout>
                  <c:x val="-1.1385200760508235E-3"/>
                  <c:y val="1.4365529452486929E-3"/>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ГХ ІІ ст. без ДД (n=42)</c:v>
                </c:pt>
                <c:pt idx="1">
                  <c:v>ГХ ІІ ст. з ДД (n=20)</c:v>
                </c:pt>
                <c:pt idx="2">
                  <c:v>ГХ ІІІ ст. з ФВ &gt; 45 % (n=20)</c:v>
                </c:pt>
                <c:pt idx="3">
                  <c:v>ГХ ІІІ ст. з ФВ &lt; 45 % (n=30)</c:v>
                </c:pt>
              </c:strCache>
            </c:strRef>
          </c:cat>
          <c:val>
            <c:numRef>
              <c:f>Лист1!$B$2:$B$5</c:f>
              <c:numCache>
                <c:formatCode>General</c:formatCode>
                <c:ptCount val="4"/>
                <c:pt idx="0">
                  <c:v>12.03</c:v>
                </c:pt>
                <c:pt idx="1">
                  <c:v>13.11</c:v>
                </c:pt>
                <c:pt idx="2">
                  <c:v>13.98</c:v>
                </c:pt>
                <c:pt idx="3">
                  <c:v>14.86</c:v>
                </c:pt>
              </c:numCache>
            </c:numRef>
          </c:val>
        </c:ser>
        <c:dLbls>
          <c:showLegendKey val="0"/>
          <c:showVal val="0"/>
          <c:showCatName val="0"/>
          <c:showSerName val="0"/>
          <c:showPercent val="0"/>
          <c:showBubbleSize val="0"/>
        </c:dLbls>
        <c:gapWidth val="150"/>
        <c:shape val="cylinder"/>
        <c:axId val="112711936"/>
        <c:axId val="113876992"/>
        <c:axId val="0"/>
      </c:bar3DChart>
      <c:catAx>
        <c:axId val="11271193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uk-UA"/>
          </a:p>
        </c:txPr>
        <c:crossAx val="113876992"/>
        <c:crosses val="autoZero"/>
        <c:auto val="1"/>
        <c:lblAlgn val="ctr"/>
        <c:lblOffset val="100"/>
        <c:noMultiLvlLbl val="0"/>
      </c:catAx>
      <c:valAx>
        <c:axId val="1138769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2711936"/>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uk-UA"/>
        </a:p>
      </c:txPr>
    </c:title>
    <c:autoTitleDeleted val="0"/>
    <c:view3D>
      <c:rotX val="0"/>
      <c:rotY val="0"/>
      <c:rAngAx val="1"/>
    </c:view3D>
    <c:floor>
      <c:thickness val="0"/>
    </c:floor>
    <c:sideWall>
      <c:thickness val="0"/>
    </c:sideWall>
    <c:backWall>
      <c:thickness val="0"/>
    </c:backWall>
    <c:plotArea>
      <c:layout>
        <c:manualLayout>
          <c:layoutTarget val="inner"/>
          <c:xMode val="edge"/>
          <c:yMode val="edge"/>
          <c:x val="4.1839192274716698E-2"/>
          <c:y val="0.17372736729488503"/>
          <c:w val="0.84507536463839472"/>
          <c:h val="0.44058061148562355"/>
        </c:manualLayout>
      </c:layout>
      <c:bar3DChart>
        <c:barDir val="col"/>
        <c:grouping val="clustered"/>
        <c:varyColors val="0"/>
        <c:ser>
          <c:idx val="0"/>
          <c:order val="0"/>
          <c:tx>
            <c:strRef>
              <c:f>Лист1!$B$1</c:f>
              <c:strCache>
                <c:ptCount val="1"/>
                <c:pt idx="0">
                  <c:v>СНП</c:v>
                </c:pt>
              </c:strCache>
            </c:strRef>
          </c:tx>
          <c:spPr>
            <a:solidFill>
              <a:srgbClr val="000099"/>
            </a:solidFill>
          </c:spPr>
          <c:invertIfNegative val="0"/>
          <c:dLbls>
            <c:dLbl>
              <c:idx val="1"/>
              <c:layout>
                <c:manualLayout>
                  <c:x val="0"/>
                  <c:y val="1.8736012533949794E-2"/>
                </c:manualLayout>
              </c:layout>
              <c:showLegendKey val="0"/>
              <c:showVal val="1"/>
              <c:showCatName val="0"/>
              <c:showSerName val="0"/>
              <c:showPercent val="0"/>
              <c:showBubbleSize val="0"/>
            </c:dLbl>
            <c:dLbl>
              <c:idx val="2"/>
              <c:layout>
                <c:manualLayout>
                  <c:x val="0"/>
                  <c:y val="2.4981350045266412E-2"/>
                </c:manualLayout>
              </c:layout>
              <c:showLegendKey val="0"/>
              <c:showVal val="1"/>
              <c:showCatName val="0"/>
              <c:showSerName val="0"/>
              <c:showPercent val="0"/>
              <c:showBubbleSize val="0"/>
            </c:dLbl>
            <c:dLbl>
              <c:idx val="3"/>
              <c:layout>
                <c:manualLayout>
                  <c:x val="0"/>
                  <c:y val="3.7598186405591177E-2"/>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Хворі з ГХ ІІ ст. без ДД (n=42)</c:v>
                </c:pt>
                <c:pt idx="1">
                  <c:v>Хворі з ГХ ІІ ст. з ДД (n=20)</c:v>
                </c:pt>
                <c:pt idx="2">
                  <c:v>Хворі з ГХ ІІІ ст. з ФВ &gt; 45 %  (n=20)</c:v>
                </c:pt>
                <c:pt idx="3">
                  <c:v>Хворі з ГХ ІІІ ст. з ФВ &lt; 45 %  (n=30)</c:v>
                </c:pt>
              </c:strCache>
            </c:strRef>
          </c:cat>
          <c:val>
            <c:numRef>
              <c:f>Лист1!$B$2:$B$5</c:f>
              <c:numCache>
                <c:formatCode>General</c:formatCode>
                <c:ptCount val="4"/>
                <c:pt idx="0">
                  <c:v>4.76</c:v>
                </c:pt>
                <c:pt idx="1">
                  <c:v>5.27</c:v>
                </c:pt>
                <c:pt idx="2">
                  <c:v>5.08</c:v>
                </c:pt>
                <c:pt idx="3">
                  <c:v>5.82</c:v>
                </c:pt>
              </c:numCache>
            </c:numRef>
          </c:val>
        </c:ser>
        <c:dLbls>
          <c:showLegendKey val="0"/>
          <c:showVal val="0"/>
          <c:showCatName val="0"/>
          <c:showSerName val="0"/>
          <c:showPercent val="0"/>
          <c:showBubbleSize val="0"/>
        </c:dLbls>
        <c:gapWidth val="150"/>
        <c:shape val="cylinder"/>
        <c:axId val="115533696"/>
        <c:axId val="115535232"/>
        <c:axId val="0"/>
      </c:bar3DChart>
      <c:catAx>
        <c:axId val="11553369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uk-UA"/>
          </a:p>
        </c:txPr>
        <c:crossAx val="115535232"/>
        <c:crosses val="autoZero"/>
        <c:auto val="1"/>
        <c:lblAlgn val="ctr"/>
        <c:lblOffset val="100"/>
        <c:noMultiLvlLbl val="0"/>
      </c:catAx>
      <c:valAx>
        <c:axId val="1155352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5533696"/>
        <c:crosses val="autoZero"/>
        <c:crossBetween val="between"/>
      </c:valAx>
    </c:plotArea>
    <c:legend>
      <c:legendPos val="r"/>
      <c:layout>
        <c:manualLayout>
          <c:xMode val="edge"/>
          <c:yMode val="edge"/>
          <c:x val="0.89693587648090423"/>
          <c:y val="0.41210267205044288"/>
          <c:w val="7.8512398761165975E-2"/>
          <c:h val="0.1243251977159876"/>
        </c:manualLayout>
      </c:layout>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Носії алелі Lys</c:v>
                </c:pt>
              </c:strCache>
            </c:strRef>
          </c:tx>
          <c:spPr>
            <a:pattFill prst="solidDmnd">
              <a:fgClr>
                <a:srgbClr val="000099"/>
              </a:fgClr>
              <a:bgClr>
                <a:schemeClr val="bg1"/>
              </a:bgClr>
            </a:pattFill>
          </c:spPr>
          <c:invertIfNegative val="0"/>
          <c:dLbls>
            <c:dLbl>
              <c:idx val="0"/>
              <c:layout>
                <c:manualLayout>
                  <c:x val="-4.0615115418265015E-3"/>
                  <c:y val="0"/>
                </c:manualLayout>
              </c:layout>
              <c:showLegendKey val="0"/>
              <c:showVal val="1"/>
              <c:showCatName val="0"/>
              <c:showSerName val="0"/>
              <c:showPercent val="0"/>
              <c:showBubbleSize val="0"/>
            </c:dLbl>
            <c:txPr>
              <a:bodyPr/>
              <a:lstStyle/>
              <a:p>
                <a:pPr>
                  <a:defRPr sz="1200"/>
                </a:pPr>
                <a:endParaRPr lang="uk-UA"/>
              </a:p>
            </c:txPr>
            <c:showLegendKey val="0"/>
            <c:showVal val="1"/>
            <c:showCatName val="0"/>
            <c:showSerName val="0"/>
            <c:showPercent val="0"/>
            <c:showBubbleSize val="0"/>
            <c:showLeaderLines val="0"/>
          </c:dLbls>
          <c:cat>
            <c:strRef>
              <c:f>Лист1!$A$2</c:f>
              <c:strCache>
                <c:ptCount val="1"/>
                <c:pt idx="0">
                  <c:v>Група контролю</c:v>
                </c:pt>
              </c:strCache>
            </c:strRef>
          </c:cat>
          <c:val>
            <c:numRef>
              <c:f>Лист1!$B$2</c:f>
              <c:numCache>
                <c:formatCode>General</c:formatCode>
                <c:ptCount val="1"/>
                <c:pt idx="0">
                  <c:v>79.75</c:v>
                </c:pt>
              </c:numCache>
            </c:numRef>
          </c:val>
        </c:ser>
        <c:ser>
          <c:idx val="1"/>
          <c:order val="1"/>
          <c:tx>
            <c:strRef>
              <c:f>Лист1!$C$1</c:f>
              <c:strCache>
                <c:ptCount val="1"/>
                <c:pt idx="0">
                  <c:v>Носії алелі Asn</c:v>
                </c:pt>
              </c:strCache>
            </c:strRef>
          </c:tx>
          <c:spPr>
            <a:pattFill prst="wdUpDiag">
              <a:fgClr>
                <a:srgbClr val="000099"/>
              </a:fgClr>
              <a:bgClr>
                <a:schemeClr val="bg1"/>
              </a:bgClr>
            </a:pattFill>
          </c:spPr>
          <c:invertIfNegative val="0"/>
          <c:dLbls>
            <c:dLbl>
              <c:idx val="0"/>
              <c:layout>
                <c:manualLayout>
                  <c:x val="1.161864112780344E-3"/>
                  <c:y val="2.1546681664791921E-2"/>
                </c:manualLayout>
              </c:layout>
              <c:tx>
                <c:rich>
                  <a:bodyPr/>
                  <a:lstStyle/>
                  <a:p>
                    <a:endParaRPr lang="uk-UA" sz="1200"/>
                  </a:p>
                  <a:p>
                    <a:r>
                      <a:rPr lang="uk-UA" sz="1200"/>
                      <a:t>*</a:t>
                    </a:r>
                  </a:p>
                  <a:p>
                    <a:r>
                      <a:rPr lang="en-US" sz="1200"/>
                      <a:t>20,25</a:t>
                    </a:r>
                    <a:endParaRPr lang="uk-UA" sz="1200"/>
                  </a:p>
                  <a:p>
                    <a:endParaRPr lang="en-US"/>
                  </a:p>
                </c:rich>
              </c:tx>
              <c:showLegendKey val="0"/>
              <c:showVal val="1"/>
              <c:showCatName val="0"/>
              <c:showSerName val="0"/>
              <c:showPercent val="0"/>
              <c:showBubbleSize val="0"/>
            </c:dLbl>
            <c:txPr>
              <a:bodyPr/>
              <a:lstStyle/>
              <a:p>
                <a:pPr>
                  <a:defRPr sz="1200"/>
                </a:pPr>
                <a:endParaRPr lang="uk-UA"/>
              </a:p>
            </c:txPr>
            <c:showLegendKey val="0"/>
            <c:showVal val="1"/>
            <c:showCatName val="0"/>
            <c:showSerName val="0"/>
            <c:showPercent val="0"/>
            <c:showBubbleSize val="0"/>
            <c:showLeaderLines val="0"/>
          </c:dLbls>
          <c:cat>
            <c:strRef>
              <c:f>Лист1!$A$2</c:f>
              <c:strCache>
                <c:ptCount val="1"/>
                <c:pt idx="0">
                  <c:v>Група контролю</c:v>
                </c:pt>
              </c:strCache>
            </c:strRef>
          </c:cat>
          <c:val>
            <c:numRef>
              <c:f>Лист1!$C$2</c:f>
              <c:numCache>
                <c:formatCode>General</c:formatCode>
                <c:ptCount val="1"/>
                <c:pt idx="0">
                  <c:v>20.25</c:v>
                </c:pt>
              </c:numCache>
            </c:numRef>
          </c:val>
        </c:ser>
        <c:dLbls>
          <c:showLegendKey val="0"/>
          <c:showVal val="0"/>
          <c:showCatName val="0"/>
          <c:showSerName val="0"/>
          <c:showPercent val="0"/>
          <c:showBubbleSize val="0"/>
        </c:dLbls>
        <c:gapWidth val="150"/>
        <c:shape val="cylinder"/>
        <c:axId val="105968000"/>
        <c:axId val="105969536"/>
        <c:axId val="0"/>
      </c:bar3DChart>
      <c:catAx>
        <c:axId val="105968000"/>
        <c:scaling>
          <c:orientation val="minMax"/>
        </c:scaling>
        <c:delete val="0"/>
        <c:axPos val="b"/>
        <c:majorTickMark val="out"/>
        <c:minorTickMark val="none"/>
        <c:tickLblPos val="nextTo"/>
        <c:txPr>
          <a:bodyPr/>
          <a:lstStyle/>
          <a:p>
            <a:pPr>
              <a:defRPr sz="1200"/>
            </a:pPr>
            <a:endParaRPr lang="uk-UA"/>
          </a:p>
        </c:txPr>
        <c:crossAx val="105969536"/>
        <c:crosses val="autoZero"/>
        <c:auto val="1"/>
        <c:lblAlgn val="ctr"/>
        <c:lblOffset val="100"/>
        <c:noMultiLvlLbl val="0"/>
      </c:catAx>
      <c:valAx>
        <c:axId val="105969536"/>
        <c:scaling>
          <c:orientation val="minMax"/>
        </c:scaling>
        <c:delete val="0"/>
        <c:axPos val="l"/>
        <c:majorGridlines/>
        <c:numFmt formatCode="General" sourceLinked="1"/>
        <c:majorTickMark val="out"/>
        <c:minorTickMark val="none"/>
        <c:tickLblPos val="nextTo"/>
        <c:txPr>
          <a:bodyPr/>
          <a:lstStyle/>
          <a:p>
            <a:pPr>
              <a:defRPr sz="1200"/>
            </a:pPr>
            <a:endParaRPr lang="uk-UA"/>
          </a:p>
        </c:txPr>
        <c:crossAx val="105968000"/>
        <c:crosses val="autoZero"/>
        <c:crossBetween val="between"/>
      </c:valAx>
    </c:plotArea>
    <c:legend>
      <c:legendPos val="r"/>
      <c:layout>
        <c:manualLayout>
          <c:xMode val="edge"/>
          <c:yMode val="edge"/>
          <c:x val="0.68594262165827402"/>
          <c:y val="0.16651856017997752"/>
          <c:w val="0.29536578955667925"/>
          <c:h val="0.38124859392575927"/>
        </c:manualLayout>
      </c:layout>
      <c:overlay val="0"/>
      <c:txPr>
        <a:bodyPr/>
        <a:lstStyle/>
        <a:p>
          <a:pPr>
            <a:defRPr sz="1400"/>
          </a:pPr>
          <a:endParaRPr lang="uk-UA"/>
        </a:p>
      </c:txPr>
    </c:legend>
    <c:plotVisOnly val="1"/>
    <c:dispBlanksAs val="gap"/>
    <c:showDLblsOverMax val="0"/>
  </c:chart>
  <c:txPr>
    <a:bodyPr/>
    <a:lstStyle/>
    <a:p>
      <a:pPr>
        <a:defRPr sz="1000">
          <a:latin typeface="Times New Roman" pitchFamily="18" charset="0"/>
          <a:cs typeface="Times New Roman" pitchFamily="18" charset="0"/>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sz="1200">
                <a:latin typeface="Times New Roman" pitchFamily="18" charset="0"/>
                <a:cs typeface="Times New Roman" pitchFamily="18" charset="0"/>
              </a:defRPr>
            </a:pPr>
            <a:r>
              <a:rPr lang="uk-UA" sz="1200"/>
              <a:t>Плазмовий рівень ЕТ-1</a:t>
            </a:r>
          </a:p>
        </c:rich>
      </c:tx>
      <c:layout>
        <c:manualLayout>
          <c:xMode val="edge"/>
          <c:yMode val="edge"/>
          <c:x val="0.26106537625220461"/>
          <c:y val="5.6328952585962717E-3"/>
        </c:manualLayout>
      </c:layout>
      <c:overlay val="0"/>
    </c:title>
    <c:autoTitleDeleted val="0"/>
    <c:view3D>
      <c:rotX val="0"/>
      <c:rotY val="0"/>
      <c:rAngAx val="0"/>
      <c:perspective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8.1628579106975116E-2"/>
          <c:y val="0.22040446383051041"/>
          <c:w val="0.81211641800594636"/>
          <c:h val="0.54352964830097195"/>
        </c:manualLayout>
      </c:layout>
      <c:bar3DChart>
        <c:barDir val="col"/>
        <c:grouping val="clustered"/>
        <c:varyColors val="0"/>
        <c:ser>
          <c:idx val="0"/>
          <c:order val="0"/>
          <c:tx>
            <c:strRef>
              <c:f>Лист1!$B$1</c:f>
              <c:strCache>
                <c:ptCount val="1"/>
                <c:pt idx="0">
                  <c:v>Рівень ЕТ-1</c:v>
                </c:pt>
              </c:strCache>
            </c:strRef>
          </c:tx>
          <c:spPr>
            <a:pattFill prst="solidDmnd">
              <a:fgClr>
                <a:srgbClr val="4F81BD"/>
              </a:fgClr>
              <a:bgClr>
                <a:sysClr val="window" lastClr="FFFFFF"/>
              </a:bgClr>
            </a:pattFill>
          </c:spPr>
          <c:invertIfNegative val="0"/>
          <c:dPt>
            <c:idx val="0"/>
            <c:invertIfNegative val="0"/>
            <c:bubble3D val="0"/>
            <c:spPr>
              <a:pattFill prst="solidDmnd">
                <a:fgClr>
                  <a:srgbClr val="000099"/>
                </a:fgClr>
                <a:bgClr>
                  <a:sysClr val="window" lastClr="FFFFFF"/>
                </a:bgClr>
              </a:pattFill>
            </c:spPr>
          </c:dPt>
          <c:dPt>
            <c:idx val="1"/>
            <c:invertIfNegative val="0"/>
            <c:bubble3D val="0"/>
            <c:spPr>
              <a:pattFill prst="wdUpDiag">
                <a:fgClr>
                  <a:srgbClr val="000099"/>
                </a:fgClr>
                <a:bgClr>
                  <a:sysClr val="window" lastClr="FFFFFF"/>
                </a:bgClr>
              </a:pattFill>
            </c:spPr>
          </c:dPt>
          <c:dLbls>
            <c:dLbl>
              <c:idx val="1"/>
              <c:layout>
                <c:manualLayout>
                  <c:x val="1.3099369949763651E-2"/>
                  <c:y val="1.7935544138253153E-2"/>
                </c:manualLayout>
              </c:layout>
              <c:tx>
                <c:rich>
                  <a:bodyPr/>
                  <a:lstStyle/>
                  <a:p>
                    <a:r>
                      <a:rPr lang="uk-UA"/>
                      <a:t>*</a:t>
                    </a:r>
                  </a:p>
                  <a:p>
                    <a:r>
                      <a:rPr lang="en-US"/>
                      <a:t>2,53</a:t>
                    </a:r>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Генотип Lys/Lys (n=52)</c:v>
                </c:pt>
                <c:pt idx="1">
                  <c:v>Носії алелі Asn (n=27)</c:v>
                </c:pt>
              </c:strCache>
            </c:strRef>
          </c:cat>
          <c:val>
            <c:numRef>
              <c:f>Лист1!$B$2:$B$3</c:f>
              <c:numCache>
                <c:formatCode>General</c:formatCode>
                <c:ptCount val="2"/>
                <c:pt idx="0">
                  <c:v>1.41</c:v>
                </c:pt>
                <c:pt idx="1">
                  <c:v>2.5299999999999998</c:v>
                </c:pt>
              </c:numCache>
            </c:numRef>
          </c:val>
        </c:ser>
        <c:dLbls>
          <c:showLegendKey val="0"/>
          <c:showVal val="0"/>
          <c:showCatName val="0"/>
          <c:showSerName val="0"/>
          <c:showPercent val="0"/>
          <c:showBubbleSize val="0"/>
        </c:dLbls>
        <c:gapWidth val="150"/>
        <c:shape val="cylinder"/>
        <c:axId val="109232128"/>
        <c:axId val="109233664"/>
        <c:axId val="0"/>
      </c:bar3DChart>
      <c:catAx>
        <c:axId val="109232128"/>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uk-UA"/>
          </a:p>
        </c:txPr>
        <c:crossAx val="109233664"/>
        <c:crosses val="autoZero"/>
        <c:auto val="1"/>
        <c:lblAlgn val="ctr"/>
        <c:lblOffset val="100"/>
        <c:noMultiLvlLbl val="0"/>
      </c:catAx>
      <c:valAx>
        <c:axId val="1092336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09232128"/>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uk-UA" sz="1200"/>
              <a:t>Плазмовий рівень ЕТ-1</a:t>
            </a:r>
          </a:p>
        </c:rich>
      </c:tx>
      <c:layout>
        <c:manualLayout>
          <c:xMode val="edge"/>
          <c:yMode val="edge"/>
          <c:x val="0.33351486159501742"/>
          <c:y val="3.8034865293185421E-2"/>
        </c:manualLayout>
      </c:layout>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7.5060793362260209E-2"/>
          <c:y val="0.2265483261960676"/>
          <c:w val="0.74635167941735492"/>
          <c:h val="0.54961973400594588"/>
        </c:manualLayout>
      </c:layout>
      <c:bar3DChart>
        <c:barDir val="col"/>
        <c:grouping val="clustered"/>
        <c:varyColors val="0"/>
        <c:ser>
          <c:idx val="0"/>
          <c:order val="0"/>
          <c:tx>
            <c:strRef>
              <c:f>Лист1!$B$1</c:f>
              <c:strCache>
                <c:ptCount val="1"/>
                <c:pt idx="0">
                  <c:v>Рівень ЕТ-1</c:v>
                </c:pt>
              </c:strCache>
            </c:strRef>
          </c:tx>
          <c:spPr>
            <a:solidFill>
              <a:srgbClr val="000099"/>
            </a:solidFill>
          </c:spPr>
          <c:invertIfNegative val="0"/>
          <c:dLbls>
            <c:dLbl>
              <c:idx val="0"/>
              <c:layout>
                <c:manualLayout>
                  <c:x val="0"/>
                  <c:y val="3.8986354775828437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Нормальна маса тіла (n=50)</c:v>
                </c:pt>
                <c:pt idx="1">
                  <c:v>Надмірна маса тіла (n=29)</c:v>
                </c:pt>
              </c:strCache>
            </c:strRef>
          </c:cat>
          <c:val>
            <c:numRef>
              <c:f>Лист1!$B$2:$B$3</c:f>
              <c:numCache>
                <c:formatCode>General</c:formatCode>
                <c:ptCount val="2"/>
                <c:pt idx="0">
                  <c:v>1.87</c:v>
                </c:pt>
                <c:pt idx="1">
                  <c:v>1.8</c:v>
                </c:pt>
              </c:numCache>
            </c:numRef>
          </c:val>
        </c:ser>
        <c:dLbls>
          <c:showLegendKey val="0"/>
          <c:showVal val="0"/>
          <c:showCatName val="0"/>
          <c:showSerName val="0"/>
          <c:showPercent val="0"/>
          <c:showBubbleSize val="0"/>
        </c:dLbls>
        <c:gapWidth val="150"/>
        <c:shape val="cylinder"/>
        <c:axId val="109136512"/>
        <c:axId val="109158784"/>
        <c:axId val="0"/>
      </c:bar3DChart>
      <c:catAx>
        <c:axId val="109136512"/>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109158784"/>
        <c:crosses val="autoZero"/>
        <c:auto val="1"/>
        <c:lblAlgn val="ctr"/>
        <c:lblOffset val="100"/>
        <c:noMultiLvlLbl val="0"/>
      </c:catAx>
      <c:valAx>
        <c:axId val="109158784"/>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uk-UA"/>
          </a:p>
        </c:txPr>
        <c:crossAx val="109136512"/>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uk-UA" sz="1200"/>
              <a:t>Рівень СНП</a:t>
            </a:r>
          </a:p>
        </c:rich>
      </c:tx>
      <c:layout>
        <c:manualLayout>
          <c:xMode val="edge"/>
          <c:yMode val="edge"/>
          <c:x val="0.38046133775372032"/>
          <c:y val="0"/>
        </c:manualLayout>
      </c:layout>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0.10472579522656472"/>
          <c:y val="0.15106567561407763"/>
          <c:w val="0.79133702346612611"/>
          <c:h val="0.68557247963410062"/>
        </c:manualLayout>
      </c:layout>
      <c:bar3DChart>
        <c:barDir val="col"/>
        <c:grouping val="clustered"/>
        <c:varyColors val="0"/>
        <c:ser>
          <c:idx val="0"/>
          <c:order val="0"/>
          <c:tx>
            <c:strRef>
              <c:f>Лист1!$B$1</c:f>
              <c:strCache>
                <c:ptCount val="1"/>
                <c:pt idx="0">
                  <c:v>Рівень СНП</c:v>
                </c:pt>
              </c:strCache>
            </c:strRef>
          </c:tx>
          <c:spPr>
            <a:solidFill>
              <a:srgbClr val="000099"/>
            </a:solidFill>
          </c:spPr>
          <c:invertIfNegative val="0"/>
          <c:dLbls>
            <c:dLbl>
              <c:idx val="0"/>
              <c:layout>
                <c:manualLayout>
                  <c:x val="1.877866276048014E-3"/>
                  <c:y val="1.2975943942562539E-2"/>
                </c:manualLayout>
              </c:layout>
              <c:showLegendKey val="0"/>
              <c:showVal val="1"/>
              <c:showCatName val="0"/>
              <c:showSerName val="0"/>
              <c:showPercent val="0"/>
              <c:showBubbleSize val="0"/>
            </c:dLbl>
            <c:dLbl>
              <c:idx val="1"/>
              <c:layout>
                <c:manualLayout>
                  <c:x val="4.5417107510230259E-3"/>
                  <c:y val="4.473177238236899E-3"/>
                </c:manualLayout>
              </c:layout>
              <c:showLegendKey val="0"/>
              <c:showVal val="1"/>
              <c:showCatName val="0"/>
              <c:showSerName val="0"/>
              <c:showPercent val="0"/>
              <c:showBubbleSize val="0"/>
            </c:dLbl>
            <c:dLbl>
              <c:idx val="2"/>
              <c:layout>
                <c:manualLayout>
                  <c:x val="6.8135120682071854E-3"/>
                  <c:y val="2.3488563350689797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Нормальна маса тіла (n=50)</c:v>
                </c:pt>
                <c:pt idx="1">
                  <c:v>Надмірна маса тіла (n=29)</c:v>
                </c:pt>
              </c:strCache>
            </c:strRef>
          </c:cat>
          <c:val>
            <c:numRef>
              <c:f>Лист1!$B$2:$B$3</c:f>
              <c:numCache>
                <c:formatCode>General</c:formatCode>
                <c:ptCount val="2"/>
                <c:pt idx="0">
                  <c:v>2.39</c:v>
                </c:pt>
                <c:pt idx="1">
                  <c:v>2.58</c:v>
                </c:pt>
              </c:numCache>
            </c:numRef>
          </c:val>
        </c:ser>
        <c:dLbls>
          <c:showLegendKey val="0"/>
          <c:showVal val="0"/>
          <c:showCatName val="0"/>
          <c:showSerName val="0"/>
          <c:showPercent val="0"/>
          <c:showBubbleSize val="0"/>
        </c:dLbls>
        <c:gapWidth val="150"/>
        <c:shape val="cylinder"/>
        <c:axId val="109429888"/>
        <c:axId val="109431424"/>
        <c:axId val="0"/>
      </c:bar3DChart>
      <c:catAx>
        <c:axId val="10942988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109431424"/>
        <c:crosses val="autoZero"/>
        <c:auto val="1"/>
        <c:lblAlgn val="ctr"/>
        <c:lblOffset val="100"/>
        <c:noMultiLvlLbl val="0"/>
      </c:catAx>
      <c:valAx>
        <c:axId val="10943142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09429888"/>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Ульнарна петля</c:v>
                </c:pt>
              </c:strCache>
            </c:strRef>
          </c:tx>
          <c:spPr>
            <a:pattFill prst="lgGrid">
              <a:fgClr>
                <a:srgbClr val="000099"/>
              </a:fgClr>
              <a:bgClr>
                <a:schemeClr val="bg1"/>
              </a:bgClr>
            </a:pattFill>
          </c:spPr>
          <c:invertIfNegative val="0"/>
          <c:dLbls>
            <c:dLbl>
              <c:idx val="0"/>
              <c:layout>
                <c:manualLayout>
                  <c:x val="1.450789118853138E-2"/>
                  <c:y val="0"/>
                </c:manualLayout>
              </c:layout>
              <c:showLegendKey val="0"/>
              <c:showVal val="1"/>
              <c:showCatName val="0"/>
              <c:showSerName val="0"/>
              <c:showPercent val="0"/>
              <c:showBubbleSize val="0"/>
            </c:dLbl>
            <c:dLbl>
              <c:idx val="1"/>
              <c:layout>
                <c:manualLayout>
                  <c:x val="1.450789118853138E-2"/>
                  <c:y val="2.5180636870964298E-17"/>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Носії генотипу Lys/Lys (n=52)</c:v>
                </c:pt>
                <c:pt idx="1">
                  <c:v>Носії алелі Asn (n=27)</c:v>
                </c:pt>
              </c:strCache>
            </c:strRef>
          </c:cat>
          <c:val>
            <c:numRef>
              <c:f>Лист1!$B$2:$B$3</c:f>
              <c:numCache>
                <c:formatCode>General</c:formatCode>
                <c:ptCount val="2"/>
                <c:pt idx="0">
                  <c:v>94.23</c:v>
                </c:pt>
                <c:pt idx="1">
                  <c:v>77.78</c:v>
                </c:pt>
              </c:numCache>
            </c:numRef>
          </c:val>
        </c:ser>
        <c:ser>
          <c:idx val="1"/>
          <c:order val="1"/>
          <c:tx>
            <c:strRef>
              <c:f>Лист1!$C$1</c:f>
              <c:strCache>
                <c:ptCount val="1"/>
                <c:pt idx="0">
                  <c:v>Завиток</c:v>
                </c:pt>
              </c:strCache>
            </c:strRef>
          </c:tx>
          <c:spPr>
            <a:pattFill prst="dkHorz">
              <a:fgClr>
                <a:srgbClr val="000099"/>
              </a:fgClr>
              <a:bgClr>
                <a:schemeClr val="bg1"/>
              </a:bgClr>
            </a:pattFill>
          </c:spPr>
          <c:invertIfNegative val="0"/>
          <c:dLbls>
            <c:dLbl>
              <c:idx val="0"/>
              <c:layout>
                <c:manualLayout>
                  <c:x val="4.3514814656543501E-3"/>
                  <c:y val="3.3286886061720235E-2"/>
                </c:manualLayout>
              </c:layout>
              <c:showLegendKey val="0"/>
              <c:showVal val="1"/>
              <c:showCatName val="0"/>
              <c:showSerName val="0"/>
              <c:showPercent val="0"/>
              <c:showBubbleSize val="0"/>
            </c:dLbl>
            <c:dLbl>
              <c:idx val="1"/>
              <c:layout>
                <c:manualLayout>
                  <c:x val="1.2185718164539779E-2"/>
                  <c:y val="1.8821361934825243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Лист1!$A$2:$A$3</c:f>
              <c:strCache>
                <c:ptCount val="2"/>
                <c:pt idx="0">
                  <c:v>Носії генотипу Lys/Lys (n=52)</c:v>
                </c:pt>
                <c:pt idx="1">
                  <c:v>Носії алелі Asn (n=27)</c:v>
                </c:pt>
              </c:strCache>
            </c:strRef>
          </c:cat>
          <c:val>
            <c:numRef>
              <c:f>Лист1!$C$2:$C$3</c:f>
              <c:numCache>
                <c:formatCode>General</c:formatCode>
                <c:ptCount val="2"/>
                <c:pt idx="0">
                  <c:v>5.77</c:v>
                </c:pt>
                <c:pt idx="1">
                  <c:v>22.22</c:v>
                </c:pt>
              </c:numCache>
            </c:numRef>
          </c:val>
        </c:ser>
        <c:dLbls>
          <c:showLegendKey val="0"/>
          <c:showVal val="0"/>
          <c:showCatName val="0"/>
          <c:showSerName val="0"/>
          <c:showPercent val="0"/>
          <c:showBubbleSize val="0"/>
        </c:dLbls>
        <c:gapWidth val="150"/>
        <c:shape val="cylinder"/>
        <c:axId val="109466368"/>
        <c:axId val="109467904"/>
        <c:axId val="0"/>
      </c:bar3DChart>
      <c:catAx>
        <c:axId val="10946636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109467904"/>
        <c:crosses val="autoZero"/>
        <c:auto val="1"/>
        <c:lblAlgn val="ctr"/>
        <c:lblOffset val="100"/>
        <c:noMultiLvlLbl val="0"/>
      </c:catAx>
      <c:valAx>
        <c:axId val="10946790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0946636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manualLayout>
          <c:layoutTarget val="inner"/>
          <c:xMode val="edge"/>
          <c:yMode val="edge"/>
          <c:x val="5.4541941799259766E-2"/>
          <c:y val="0.1075995701879547"/>
          <c:w val="0.77077768988025275"/>
          <c:h val="0.52126336556923669"/>
        </c:manualLayout>
      </c:layout>
      <c:bar3DChart>
        <c:barDir val="col"/>
        <c:grouping val="clustered"/>
        <c:varyColors val="0"/>
        <c:ser>
          <c:idx val="0"/>
          <c:order val="0"/>
          <c:tx>
            <c:strRef>
              <c:f>Лист1!$B$1</c:f>
              <c:strCache>
                <c:ptCount val="1"/>
                <c:pt idx="0">
                  <c:v>Генотип АА</c:v>
                </c:pt>
              </c:strCache>
            </c:strRef>
          </c:tx>
          <c:spPr>
            <a:pattFill prst="solidDmnd">
              <a:fgClr>
                <a:srgbClr val="000099"/>
              </a:fgClr>
              <a:bgClr>
                <a:schemeClr val="bg1"/>
              </a:bgClr>
            </a:pattFill>
          </c:spPr>
          <c:invertIfNegative val="0"/>
          <c:dLbls>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ГХ ІІ ст., генотип Lys/Lys (n=35)</c:v>
                </c:pt>
                <c:pt idx="1">
                  <c:v>ГХ ІІ ст., алель Asn (n=27)</c:v>
                </c:pt>
                <c:pt idx="2">
                  <c:v>ГХ ІІІ ст., генотип Lys/Lys (n=33)</c:v>
                </c:pt>
                <c:pt idx="3">
                  <c:v>ГХ ІІІ ст., алель Asn (n=17)</c:v>
                </c:pt>
              </c:strCache>
            </c:strRef>
          </c:cat>
          <c:val>
            <c:numRef>
              <c:f>Лист1!$B$2:$B$5</c:f>
              <c:numCache>
                <c:formatCode>General</c:formatCode>
                <c:ptCount val="4"/>
                <c:pt idx="0">
                  <c:v>48.57</c:v>
                </c:pt>
                <c:pt idx="1">
                  <c:v>59.26</c:v>
                </c:pt>
                <c:pt idx="2">
                  <c:v>48.48</c:v>
                </c:pt>
                <c:pt idx="3">
                  <c:v>52.94</c:v>
                </c:pt>
              </c:numCache>
            </c:numRef>
          </c:val>
        </c:ser>
        <c:ser>
          <c:idx val="1"/>
          <c:order val="1"/>
          <c:tx>
            <c:strRef>
              <c:f>Лист1!$C$1</c:f>
              <c:strCache>
                <c:ptCount val="1"/>
                <c:pt idx="0">
                  <c:v>Носії алелі С</c:v>
                </c:pt>
              </c:strCache>
            </c:strRef>
          </c:tx>
          <c:spPr>
            <a:solidFill>
              <a:srgbClr val="000099"/>
            </a:solidFill>
          </c:spPr>
          <c:invertIfNegative val="0"/>
          <c:dLbls>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ГХ ІІ ст., генотип Lys/Lys (n=35)</c:v>
                </c:pt>
                <c:pt idx="1">
                  <c:v>ГХ ІІ ст., алель Asn (n=27)</c:v>
                </c:pt>
                <c:pt idx="2">
                  <c:v>ГХ ІІІ ст., генотип Lys/Lys (n=33)</c:v>
                </c:pt>
                <c:pt idx="3">
                  <c:v>ГХ ІІІ ст., алель Asn (n=17)</c:v>
                </c:pt>
              </c:strCache>
            </c:strRef>
          </c:cat>
          <c:val>
            <c:numRef>
              <c:f>Лист1!$C$2:$C$5</c:f>
              <c:numCache>
                <c:formatCode>General</c:formatCode>
                <c:ptCount val="4"/>
                <c:pt idx="0">
                  <c:v>51.43</c:v>
                </c:pt>
                <c:pt idx="1">
                  <c:v>44.77</c:v>
                </c:pt>
                <c:pt idx="2">
                  <c:v>51.51</c:v>
                </c:pt>
                <c:pt idx="3">
                  <c:v>47.05</c:v>
                </c:pt>
              </c:numCache>
            </c:numRef>
          </c:val>
        </c:ser>
        <c:dLbls>
          <c:showLegendKey val="0"/>
          <c:showVal val="0"/>
          <c:showCatName val="0"/>
          <c:showSerName val="0"/>
          <c:showPercent val="0"/>
          <c:showBubbleSize val="0"/>
        </c:dLbls>
        <c:gapWidth val="150"/>
        <c:shape val="cylinder"/>
        <c:axId val="109319296"/>
        <c:axId val="109320832"/>
        <c:axId val="0"/>
      </c:bar3DChart>
      <c:catAx>
        <c:axId val="10931929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uk-UA"/>
          </a:p>
        </c:txPr>
        <c:crossAx val="109320832"/>
        <c:crosses val="autoZero"/>
        <c:auto val="1"/>
        <c:lblAlgn val="ctr"/>
        <c:lblOffset val="100"/>
        <c:noMultiLvlLbl val="0"/>
      </c:catAx>
      <c:valAx>
        <c:axId val="1093208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09319296"/>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uk-UA"/>
          </a:p>
        </c:txPr>
      </c:legendEntry>
      <c:layout>
        <c:manualLayout>
          <c:xMode val="edge"/>
          <c:yMode val="edge"/>
          <c:x val="0.81045499747314198"/>
          <c:y val="0.23100000251807348"/>
          <c:w val="0.1768975073767953"/>
          <c:h val="0.38449773247483815"/>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1"/>
    </c:view3D>
    <c:floor>
      <c:thickness val="0"/>
    </c:floor>
    <c:sideWall>
      <c:thickness val="0"/>
    </c:sideWall>
    <c:backWall>
      <c:thickness val="0"/>
    </c:backWall>
    <c:plotArea>
      <c:layout>
        <c:manualLayout>
          <c:layoutTarget val="inner"/>
          <c:xMode val="edge"/>
          <c:yMode val="edge"/>
          <c:x val="6.5960328902549159E-2"/>
          <c:y val="0.15732546705998032"/>
          <c:w val="0.70967478096928027"/>
          <c:h val="0.64787535776317051"/>
        </c:manualLayout>
      </c:layout>
      <c:bar3DChart>
        <c:barDir val="col"/>
        <c:grouping val="clustered"/>
        <c:varyColors val="0"/>
        <c:ser>
          <c:idx val="0"/>
          <c:order val="0"/>
          <c:tx>
            <c:strRef>
              <c:f>Лист1!$B$1</c:f>
              <c:strCache>
                <c:ptCount val="1"/>
                <c:pt idx="0">
                  <c:v>1 ступінь АГ</c:v>
                </c:pt>
              </c:strCache>
            </c:strRef>
          </c:tx>
          <c:spPr>
            <a:pattFill prst="lgCheck">
              <a:fgClr>
                <a:srgbClr val="000099"/>
              </a:fgClr>
              <a:bgClr>
                <a:sysClr val="window" lastClr="FFFFFF"/>
              </a:bgClr>
            </a:pattFill>
          </c:spPr>
          <c:invertIfNegative val="0"/>
          <c:dLbls>
            <c:dLbl>
              <c:idx val="0"/>
              <c:layout>
                <c:manualLayout>
                  <c:x val="-1.1202908070644602E-2"/>
                  <c:y val="7.1769353292475031E-3"/>
                </c:manualLayout>
              </c:layout>
              <c:showLegendKey val="0"/>
              <c:showVal val="1"/>
              <c:showCatName val="0"/>
              <c:showSerName val="0"/>
              <c:showPercent val="0"/>
              <c:showBubbleSize val="0"/>
            </c:dLbl>
            <c:dLbl>
              <c:idx val="1"/>
              <c:layout>
                <c:manualLayout>
                  <c:x val="-1.0060061338649588E-2"/>
                  <c:y val="-2.9710636497391248E-2"/>
                </c:manualLayout>
              </c:layout>
              <c:showLegendKey val="0"/>
              <c:showVal val="1"/>
              <c:showCatName val="0"/>
              <c:showSerName val="0"/>
              <c:showPercent val="0"/>
              <c:showBubbleSize val="0"/>
            </c:dLbl>
            <c:dLbl>
              <c:idx val="2"/>
              <c:layout>
                <c:manualLayout>
                  <c:x val="-1.3888888888888888E-2"/>
                  <c:y val="0"/>
                </c:manualLayout>
              </c:layout>
              <c:showLegendKey val="0"/>
              <c:showVal val="1"/>
              <c:showCatName val="0"/>
              <c:showSerName val="0"/>
              <c:showPercent val="0"/>
              <c:showBubbleSize val="0"/>
            </c:dLbl>
            <c:dLbl>
              <c:idx val="3"/>
              <c:layout>
                <c:manualLayout>
                  <c:x val="-7.716049382716049E-3"/>
                  <c:y val="-3.64784245916283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ГХ ІІ ст., генотип Lys/Lys (n=35)</c:v>
                </c:pt>
                <c:pt idx="1">
                  <c:v>ГХ ІІ ст., носії алелі Asn  (n=27)</c:v>
                </c:pt>
                <c:pt idx="2">
                  <c:v>ГХ ІІІ ст., генотип Lys/Lys  (n=33)</c:v>
                </c:pt>
                <c:pt idx="3">
                  <c:v>ГХ ІІІ ст., носії алелі Asn  (n=17)</c:v>
                </c:pt>
              </c:strCache>
            </c:strRef>
          </c:cat>
          <c:val>
            <c:numRef>
              <c:f>Лист1!$B$2:$B$5</c:f>
              <c:numCache>
                <c:formatCode>General</c:formatCode>
                <c:ptCount val="4"/>
                <c:pt idx="0">
                  <c:v>12.12</c:v>
                </c:pt>
                <c:pt idx="1">
                  <c:v>11.76</c:v>
                </c:pt>
                <c:pt idx="2">
                  <c:v>34.29</c:v>
                </c:pt>
                <c:pt idx="3">
                  <c:v>29.63</c:v>
                </c:pt>
              </c:numCache>
            </c:numRef>
          </c:val>
        </c:ser>
        <c:ser>
          <c:idx val="1"/>
          <c:order val="1"/>
          <c:tx>
            <c:strRef>
              <c:f>Лист1!$C$1</c:f>
              <c:strCache>
                <c:ptCount val="1"/>
                <c:pt idx="0">
                  <c:v>2 ступінь АГ</c:v>
                </c:pt>
              </c:strCache>
            </c:strRef>
          </c:tx>
          <c:spPr>
            <a:pattFill prst="wdUpDiag">
              <a:fgClr>
                <a:srgbClr val="000099"/>
              </a:fgClr>
              <a:bgClr>
                <a:sysClr val="window" lastClr="FFFFFF"/>
              </a:bgClr>
            </a:pattFill>
          </c:spPr>
          <c:invertIfNegative val="0"/>
          <c:dLbls>
            <c:dLbl>
              <c:idx val="1"/>
              <c:layout>
                <c:manualLayout>
                  <c:x val="-6.1728774013198083E-3"/>
                  <c:y val="2.2007207842832152E-2"/>
                </c:manualLayout>
              </c:layout>
              <c:showLegendKey val="0"/>
              <c:showVal val="1"/>
              <c:showCatName val="0"/>
              <c:showSerName val="0"/>
              <c:showPercent val="0"/>
              <c:showBubbleSize val="0"/>
            </c:dLbl>
            <c:dLbl>
              <c:idx val="3"/>
              <c:layout>
                <c:manualLayout>
                  <c:x val="-6.1728395061728392E-3"/>
                  <c:y val="9.983170104571741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ГХ ІІ ст., генотип Lys/Lys (n=35)</c:v>
                </c:pt>
                <c:pt idx="1">
                  <c:v>ГХ ІІ ст., носії алелі Asn  (n=27)</c:v>
                </c:pt>
                <c:pt idx="2">
                  <c:v>ГХ ІІІ ст., генотип Lys/Lys  (n=33)</c:v>
                </c:pt>
                <c:pt idx="3">
                  <c:v>ГХ ІІІ ст., носії алелі Asn  (n=17)</c:v>
                </c:pt>
              </c:strCache>
            </c:strRef>
          </c:cat>
          <c:val>
            <c:numRef>
              <c:f>Лист1!$C$2:$C$5</c:f>
              <c:numCache>
                <c:formatCode>General</c:formatCode>
                <c:ptCount val="4"/>
                <c:pt idx="0">
                  <c:v>60.61</c:v>
                </c:pt>
                <c:pt idx="1">
                  <c:v>11.76</c:v>
                </c:pt>
                <c:pt idx="2">
                  <c:v>45.71</c:v>
                </c:pt>
                <c:pt idx="3">
                  <c:v>25.93</c:v>
                </c:pt>
              </c:numCache>
            </c:numRef>
          </c:val>
        </c:ser>
        <c:ser>
          <c:idx val="2"/>
          <c:order val="2"/>
          <c:tx>
            <c:strRef>
              <c:f>Лист1!$D$1</c:f>
              <c:strCache>
                <c:ptCount val="1"/>
                <c:pt idx="0">
                  <c:v>3 ступінь АГ</c:v>
                </c:pt>
              </c:strCache>
            </c:strRef>
          </c:tx>
          <c:spPr>
            <a:solidFill>
              <a:srgbClr val="000099"/>
            </a:solidFill>
          </c:spPr>
          <c:invertIfNegative val="0"/>
          <c:dLbls>
            <c:dLbl>
              <c:idx val="0"/>
              <c:layout>
                <c:manualLayout>
                  <c:x val="6.1728395061728392E-3"/>
                  <c:y val="-2.806032660894488E-3"/>
                </c:manualLayout>
              </c:layout>
              <c:showLegendKey val="0"/>
              <c:showVal val="1"/>
              <c:showCatName val="0"/>
              <c:showSerName val="0"/>
              <c:showPercent val="0"/>
              <c:showBubbleSize val="0"/>
            </c:dLbl>
            <c:dLbl>
              <c:idx val="2"/>
              <c:layout>
                <c:manualLayout>
                  <c:x val="2.2853657377334877E-3"/>
                  <c:y val="2.5075036711856447E-3"/>
                </c:manualLayout>
              </c:layout>
              <c:showLegendKey val="0"/>
              <c:showVal val="1"/>
              <c:showCatName val="0"/>
              <c:showSerName val="0"/>
              <c:showPercent val="0"/>
              <c:showBubbleSize val="0"/>
            </c:dLbl>
            <c:dLbl>
              <c:idx val="3"/>
              <c:layout>
                <c:manualLayout>
                  <c:x val="-5.0300306693247939E-3"/>
                  <c:y val="2.6224701777415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ГХ ІІ ст., генотип Lys/Lys (n=35)</c:v>
                </c:pt>
                <c:pt idx="1">
                  <c:v>ГХ ІІ ст., носії алелі Asn  (n=27)</c:v>
                </c:pt>
                <c:pt idx="2">
                  <c:v>ГХ ІІІ ст., генотип Lys/Lys  (n=33)</c:v>
                </c:pt>
                <c:pt idx="3">
                  <c:v>ГХ ІІІ ст., носії алелі Asn  (n=17)</c:v>
                </c:pt>
              </c:strCache>
            </c:strRef>
          </c:cat>
          <c:val>
            <c:numRef>
              <c:f>Лист1!$D$2:$D$5</c:f>
              <c:numCache>
                <c:formatCode>General</c:formatCode>
                <c:ptCount val="4"/>
                <c:pt idx="0">
                  <c:v>27.27</c:v>
                </c:pt>
                <c:pt idx="1">
                  <c:v>76.47</c:v>
                </c:pt>
                <c:pt idx="2">
                  <c:v>20</c:v>
                </c:pt>
                <c:pt idx="3">
                  <c:v>44.44</c:v>
                </c:pt>
              </c:numCache>
            </c:numRef>
          </c:val>
        </c:ser>
        <c:dLbls>
          <c:showLegendKey val="0"/>
          <c:showVal val="0"/>
          <c:showCatName val="0"/>
          <c:showSerName val="0"/>
          <c:showPercent val="0"/>
          <c:showBubbleSize val="0"/>
        </c:dLbls>
        <c:gapWidth val="150"/>
        <c:shape val="cylinder"/>
        <c:axId val="109947136"/>
        <c:axId val="111316992"/>
        <c:axId val="0"/>
      </c:bar3DChart>
      <c:catAx>
        <c:axId val="109947136"/>
        <c:scaling>
          <c:orientation val="minMax"/>
        </c:scaling>
        <c:delete val="0"/>
        <c:axPos val="b"/>
        <c:majorTickMark val="out"/>
        <c:minorTickMark val="none"/>
        <c:tickLblPos val="nextTo"/>
        <c:txPr>
          <a:bodyPr/>
          <a:lstStyle/>
          <a:p>
            <a:pPr>
              <a:defRPr sz="800"/>
            </a:pPr>
            <a:endParaRPr lang="uk-UA"/>
          </a:p>
        </c:txPr>
        <c:crossAx val="111316992"/>
        <c:crosses val="autoZero"/>
        <c:auto val="1"/>
        <c:lblAlgn val="ctr"/>
        <c:lblOffset val="100"/>
        <c:noMultiLvlLbl val="0"/>
      </c:catAx>
      <c:valAx>
        <c:axId val="111316992"/>
        <c:scaling>
          <c:orientation val="minMax"/>
        </c:scaling>
        <c:delete val="0"/>
        <c:axPos val="l"/>
        <c:majorGridlines/>
        <c:numFmt formatCode="General" sourceLinked="1"/>
        <c:majorTickMark val="out"/>
        <c:minorTickMark val="none"/>
        <c:tickLblPos val="nextTo"/>
        <c:crossAx val="109947136"/>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uk-UA"/>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5.2562269083568834E-2"/>
          <c:y val="0.1691063629307249"/>
          <c:w val="0.81858540813412384"/>
          <c:h val="0.57595850885999045"/>
        </c:manualLayout>
      </c:layout>
      <c:bar3DChart>
        <c:barDir val="col"/>
        <c:grouping val="clustered"/>
        <c:varyColors val="0"/>
        <c:ser>
          <c:idx val="0"/>
          <c:order val="0"/>
          <c:tx>
            <c:strRef>
              <c:f>Лист1!$B$1</c:f>
              <c:strCache>
                <c:ptCount val="1"/>
                <c:pt idx="0">
                  <c:v>ЕТ-1</c:v>
                </c:pt>
              </c:strCache>
            </c:strRef>
          </c:tx>
          <c:spPr>
            <a:solidFill>
              <a:srgbClr val="00B050"/>
            </a:solidFill>
          </c:spPr>
          <c:invertIfNegative val="0"/>
          <c:dLbls>
            <c:dLbl>
              <c:idx val="1"/>
              <c:layout>
                <c:manualLayout>
                  <c:x val="2.1151294444900492E-3"/>
                  <c:y val="7.0111755574262854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Група контролю</c:v>
                </c:pt>
                <c:pt idx="1">
                  <c:v>ГХ ІІ ст.</c:v>
                </c:pt>
                <c:pt idx="2">
                  <c:v>ГХ ІІІ ст.</c:v>
                </c:pt>
              </c:strCache>
            </c:strRef>
          </c:cat>
          <c:val>
            <c:numRef>
              <c:f>Лист1!$B$2:$B$4</c:f>
              <c:numCache>
                <c:formatCode>General</c:formatCode>
                <c:ptCount val="3"/>
                <c:pt idx="0">
                  <c:v>1.79</c:v>
                </c:pt>
                <c:pt idx="1">
                  <c:v>12.59</c:v>
                </c:pt>
                <c:pt idx="2">
                  <c:v>13.3</c:v>
                </c:pt>
              </c:numCache>
            </c:numRef>
          </c:val>
        </c:ser>
        <c:dLbls>
          <c:showLegendKey val="0"/>
          <c:showVal val="0"/>
          <c:showCatName val="0"/>
          <c:showSerName val="0"/>
          <c:showPercent val="0"/>
          <c:showBubbleSize val="0"/>
        </c:dLbls>
        <c:gapWidth val="150"/>
        <c:shape val="cylinder"/>
        <c:axId val="109495424"/>
        <c:axId val="109496960"/>
        <c:axId val="0"/>
      </c:bar3DChart>
      <c:catAx>
        <c:axId val="109495424"/>
        <c:scaling>
          <c:orientation val="minMax"/>
        </c:scaling>
        <c:delete val="0"/>
        <c:axPos val="b"/>
        <c:majorTickMark val="none"/>
        <c:minorTickMark val="none"/>
        <c:tickLblPos val="nextTo"/>
        <c:txPr>
          <a:bodyPr/>
          <a:lstStyle/>
          <a:p>
            <a:pPr>
              <a:defRPr sz="1000">
                <a:latin typeface="Times New Roman" pitchFamily="18" charset="0"/>
                <a:cs typeface="Times New Roman" pitchFamily="18" charset="0"/>
              </a:defRPr>
            </a:pPr>
            <a:endParaRPr lang="uk-UA"/>
          </a:p>
        </c:txPr>
        <c:crossAx val="109496960"/>
        <c:crosses val="autoZero"/>
        <c:auto val="1"/>
        <c:lblAlgn val="ctr"/>
        <c:lblOffset val="100"/>
        <c:noMultiLvlLbl val="0"/>
      </c:catAx>
      <c:valAx>
        <c:axId val="10949696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uk-UA"/>
          </a:p>
        </c:txPr>
        <c:crossAx val="109495424"/>
        <c:crosses val="autoZero"/>
        <c:crossBetween val="between"/>
      </c:valAx>
    </c:plotArea>
    <c:legend>
      <c:legendPos val="r"/>
      <c:overlay val="0"/>
      <c:txPr>
        <a:bodyPr/>
        <a:lstStyle/>
        <a:p>
          <a:pPr>
            <a:defRPr sz="10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0.02009</cdr:x>
      <cdr:y>0.83173</cdr:y>
    </cdr:from>
    <cdr:to>
      <cdr:x>0.072</cdr:x>
      <cdr:y>0.96079</cdr:y>
    </cdr:to>
    <cdr:sp macro="" textlink="">
      <cdr:nvSpPr>
        <cdr:cNvPr id="2" name="Прямоугольник 1"/>
        <cdr:cNvSpPr/>
      </cdr:nvSpPr>
      <cdr:spPr>
        <a:xfrm xmlns:a="http://schemas.openxmlformats.org/drawingml/2006/main">
          <a:off x="87775" y="1272843"/>
          <a:ext cx="226785" cy="19750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200">
              <a:solidFill>
                <a:schemeClr val="tx1"/>
              </a:solidFill>
              <a:latin typeface="Times New Roman" pitchFamily="18" charset="0"/>
              <a:ea typeface="+mn-ea"/>
              <a:cs typeface="Times New Roman" pitchFamily="18" charset="0"/>
            </a:rPr>
            <a:t> %</a:t>
          </a:r>
          <a:endParaRPr lang="uk-UA" sz="1200">
            <a:solidFill>
              <a:schemeClr val="tx1"/>
            </a:solidFill>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0.38279</cdr:x>
      <cdr:y>0.06827</cdr:y>
    </cdr:from>
    <cdr:to>
      <cdr:x>0.45774</cdr:x>
      <cdr:y>0.2334</cdr:y>
    </cdr:to>
    <cdr:sp macro="" textlink="">
      <cdr:nvSpPr>
        <cdr:cNvPr id="2" name="Прямоугольник 1"/>
        <cdr:cNvSpPr/>
      </cdr:nvSpPr>
      <cdr:spPr>
        <a:xfrm xmlns:a="http://schemas.openxmlformats.org/drawingml/2006/main">
          <a:off x="2105730" y="102359"/>
          <a:ext cx="412282" cy="24756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a:solidFill>
                <a:schemeClr val="tx1"/>
              </a:solidFill>
            </a:rPr>
            <a:t>*</a:t>
          </a:r>
          <a:r>
            <a:rPr lang="en-US" sz="900">
              <a:solidFill>
                <a:schemeClr val="tx1"/>
              </a:solidFill>
            </a:rPr>
            <a:t> &amp;</a:t>
          </a:r>
          <a:endParaRPr lang="uk-UA" sz="900">
            <a:solidFill>
              <a:schemeClr val="tx1"/>
            </a:solidFill>
          </a:endParaRPr>
        </a:p>
      </cdr:txBody>
    </cdr:sp>
  </cdr:relSizeAnchor>
  <cdr:relSizeAnchor xmlns:cdr="http://schemas.openxmlformats.org/drawingml/2006/chartDrawing">
    <cdr:from>
      <cdr:x>0.53127</cdr:x>
      <cdr:y>0.07652</cdr:y>
    </cdr:from>
    <cdr:to>
      <cdr:x>0.60135</cdr:x>
      <cdr:y>0.24634</cdr:y>
    </cdr:to>
    <cdr:sp macro="" textlink="">
      <cdr:nvSpPr>
        <cdr:cNvPr id="3" name="Прямоугольник 2"/>
        <cdr:cNvSpPr/>
      </cdr:nvSpPr>
      <cdr:spPr>
        <a:xfrm xmlns:a="http://schemas.openxmlformats.org/drawingml/2006/main">
          <a:off x="2922514" y="114719"/>
          <a:ext cx="385511" cy="2546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rPr>
            <a:t>* </a:t>
          </a:r>
          <a:r>
            <a:rPr lang="en-US">
              <a:solidFill>
                <a:schemeClr val="tx1"/>
              </a:solidFill>
            </a:rPr>
            <a:t>#</a:t>
          </a:r>
          <a:endParaRPr lang="uk-UA">
            <a:solidFill>
              <a:schemeClr val="tx1"/>
            </a:solidFill>
          </a:endParaRPr>
        </a:p>
        <a:p xmlns:a="http://schemas.openxmlformats.org/drawingml/2006/main">
          <a:endParaRPr lang="uk-UA">
            <a:solidFill>
              <a:schemeClr val="tx1"/>
            </a:solidFill>
          </a:endParaRPr>
        </a:p>
      </cdr:txBody>
    </cdr:sp>
  </cdr:relSizeAnchor>
  <cdr:relSizeAnchor xmlns:cdr="http://schemas.openxmlformats.org/drawingml/2006/chartDrawing">
    <cdr:from>
      <cdr:x>0.33221</cdr:x>
      <cdr:y>0.15072</cdr:y>
    </cdr:from>
    <cdr:to>
      <cdr:x>0.37444</cdr:x>
      <cdr:y>0.25945</cdr:y>
    </cdr:to>
    <cdr:sp macro="" textlink="">
      <cdr:nvSpPr>
        <cdr:cNvPr id="4" name="Прямоугольник 3"/>
        <cdr:cNvSpPr/>
      </cdr:nvSpPr>
      <cdr:spPr>
        <a:xfrm xmlns:a="http://schemas.openxmlformats.org/drawingml/2006/main">
          <a:off x="1827483" y="225972"/>
          <a:ext cx="232308" cy="1630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rPr>
            <a:t>*</a:t>
          </a:r>
        </a:p>
      </cdr:txBody>
    </cdr:sp>
  </cdr:relSizeAnchor>
  <cdr:relSizeAnchor xmlns:cdr="http://schemas.openxmlformats.org/drawingml/2006/chartDrawing">
    <cdr:from>
      <cdr:x>0.17443</cdr:x>
      <cdr:y>0.49769</cdr:y>
    </cdr:from>
    <cdr:to>
      <cdr:x>0.22571</cdr:x>
      <cdr:y>0.69433</cdr:y>
    </cdr:to>
    <cdr:sp macro="" textlink="">
      <cdr:nvSpPr>
        <cdr:cNvPr id="5" name="Прямоугольник 4"/>
        <cdr:cNvSpPr/>
      </cdr:nvSpPr>
      <cdr:spPr>
        <a:xfrm xmlns:a="http://schemas.openxmlformats.org/drawingml/2006/main">
          <a:off x="959540" y="746150"/>
          <a:ext cx="282092" cy="2948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rPr>
            <a:t>&amp;</a:t>
          </a:r>
          <a:endParaRPr lang="uk-UA" sz="800">
            <a:solidFill>
              <a:schemeClr val="tx1"/>
            </a:solidFill>
          </a:endParaRPr>
        </a:p>
      </cdr:txBody>
    </cdr:sp>
  </cdr:relSizeAnchor>
  <cdr:relSizeAnchor xmlns:cdr="http://schemas.openxmlformats.org/drawingml/2006/chartDrawing">
    <cdr:from>
      <cdr:x>0</cdr:x>
      <cdr:y>0.88456</cdr:y>
    </cdr:from>
    <cdr:to>
      <cdr:x>0.11651</cdr:x>
      <cdr:y>0.99958</cdr:y>
    </cdr:to>
    <cdr:sp macro="" textlink="">
      <cdr:nvSpPr>
        <cdr:cNvPr id="6" name="Прямоугольник 5"/>
        <cdr:cNvSpPr/>
      </cdr:nvSpPr>
      <cdr:spPr>
        <a:xfrm xmlns:a="http://schemas.openxmlformats.org/drawingml/2006/main">
          <a:off x="-1168400" y="1326158"/>
          <a:ext cx="640922" cy="1724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ysClr val="windowText" lastClr="000000"/>
              </a:solidFill>
              <a:latin typeface="Times New Roman" pitchFamily="18" charset="0"/>
              <a:cs typeface="Times New Roman" pitchFamily="18" charset="0"/>
            </a:rPr>
            <a:t>фмоль/мл</a:t>
          </a:r>
        </a:p>
      </cdr:txBody>
    </cdr:sp>
  </cdr:relSizeAnchor>
</c:userShapes>
</file>

<file path=word/drawings/drawing11.xml><?xml version="1.0" encoding="utf-8"?>
<c:userShapes xmlns:c="http://schemas.openxmlformats.org/drawingml/2006/chart">
  <cdr:relSizeAnchor xmlns:cdr="http://schemas.openxmlformats.org/drawingml/2006/chartDrawing">
    <cdr:from>
      <cdr:x>0.44202</cdr:x>
      <cdr:y>0.17989</cdr:y>
    </cdr:from>
    <cdr:to>
      <cdr:x>0.4888</cdr:x>
      <cdr:y>0.29079</cdr:y>
    </cdr:to>
    <cdr:sp macro="" textlink="">
      <cdr:nvSpPr>
        <cdr:cNvPr id="2" name="Прямоугольник 1"/>
        <cdr:cNvSpPr/>
      </cdr:nvSpPr>
      <cdr:spPr>
        <a:xfrm xmlns:a="http://schemas.openxmlformats.org/drawingml/2006/main">
          <a:off x="2436300" y="307169"/>
          <a:ext cx="257842" cy="18936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0.70378</cdr:x>
      <cdr:y>0.17328</cdr:y>
    </cdr:from>
    <cdr:to>
      <cdr:x>0.77271</cdr:x>
      <cdr:y>0.28922</cdr:y>
    </cdr:to>
    <cdr:sp macro="" textlink="">
      <cdr:nvSpPr>
        <cdr:cNvPr id="3" name="Прямоугольник 2"/>
        <cdr:cNvSpPr/>
      </cdr:nvSpPr>
      <cdr:spPr>
        <a:xfrm xmlns:a="http://schemas.openxmlformats.org/drawingml/2006/main">
          <a:off x="3879069" y="295882"/>
          <a:ext cx="379929" cy="1979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cdr:x>
      <cdr:y>0.81502</cdr:y>
    </cdr:from>
    <cdr:to>
      <cdr:x>0.11175</cdr:x>
      <cdr:y>0.91356</cdr:y>
    </cdr:to>
    <cdr:sp macro="" textlink="">
      <cdr:nvSpPr>
        <cdr:cNvPr id="4" name="Прямоугольник 3"/>
        <cdr:cNvSpPr/>
      </cdr:nvSpPr>
      <cdr:spPr>
        <a:xfrm xmlns:a="http://schemas.openxmlformats.org/drawingml/2006/main">
          <a:off x="0" y="1391658"/>
          <a:ext cx="615950" cy="1682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пмоль/мл</a:t>
          </a:r>
        </a:p>
      </cdr:txBody>
    </cdr:sp>
  </cdr:relSizeAnchor>
</c:userShapes>
</file>

<file path=word/drawings/drawing12.xml><?xml version="1.0" encoding="utf-8"?>
<c:userShapes xmlns:c="http://schemas.openxmlformats.org/drawingml/2006/chart">
  <cdr:relSizeAnchor xmlns:cdr="http://schemas.openxmlformats.org/drawingml/2006/chartDrawing">
    <cdr:from>
      <cdr:x>0.45071</cdr:x>
      <cdr:y>0.12079</cdr:y>
    </cdr:from>
    <cdr:to>
      <cdr:x>0.49374</cdr:x>
      <cdr:y>0.19893</cdr:y>
    </cdr:to>
    <cdr:sp macro="" textlink="">
      <cdr:nvSpPr>
        <cdr:cNvPr id="2" name="Прямоугольник 1"/>
        <cdr:cNvSpPr/>
      </cdr:nvSpPr>
      <cdr:spPr>
        <a:xfrm xmlns:a="http://schemas.openxmlformats.org/drawingml/2006/main">
          <a:off x="2083524" y="219370"/>
          <a:ext cx="198920" cy="1419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rPr>
            <a:t>*</a:t>
          </a:r>
        </a:p>
      </cdr:txBody>
    </cdr:sp>
  </cdr:relSizeAnchor>
  <cdr:relSizeAnchor xmlns:cdr="http://schemas.openxmlformats.org/drawingml/2006/chartDrawing">
    <cdr:from>
      <cdr:x>0.46023</cdr:x>
      <cdr:y>0.23594</cdr:y>
    </cdr:from>
    <cdr:to>
      <cdr:x>0.50326</cdr:x>
      <cdr:y>0.31407</cdr:y>
    </cdr:to>
    <cdr:sp macro="" textlink="">
      <cdr:nvSpPr>
        <cdr:cNvPr id="3" name="Прямоугольник 2"/>
        <cdr:cNvSpPr/>
      </cdr:nvSpPr>
      <cdr:spPr>
        <a:xfrm xmlns:a="http://schemas.openxmlformats.org/drawingml/2006/main">
          <a:off x="2126090" y="480170"/>
          <a:ext cx="198783" cy="1590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0.72245</cdr:x>
      <cdr:y>0.0236</cdr:y>
    </cdr:from>
    <cdr:to>
      <cdr:x>0.78786</cdr:x>
      <cdr:y>0.12518</cdr:y>
    </cdr:to>
    <cdr:sp macro="" textlink="">
      <cdr:nvSpPr>
        <cdr:cNvPr id="4" name="Прямоугольник 3"/>
        <cdr:cNvSpPr/>
      </cdr:nvSpPr>
      <cdr:spPr>
        <a:xfrm xmlns:a="http://schemas.openxmlformats.org/drawingml/2006/main">
          <a:off x="3790673" y="42836"/>
          <a:ext cx="343207" cy="1843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a:t>
          </a:r>
          <a:endParaRPr lang="uk-UA">
            <a:solidFill>
              <a:schemeClr val="tx1"/>
            </a:solidFill>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0.24306</cdr:x>
      <cdr:y>0</cdr:y>
    </cdr:from>
    <cdr:to>
      <cdr:x>0.28681</cdr:x>
      <cdr:y>0.09617</cdr:y>
    </cdr:to>
    <cdr:sp macro="" textlink="">
      <cdr:nvSpPr>
        <cdr:cNvPr id="2" name="Прямоугольник 1"/>
        <cdr:cNvSpPr/>
      </cdr:nvSpPr>
      <cdr:spPr>
        <a:xfrm xmlns:a="http://schemas.openxmlformats.org/drawingml/2006/main" flipV="1">
          <a:off x="1240607" y="-6100877"/>
          <a:ext cx="223306" cy="144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dirty="0">
              <a:solidFill>
                <a:schemeClr val="tx1"/>
              </a:solidFill>
              <a:latin typeface="Times New Roman" pitchFamily="18" charset="0"/>
              <a:cs typeface="Times New Roman" pitchFamily="18" charset="0"/>
            </a:rPr>
            <a:t>*</a:t>
          </a:r>
        </a:p>
      </cdr:txBody>
    </cdr:sp>
  </cdr:relSizeAnchor>
  <cdr:relSizeAnchor xmlns:cdr="http://schemas.openxmlformats.org/drawingml/2006/chartDrawing">
    <cdr:from>
      <cdr:x>0.01142</cdr:x>
      <cdr:y>0.8315</cdr:y>
    </cdr:from>
    <cdr:to>
      <cdr:x>0.06818</cdr:x>
      <cdr:y>0.95812</cdr:y>
    </cdr:to>
    <cdr:sp macro="" textlink="">
      <cdr:nvSpPr>
        <cdr:cNvPr id="3" name="Прямоугольник 2"/>
        <cdr:cNvSpPr/>
      </cdr:nvSpPr>
      <cdr:spPr>
        <a:xfrm xmlns:a="http://schemas.openxmlformats.org/drawingml/2006/main">
          <a:off x="58308" y="1480514"/>
          <a:ext cx="289709" cy="2254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dirty="0">
              <a:solidFill>
                <a:schemeClr val="tx1"/>
              </a:solidFill>
              <a:latin typeface="Times New Roman" pitchFamily="18" charset="0"/>
              <a:cs typeface="Times New Roman" pitchFamily="18"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0.03699</cdr:x>
      <cdr:y>0.8449</cdr:y>
    </cdr:from>
    <cdr:to>
      <cdr:x>0.07946</cdr:x>
      <cdr:y>0.96821</cdr:y>
    </cdr:to>
    <cdr:sp macro="" textlink="">
      <cdr:nvSpPr>
        <cdr:cNvPr id="2" name="Прямоугольник 1"/>
        <cdr:cNvSpPr/>
      </cdr:nvSpPr>
      <cdr:spPr>
        <a:xfrm xmlns:a="http://schemas.openxmlformats.org/drawingml/2006/main">
          <a:off x="184245" y="1262417"/>
          <a:ext cx="211541" cy="1842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chemeClr val="tx1"/>
              </a:solidFill>
              <a:latin typeface="Times New Roman" pitchFamily="18" charset="0"/>
              <a:ea typeface="+mn-ea"/>
              <a:cs typeface="Times New Roman" pitchFamily="18" charset="0"/>
            </a:rPr>
            <a:t> %</a:t>
          </a:r>
          <a:endParaRPr lang="uk-UA">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0.34524</cdr:x>
      <cdr:y>0</cdr:y>
    </cdr:from>
    <cdr:to>
      <cdr:x>0.39319</cdr:x>
      <cdr:y>0.10961</cdr:y>
    </cdr:to>
    <cdr:sp macro="" textlink="">
      <cdr:nvSpPr>
        <cdr:cNvPr id="3" name="Прямоугольник 2"/>
        <cdr:cNvSpPr/>
      </cdr:nvSpPr>
      <cdr:spPr>
        <a:xfrm xmlns:a="http://schemas.openxmlformats.org/drawingml/2006/main">
          <a:off x="1719618" y="0"/>
          <a:ext cx="238836" cy="1637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latin typeface="Times New Roman" pitchFamily="18" charset="0"/>
              <a:cs typeface="Times New Roman" pitchFamily="18" charset="0"/>
            </a:rPr>
            <a:t>*</a:t>
          </a:r>
        </a:p>
      </cdr:txBody>
    </cdr:sp>
  </cdr:relSizeAnchor>
  <cdr:relSizeAnchor xmlns:cdr="http://schemas.openxmlformats.org/drawingml/2006/chartDrawing">
    <cdr:from>
      <cdr:x>0.70205</cdr:x>
      <cdr:y>0.02486</cdr:y>
    </cdr:from>
    <cdr:to>
      <cdr:x>0.75</cdr:x>
      <cdr:y>0.13447</cdr:y>
    </cdr:to>
    <cdr:sp macro="" textlink="">
      <cdr:nvSpPr>
        <cdr:cNvPr id="4" name="Прямоугольник 3"/>
        <cdr:cNvSpPr/>
      </cdr:nvSpPr>
      <cdr:spPr>
        <a:xfrm xmlns:a="http://schemas.openxmlformats.org/drawingml/2006/main">
          <a:off x="3496860" y="37152"/>
          <a:ext cx="238836" cy="1637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0.71377</cdr:x>
      <cdr:y>0</cdr:y>
    </cdr:from>
    <cdr:to>
      <cdr:x>0.75898</cdr:x>
      <cdr:y>0.11418</cdr:y>
    </cdr:to>
    <cdr:sp macro="" textlink="">
      <cdr:nvSpPr>
        <cdr:cNvPr id="5" name="Прямоугольник 4"/>
        <cdr:cNvSpPr/>
      </cdr:nvSpPr>
      <cdr:spPr>
        <a:xfrm xmlns:a="http://schemas.openxmlformats.org/drawingml/2006/main">
          <a:off x="3555242" y="0"/>
          <a:ext cx="225188" cy="17059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latin typeface="Times New Roman" pitchFamily="18" charset="0"/>
              <a:cs typeface="Times New Roman" pitchFamily="18" charset="0"/>
            </a:rPr>
            <a:t>*</a:t>
          </a:r>
        </a:p>
      </cdr:txBody>
    </cdr:sp>
  </cdr:relSizeAnchor>
  <cdr:relSizeAnchor xmlns:cdr="http://schemas.openxmlformats.org/drawingml/2006/chartDrawing">
    <cdr:from>
      <cdr:x>0.21098</cdr:x>
      <cdr:y>6.69275E-7</cdr:y>
    </cdr:from>
    <cdr:to>
      <cdr:x>0.25482</cdr:x>
      <cdr:y>0.14615</cdr:y>
    </cdr:to>
    <cdr:sp macro="" textlink="">
      <cdr:nvSpPr>
        <cdr:cNvPr id="6" name="Прямоугольник 5"/>
        <cdr:cNvSpPr/>
      </cdr:nvSpPr>
      <cdr:spPr>
        <a:xfrm xmlns:a="http://schemas.openxmlformats.org/drawingml/2006/main">
          <a:off x="1050878" y="1"/>
          <a:ext cx="218364" cy="2183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latin typeface="Times New Roman" pitchFamily="18" charset="0"/>
              <a:cs typeface="Times New Roman" pitchFamily="18" charset="0"/>
            </a:rPr>
            <a:t>#</a:t>
          </a:r>
          <a:endParaRPr lang="uk-UA">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0.03425</cdr:x>
      <cdr:y>0.8312</cdr:y>
    </cdr:from>
    <cdr:to>
      <cdr:x>0.10412</cdr:x>
      <cdr:y>0.97278</cdr:y>
    </cdr:to>
    <cdr:sp macro="" textlink="">
      <cdr:nvSpPr>
        <cdr:cNvPr id="8" name="Прямоугольник 7"/>
        <cdr:cNvSpPr/>
      </cdr:nvSpPr>
      <cdr:spPr>
        <a:xfrm xmlns:a="http://schemas.openxmlformats.org/drawingml/2006/main">
          <a:off x="170597" y="1241946"/>
          <a:ext cx="348018" cy="2115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latin typeface="Times New Roman" pitchFamily="18" charset="0"/>
              <a:cs typeface="Times New Roman" pitchFamily="18" charset="0"/>
            </a:rPr>
            <a:t>%</a:t>
          </a:r>
        </a:p>
      </cdr:txBody>
    </cdr:sp>
  </cdr:relSizeAnchor>
</c:userShapes>
</file>

<file path=word/drawings/drawing15.xml><?xml version="1.0" encoding="utf-8"?>
<c:userShapes xmlns:c="http://schemas.openxmlformats.org/drawingml/2006/chart">
  <cdr:relSizeAnchor xmlns:cdr="http://schemas.openxmlformats.org/drawingml/2006/chartDrawing">
    <cdr:from>
      <cdr:x>0.02448</cdr:x>
      <cdr:y>0.65852</cdr:y>
    </cdr:from>
    <cdr:to>
      <cdr:x>0.07459</cdr:x>
      <cdr:y>0.8187</cdr:y>
    </cdr:to>
    <cdr:sp macro="" textlink="">
      <cdr:nvSpPr>
        <cdr:cNvPr id="2" name="Прямоугольник 1"/>
        <cdr:cNvSpPr/>
      </cdr:nvSpPr>
      <cdr:spPr>
        <a:xfrm xmlns:a="http://schemas.openxmlformats.org/drawingml/2006/main">
          <a:off x="143302" y="1262419"/>
          <a:ext cx="293427" cy="3070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chemeClr val="tx1"/>
              </a:solidFill>
              <a:latin typeface="Times New Roman" pitchFamily="18" charset="0"/>
              <a:ea typeface="+mn-ea"/>
              <a:cs typeface="Times New Roman" pitchFamily="18" charset="0"/>
            </a:rPr>
            <a:t> %</a:t>
          </a:r>
          <a:endParaRPr lang="uk-UA">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0.4231</cdr:x>
      <cdr:y>0.29188</cdr:y>
    </cdr:from>
    <cdr:to>
      <cdr:x>0.4872</cdr:x>
      <cdr:y>0.38443</cdr:y>
    </cdr:to>
    <cdr:sp macro="" textlink="">
      <cdr:nvSpPr>
        <cdr:cNvPr id="3" name="Прямоугольник 2"/>
        <cdr:cNvSpPr/>
      </cdr:nvSpPr>
      <cdr:spPr>
        <a:xfrm xmlns:a="http://schemas.openxmlformats.org/drawingml/2006/main">
          <a:off x="2477098" y="559551"/>
          <a:ext cx="375286" cy="17742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a:t>
          </a:r>
          <a:r>
            <a:rPr lang="uk-UA">
              <a:solidFill>
                <a:schemeClr val="tx1"/>
              </a:solidFill>
              <a:latin typeface="Times New Roman" pitchFamily="18" charset="0"/>
              <a:cs typeface="Times New Roman" pitchFamily="18" charset="0"/>
            </a:rPr>
            <a:t> </a:t>
          </a:r>
          <a:r>
            <a:rPr lang="en-US" sz="800">
              <a:solidFill>
                <a:schemeClr val="tx1"/>
              </a:solidFill>
              <a:latin typeface="Times New Roman" pitchFamily="18" charset="0"/>
              <a:cs typeface="Times New Roman" pitchFamily="18" charset="0"/>
            </a:rPr>
            <a:t>#</a:t>
          </a:r>
          <a:r>
            <a:rPr lang="uk-UA">
              <a:solidFill>
                <a:schemeClr val="tx1"/>
              </a:solidFill>
              <a:latin typeface="Times New Roman" pitchFamily="18" charset="0"/>
              <a:cs typeface="Times New Roman" pitchFamily="18" charset="0"/>
            </a:rPr>
            <a:t> </a:t>
          </a:r>
        </a:p>
      </cdr:txBody>
    </cdr:sp>
  </cdr:relSizeAnchor>
  <cdr:relSizeAnchor xmlns:cdr="http://schemas.openxmlformats.org/drawingml/2006/chartDrawing">
    <cdr:from>
      <cdr:x>0.54314</cdr:x>
      <cdr:y>5.21631E-7</cdr:y>
    </cdr:from>
    <cdr:to>
      <cdr:x>0.58277</cdr:x>
      <cdr:y>0.10323</cdr:y>
    </cdr:to>
    <cdr:sp macro="" textlink="">
      <cdr:nvSpPr>
        <cdr:cNvPr id="4" name="Прямоугольник 3"/>
        <cdr:cNvSpPr/>
      </cdr:nvSpPr>
      <cdr:spPr>
        <a:xfrm xmlns:a="http://schemas.openxmlformats.org/drawingml/2006/main">
          <a:off x="3179930" y="1"/>
          <a:ext cx="232012" cy="1978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0.57344</cdr:x>
      <cdr:y>0.29544</cdr:y>
    </cdr:from>
    <cdr:to>
      <cdr:x>0.60375</cdr:x>
      <cdr:y>0.38799</cdr:y>
    </cdr:to>
    <cdr:sp macro="" textlink="">
      <cdr:nvSpPr>
        <cdr:cNvPr id="5" name="Прямоугольник 4"/>
        <cdr:cNvSpPr/>
      </cdr:nvSpPr>
      <cdr:spPr>
        <a:xfrm xmlns:a="http://schemas.openxmlformats.org/drawingml/2006/main">
          <a:off x="3357339" y="566376"/>
          <a:ext cx="177456" cy="17742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chemeClr val="tx1"/>
              </a:solidFill>
              <a:latin typeface="Times New Roman" pitchFamily="18" charset="0"/>
              <a:cs typeface="Times New Roman" pitchFamily="18" charset="0"/>
            </a:rPr>
            <a:t>#</a:t>
          </a:r>
          <a:endParaRPr lang="uk-UA" sz="9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0.12704</cdr:x>
      <cdr:y>0.07831</cdr:y>
    </cdr:from>
    <cdr:to>
      <cdr:x>0.16784</cdr:x>
      <cdr:y>0.16018</cdr:y>
    </cdr:to>
    <cdr:sp macro="" textlink="">
      <cdr:nvSpPr>
        <cdr:cNvPr id="6" name="Прямоугольник 5"/>
        <cdr:cNvSpPr/>
      </cdr:nvSpPr>
      <cdr:spPr>
        <a:xfrm xmlns:a="http://schemas.openxmlformats.org/drawingml/2006/main">
          <a:off x="743803" y="150125"/>
          <a:ext cx="238836" cy="1569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a:t>
          </a:r>
        </a:p>
      </cdr:txBody>
    </cdr:sp>
  </cdr:relSizeAnchor>
  <cdr:relSizeAnchor xmlns:cdr="http://schemas.openxmlformats.org/drawingml/2006/chartDrawing">
    <cdr:from>
      <cdr:x>0.16551</cdr:x>
      <cdr:y>0.27052</cdr:y>
    </cdr:from>
    <cdr:to>
      <cdr:x>0.19232</cdr:x>
      <cdr:y>0.3702</cdr:y>
    </cdr:to>
    <cdr:sp macro="" textlink="">
      <cdr:nvSpPr>
        <cdr:cNvPr id="7" name="Прямоугольник 6"/>
        <cdr:cNvSpPr/>
      </cdr:nvSpPr>
      <cdr:spPr>
        <a:xfrm xmlns:a="http://schemas.openxmlformats.org/drawingml/2006/main">
          <a:off x="969011" y="518614"/>
          <a:ext cx="156965" cy="1910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0.27274</cdr:x>
      <cdr:y>5.21631E-7</cdr:y>
    </cdr:from>
    <cdr:to>
      <cdr:x>0.31003</cdr:x>
      <cdr:y>0.08543</cdr:y>
    </cdr:to>
    <cdr:sp macro="" textlink="">
      <cdr:nvSpPr>
        <cdr:cNvPr id="8" name="Прямоугольник 7"/>
        <cdr:cNvSpPr/>
      </cdr:nvSpPr>
      <cdr:spPr>
        <a:xfrm xmlns:a="http://schemas.openxmlformats.org/drawingml/2006/main">
          <a:off x="1596789" y="1"/>
          <a:ext cx="218363" cy="1637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0.51051</cdr:x>
      <cdr:y>0.31324</cdr:y>
    </cdr:from>
    <cdr:to>
      <cdr:x>0.54082</cdr:x>
      <cdr:y>0.39867</cdr:y>
    </cdr:to>
    <cdr:sp macro="" textlink="">
      <cdr:nvSpPr>
        <cdr:cNvPr id="10" name="Прямоугольник 9"/>
        <cdr:cNvSpPr/>
      </cdr:nvSpPr>
      <cdr:spPr>
        <a:xfrm xmlns:a="http://schemas.openxmlformats.org/drawingml/2006/main">
          <a:off x="2988876" y="600498"/>
          <a:ext cx="177456" cy="1637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0.09674</cdr:x>
      <cdr:y>0.28121</cdr:y>
    </cdr:from>
    <cdr:to>
      <cdr:x>0.12937</cdr:x>
      <cdr:y>0.36308</cdr:y>
    </cdr:to>
    <cdr:sp macro="" textlink="">
      <cdr:nvSpPr>
        <cdr:cNvPr id="11" name="Прямоугольник 10"/>
        <cdr:cNvSpPr/>
      </cdr:nvSpPr>
      <cdr:spPr>
        <a:xfrm xmlns:a="http://schemas.openxmlformats.org/drawingml/2006/main">
          <a:off x="566384" y="539090"/>
          <a:ext cx="191039" cy="1569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0.2331</cdr:x>
      <cdr:y>0.30969</cdr:y>
    </cdr:from>
    <cdr:to>
      <cdr:x>0.26807</cdr:x>
      <cdr:y>0.39512</cdr:y>
    </cdr:to>
    <cdr:sp macro="" textlink="">
      <cdr:nvSpPr>
        <cdr:cNvPr id="12" name="Прямоугольник 11"/>
        <cdr:cNvSpPr/>
      </cdr:nvSpPr>
      <cdr:spPr>
        <a:xfrm xmlns:a="http://schemas.openxmlformats.org/drawingml/2006/main">
          <a:off x="1364757" y="593689"/>
          <a:ext cx="204738" cy="1637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0.84464</cdr:y>
    </cdr:from>
    <cdr:to>
      <cdr:x>0.14633</cdr:x>
      <cdr:y>1</cdr:y>
    </cdr:to>
    <cdr:sp macro="" textlink="">
      <cdr:nvSpPr>
        <cdr:cNvPr id="2" name="Прямоугольник 1"/>
        <cdr:cNvSpPr/>
      </cdr:nvSpPr>
      <cdr:spPr>
        <a:xfrm xmlns:a="http://schemas.openxmlformats.org/drawingml/2006/main">
          <a:off x="0" y="1223678"/>
          <a:ext cx="716890" cy="224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ysClr val="windowText" lastClr="000000"/>
              </a:solidFill>
              <a:latin typeface="Times New Roman" pitchFamily="18" charset="0"/>
              <a:cs typeface="Times New Roman" pitchFamily="18" charset="0"/>
            </a:rPr>
            <a:t>фмоль/мл</a:t>
          </a:r>
        </a:p>
      </cdr:txBody>
    </cdr:sp>
  </cdr:relSizeAnchor>
  <cdr:relSizeAnchor xmlns:cdr="http://schemas.openxmlformats.org/drawingml/2006/chartDrawing">
    <cdr:from>
      <cdr:x>0.37134</cdr:x>
      <cdr:y>0.08287</cdr:y>
    </cdr:from>
    <cdr:to>
      <cdr:x>0.42871</cdr:x>
      <cdr:y>0.18323</cdr:y>
    </cdr:to>
    <cdr:sp macro="" textlink="">
      <cdr:nvSpPr>
        <cdr:cNvPr id="3" name="Прямоугольник 2"/>
        <cdr:cNvSpPr/>
      </cdr:nvSpPr>
      <cdr:spPr>
        <a:xfrm xmlns:a="http://schemas.openxmlformats.org/drawingml/2006/main">
          <a:off x="2129541" y="120095"/>
          <a:ext cx="329003" cy="1454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0.56308</cdr:x>
      <cdr:y>0</cdr:y>
    </cdr:from>
    <cdr:to>
      <cdr:x>0.63209</cdr:x>
      <cdr:y>0.12737</cdr:y>
    </cdr:to>
    <cdr:sp macro="" textlink="">
      <cdr:nvSpPr>
        <cdr:cNvPr id="4" name="Прямоугольник 3"/>
        <cdr:cNvSpPr/>
      </cdr:nvSpPr>
      <cdr:spPr>
        <a:xfrm xmlns:a="http://schemas.openxmlformats.org/drawingml/2006/main">
          <a:off x="3229117" y="0"/>
          <a:ext cx="395785" cy="1845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ysClr val="windowText" lastClr="000000"/>
              </a:solidFill>
              <a:latin typeface="Times New Roman" pitchFamily="18" charset="0"/>
              <a:cs typeface="Times New Roman" pitchFamily="18" charset="0"/>
            </a:rPr>
            <a:t>* </a:t>
          </a:r>
          <a:r>
            <a:rPr lang="en-US" sz="800">
              <a:solidFill>
                <a:sysClr val="windowText" lastClr="000000"/>
              </a:solidFill>
              <a:latin typeface="Times New Roman" pitchFamily="18" charset="0"/>
              <a:cs typeface="Times New Roman" pitchFamily="18" charset="0"/>
            </a:rPr>
            <a:t>#</a:t>
          </a:r>
          <a:endParaRPr lang="uk-UA" sz="8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0.75366</cdr:x>
      <cdr:y>0</cdr:y>
    </cdr:from>
    <cdr:to>
      <cdr:x>0.87115</cdr:x>
      <cdr:y>0.10395</cdr:y>
    </cdr:to>
    <cdr:sp macro="" textlink="">
      <cdr:nvSpPr>
        <cdr:cNvPr id="5" name="Прямоугольник 4"/>
        <cdr:cNvSpPr/>
      </cdr:nvSpPr>
      <cdr:spPr>
        <a:xfrm xmlns:a="http://schemas.openxmlformats.org/drawingml/2006/main">
          <a:off x="4322046" y="0"/>
          <a:ext cx="673778" cy="1506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ysClr val="windowText" lastClr="000000"/>
              </a:solidFill>
              <a:latin typeface="Times New Roman" pitchFamily="18" charset="0"/>
              <a:cs typeface="Times New Roman" pitchFamily="18" charset="0"/>
            </a:rPr>
            <a:t>*</a:t>
          </a:r>
          <a:r>
            <a:rPr lang="en-US" sz="800">
              <a:solidFill>
                <a:sysClr val="windowText" lastClr="000000"/>
              </a:solidFill>
              <a:latin typeface="Times New Roman" pitchFamily="18" charset="0"/>
              <a:cs typeface="Times New Roman" pitchFamily="18" charset="0"/>
            </a:rPr>
            <a:t> # &amp;</a:t>
          </a:r>
          <a:endParaRPr lang="uk-UA" sz="800">
            <a:solidFill>
              <a:sysClr val="windowText" lastClr="000000"/>
            </a:solidFill>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0.61589</cdr:y>
    </cdr:from>
    <cdr:to>
      <cdr:x>0.11303</cdr:x>
      <cdr:y>0.77451</cdr:y>
    </cdr:to>
    <cdr:sp macro="" textlink="">
      <cdr:nvSpPr>
        <cdr:cNvPr id="2" name="Прямоугольник 1"/>
        <cdr:cNvSpPr/>
      </cdr:nvSpPr>
      <cdr:spPr>
        <a:xfrm xmlns:a="http://schemas.openxmlformats.org/drawingml/2006/main">
          <a:off x="0" y="831850"/>
          <a:ext cx="677906" cy="2142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пмоль/мл</a:t>
          </a:r>
        </a:p>
      </cdr:txBody>
    </cdr:sp>
  </cdr:relSizeAnchor>
  <cdr:relSizeAnchor xmlns:cdr="http://schemas.openxmlformats.org/drawingml/2006/chartDrawing">
    <cdr:from>
      <cdr:x>0.72793</cdr:x>
      <cdr:y>0</cdr:y>
    </cdr:from>
    <cdr:to>
      <cdr:x>0.81351</cdr:x>
      <cdr:y>0.14147</cdr:y>
    </cdr:to>
    <cdr:sp macro="" textlink="">
      <cdr:nvSpPr>
        <cdr:cNvPr id="3" name="Прямоугольник 2"/>
        <cdr:cNvSpPr/>
      </cdr:nvSpPr>
      <cdr:spPr>
        <a:xfrm xmlns:a="http://schemas.openxmlformats.org/drawingml/2006/main">
          <a:off x="4365815" y="0"/>
          <a:ext cx="513259" cy="1910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 </a:t>
          </a:r>
          <a:r>
            <a:rPr lang="en-US" sz="800">
              <a:solidFill>
                <a:schemeClr val="tx1"/>
              </a:solidFill>
              <a:latin typeface="Times New Roman" pitchFamily="18" charset="0"/>
              <a:cs typeface="Times New Roman" pitchFamily="18" charset="0"/>
            </a:rPr>
            <a:t>#  &amp;</a:t>
          </a:r>
          <a:endParaRPr lang="uk-UA" sz="800">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0.02307</cdr:x>
      <cdr:y>0.84572</cdr:y>
    </cdr:from>
    <cdr:to>
      <cdr:x>0.07075</cdr:x>
      <cdr:y>0.97035</cdr:y>
    </cdr:to>
    <cdr:sp macro="" textlink="">
      <cdr:nvSpPr>
        <cdr:cNvPr id="3" name="Прямоугольник 2"/>
        <cdr:cNvSpPr/>
      </cdr:nvSpPr>
      <cdr:spPr>
        <a:xfrm xmlns:a="http://schemas.openxmlformats.org/drawingml/2006/main">
          <a:off x="109715" y="1202952"/>
          <a:ext cx="226773" cy="17727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chemeClr val="tx1"/>
              </a:solidFill>
              <a:latin typeface="Times New Roman" pitchFamily="18" charset="0"/>
              <a:ea typeface="+mn-ea"/>
              <a:cs typeface="Times New Roman" pitchFamily="18" charset="0"/>
            </a:rPr>
            <a:t> %</a:t>
          </a:r>
          <a:endParaRPr lang="uk-UA">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0.02152</cdr:x>
      <cdr:y>0.82036</cdr:y>
    </cdr:from>
    <cdr:to>
      <cdr:x>0.09756</cdr:x>
      <cdr:y>0.96429</cdr:y>
    </cdr:to>
    <cdr:sp macro="" textlink="">
      <cdr:nvSpPr>
        <cdr:cNvPr id="2" name="Прямоугольник 1"/>
        <cdr:cNvSpPr/>
      </cdr:nvSpPr>
      <cdr:spPr>
        <a:xfrm xmlns:a="http://schemas.openxmlformats.org/drawingml/2006/main">
          <a:off x="102358" y="1166883"/>
          <a:ext cx="361665" cy="2047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latin typeface="Arial" pitchFamily="34" charset="0"/>
              <a:cs typeface="Arial"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0.036</cdr:x>
      <cdr:y>0.80425</cdr:y>
    </cdr:from>
    <cdr:to>
      <cdr:x>0.22441</cdr:x>
      <cdr:y>0.92505</cdr:y>
    </cdr:to>
    <cdr:sp macro="" textlink="">
      <cdr:nvSpPr>
        <cdr:cNvPr id="2" name="Прямоугольник 1"/>
        <cdr:cNvSpPr/>
      </cdr:nvSpPr>
      <cdr:spPr>
        <a:xfrm xmlns:a="http://schemas.openxmlformats.org/drawingml/2006/main">
          <a:off x="139510" y="1135797"/>
          <a:ext cx="730155" cy="1705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0.02993</cdr:x>
      <cdr:y>0.84055</cdr:y>
    </cdr:from>
    <cdr:to>
      <cdr:x>0.11974</cdr:x>
      <cdr:y>1</cdr:y>
    </cdr:to>
    <cdr:sp macro="" textlink="">
      <cdr:nvSpPr>
        <cdr:cNvPr id="3" name="Прямоугольник 2"/>
        <cdr:cNvSpPr/>
      </cdr:nvSpPr>
      <cdr:spPr>
        <a:xfrm xmlns:a="http://schemas.openxmlformats.org/drawingml/2006/main">
          <a:off x="116006" y="1187355"/>
          <a:ext cx="348017" cy="2251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tx1"/>
              </a:solidFill>
              <a:latin typeface="Arial" pitchFamily="34" charset="0"/>
              <a:cs typeface="Arial"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0.00786</cdr:x>
      <cdr:y>0.83268</cdr:y>
    </cdr:from>
    <cdr:to>
      <cdr:x>0.13757</cdr:x>
      <cdr:y>0.9636</cdr:y>
    </cdr:to>
    <cdr:sp macro="" textlink="">
      <cdr:nvSpPr>
        <cdr:cNvPr id="2" name="Прямоугольник 1"/>
        <cdr:cNvSpPr/>
      </cdr:nvSpPr>
      <cdr:spPr>
        <a:xfrm xmlns:a="http://schemas.openxmlformats.org/drawingml/2006/main">
          <a:off x="44267" y="1084999"/>
          <a:ext cx="730174" cy="1705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фмоль\мл</a:t>
          </a:r>
        </a:p>
      </cdr:txBody>
    </cdr:sp>
  </cdr:relSizeAnchor>
</c:userShapes>
</file>

<file path=word/drawings/drawing5.xml><?xml version="1.0" encoding="utf-8"?>
<c:userShapes xmlns:c="http://schemas.openxmlformats.org/drawingml/2006/chart">
  <cdr:relSizeAnchor xmlns:cdr="http://schemas.openxmlformats.org/drawingml/2006/chartDrawing">
    <cdr:from>
      <cdr:x>0.03962</cdr:x>
      <cdr:y>0.88244</cdr:y>
    </cdr:from>
    <cdr:to>
      <cdr:x>0.15875</cdr:x>
      <cdr:y>0.99837</cdr:y>
    </cdr:to>
    <cdr:sp macro="" textlink="">
      <cdr:nvSpPr>
        <cdr:cNvPr id="2" name="Прямоугольник 1"/>
        <cdr:cNvSpPr/>
      </cdr:nvSpPr>
      <cdr:spPr>
        <a:xfrm xmlns:a="http://schemas.openxmlformats.org/drawingml/2006/main">
          <a:off x="225188" y="1200267"/>
          <a:ext cx="677121" cy="15768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latin typeface="Times New Roman" pitchFamily="18" charset="0"/>
              <a:cs typeface="Times New Roman" pitchFamily="18" charset="0"/>
            </a:rPr>
            <a:t>пмоль/мл</a:t>
          </a:r>
        </a:p>
      </cdr:txBody>
    </cdr:sp>
  </cdr:relSizeAnchor>
</c:userShapes>
</file>

<file path=word/drawings/drawing6.xml><?xml version="1.0" encoding="utf-8"?>
<c:userShapes xmlns:c="http://schemas.openxmlformats.org/drawingml/2006/chart">
  <cdr:relSizeAnchor xmlns:cdr="http://schemas.openxmlformats.org/drawingml/2006/chartDrawing">
    <cdr:from>
      <cdr:x>0.26274</cdr:x>
      <cdr:y>0.41504</cdr:y>
    </cdr:from>
    <cdr:to>
      <cdr:x>0.31162</cdr:x>
      <cdr:y>0.51627</cdr:y>
    </cdr:to>
    <cdr:sp macro="" textlink="">
      <cdr:nvSpPr>
        <cdr:cNvPr id="2" name="Прямоугольник 1"/>
        <cdr:cNvSpPr/>
      </cdr:nvSpPr>
      <cdr:spPr>
        <a:xfrm xmlns:a="http://schemas.openxmlformats.org/drawingml/2006/main">
          <a:off x="1112808" y="707367"/>
          <a:ext cx="207034" cy="172527"/>
        </a:xfrm>
        <a:prstGeom xmlns:a="http://schemas.openxmlformats.org/drawingml/2006/main" prst="rect">
          <a:avLst/>
        </a:prstGeom>
        <a:noFill xmlns:a="http://schemas.openxmlformats.org/drawingml/2006/main"/>
        <a:ln xmlns:a="http://schemas.openxmlformats.org/drawingml/2006/main">
          <a:solidFill>
            <a:srgbClr val="FFFFFF">
              <a:alpha val="0"/>
            </a:srgb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200">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0.5167</cdr:x>
      <cdr:y>0.2919</cdr:y>
    </cdr:from>
    <cdr:to>
      <cdr:x>0.6078</cdr:x>
      <cdr:y>0.41338</cdr:y>
    </cdr:to>
    <cdr:sp macro="" textlink="">
      <cdr:nvSpPr>
        <cdr:cNvPr id="4" name="Прямоугольник 3"/>
        <cdr:cNvSpPr/>
      </cdr:nvSpPr>
      <cdr:spPr>
        <a:xfrm xmlns:a="http://schemas.openxmlformats.org/drawingml/2006/main">
          <a:off x="2188474" y="497529"/>
          <a:ext cx="385854" cy="2070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200">
              <a:solidFill>
                <a:sysClr val="windowText" lastClr="000000"/>
              </a:solidFill>
              <a:latin typeface="Times New Roman" pitchFamily="18" charset="0"/>
              <a:cs typeface="Times New Roman" pitchFamily="18" charset="0"/>
            </a:rPr>
            <a:t>* </a:t>
          </a:r>
          <a:r>
            <a:rPr lang="en-US" sz="1200">
              <a:solidFill>
                <a:sysClr val="windowText" lastClr="000000"/>
              </a:solidFill>
              <a:latin typeface="Times New Roman" pitchFamily="18" charset="0"/>
              <a:cs typeface="Times New Roman" pitchFamily="18" charset="0"/>
            </a:rPr>
            <a:t>#</a:t>
          </a:r>
          <a:endParaRPr lang="uk-UA" sz="12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0.03482</cdr:x>
      <cdr:y>0.7744</cdr:y>
    </cdr:from>
    <cdr:to>
      <cdr:x>0.10795</cdr:x>
      <cdr:y>0.92507</cdr:y>
    </cdr:to>
    <cdr:sp macro="" textlink="">
      <cdr:nvSpPr>
        <cdr:cNvPr id="6" name="Прямоугольник 5"/>
        <cdr:cNvSpPr/>
      </cdr:nvSpPr>
      <cdr:spPr>
        <a:xfrm xmlns:a="http://schemas.openxmlformats.org/drawingml/2006/main">
          <a:off x="147492" y="1319843"/>
          <a:ext cx="309707" cy="25678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200">
              <a:solidFill>
                <a:schemeClr val="tx1"/>
              </a:solidFill>
              <a:latin typeface="Times New Roman" pitchFamily="18" charset="0"/>
              <a:ea typeface="+mn-ea"/>
              <a:cs typeface="Times New Roman" pitchFamily="18" charset="0"/>
            </a:rPr>
            <a:t> %</a:t>
          </a:r>
          <a:endParaRPr lang="uk-UA" sz="1200">
            <a:solidFill>
              <a:schemeClr val="tx1"/>
            </a:solidFill>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0.02181</cdr:x>
      <cdr:y>0.81143</cdr:y>
    </cdr:from>
    <cdr:to>
      <cdr:x>0.06543</cdr:x>
      <cdr:y>0.90857</cdr:y>
    </cdr:to>
    <cdr:sp macro="" textlink="">
      <cdr:nvSpPr>
        <cdr:cNvPr id="2" name="Прямоугольник 1"/>
        <cdr:cNvSpPr/>
      </cdr:nvSpPr>
      <cdr:spPr>
        <a:xfrm xmlns:a="http://schemas.openxmlformats.org/drawingml/2006/main">
          <a:off x="127000" y="1803400"/>
          <a:ext cx="254000" cy="2159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chemeClr val="tx1"/>
              </a:solidFill>
              <a:latin typeface="Times New Roman" pitchFamily="18" charset="0"/>
              <a:ea typeface="+mn-ea"/>
              <a:cs typeface="Times New Roman" pitchFamily="18" charset="0"/>
            </a:rPr>
            <a:t> %</a:t>
          </a:r>
          <a:endParaRPr lang="uk-UA">
            <a:solidFill>
              <a:schemeClr val="tx1"/>
            </a:solidFill>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0.75749</cdr:x>
      <cdr:y>0.02943</cdr:y>
    </cdr:from>
    <cdr:to>
      <cdr:x>0.80543</cdr:x>
      <cdr:y>0.15274</cdr:y>
    </cdr:to>
    <cdr:sp macro="" textlink="">
      <cdr:nvSpPr>
        <cdr:cNvPr id="3" name="Прямоугольник 2"/>
        <cdr:cNvSpPr/>
      </cdr:nvSpPr>
      <cdr:spPr>
        <a:xfrm xmlns:a="http://schemas.openxmlformats.org/drawingml/2006/main">
          <a:off x="3824936" y="55232"/>
          <a:ext cx="242096" cy="2313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0.74867</cdr:x>
      <cdr:y>0.24655</cdr:y>
    </cdr:from>
    <cdr:to>
      <cdr:x>0.80813</cdr:x>
      <cdr:y>0.35574</cdr:y>
    </cdr:to>
    <cdr:sp macro="" textlink="">
      <cdr:nvSpPr>
        <cdr:cNvPr id="4" name="Прямоугольник 3"/>
        <cdr:cNvSpPr/>
      </cdr:nvSpPr>
      <cdr:spPr>
        <a:xfrm xmlns:a="http://schemas.openxmlformats.org/drawingml/2006/main">
          <a:off x="3780429" y="477670"/>
          <a:ext cx="300251" cy="21154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latin typeface="Times New Roman" pitchFamily="18" charset="0"/>
              <a:cs typeface="Times New Roman" pitchFamily="18" charset="0"/>
            </a:rPr>
            <a:t>*</a:t>
          </a:r>
          <a:endParaRPr lang="uk-UA" sz="800">
            <a:solidFill>
              <a:schemeClr val="tx1"/>
            </a:solidFill>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0.44706</cdr:x>
      <cdr:y>7.72341E-7</cdr:y>
    </cdr:from>
    <cdr:to>
      <cdr:x>0.49108</cdr:x>
      <cdr:y>0.24192</cdr:y>
    </cdr:to>
    <cdr:sp macro="" textlink="">
      <cdr:nvSpPr>
        <cdr:cNvPr id="2" name="Прямоугольник 1"/>
        <cdr:cNvSpPr/>
      </cdr:nvSpPr>
      <cdr:spPr>
        <a:xfrm xmlns:a="http://schemas.openxmlformats.org/drawingml/2006/main">
          <a:off x="2684678" y="1"/>
          <a:ext cx="264353" cy="31322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100">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0.69985</cdr:x>
      <cdr:y>0</cdr:y>
    </cdr:from>
    <cdr:to>
      <cdr:x>0.76878</cdr:x>
      <cdr:y>0.19544</cdr:y>
    </cdr:to>
    <cdr:sp macro="" textlink="">
      <cdr:nvSpPr>
        <cdr:cNvPr id="3" name="Прямоугольник 2"/>
        <cdr:cNvSpPr/>
      </cdr:nvSpPr>
      <cdr:spPr>
        <a:xfrm xmlns:a="http://schemas.openxmlformats.org/drawingml/2006/main">
          <a:off x="4203167" y="0"/>
          <a:ext cx="413978" cy="2530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ysClr val="windowText" lastClr="000000"/>
              </a:solidFill>
              <a:latin typeface="Times New Roman" pitchFamily="18" charset="0"/>
              <a:cs typeface="Times New Roman" pitchFamily="18" charset="0"/>
            </a:rPr>
            <a:t>* </a:t>
          </a:r>
          <a:r>
            <a:rPr lang="en-US">
              <a:solidFill>
                <a:sysClr val="windowText" lastClr="000000"/>
              </a:solidFill>
              <a:latin typeface="Times New Roman" pitchFamily="18" charset="0"/>
              <a:cs typeface="Times New Roman" pitchFamily="18" charset="0"/>
            </a:rPr>
            <a:t>#</a:t>
          </a:r>
          <a:endParaRPr lang="uk-UA">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0.83931</cdr:y>
    </cdr:from>
    <cdr:to>
      <cdr:x>0.1063</cdr:x>
      <cdr:y>0.97502</cdr:y>
    </cdr:to>
    <cdr:sp macro="" textlink="">
      <cdr:nvSpPr>
        <cdr:cNvPr id="4" name="Прямоугольник 3"/>
        <cdr:cNvSpPr/>
      </cdr:nvSpPr>
      <cdr:spPr>
        <a:xfrm xmlns:a="http://schemas.openxmlformats.org/drawingml/2006/main">
          <a:off x="0" y="1086704"/>
          <a:ext cx="638351" cy="17571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chemeClr val="tx1"/>
              </a:solidFill>
              <a:latin typeface="Times New Roman" pitchFamily="18" charset="0"/>
              <a:cs typeface="Times New Roman" pitchFamily="18" charset="0"/>
            </a:rPr>
            <a:t>фмоль/мл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44E50-5B3B-41C7-931C-8259DD38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18706</TotalTime>
  <Pages>1</Pages>
  <Words>203122</Words>
  <Characters>115781</Characters>
  <Application>Microsoft Office Word</Application>
  <DocSecurity>0</DocSecurity>
  <Lines>964</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2524</cp:revision>
  <cp:lastPrinted>2017-02-07T13:24:00Z</cp:lastPrinted>
  <dcterms:created xsi:type="dcterms:W3CDTF">2016-02-16T18:13:00Z</dcterms:created>
  <dcterms:modified xsi:type="dcterms:W3CDTF">2017-02-07T14:09:00Z</dcterms:modified>
</cp:coreProperties>
</file>