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6" w:rsidRPr="001B6AC9" w:rsidRDefault="00474C06" w:rsidP="00474C0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proofErr w:type="spellStart"/>
      <w:r w:rsidRPr="001B6AC9">
        <w:rPr>
          <w:b/>
          <w:sz w:val="28"/>
          <w:szCs w:val="28"/>
          <w:lang w:val="uk-UA"/>
        </w:rPr>
        <w:t>Лапшина</w:t>
      </w:r>
      <w:proofErr w:type="spellEnd"/>
      <w:r w:rsidRPr="001B6AC9">
        <w:rPr>
          <w:b/>
          <w:sz w:val="28"/>
          <w:szCs w:val="28"/>
          <w:lang w:val="uk-UA"/>
        </w:rPr>
        <w:t xml:space="preserve"> І.О.</w:t>
      </w:r>
    </w:p>
    <w:p w:rsidR="00474C06" w:rsidRPr="001B6AC9" w:rsidRDefault="00474C06" w:rsidP="00474C06">
      <w:pPr>
        <w:jc w:val="center"/>
        <w:rPr>
          <w:b/>
          <w:sz w:val="28"/>
          <w:szCs w:val="28"/>
          <w:lang w:val="uk-UA"/>
        </w:rPr>
      </w:pPr>
      <w:r w:rsidRPr="001B6AC9">
        <w:rPr>
          <w:b/>
          <w:sz w:val="28"/>
          <w:szCs w:val="28"/>
          <w:lang w:val="uk-UA"/>
        </w:rPr>
        <w:t>ННМК «УК» ХНМУ</w:t>
      </w:r>
    </w:p>
    <w:p w:rsidR="005A1AA5" w:rsidRPr="001B6AC9" w:rsidRDefault="005A1AA5" w:rsidP="005A1AA5">
      <w:pPr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b/>
          <w:color w:val="333333"/>
          <w:sz w:val="28"/>
          <w:szCs w:val="28"/>
          <w:shd w:val="clear" w:color="auto" w:fill="FFFFFF"/>
        </w:rPr>
        <w:t xml:space="preserve">2-Х </w:t>
      </w:r>
      <w:proofErr w:type="gramStart"/>
      <w:r w:rsidRPr="001B6AC9">
        <w:rPr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1B6AC9">
        <w:rPr>
          <w:b/>
          <w:color w:val="333333"/>
          <w:sz w:val="28"/>
          <w:szCs w:val="28"/>
          <w:shd w:val="clear" w:color="auto" w:fill="FFFFFF"/>
        </w:rPr>
        <w:t>ІЧНИЙ КАТАМНЕЗ ПАЦІЄНТІВ НА МОЗКОВИЙ ІНСУЛЬТ</w:t>
      </w:r>
      <w:r w:rsidRPr="001B6AC9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(МІ)</w:t>
      </w:r>
      <w:r w:rsidRPr="001B6AC9">
        <w:rPr>
          <w:b/>
          <w:color w:val="333333"/>
          <w:sz w:val="28"/>
          <w:szCs w:val="28"/>
          <w:shd w:val="clear" w:color="auto" w:fill="FFFFFF"/>
        </w:rPr>
        <w:t xml:space="preserve"> ТА ТРАНЗІТОРНІ ІШЕМІЧНІ АТАКИ</w:t>
      </w:r>
      <w:r w:rsidRPr="001B6AC9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1B6AC9">
        <w:rPr>
          <w:b/>
          <w:color w:val="333333"/>
          <w:sz w:val="28"/>
          <w:szCs w:val="28"/>
          <w:shd w:val="clear" w:color="auto" w:fill="FFFFFF"/>
          <w:lang w:val="uk-UA"/>
        </w:rPr>
        <w:t>ТІА</w:t>
      </w:r>
      <w:proofErr w:type="spellEnd"/>
      <w:r w:rsidRPr="001B6AC9">
        <w:rPr>
          <w:b/>
          <w:color w:val="333333"/>
          <w:sz w:val="28"/>
          <w:szCs w:val="28"/>
          <w:shd w:val="clear" w:color="auto" w:fill="FFFFFF"/>
          <w:lang w:val="uk-UA"/>
        </w:rPr>
        <w:t>)</w:t>
      </w:r>
      <w:r w:rsidRPr="001B6AC9">
        <w:rPr>
          <w:b/>
          <w:color w:val="333333"/>
          <w:sz w:val="28"/>
          <w:szCs w:val="28"/>
          <w:shd w:val="clear" w:color="auto" w:fill="FFFFFF"/>
        </w:rPr>
        <w:t xml:space="preserve"> АТЕРОТРОМБОТИЧНОГО ГЕНЕЗУ.</w:t>
      </w:r>
      <w:r w:rsidRPr="001B6AC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>Для оцінки прогнозу серцево-судинних захворювань при атеротромбозі було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проведене динамічне спостереження за хворими на атеротромбоз.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Під нашим спостереженням, упродовж двох років, перебувало 30 пацієнтів (20 чоловіків і 10 жінок) з церебральними проявами атеротромбозу. Із них у 20 (14 чоловіків і 6 жінок) в анамнезі був ішемічний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атеротромботичний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мозковий інсульт (МІ), 10 (6 чоловіків, 4 жінки) -  перенесли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ТІА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>. Давнина цих церебральних катастроф була до 1 року. 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>Упродовж всього спостереження стежили за клінічними проявами захворювання, спостерігали за ускладненнями. На кожному етапі спостереження (кожні півроку) всім хворим проводилос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>я клінічне обстеження. 20 пацієнтам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на МІ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оцінювали функціональний стан та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здатність до самообслуговування за індексом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Бартеля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, а також ступінь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інвалідизації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за шкалою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Ренкіна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>. 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Після першого року спостереження всіх пацієнтів було поділено на дві групи: пацієнти I групи (16 хворих, з яких 11 перенесли МІ, 5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ТІА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), постійно приймали препарати, спрямовані на запобігання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атеротромботичним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подіям (аспірин 100 мг або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клопідогрел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75 мг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. Пацієнти цієї групи контролювали цифри артеріального тиску (АТ), систематично вживали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антигіперте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>нзивні</w:t>
      </w:r>
      <w:proofErr w:type="spellEnd"/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препарати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, стежили за рівнем загального холестерину,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тригліцеридів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, приймали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гиполіпідемічну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терапію. 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Пацієнти ІІ групи (14 хворих, з яких 9 перенесли МІ, 5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ТІА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антиагрегантну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терапію приймали нерегулярно або не приймали її взагалі, АТ контролювали не систематично,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антигіпертензивні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препарати вживали епізодично, не стежили за рі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>внем холестерину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. 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У динаміці, через два роки спостереження, у хворих І групи, які стежили за станом свого здоров’я,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вираженість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таких церебральних неврологічних симптомів, як головний біль, запаморочення, нестабільність цифр АТ, хиткість при ходінні, порушення мови були значно менше виражені як якісно, так і кількісно у порівнянні з пацієнтами ІІ групи. </w:t>
      </w:r>
      <w:r w:rsidRPr="001B6AC9">
        <w:rPr>
          <w:color w:val="333333"/>
          <w:sz w:val="28"/>
          <w:szCs w:val="28"/>
          <w:lang w:val="uk-UA"/>
        </w:rPr>
        <w:br/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Індекс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Бартеля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у пацієнтів І групи був у межах 80,3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38FD">
        <w:rPr>
          <w:sz w:val="28"/>
          <w:szCs w:val="28"/>
          <w:lang w:val="uk-UA"/>
        </w:rPr>
        <w:t xml:space="preserve">±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2,5 бали, у пацієнтів ІІ групи 78,3 </w:t>
      </w:r>
      <w:r w:rsidR="000338FD">
        <w:rPr>
          <w:sz w:val="28"/>
          <w:szCs w:val="28"/>
          <w:lang w:val="uk-UA"/>
        </w:rPr>
        <w:t xml:space="preserve">±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2,8 бали. У пацієнтів І групи він виріс у порівнянні з першим етапом на 24,9 бала, у пацієнтів ІІ групи на 22,9 бала. </w:t>
      </w:r>
      <w:r w:rsidRPr="001B6AC9">
        <w:rPr>
          <w:color w:val="333333"/>
          <w:sz w:val="28"/>
          <w:szCs w:val="28"/>
          <w:lang w:val="uk-UA"/>
        </w:rPr>
        <w:br/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За шкалою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Ренкіна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рівень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інвалідизації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на першому році спостереження у хворих з МІ склав 3,4</w:t>
      </w:r>
      <w:r w:rsidR="000338FD">
        <w:rPr>
          <w:sz w:val="28"/>
          <w:szCs w:val="28"/>
          <w:lang w:val="uk-UA"/>
        </w:rPr>
        <w:t xml:space="preserve">±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0,2 бали, через 2 роки він дорівнював у пацієнтів І групи 2,0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38FD">
        <w:rPr>
          <w:sz w:val="28"/>
          <w:szCs w:val="28"/>
          <w:lang w:val="uk-UA"/>
        </w:rPr>
        <w:t xml:space="preserve">±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0,3 бали, у пацієнтів ІІ групи 2,2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38FD">
        <w:rPr>
          <w:sz w:val="28"/>
          <w:szCs w:val="28"/>
          <w:lang w:val="uk-UA"/>
        </w:rPr>
        <w:t xml:space="preserve">±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0,3 бали. 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Таким чином, протягом усього періоду спостереження у пацієнтів обох груп відзначалося поліпшення функціонального стану та зменшення ступеня їх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інвалідизації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, що характеризувалося зменшенням балів за шкалою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Ренкіна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і збільшенням показників за індексом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Бартеля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>. Проте, у пацієнтів І групи вони були більш вираженими.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Упродовж дворічного спостереження в жодного з пацієнтів І групи не було зафіксовано повторних гострих судинних порушень,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атеротромботичного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ґенезу, тоді як у 5 (35,7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%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пацієнтів ІІ групи (2 чоловіки і 3 жінки) зафіксовані повторні гострі судинні порушення, що у 3 (21,4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%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випадків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закінчилося фатально. У 4 (28,6 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% 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>хворих розвинувся повторний мозковий інсульт, у 1 (7,1</w:t>
      </w:r>
      <w:r w:rsidR="000338FD">
        <w:rPr>
          <w:color w:val="333333"/>
          <w:sz w:val="28"/>
          <w:szCs w:val="28"/>
          <w:shd w:val="clear" w:color="auto" w:fill="FFFFFF"/>
          <w:lang w:val="uk-UA"/>
        </w:rPr>
        <w:t xml:space="preserve"> %)</w:t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пацієнта інфаркт міокарда. </w:t>
      </w:r>
    </w:p>
    <w:p w:rsidR="005A1AA5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Серцево-судинні епізоди розвинулися у тих хворих, у яких було 2 і більше факторів ризику, найчастіше це були: артеріальна гіпертензія, цукровий діабет, куріння, абдомінальний тип ожиріння. </w:t>
      </w:r>
      <w:r w:rsidRPr="001B6AC9">
        <w:rPr>
          <w:color w:val="333333"/>
          <w:sz w:val="28"/>
          <w:szCs w:val="28"/>
          <w:lang w:val="uk-UA"/>
        </w:rPr>
        <w:br/>
      </w:r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Необхідно відзначити, що на розвиток повторних серцево-судинних епізодів впливають лікувальні заходи, які здійснюються в межах вторинної профілактики.  </w:t>
      </w:r>
    </w:p>
    <w:p w:rsidR="00583251" w:rsidRPr="001B6AC9" w:rsidRDefault="005A1AA5" w:rsidP="005A1AA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B6AC9">
        <w:rPr>
          <w:color w:val="333333"/>
          <w:sz w:val="28"/>
          <w:szCs w:val="28"/>
          <w:shd w:val="clear" w:color="auto" w:fill="FFFFFF"/>
          <w:lang w:val="uk-UA"/>
        </w:rPr>
        <w:t>Наше спостереження за групою з 30 хворих показало, що призначення адекватної медикаментозної терапії (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антиагреганти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гиполіпідемічні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1B6AC9">
        <w:rPr>
          <w:color w:val="333333"/>
          <w:sz w:val="28"/>
          <w:szCs w:val="28"/>
          <w:shd w:val="clear" w:color="auto" w:fill="FFFFFF"/>
          <w:lang w:val="uk-UA"/>
        </w:rPr>
        <w:t>антигіпертензивні</w:t>
      </w:r>
      <w:proofErr w:type="spellEnd"/>
      <w:r w:rsidRPr="001B6AC9">
        <w:rPr>
          <w:color w:val="333333"/>
          <w:sz w:val="28"/>
          <w:szCs w:val="28"/>
          <w:shd w:val="clear" w:color="auto" w:fill="FFFFFF"/>
          <w:lang w:val="uk-UA"/>
        </w:rPr>
        <w:t xml:space="preserve"> засоби) впливає на частоту розвитку серцево-судинних ускладнень.</w:t>
      </w:r>
    </w:p>
    <w:p w:rsidR="00633805" w:rsidRPr="001B6AC9" w:rsidRDefault="00633805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sectPr w:rsidR="00633805" w:rsidRPr="001B6AC9" w:rsidSect="005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C06"/>
    <w:rsid w:val="00027D2A"/>
    <w:rsid w:val="000338FD"/>
    <w:rsid w:val="001B6AC9"/>
    <w:rsid w:val="001E6749"/>
    <w:rsid w:val="003E1F3F"/>
    <w:rsid w:val="00474C06"/>
    <w:rsid w:val="00583251"/>
    <w:rsid w:val="005A1AA5"/>
    <w:rsid w:val="00633805"/>
    <w:rsid w:val="00766288"/>
    <w:rsid w:val="00AC3A64"/>
    <w:rsid w:val="00AD343A"/>
    <w:rsid w:val="00CD766D"/>
    <w:rsid w:val="00DF2A5B"/>
    <w:rsid w:val="00E2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4C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4C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474C06"/>
    <w:pPr>
      <w:spacing w:before="100" w:beforeAutospacing="1" w:after="100" w:afterAutospacing="1"/>
    </w:pPr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2018-03-06T10:50:00Z</dcterms:created>
  <dcterms:modified xsi:type="dcterms:W3CDTF">2018-03-06T12:35:00Z</dcterms:modified>
</cp:coreProperties>
</file>