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УДК 612. 172.2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Подрігало Л.В., Володченко О.А., Сокол К.М.,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Ровна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ІДЖЕННЯ ВАРІАБЕЛЬНОСТІ СЕРЦЕВОГО РИТМУ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АТЛЕТІ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КІКБОКСИНГУ</w:t>
      </w:r>
    </w:p>
    <w:bookmarkEnd w:id="0"/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Мета роботи –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ідження особливостей варіабельності серцевого ритму (ВСР)атлетів кікбоксингу у спокої та при стандартному навантаженні. У 17 атлетів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(17.88±0.58) років фіксували показники ВСР за допомогою системи CardiolabSens. Динамікапоказників доводить адаптацію до фізичних навантажень, що потужність використанихфізичних навантажень не виходить за межі адаптаційних можливостей атлетів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’ясовано фізіологічний шлях адаптації атлетів до фізичних навантажень. Метод аналізуВСР є зручним неінвазивним методом оцінки і моніторингу стану спортсмені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Ключові слова: кікбоксинг, варіабельність серцевого ритму, адаптація.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Постановка проблеми та її зв’язок із важливими науковими або практичними завданнями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портивні одноборства традиційно відносяться до видів спорту, популярних і широко розповсюджених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серед широких шарів населення, насамперед, серед молоді і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ідлітків. Таймазов В.А., Ашкинази С.М.,Обвинцев А.А наводять матеріали міжнародного соціологічного опитування, проведеного у чотирьох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країнах (Росії, Казахстані, Республіц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ілорусь та Україні), щодо зацікавленості і відношення школярів істудентів до спортивних одноборств і бойових мистецтв [8]. Виявлено, що одноборства і бойовімистецтва займають дуже велике місце у перевагах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і, в структурі їх потреб в галузі фізичноїкультури.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Суттєве місце серед цих виді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займає кікбоксинг, що є одним із сучасних бойових видівспорту, який багато в чому протистає східним одноборствам.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позицій фізіології спорту кікбоксингповинен бути оцінений як бойове мистецтво високої інтенсивності, преривчатого характеру, що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характеризується складними навичками і тактичними ключовими діями невеликої тривалості.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lastRenderedPageBreak/>
        <w:t xml:space="preserve">Найбільш об’ємний огляд публікацій, присвячених кікбоксингу, наводять Slimani, M., Chaabene, H.,Miarka, B. е.а. [12]. Автори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ідкреслюють, що психофізіологічні вимоги змагань з кікбоксингупотребують від спортсменів досягнення високих порогів різних аспектів фізичної підготовки. Авториздійснили оцінку антропометричних, фізіологічних, фізичних і психологічних характеристик кікбоксера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собливостей його спортивної діяльності та ризику отримання травм з метою розробки практичних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рекомендацій щодо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ідвищення ефективності підготовки і виділення нових напрямків науковихдосліджень у цій галузі. Наявна інформація доводить, щосеред кікбоксерів, як аматорського, так іелітного рівня висока частка мезоморфних осіб з добре розвинутою м’язовою масою і низьким вмістом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</w:rPr>
        <w:t>жиру в організмі. Хоча є деякі відмінності у максимальному поглинанні кисню у атлетів, для ниххарактерний середній та високий адаптаційний статус кардіореспираторної системи.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Незалежно від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івня підготовки, повідомлялося про високу пікову потужність та середній рівень анаеробної потужності. Дляатлетів вищого рівня майстерності характерна добре розвинута м’язова сила як верхніх, так і нижніхкінцівок. Суттєве місце для досягнення успіху мають психологічні чинники, серед яких особливе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значення мають високий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івень самовпевненості, мотивації, настрою та оптимізму, розумової стійкості івміння адаптуватися. Саме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психолог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ічними факторами доведено відмінності успішних та неуспішних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атлеті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Дослідження гоніометричних та біомеханічних показників атлетів кікбоксингу дозволилоз’ясувати суттєві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ідмінності порівняно із представниками інших одноборств, довело важливість цихпоказників в прогнозі успішності [6, 11].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Вивчення особливостей стану серцево-судинної системи кікбоксерів, проведене Podrigalo L.V.,Volodchenko A.A., Rovnaya O.A. е.а. [10]. З’ясовано, що периодичний контроль ЕКГ дозволяє оцінитинаявний адаптаційний потенціал, відповідність функціонального стану фізичним навантаженням і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забезпечити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ілактику формування донозологічних станів.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Аналіз останніх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іджень і публікацій. До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ідних завдань сучасної спортивної науки відносяться відбір, контроль за тренувальним процесом, прогноз змагальної діяльності і розвитку донозологічних станів у спортсменів (перевтоми, перетренованості, перенапруги тощо). Для їх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lastRenderedPageBreak/>
        <w:t xml:space="preserve">вирішення необхідно мати вірогідні та інформативні методики, серед яких важливе місце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ідає дослідження варіабельності серцевого ритму (ВСР).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60-х років минулого сторіччя, завдяки роботам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Гаврилова Е.А. [3] наводить вичерпний огляд літературних джерел, присвячених використанню ВСР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спорт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і. Доводиться, що оскільки спорт є одним із найбільш стресорних видів діяльності людини, ця методика стає адекватним та вірогідним інструментом оцінки функціонального стану. На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ідставі ВСР автором розроблено методику оцінки поточного функціонального стану спортсмена на різних етапах підготовки і відповідності його рівню навантажень, що може застосовуватися для прогнозу тренувальної та змагальної діяльності.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Ще однією з переваг аналізу ВСР є то, що він може використовуватися як експрес-метод для виявлення чинників ризику. Хренкова В.В., Абакумова Л.В., Лысенко А.В. та ін. [9] використовували показники ВСР при аналізі впливу рухової активності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здоров’я. Доведено, що для експрес-оцінки і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прогнозу функціонального стану можуть бути застосовані статистичні і геометричні показники ВСР.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Викулов A.Д., Немиров А.Д., Ларионова Е.Л.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іджували ВСР у осіб із підвищеним режимомрухової активності [2]. Проведений факторний аналіз дозволив виявити найбільш інформативні параметри ВСР, що склали 2/3 узагальненої дисперсії. Це дозволило зробити висновок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сталість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організму, удосконалення нейрогуморальної регуляції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вегетативного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забезпечення рухових функцій.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Андронова Л.Б., Лобов А.Н., Голубович С.В. вивчали особливості серцевого ритму з урахуванням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вегетативного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статусу у дітей 9-10 років, що займалися хокеєм [1]. З’ясовано наявність взаємозв’язків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основних показників ВСР із віком, вихідним вегетативним статусом і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спортивною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результативністю.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Калюжный Е.А., Кузмичев Ю.Г., Лукьянова И.В. намагалися обґрунтувати і розробити еталони показників ВСР і на їх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ідставі запропонувати спосіб оцінки адаптації у підлітків [5]. Запропоновано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 центильних шкал у вивченні індивідуальних варіантів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ізновидів взаємодії симпатичного і парасимпатичного відділів нервової системи і їх сумісного впливу на показники ВСР.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Каллаур Е.Г. вивчав особливості ВСР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елітних спортсменів-гребців на байдарках [4]. Проведене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ідження дозволило виявити значущі показники ВСР, оцінити поточний функціональний стан спортсменів та рівень їх адаптаційних резервів.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Близькі результати отримані Страховой Л.А., Некрасовой М.М., Блиновой Т.В. та ін. [7]. Авториоцінювали стан міокарду спортсменів – гребців на підставі дослідження ВСР та біохімічних показників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’ясовано, що у період інтенсивного фізичного навантаження у спортсменів спостерігається зниженн загального рівню вегетативної регуляції кровообігу і підвищення рівнів кардіоспецифічних маркерів у сироватці крові. Ці показники змінюються залежно від інтенсивності фізичного навантаження і можуть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бути використані для моніторингу стану серцево-судинної системи і оцінки ефективності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ілактичних заходів, спрямованих на корекцію фізичних навантажень в тренувально-змагальному циклі.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Формулювання мети і завдань роботи. Виходячи ___2із наявних літературних відомостей, метою роботи було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ідження особливостей варіабельності серцевого ритму атлетів кікбоксингу у спокої та при стандартному ергометричному навантаженні.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Основной матеріал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ідження. В якості учасників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ідження виступили 17 атлетів кікбоксингу, середній вік (17.88Ѓ}0.58) років, рівень спортивної майстерності – кандидати та майстри спорту. Дизайн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ідження передбачав визначення показників ВСР за допомогою комп’ютерної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системи CardiolabSens (виробництва НІІ "ХАИ-Медика" м. Харькова). В стані спокою та при виконанні стандартного ергономічного навантаження визначали середню тривалість інтервалів R – R (mRR), частоту серцевих скорочень (ЧСС), стандартне відхилення повного масиву кардіоінтервалів (SDNN), квадратний корінь із суми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ізниць послідовного ряду кардіоінтервалів (RMSSD), число пар кардіоінтервалів з різницею більше 50 мс в % до загальної кількості кардіоінтервалів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масиві (pNN50),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сумарну потужність спектра ВСР в мс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(TP), максимум потужності спектра ультранизькочастотного компонента варіабельності в мс2 (ULF), середнє значення потужності спектра дуже низькочастотного компонента </w:t>
      </w:r>
      <w:r w:rsidRPr="00323EEA">
        <w:rPr>
          <w:rFonts w:ascii="Times New Roman" w:hAnsi="Times New Roman" w:cs="Times New Roman"/>
          <w:sz w:val="28"/>
          <w:szCs w:val="28"/>
        </w:rPr>
        <w:lastRenderedPageBreak/>
        <w:t xml:space="preserve">варіабельності в мс2 (VLF), середнє значення потужності спектра низькочастотного компонента варіабельності в мс2 (LF), середнє значення потужності спектра високочастотного компонента варіабельності в мс2 (HF), відношення середніх значень низькочастотного і високочастотного компонента (LF/HF), індекс централізації (IC), моду (Mo), амплітуду моди (AMo),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ізницю між максимальним і мінімальним значеннями кардіоінтервалів (MxDMn), стрес індекс (індекс напруги регуляторних систем) (Si). Оцінку результатів здійснювали на груповому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івні шляхом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порівняння середніх величин.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Атлети виконували на велоергометрі навантаження потужністю 100 Вт/хв., тривалістю 3 хвилини. Частота обертання педалей на велоергометрі становила 60 обертів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хвилину. Статистична обробка отриманих даних здійснена за допомогою ліцензійного пакету електронних таблиць Excel. Визначали показники описової статистики: середню арифметичну величину, стандартне відхилення від середньої і помилку середньої величини. Вірогідність відмінностей в групах оцінювалася за допомогою параметричного критерію Стьюдента (t) і непараметричного критерію знаків (z), відмінність вважали вірогідною при p&lt;0,05.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Отримані результати, наведені у таблиці 1,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ідчать, що стандартне навантаження приводить до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певних змін показників ВСР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атлетів кікбоксингу.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Таблиця 1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Показники варіабельності серцевого ритму атлеті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кікбоксингу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Насамперед, навантаження приводило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вірогідного скорочення інтервалів R–R з паралельним збільшенням величини ЧСС, що доведено параметричними, відповідно t=10.29 і t=-10.15, і непараметричними критеріями, відповідно z=0, z=0. Це відбиває особливості адаптації атлеті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навантаження,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здійснюється шляхом зростання частоти пульсу і скорочення інтервалу ЕКГ. Водночас, зростання ЧСС є відбиттям збільшення середнього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івня функціонування системи кровообігу під впливом фізичних навантажень.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Величина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стандартного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відхилення повного масиву кардіоінтервалів при навантаженні вірогідно зростала (t=-2,19). Відомо, що зростання цього показника вказує на посилення автономної регуляції серця і збільшення </w:t>
      </w:r>
      <w:r w:rsidRPr="00323EEA">
        <w:rPr>
          <w:rFonts w:ascii="Times New Roman" w:hAnsi="Times New Roman" w:cs="Times New Roman"/>
          <w:sz w:val="28"/>
          <w:szCs w:val="28"/>
        </w:rPr>
        <w:lastRenderedPageBreak/>
        <w:t xml:space="preserve">впливу дихання на ритм серця. А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ізке зниження цього показника, навпаки, ілюструє значну напругу регуляторних механізмів. Тобто, цей показник показує, що величина фізичної напруги єдостатньою для атлетів кікбоксингу.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Середні показники квадратного кореня із суми різниць послідовного ряду кардіоінтервалів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ідрізнялися майже удвічі, але наявність вірогідних відмінностей не вдалося ствердити за допомогоювикористаних показників. Відсутність значущих зрушень ілюструє активність автономного контура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регуляції і сталість ланки парасимпатичної регуляції діяльності серця.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Ще одним доказом на користь зроблених припущень є значуще зменшення числа пар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кардіоінтервалів з різницею більше 50 мс (%) до загальної кількості кардіоінтервалів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масиві (t=2,63).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Цей показник відбиває ступінь переважання симпатичної ланки регуляції, яка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 впливом навантажень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знизилася майже у чотири рази. Це дає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ідстави вважати, що фізичні навантаження приводять до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включення центральних механізмів у регуляцію серцевого ритму. Лише у одного атлета цей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показник становив 0, що дає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ідстави прогнозувати стан перенапруги та перетренованості.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Сумарна потужність спектра ВСР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 впливом навантаження зростала практично у двічі, (t=-2,26),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що стверджено і за допомогою критерію знаків (z=2). Таким чином, сумарна активність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нейрогуморальних впливів на серцевий ритм значно зросла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 впливом фізичних навантажень, що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відбиває адаптацію організма до них.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Також фізичне навантаження сприяло вірогідному зростанню ультранизькочастотного компоненту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спектру, (t=-6,80; z=1) та дуже низькочастотного компоненту спектру, (t=-5,13; z=0).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 показники є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lastRenderedPageBreak/>
        <w:t>чуттєвими індикаторами керування процесами метаболізму. Їх зростання ілюструє збільшення впливу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вищих вегетативних центрів на серцево-судинний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ідкорковий центр, збільшення нейрогуморальних та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метаболічних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івнів регуляції.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Паралельно спостерігалося значуще зменшення середніх значень низькочастотного, (t=2,72; z=2)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та високочастотного, (t=2,05; z=2) компоненті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спектру. Це відбиває зростання регуляції судинного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тонусу за рахунок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ідвищення тонусу симпатичного відділу вегетативної нервової системи, зміщення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вегетативного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балансу у його бік.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Щодо відношення середніх значень низькочастотного і високочастотного компонента, то воно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практично не змінилося. Це доводить відносну сталість активності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ідкоркового симпатичного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нервового центру, а також є доказом того, що потужність використаних фізичних навантажень не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виходить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межі адаптаційних можливостей атлетів.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З’ясовано зменшення індексу централізації більше ніж у 25 разів (t=4,49; z=0), що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ідчить про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зменшення ступеню централізації керування ритмом серця. Це ще раз доводить правильність зроблених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припущень щодо змін регуляції серцево-судинної діяльності атлетів кі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ібоксингу під впливом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ергономічних навантажень.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Суттєво зменшилися мода та її амплітуда, відповідно (t=4,83; z=1) і (t=2,29; z=1). Якщо мода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характеризує найбільш вірогідний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івень функціонування серцево-судинної системи, то зменшення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lastRenderedPageBreak/>
        <w:t xml:space="preserve">цього показника відбиває зменшення питомої ваги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гуморального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каналу регуляції. А динаміка амплітудимоди це ще раз доводить припущення про зміни балансу симпатичної та парасимпатичної системи.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Водночас величина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ізниці між максимальним і мінімальним значеннями кардіоінтервалів зросла майже у десятеро, (t=-7,75; z=1).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наш погляд, це повинно бути оцінено як доказ достатньої величини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адаптаційного потенціалу атлеті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кікбоксингу, тобто ствердження припущень, які були зроблені раніше.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Щодо стрес індексу, то його зростання доведено лише за допомогою критерію знаків (z=3). Цей показник характеризує ступінь напруги регуляторних систем за рахунок переважання центральних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механізмів регуляції над автономними. Його збільшення є ще одним фактом, який доводить посильність навантажень та фізіологічний механізм адаптації до них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атлетів кікбоксингу.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Висновки і перспективи подальших розробок. Таким чином, проведене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ідження дозволило встановити певні особливості ВСР атлетів кікбоксингу у спокої та при навантаженні. Наявні відомості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дозволяють зробити висновок про фізіологічний шлях адаптації організму атлеті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до фізичних навантажень. До проявів цього відносяться зміни показників, що ілюструють активацію симпатичної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ланки регуляції. Зростання сумарної потужності спекту ВСР відбиває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ідвищення активності нейрогуморальних впливів на серцевий ритм, а зміни середніх значень компонентів спекту ВСР ілюструють реакції гіперадаптації до навантажень. Проведені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ідження ВСР доводять, що це метод є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зручним неінвазивним методом оцінки і моніторингу стану індивідуальної адаптації спортсменів. Вивчення динаміки показників ВСР при фізичних навантаженнях дозволяють оцінити спрямованість адаптації і зробити прогноз наступної фізичної працездатності.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Використані джерела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1. Андронова Л.Б., Лобов А.Н., Голубович С.В. Особенности вариабельности сердечного ритма у детей,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хоккеем // Лечебная физкультура и спортивная медицина – 2009. – № 11. – С. 28-32.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lastRenderedPageBreak/>
        <w:t xml:space="preserve">2. Викулов A.Д., Немиров А.Д., Ларионова Е.Л. Вариабельность сердечного ритма у лиц с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повышенным</w:t>
      </w:r>
      <w:proofErr w:type="gramEnd"/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режимом двигательной активности и спортсменов //Физиология человека. – 2005. – Т. 3, № 6. – С. 54-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59.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3. Гаврилова Е.А. Спорт, стресс, вариабельность: Монография. – Москва, 2015. – 250 c.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4. Каллаур Е.Г. Адаптация сердечного ритма у гребцов на байдарках Инновационные технологии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физическом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, спорте и физической реабилитации //Материалы II Международной научно-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практической конференции – 2016. – С. 260-268.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 xml:space="preserve">5. Калюжный Е.А., Кузмичев Ю.Г., Лукьянова И.В. Характеристика вегетативной адаптации подростков,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данным кардиоинтервалограмм // Медицинский вестник Северного Кавказа. – 2011. – Т. 21, № 1. –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С. 32-35.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6. Подрігало Л.В., Володченко О.А. Порівняльний аналіз біомеханічних аспекті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кік-боксу та інших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одноборств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>існик Чернігівського національного педагогічного університету імені Т.Г. Шевченка –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Вип. 139. Т. 1. – Чернігів: ЧДПУ, 2016. – С. 145 – 149.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</w:rPr>
        <w:t>ВІСНИК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№147, ТОМ ІІ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244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7. Страхова Л.А., Некрасова М.М., Блинова Т.В. Роль кардиоспецифических маркеров и показателей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регуляции сердечного ритма у спортсменов-гребцов в профилактике заболеваний сердечно-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сосудистой системы // Медицинский альманах – 2013. – № 2 (26). – С. 156-159.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lastRenderedPageBreak/>
        <w:t xml:space="preserve">8. Таймазов В.А., Ашкинази С.М., Обвинцев А.А Об отношении молодежи </w:t>
      </w:r>
      <w:proofErr w:type="gramStart"/>
      <w:r w:rsidRPr="00323E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спортивным едино-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борствам и боевым искусствам и степени их популярности в ряде стран мира //Теория и практика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физической культуры – 2016. – № 2. – С. 40-42.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9. Хренкова В.В., Абакумова Л.В., Лысенко А.В. Вариационная кардиоинтервалометрия как метод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</w:rPr>
        <w:t>экспресс-оценки</w:t>
      </w:r>
      <w:proofErr w:type="gramEnd"/>
      <w:r w:rsidRPr="00323EEA">
        <w:rPr>
          <w:rFonts w:ascii="Times New Roman" w:hAnsi="Times New Roman" w:cs="Times New Roman"/>
          <w:sz w:val="28"/>
          <w:szCs w:val="28"/>
        </w:rPr>
        <w:t xml:space="preserve"> функционального состояния студентов с разным уровнем двигательной активности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//Фундаментальные исследования – 2014. – № 11-5. – С. 1090-1093.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10. Podrigalo L.V., Volodchenko A.A., Rovnaya O.A., Ruban L.A., Sokol K.M. Analysis of adaptation potentials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kick boxers’ cardio-vascular system // Pedagogics, psychology, medical-biological problems of physical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training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and sports, 2017;21(4):185–191. doi:10.15561/18189172.2017.0407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EEA">
        <w:rPr>
          <w:rFonts w:ascii="Times New Roman" w:hAnsi="Times New Roman" w:cs="Times New Roman"/>
          <w:sz w:val="28"/>
          <w:szCs w:val="28"/>
          <w:lang w:val="en-US"/>
        </w:rPr>
        <w:t>11. Podrigalo L.V., Volodchenko A.A., Rovnaya O.A., Stankiewicz B. Analysis of martial arts athletes’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goniometric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indicators // Physical education of students, 2017;21(4):182–188. </w:t>
      </w: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doi: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>10.15561/ 20755279.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EEA">
        <w:rPr>
          <w:rFonts w:ascii="Times New Roman" w:hAnsi="Times New Roman" w:cs="Times New Roman"/>
          <w:sz w:val="28"/>
          <w:szCs w:val="28"/>
          <w:lang w:val="en-US"/>
        </w:rPr>
        <w:t>2017.0406.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EEA">
        <w:rPr>
          <w:rFonts w:ascii="Times New Roman" w:hAnsi="Times New Roman" w:cs="Times New Roman"/>
          <w:sz w:val="28"/>
          <w:szCs w:val="28"/>
          <w:lang w:val="en-US"/>
        </w:rPr>
        <w:t>12. Slimani, M., Chaabene, H., Miarka, B., Chamari, K. The activity profile of elite low-kick kickboxing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//International Journal of Sports Physiology and Performance, 2017; 12, 2, 182-189 doi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EEA">
        <w:rPr>
          <w:rFonts w:ascii="Times New Roman" w:hAnsi="Times New Roman" w:cs="Times New Roman"/>
          <w:sz w:val="28"/>
          <w:szCs w:val="28"/>
          <w:lang w:val="en-US"/>
        </w:rPr>
        <w:t>10.1123/ijspp.2015-0659.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EEA">
        <w:rPr>
          <w:rFonts w:ascii="Times New Roman" w:hAnsi="Times New Roman" w:cs="Times New Roman"/>
          <w:sz w:val="28"/>
          <w:szCs w:val="28"/>
          <w:lang w:val="en-US"/>
        </w:rPr>
        <w:t>Podrigalo L., Volodchenko A., Sokol K., Rovnaya O.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EEA">
        <w:rPr>
          <w:rFonts w:ascii="Times New Roman" w:hAnsi="Times New Roman" w:cs="Times New Roman"/>
          <w:sz w:val="28"/>
          <w:szCs w:val="28"/>
          <w:lang w:val="en-US"/>
        </w:rPr>
        <w:t>INVESTIGATION THE HEART RATE VARIABILITY OF KICKBOXING ATLETS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EEA">
        <w:rPr>
          <w:rFonts w:ascii="Times New Roman" w:hAnsi="Times New Roman" w:cs="Times New Roman"/>
          <w:sz w:val="28"/>
          <w:szCs w:val="28"/>
          <w:lang w:val="en-US"/>
        </w:rPr>
        <w:t>Kickboxing should be evaluated as a martial art of high intensity, intermittent nature from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lastRenderedPageBreak/>
        <w:t>the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standpoint of the physiology of sports. It is characterized by complex skills and tactical key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actions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of small duration. It is necessary to use valid and informative methods for predicting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sports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success and assessing the probability of development of donosological conditions in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athletes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>. The study of heart rate variability (HRV) refers to such techniques. Aim: investigation the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peculiarities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of the heart rate variability of kickboxing athletes at rest and under the standard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ergometric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load. Participants: 17 kickboxing athletes, the average age (17.88 ± 0.58) years, the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level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of athletic skill – a candidate for master of sports, master of sports. HRV indices were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recorded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at rest and during the performance of the standard ergometric load with the help of the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CardiolabSens computer system manufactured by the KhAI-Medika Research Institute in Kharkov.</w:t>
      </w:r>
      <w:proofErr w:type="gramEnd"/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EEA">
        <w:rPr>
          <w:rFonts w:ascii="Times New Roman" w:hAnsi="Times New Roman" w:cs="Times New Roman"/>
          <w:sz w:val="28"/>
          <w:szCs w:val="28"/>
          <w:lang w:val="en-US"/>
        </w:rPr>
        <w:t>Results: dynamics of HRV parameters confirms adaptation to physical loads, an increase in the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average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level of functioning of the circulatory system under their influence. Physical loads lead to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active inclusion of central mechanisms in the regulation of the heart rhythm, increase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autonomic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regulation of the heart, and an increase in the effect of respiration on its rate. The total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activity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of neurohumoral influences on the heart rhythm increased significantly under the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influence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of physical loads, what reflects the adaptation of the organism to them. Changes in the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lastRenderedPageBreak/>
        <w:t>specific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gravity of the components of the HRV spectrum, the magnitude of the difference between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maximum and minimum values of the cardio intervals and the stress index prove that the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intensity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of the used physical activities does not go beyond the adaptation capabilities of athletes.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EEA">
        <w:rPr>
          <w:rFonts w:ascii="Times New Roman" w:hAnsi="Times New Roman" w:cs="Times New Roman"/>
          <w:sz w:val="28"/>
          <w:szCs w:val="28"/>
          <w:lang w:val="en-US"/>
        </w:rPr>
        <w:t>Conclusions: it is established certain features of the HRV of kickboxing athletes are established at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rest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and under load. The physiological way of adapting the athletes’ organism to physical loads is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proved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>. The HRV analysis method is a convenient non-invasive method for assessing and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monitoring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the status of individual adaptation of athletes. The study of dynamics of HRV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parameters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under physical loads allows assessing the direction of adaptation and making a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EEA">
        <w:rPr>
          <w:rFonts w:ascii="Times New Roman" w:hAnsi="Times New Roman" w:cs="Times New Roman"/>
          <w:sz w:val="28"/>
          <w:szCs w:val="28"/>
          <w:lang w:val="en-US"/>
        </w:rPr>
        <w:t>forecast</w:t>
      </w:r>
      <w:proofErr w:type="gramEnd"/>
      <w:r w:rsidRPr="00323EEA">
        <w:rPr>
          <w:rFonts w:ascii="Times New Roman" w:hAnsi="Times New Roman" w:cs="Times New Roman"/>
          <w:sz w:val="28"/>
          <w:szCs w:val="28"/>
          <w:lang w:val="en-US"/>
        </w:rPr>
        <w:t xml:space="preserve"> of the subsequent physical performance.</w:t>
      </w:r>
    </w:p>
    <w:p w:rsidR="00323EEA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EEA">
        <w:rPr>
          <w:rFonts w:ascii="Times New Roman" w:hAnsi="Times New Roman" w:cs="Times New Roman"/>
          <w:sz w:val="28"/>
          <w:szCs w:val="28"/>
          <w:lang w:val="en-US"/>
        </w:rPr>
        <w:t>Key words: kickboxing, heart rate variability, adaptation.</w:t>
      </w:r>
    </w:p>
    <w:p w:rsidR="00CC5365" w:rsidRPr="00323EEA" w:rsidRDefault="00323EEA" w:rsidP="00323EEA">
      <w:pPr>
        <w:jc w:val="both"/>
        <w:rPr>
          <w:rFonts w:ascii="Times New Roman" w:hAnsi="Times New Roman" w:cs="Times New Roman"/>
          <w:sz w:val="28"/>
          <w:szCs w:val="28"/>
        </w:rPr>
      </w:pPr>
      <w:r w:rsidRPr="00323EEA">
        <w:rPr>
          <w:rFonts w:ascii="Times New Roman" w:hAnsi="Times New Roman" w:cs="Times New Roman"/>
          <w:sz w:val="28"/>
          <w:szCs w:val="28"/>
        </w:rPr>
        <w:t>Стаття надійшла до редакції 26.08.2017</w:t>
      </w:r>
    </w:p>
    <w:sectPr w:rsidR="00CC5365" w:rsidRPr="0032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78"/>
    <w:rsid w:val="00065AA0"/>
    <w:rsid w:val="00250D37"/>
    <w:rsid w:val="002F18D0"/>
    <w:rsid w:val="003019C4"/>
    <w:rsid w:val="00323EEA"/>
    <w:rsid w:val="004C5778"/>
    <w:rsid w:val="005342EA"/>
    <w:rsid w:val="005B1A15"/>
    <w:rsid w:val="005F7DD7"/>
    <w:rsid w:val="006811F8"/>
    <w:rsid w:val="00707071"/>
    <w:rsid w:val="008415C2"/>
    <w:rsid w:val="00A5025B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3042</Words>
  <Characters>17341</Characters>
  <Application>Microsoft Office Word</Application>
  <DocSecurity>0</DocSecurity>
  <Lines>144</Lines>
  <Paragraphs>40</Paragraphs>
  <ScaleCrop>false</ScaleCrop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2017-10-30T09:04:00Z</dcterms:created>
  <dcterms:modified xsi:type="dcterms:W3CDTF">2017-10-30T09:05:00Z</dcterms:modified>
</cp:coreProperties>
</file>