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0E" w:rsidRDefault="00F2440E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</w:pPr>
      <w:r w:rsidRPr="00F2440E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  <w:t xml:space="preserve">Г.С.Сенаторова, </w:t>
      </w:r>
    </w:p>
    <w:p w:rsidR="00F2440E" w:rsidRPr="00F2440E" w:rsidRDefault="00F2440E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доктор медичних наук, професор, </w:t>
      </w:r>
    </w:p>
    <w:p w:rsidR="00F2440E" w:rsidRPr="00F2440E" w:rsidRDefault="00F2440E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професор кафедри педіатрії №1 та неонатології</w:t>
      </w:r>
    </w:p>
    <w:p w:rsidR="00F2440E" w:rsidRPr="00F2440E" w:rsidRDefault="00F2440E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Харківського національного медичного університету</w:t>
      </w:r>
    </w:p>
    <w:p w:rsidR="00F2440E" w:rsidRDefault="00F2440E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</w:pPr>
      <w:r w:rsidRPr="00F2440E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  <w:t xml:space="preserve">М.І.Стрелкова, </w:t>
      </w:r>
    </w:p>
    <w:p w:rsidR="00F2440E" w:rsidRPr="00F2440E" w:rsidRDefault="00F2440E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аспірант </w:t>
      </w: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кафедри педіатрії №1 та неонатології</w:t>
      </w:r>
    </w:p>
    <w:p w:rsidR="00F2440E" w:rsidRPr="00F2440E" w:rsidRDefault="00F2440E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Харківського національного медичного університету</w:t>
      </w:r>
    </w:p>
    <w:p w:rsidR="00F2440E" w:rsidRDefault="00F2440E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</w:pPr>
      <w:r w:rsidRPr="00F2440E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  <w:t>Н.В.</w:t>
      </w:r>
      <w:proofErr w:type="spellStart"/>
      <w:r w:rsidRPr="00F2440E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  <w:t>Башкірова</w:t>
      </w:r>
      <w:proofErr w:type="spellEnd"/>
    </w:p>
    <w:p w:rsidR="00F2440E" w:rsidRPr="00F2440E" w:rsidRDefault="00F2440E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завідувач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пуль</w:t>
      </w: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монологічного</w:t>
      </w:r>
      <w:proofErr w:type="spellEnd"/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відділення </w:t>
      </w:r>
    </w:p>
    <w:p w:rsidR="00F2440E" w:rsidRPr="009D4904" w:rsidRDefault="00F2440E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КЗОЗ «</w:t>
      </w: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Харківськ</w:t>
      </w:r>
      <w:r w:rsidR="009D4904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</w:t>
      </w: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обласн</w:t>
      </w:r>
      <w:r w:rsidR="009D4904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</w:t>
      </w: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дитяч</w:t>
      </w:r>
      <w:r w:rsidR="009D4904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</w:t>
      </w: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клінічн</w:t>
      </w:r>
      <w:r w:rsidR="009D4904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</w:t>
      </w: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лікарн</w:t>
      </w:r>
      <w:r w:rsidR="009D4904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»</w:t>
      </w:r>
    </w:p>
    <w:p w:rsidR="009D4904" w:rsidRPr="009D4904" w:rsidRDefault="009D4904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</w:pPr>
      <w:r w:rsidRPr="009D4904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  <w:t>Д.А.</w:t>
      </w:r>
      <w:proofErr w:type="spellStart"/>
      <w:r w:rsidRPr="009D4904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  <w:t>Кормилець</w:t>
      </w:r>
      <w:proofErr w:type="spellEnd"/>
    </w:p>
    <w:p w:rsidR="009D4904" w:rsidRPr="009D4904" w:rsidRDefault="009D4904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студент 6 курсу, І медичного факультету </w:t>
      </w:r>
    </w:p>
    <w:p w:rsidR="009D4904" w:rsidRPr="00F2440E" w:rsidRDefault="009D4904" w:rsidP="009D4904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Харківського національного медичного університету</w:t>
      </w:r>
    </w:p>
    <w:p w:rsidR="00F2440E" w:rsidRPr="009D4904" w:rsidRDefault="009D4904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</w:pPr>
      <w:r w:rsidRPr="009D4904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  <w:t>С.В.</w:t>
      </w:r>
      <w:proofErr w:type="spellStart"/>
      <w:r w:rsidRPr="009D4904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  <w:t>Глущенко</w:t>
      </w:r>
      <w:proofErr w:type="spellEnd"/>
    </w:p>
    <w:p w:rsidR="009D4904" w:rsidRPr="009D4904" w:rsidRDefault="009D4904" w:rsidP="009D4904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студент 6 курсу, І медичного факультету </w:t>
      </w:r>
    </w:p>
    <w:p w:rsidR="009D4904" w:rsidRPr="00F2440E" w:rsidRDefault="009D4904" w:rsidP="009D4904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F2440E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Харківського національного медичного університету</w:t>
      </w:r>
    </w:p>
    <w:p w:rsidR="009D4904" w:rsidRPr="00F2440E" w:rsidRDefault="009D4904" w:rsidP="00F2440E">
      <w:pPr>
        <w:shd w:val="clear" w:color="auto" w:fill="FFFFFF"/>
        <w:spacing w:before="150" w:after="30" w:line="360" w:lineRule="auto"/>
        <w:contextualSpacing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</w:p>
    <w:p w:rsidR="002F0CA5" w:rsidRPr="00BD4349" w:rsidRDefault="00F2440E" w:rsidP="00F2440E">
      <w:pPr>
        <w:shd w:val="clear" w:color="auto" w:fill="FFFFFF"/>
        <w:spacing w:before="150" w:after="3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</w:pPr>
      <w:r w:rsidRPr="00BD4349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uk-UA" w:eastAsia="ru-RU"/>
        </w:rPr>
        <w:t>КЛІНІЧНЕ ЗНАЧЕННЯ НЕДИФЕРЕНЦІЙОВАНОЇ ДИСПЛАЗІЇ СПОЛУЧНОЇ ТКАНИНИ У ДІТЕЙ З ОБСТРУКТИВНИМ БРОНХІТОМ.</w:t>
      </w:r>
    </w:p>
    <w:p w:rsidR="009666C5" w:rsidRPr="00BD4349" w:rsidRDefault="009666C5" w:rsidP="00BD4349">
      <w:pPr>
        <w:shd w:val="clear" w:color="auto" w:fill="FFFFFF"/>
        <w:spacing w:before="150" w:after="3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</w:p>
    <w:p w:rsidR="00241C39" w:rsidRPr="00BD4349" w:rsidRDefault="00241C39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Дисплазія</w:t>
      </w:r>
      <w:proofErr w:type="spellEnd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сполучної тканини - генетично та </w:t>
      </w: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нутриційно</w:t>
      </w:r>
      <w:proofErr w:type="spellEnd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детермінований стан, обумовлений порушеннями метаболізму сполучної тканини в ембріональному та постнатальному періодах, а також характеризується аномаліями структури компонентів по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заклітинного </w:t>
      </w:r>
      <w:proofErr w:type="spellStart"/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матриксу</w:t>
      </w:r>
      <w:proofErr w:type="spellEnd"/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(волокон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основної речовини) з </w:t>
      </w: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прогредієнтним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и</w:t>
      </w:r>
      <w:proofErr w:type="spellEnd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морфофункціональними</w:t>
      </w:r>
      <w:proofErr w:type="spellEnd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змінами різних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систем</w:t>
      </w:r>
      <w:r w:rsidR="00846F48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органів</w:t>
      </w:r>
      <w:r w:rsidRPr="00BD43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[1].</w:t>
      </w:r>
    </w:p>
    <w:p w:rsidR="00846F48" w:rsidRPr="00A21278" w:rsidRDefault="00241C39" w:rsidP="00846F48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Сполучна тканина, яка станови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ть близько 50% всієї маси тіла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скріплює воєдино всі тканини організму, форм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ується з перших днів життя плоду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. При дефіциті компонентів, з яких будується сполучна тканина, виникають серйозні аномалії розвитку</w:t>
      </w:r>
      <w:r w:rsidR="00846F48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,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846F48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ри вираженому дефіциті ці аномалії несумісні з життям вже 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у внутрішньоутробному періоді (завмерла вагітність та ін.). При менш вираженому </w:t>
      </w:r>
      <w:r w:rsidR="00846F48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–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дитина народжується життєздатною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але характеризується </w:t>
      </w: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дісм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орфізмом</w:t>
      </w:r>
      <w:proofErr w:type="spellEnd"/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більш низькими показниками маси тіла та росту.</w:t>
      </w:r>
    </w:p>
    <w:p w:rsidR="00241C39" w:rsidRPr="00A21278" w:rsidRDefault="00241C39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Широкий спектр патологічних станів, обумовлених порушеннями сполучної тканини, визначається складністю її будови 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різноманіттям функцій.</w:t>
      </w:r>
    </w:p>
    <w:p w:rsidR="00241C39" w:rsidRPr="00A21278" w:rsidRDefault="00241C39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Сучасна наука розглядає сполучну тканину як сукупність різних видів тканин, об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'єднаних спільністю походження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будови. Вона становить близько 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половини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всієї маси тіла, утворює опорний каркас (скелет), зовнішні покриви, сухожилля, хрящі, зв'язки, строму органів, а також формує внутрішнє середовище організму, через яку вс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і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структурні елеме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нти отримують поживні речовини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віддають продукти метаболізму [2] . Сполучна тканина ділить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ся на власне сполучну, хрящову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кісткову. Власне сполучна тканина, в свою чергу, 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ділиться на волокнисту тканину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сполучну тканину зі спеціальними властивостями. До останньої належать ретикулярна, жирова, пігментна та слизова тканини. Волокниста сполучна тканина залежно від вмісту волокни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стих структур може бути пухкої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щільною. Для щільної сполучної тканини характерне переважання волокнистих струк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тур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насамперед колагенових волокон, орієнтація яких в просторі визначає розподіл волокнистої сполучної ткан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ини на оформлену та неоформлену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. Пухка сполучн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 тканина складається з клітин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міжклітинної речовини. До клітинних елементів пухкої сполучної тканини відносяться фібробласти, макрофаги, </w:t>
      </w: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плазмоцити</w:t>
      </w:r>
      <w:proofErr w:type="spellEnd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тканинні базофіли, </w:t>
      </w: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адипоцити</w:t>
      </w:r>
      <w:proofErr w:type="spellEnd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</w:t>
      </w: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пігментоціти</w:t>
      </w:r>
      <w:proofErr w:type="spellEnd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, клітини адвентиці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ю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, а також лейк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оцити, які мігрують з крові [</w:t>
      </w:r>
      <w:r w:rsidR="009666C5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2</w:t>
      </w:r>
      <w:r w:rsidR="006E4EE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].</w:t>
      </w:r>
    </w:p>
    <w:p w:rsidR="003C0C79" w:rsidRPr="00A21278" w:rsidRDefault="006E4EE9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Міжклітинна</w:t>
      </w:r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речовина складається з волокнистих структур (колагенові, еластичні, ретикулярні во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локна) та основної речовини. Основну (аморфну) речовину</w:t>
      </w:r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представлено водою, білками, ліпідами, полісахариди, мінеральними речовинами (</w:t>
      </w:r>
      <w:proofErr w:type="spellStart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Mg</w:t>
      </w:r>
      <w:proofErr w:type="spellEnd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</w:t>
      </w:r>
      <w:proofErr w:type="spellStart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Ca</w:t>
      </w:r>
      <w:proofErr w:type="spellEnd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K, </w:t>
      </w:r>
      <w:proofErr w:type="spellStart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Na</w:t>
      </w:r>
      <w:proofErr w:type="spellEnd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)</w:t>
      </w:r>
      <w:r w:rsidR="002F0CA5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[</w:t>
      </w:r>
      <w:r w:rsidR="009666C5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2,3,4,</w:t>
      </w:r>
      <w:r w:rsidR="00A21278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6</w:t>
      </w:r>
      <w:r w:rsidR="002F0CA5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]</w:t>
      </w:r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До полісахаридів відносяться </w:t>
      </w:r>
      <w:proofErr w:type="spellStart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глікозаміноглікани</w:t>
      </w:r>
      <w:proofErr w:type="spellEnd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(ГАГ): </w:t>
      </w:r>
      <w:proofErr w:type="spellStart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сульфатованих</w:t>
      </w:r>
      <w:proofErr w:type="spellEnd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- </w:t>
      </w:r>
      <w:proofErr w:type="spellStart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гепаран-сульфат</w:t>
      </w:r>
      <w:proofErr w:type="spellEnd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, хондроїтин-4-</w:t>
      </w:r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сульфат, хондроїтин-6-сульфат, </w:t>
      </w:r>
      <w:proofErr w:type="spellStart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кератан-сульфат</w:t>
      </w:r>
      <w:proofErr w:type="spellEnd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гепарин і </w:t>
      </w:r>
      <w:proofErr w:type="spellStart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несульфатованих</w:t>
      </w:r>
      <w:proofErr w:type="spellEnd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- </w:t>
      </w:r>
      <w:proofErr w:type="spellStart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гіалуронова</w:t>
      </w:r>
      <w:proofErr w:type="spellEnd"/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кислота</w:t>
      </w:r>
      <w:r w:rsidR="009666C5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[2]</w:t>
      </w:r>
      <w:r w:rsidR="00241C3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</w:t>
      </w:r>
    </w:p>
    <w:p w:rsidR="003C0C79" w:rsidRPr="00A21278" w:rsidRDefault="00241C39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Одним з основних видів волокон сполучної тканини є колагенові волокна, які складаються переважно з колагену - білка </w:t>
      </w: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фібрилярні</w:t>
      </w:r>
      <w:proofErr w:type="spellEnd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що є головним компонентом </w:t>
      </w: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екстрацелюлярного</w:t>
      </w:r>
      <w:proofErr w:type="spellEnd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матриксу</w:t>
      </w:r>
      <w:proofErr w:type="spellEnd"/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сполучної тканини. Особливістю будови даного білка є те, що 1/3 всіх амінокислотних залишків </w:t>
      </w:r>
      <w:r w:rsidR="003C0C7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становить гліцин, 1/3 - пролін та </w:t>
      </w:r>
      <w:proofErr w:type="spellStart"/>
      <w:r w:rsidR="003C0C7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гідроксіпролін</w:t>
      </w:r>
      <w:proofErr w:type="spellEnd"/>
      <w:r w:rsidR="003C0C7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близько 1% - </w:t>
      </w:r>
      <w:proofErr w:type="spellStart"/>
      <w:r w:rsidR="003C0C7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гідроксі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лізи</w:t>
      </w:r>
      <w:r w:rsidR="003C0C7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</w:t>
      </w:r>
      <w:proofErr w:type="spellEnd"/>
      <w:r w:rsidR="003C0C79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, дуже низький вміст тирозину та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метіоніну, відсутній триптофан [</w:t>
      </w:r>
      <w:r w:rsidR="00A21278"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2,5</w:t>
      </w:r>
      <w:r w:rsidRP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].</w:t>
      </w:r>
    </w:p>
    <w:p w:rsidR="00241C39" w:rsidRPr="00A21278" w:rsidRDefault="00241C39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Сучасні дослідження розширили уявлення про функції сполучної тканини, з яких провідною є інтеграц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ія в єдине ціле різних органів та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тканин організму [</w:t>
      </w:r>
      <w:r w:rsidR="00A21278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]. Ця функція проявляється в процесах адаптації організму, які забезпечуються спрямованої міграцією клітин, транспортом біологічно активних, поживних та інших речовин, перерозподілом рідинних потоків, зміною проникності б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іологічних мембран. Міжклітинна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речовина виконує роль депо для накопиченн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 та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наступного виведення надлишків рідини. До функцій сполучної тканини відносяться також </w:t>
      </w:r>
      <w:proofErr w:type="spellStart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морфогенетична</w:t>
      </w:r>
      <w:proofErr w:type="spellEnd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трофічна (метаболічна), опорно-механічна (біомеханічна), захисна (бар'єрна), пластична [</w:t>
      </w:r>
      <w:r w:rsidR="00A21278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]. Трофічна функція сполучної тканини полягає в забезпеченні а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ктивного обміну між кров'ю та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тканинами, участі в регуляції обмінних процесів за рахунок синтезу і секреції </w:t>
      </w:r>
      <w:proofErr w:type="spellStart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цитокінів</w:t>
      </w:r>
      <w:proofErr w:type="spellEnd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ферментів, </w:t>
      </w:r>
      <w:proofErr w:type="spellStart"/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простагландинів</w:t>
      </w:r>
      <w:proofErr w:type="spellEnd"/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Опорно-механічна функція забезпечує рухову здатність організму, захист органів від пошкоджень. Обумовлена ​​в першу чергу колагеновими волокнами, а також хімічним складом міжклітинної речовини. Бар'єрна функція сполучної тканини включає в себе не тільки механічну, а й елементи імунного захист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у, синтез речовин з антимікробною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ді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єю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абезпечується фагоцитами, </w:t>
      </w:r>
      <w:proofErr w:type="spellStart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імунокомпетентними</w:t>
      </w:r>
      <w:proofErr w:type="spellEnd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клітинами, </w:t>
      </w:r>
      <w:proofErr w:type="spellStart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гемопоетичними</w:t>
      </w:r>
      <w:proofErr w:type="spellEnd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тканинами. Пластична функція (регенерація і заміщення дефектів) пов'язана з функцією клітинних елементів, перш за все фібробластів. З пластичної функцією тісно пов'язана </w:t>
      </w:r>
      <w:proofErr w:type="spellStart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морфогенетична</w:t>
      </w:r>
      <w:proofErr w:type="spellEnd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функція 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формування структури органів та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тканин в ембріог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енезі та постнатальному періоді,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абезпечується</w:t>
      </w:r>
      <w:r w:rsidR="003C0C79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діяльністю фібробластів і ГАГ.</w:t>
      </w:r>
    </w:p>
    <w:p w:rsidR="0007788C" w:rsidRPr="00BD4349" w:rsidRDefault="00FA1FCB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Дисплазія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сполучної тканини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7788C" w:rsidRPr="00FA1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07788C" w:rsidRPr="00FA1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являє собою багаторівневий процес, тому що вона може проявлятися на генному рівні, на рівні дисбалансу ферментативного та білкового обміну, а також на рівні порушення гомеостазу окремих </w:t>
      </w:r>
      <w:proofErr w:type="spellStart"/>
      <w:r w:rsidR="0007788C" w:rsidRPr="00FA1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макро-</w:t>
      </w:r>
      <w:proofErr w:type="spellEnd"/>
      <w:r w:rsidR="0007788C" w:rsidRPr="00FA1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мікроелементів [</w:t>
      </w:r>
      <w:r w:rsidR="009666C5" w:rsidRPr="00BD4349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2,3,4,</w:t>
      </w:r>
      <w:r w:rsidR="00A21278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6</w:t>
      </w:r>
      <w:r w:rsidR="0007788C" w:rsidRPr="00FA1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07788C" w:rsidRPr="00BD4349" w:rsidRDefault="0007788C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роками, особливо при несприятливих умовах (екологічна обстановка, харчування, часті </w:t>
      </w:r>
      <w:proofErr w:type="spellStart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інтеркурентних</w:t>
      </w:r>
      <w:proofErr w:type="spellEnd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захворювання, стреси), кількість </w:t>
      </w:r>
      <w:proofErr w:type="spellStart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диспластических</w:t>
      </w:r>
      <w:proofErr w:type="spellEnd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ознак і ступінь їх </w:t>
      </w:r>
      <w:proofErr w:type="spellStart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вираженості</w:t>
      </w:r>
      <w:proofErr w:type="spellEnd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прогредиентное</w:t>
      </w:r>
      <w:proofErr w:type="spellEnd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наростають, тому що вихідні зміни гомеостазу поглиблюються зазначеними факторами зовнішнього середовища. В першу чергу це стосується гомеостазу окремих </w:t>
      </w:r>
      <w:proofErr w:type="spellStart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макро-</w:t>
      </w:r>
      <w:proofErr w:type="spellEnd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мікроелементів, які беруть безпосередню участь в синтезі колагену, колагенових і еластинових волокон, а також в модуляції активності ферментів, що визначають швидкість синтезу і якість сполучнотканинних структур.</w:t>
      </w:r>
    </w:p>
    <w:p w:rsidR="00FB1A27" w:rsidRPr="00A21278" w:rsidRDefault="00FB1A27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стосується перш за все таких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макроелементів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 магній і кальцій та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есенціальних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мікроелементів - міді, цинку, марганцю, та умовно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есенціального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бору. Серед різноманіття метаболічних функцій зазначених елементів в організмі слід виділити їх безпосередню участь в процесах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колагеноутворення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у формуванні, нормальному розвитку скелета та підтримці його структури [</w:t>
      </w:r>
      <w:r w:rsidR="00BD4349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2,3,4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FB1A27" w:rsidRPr="00A21278" w:rsidRDefault="00FB1A27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даний час доведено вплив дефіциту магнію на структуру сполучної та кісткової тканини, зокрема, на колаген, еластин,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протеоглікани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колагенові волокна, а також на мінералізацію кісткового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матриксу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Наявні літературні дані свідчать про те, що вплив дефіциту магнію на сполучну тканину призводить до уповільнення синтезу всіх структурних компонентів, посилення їх деградації, що значимо погіршує механічні характеристики тканини [</w:t>
      </w:r>
      <w:r w:rsidR="009666C5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2,4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FB1A27" w:rsidRPr="00A21278" w:rsidRDefault="00FB1A27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Дефіцит магнію не має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патогномонічних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клінічних ознак. Однак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полісімптомнисть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цього стану дозволяє на підставі клінічної картини з великою часткою ймовірності запідозрити його дефіцит у пацієнта.</w:t>
      </w:r>
    </w:p>
    <w:p w:rsidR="00FB1A27" w:rsidRPr="00A21278" w:rsidRDefault="00FB1A27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Хронічний дефіцит магнію протягом декількох місяців та більше поряд з вищезазначеною симптоматикою супроводжується вираженим зниженням 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м'язового тонусу, різкою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астенізацією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сполучнотканинною дисплазією та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остеопенією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B1A27" w:rsidRPr="00A21278" w:rsidRDefault="00FB1A27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Відомо, що магній безпосередньо впливає на мінералізацію органічної кісткового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матриксу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колагеноутворення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функціональний стан кісткових клітин, обмін вітаміну Д [</w:t>
      </w:r>
      <w:r w:rsidR="009666C5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2,4,5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]. В цілому міцність та якість структур сполучної тканини багато в чому залежать від наявності балансу між кальцієм та магнієм. При дефіциті магнію та нормальному або підвищеному рівні кальцію зростає активність протеолітичних ферментів -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металопротеїназ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ферментів, що викликають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ремоделювання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(деградацію) колагенових волокон, незалежно від причин, що викликали аномалії в структурі сполучної тканини, що призводить до надлишкової деградації сполучної тканини, наслідком якої є важкі клінічні прояви </w:t>
      </w:r>
      <w:r w:rsidR="00FA1FCB" w:rsidRPr="00A21278">
        <w:rPr>
          <w:rFonts w:ascii="Times New Roman" w:hAnsi="Times New Roman" w:cs="Times New Roman"/>
          <w:sz w:val="28"/>
          <w:szCs w:val="28"/>
          <w:lang w:val="uk-UA"/>
        </w:rPr>
        <w:t>недиференційованої дисплазії сполучної тканини</w:t>
      </w:r>
      <w:r w:rsidR="00FA1FCB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НДСТ</w:t>
      </w:r>
      <w:r w:rsidR="00FA1FCB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</w:t>
      </w:r>
      <w:r w:rsidR="00A21278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FB1A27" w:rsidRPr="00A21278" w:rsidRDefault="00FB1A27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Мідь визначає активність ферменту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лізілоксідази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бере участь в утворенні поперечних зшивок ланцюгів колагену та/або еластину, що надає сполучнотканинному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матриксу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зрілість, пружність та еластичні властивості. Цинк необхідний для функціонування багатьох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металлоферментів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регулюють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ремодулювання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колагену в сполучній</w:t>
      </w:r>
      <w:r w:rsidR="0046568C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кістковій тканинах. Марганець активізує цілий ряд ферментів, </w:t>
      </w:r>
      <w:r w:rsidR="0046568C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безпосередньо беруть участь у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синтезі основних білків сполучної тканини -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протеогліканів</w:t>
      </w:r>
      <w:proofErr w:type="spellEnd"/>
      <w:r w:rsidR="0046568C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колагену, тобто тих білків, які визначають зростання і структуру кісткової, хрящової, сполучної тканин в організмі [</w:t>
      </w:r>
      <w:r w:rsidR="00A21278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2,4</w:t>
      </w: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947D3E" w:rsidRPr="00A21278" w:rsidRDefault="00FB1A27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Роль бору значима в процесах </w:t>
      </w:r>
      <w:proofErr w:type="spellStart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остеогенезу</w:t>
      </w:r>
      <w:proofErr w:type="spellEnd"/>
      <w:r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обумовлено його впливом на метаболізм вітаміну Д, а також регулюванням активності ПТГ, який, як відомо, 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</w:t>
      </w:r>
      <w:r w:rsidR="0046568C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ьний за обмін кальцію, фосфору та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магнію [</w:t>
      </w:r>
      <w:r w:rsidR="00A21278" w:rsidRP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2,4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241C39" w:rsidRPr="00A21278" w:rsidRDefault="00241C39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сполучна тканина об'є</w:t>
      </w:r>
      <w:r w:rsidR="003C0C79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днує в єдине ціле різні органи та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тканини організму. Тому від метаболічних процесів, що відбуваються в сполучної тканини, будуть залежати процеси адаптації о</w:t>
      </w:r>
      <w:r w:rsidR="003C0C79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рганізму, стабільність органів та систем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Сполуч</w:t>
      </w:r>
      <w:r w:rsidR="003C0C79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тканина, виконуючи численні та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дуже важливі функції, реагує практичн</w:t>
      </w:r>
      <w:r w:rsidR="003C0C79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на всі фізіологічні та патологічні впливи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 цьому морф</w:t>
      </w:r>
      <w:r w:rsidR="003C0C79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ологічні зміни в самій сполучній тканині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основному стереотипні. У той 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же час ураження сполучної тканини провокує виникнення вторинних пору</w:t>
      </w:r>
      <w:r w:rsidR="003C0C79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шень з боку внутрішніх органів та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систем, що проявляється розвитком хронічних захворювань, які й визначають прогноз основного патологічного процесу.</w:t>
      </w:r>
    </w:p>
    <w:p w:rsidR="00A205E7" w:rsidRPr="00A21278" w:rsidRDefault="00241C39" w:rsidP="00BD4349">
      <w:pPr>
        <w:shd w:val="clear" w:color="auto" w:fill="FFFFFF"/>
        <w:spacing w:before="15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Діагн</w:t>
      </w:r>
      <w:r w:rsidR="003C0C79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 ДСТ встановлюється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к</w:t>
      </w:r>
      <w:r w:rsidR="003C0C79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омплексу </w:t>
      </w:r>
      <w:proofErr w:type="spellStart"/>
      <w:r w:rsidR="003C0C79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фенотипових</w:t>
      </w:r>
      <w:proofErr w:type="spellEnd"/>
      <w:r w:rsidR="003C0C79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критеріїв та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 системної </w:t>
      </w:r>
      <w:proofErr w:type="spellStart"/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залученості</w:t>
      </w:r>
      <w:proofErr w:type="spellEnd"/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сполучної тканини згідно </w:t>
      </w:r>
      <w:r w:rsidR="00A205E7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міжнародної бальної оцінки системного залучення </w:t>
      </w:r>
      <w:proofErr w:type="spellStart"/>
      <w:r w:rsidR="00A205E7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поєднувальної</w:t>
      </w:r>
      <w:proofErr w:type="spellEnd"/>
      <w:r w:rsidR="00A205E7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тканини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5E7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A205E7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Loeys</w:t>
      </w:r>
      <w:proofErr w:type="spellEnd"/>
      <w:r w:rsidR="00A205E7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A. </w:t>
      </w:r>
      <w:proofErr w:type="spellStart"/>
      <w:r w:rsidR="00A205E7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</w:t>
      </w:r>
      <w:proofErr w:type="spellEnd"/>
      <w:r w:rsidR="00A205E7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205E7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</w:t>
      </w:r>
      <w:proofErr w:type="spellEnd"/>
      <w:r w:rsidR="00A205E7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2010), табл. 1.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21278"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2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A205E7" w:rsidRPr="00A21278" w:rsidRDefault="00A205E7" w:rsidP="00BD4349">
      <w:pPr>
        <w:shd w:val="clear" w:color="auto" w:fill="FFFFFF"/>
        <w:spacing w:before="150" w:after="3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Таблиця 1.</w:t>
      </w:r>
    </w:p>
    <w:p w:rsidR="00BD4349" w:rsidRPr="00A21278" w:rsidRDefault="00A205E7" w:rsidP="00BD434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Бальна оцінка системного залучення </w:t>
      </w:r>
      <w:proofErr w:type="spellStart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поєднувальної</w:t>
      </w:r>
      <w:proofErr w:type="spellEnd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тканини </w:t>
      </w:r>
    </w:p>
    <w:p w:rsidR="0032397A" w:rsidRPr="00A21278" w:rsidRDefault="00A205E7" w:rsidP="00BD434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proofErr w:type="spellStart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Loeys</w:t>
      </w:r>
      <w:proofErr w:type="spellEnd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A. </w:t>
      </w:r>
      <w:proofErr w:type="spellStart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et</w:t>
      </w:r>
      <w:proofErr w:type="spellEnd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al</w:t>
      </w:r>
      <w:proofErr w:type="spellEnd"/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., 2010)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A205E7" w:rsidRPr="00A21278" w:rsidTr="00BD4349">
        <w:tc>
          <w:tcPr>
            <w:tcW w:w="8472" w:type="dxa"/>
          </w:tcPr>
          <w:p w:rsidR="00A205E7" w:rsidRPr="00A21278" w:rsidRDefault="00395314" w:rsidP="00BD434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Ознаки</w:t>
            </w:r>
          </w:p>
        </w:tc>
        <w:tc>
          <w:tcPr>
            <w:tcW w:w="1099" w:type="dxa"/>
          </w:tcPr>
          <w:p w:rsidR="00A205E7" w:rsidRPr="00A21278" w:rsidRDefault="00395314" w:rsidP="00BD434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A205E7" w:rsidRPr="00A21278" w:rsidTr="00BD4349">
        <w:tc>
          <w:tcPr>
            <w:tcW w:w="8472" w:type="dxa"/>
          </w:tcPr>
          <w:p w:rsidR="00A205E7" w:rsidRPr="00A21278" w:rsidRDefault="007A57FB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Поєднання позитивних ознак І пальця та зап`ястя</w:t>
            </w:r>
          </w:p>
        </w:tc>
        <w:tc>
          <w:tcPr>
            <w:tcW w:w="1099" w:type="dxa"/>
          </w:tcPr>
          <w:p w:rsidR="00A205E7" w:rsidRPr="00A21278" w:rsidRDefault="007A57FB" w:rsidP="00BD4349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205E7" w:rsidRPr="00A21278" w:rsidTr="00BD4349">
        <w:tc>
          <w:tcPr>
            <w:tcW w:w="8472" w:type="dxa"/>
          </w:tcPr>
          <w:p w:rsidR="00A205E7" w:rsidRPr="00A21278" w:rsidRDefault="007A57FB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І пальця та зап`ястя окремо</w:t>
            </w:r>
          </w:p>
        </w:tc>
        <w:tc>
          <w:tcPr>
            <w:tcW w:w="1099" w:type="dxa"/>
          </w:tcPr>
          <w:p w:rsidR="00A205E7" w:rsidRPr="00A21278" w:rsidRDefault="007A57FB" w:rsidP="00BD4349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</w:t>
            </w:r>
          </w:p>
        </w:tc>
      </w:tr>
      <w:tr w:rsidR="007A57FB" w:rsidRPr="00A21278" w:rsidTr="00BD4349">
        <w:tc>
          <w:tcPr>
            <w:tcW w:w="8472" w:type="dxa"/>
          </w:tcPr>
          <w:p w:rsidR="007A57FB" w:rsidRPr="00A21278" w:rsidRDefault="007A57FB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Килеподібна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деформація грудної клітки</w:t>
            </w:r>
          </w:p>
        </w:tc>
        <w:tc>
          <w:tcPr>
            <w:tcW w:w="1099" w:type="dxa"/>
          </w:tcPr>
          <w:p w:rsidR="007A57FB" w:rsidRPr="00A21278" w:rsidRDefault="007A57FB" w:rsidP="00BD4349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A57FB" w:rsidRPr="00A21278" w:rsidTr="00BD4349">
        <w:tc>
          <w:tcPr>
            <w:tcW w:w="8472" w:type="dxa"/>
          </w:tcPr>
          <w:p w:rsidR="007A57FB" w:rsidRPr="00A21278" w:rsidRDefault="007A57FB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Воронкоподібна деформація або асиметрія грудної клітки</w:t>
            </w:r>
          </w:p>
        </w:tc>
        <w:tc>
          <w:tcPr>
            <w:tcW w:w="1099" w:type="dxa"/>
          </w:tcPr>
          <w:p w:rsidR="007A57FB" w:rsidRPr="00A21278" w:rsidRDefault="007A57FB" w:rsidP="00BD4349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 1</w:t>
            </w:r>
          </w:p>
        </w:tc>
      </w:tr>
      <w:tr w:rsidR="007A57FB" w:rsidRPr="00A21278" w:rsidTr="00BD4349">
        <w:tc>
          <w:tcPr>
            <w:tcW w:w="8472" w:type="dxa"/>
          </w:tcPr>
          <w:p w:rsidR="007A57FB" w:rsidRPr="00A21278" w:rsidRDefault="00E8440F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Медіальне зміщення медіальної гомілки, що веде до плоскостопості</w:t>
            </w:r>
          </w:p>
        </w:tc>
        <w:tc>
          <w:tcPr>
            <w:tcW w:w="1099" w:type="dxa"/>
          </w:tcPr>
          <w:p w:rsidR="007A57FB" w:rsidRPr="00A21278" w:rsidRDefault="007A57FB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A57FB" w:rsidRPr="00A21278" w:rsidTr="00BD4349">
        <w:tc>
          <w:tcPr>
            <w:tcW w:w="8472" w:type="dxa"/>
          </w:tcPr>
          <w:p w:rsidR="007A57FB" w:rsidRPr="00A21278" w:rsidRDefault="00E8440F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Плоскостопість </w:t>
            </w:r>
          </w:p>
        </w:tc>
        <w:tc>
          <w:tcPr>
            <w:tcW w:w="1099" w:type="dxa"/>
          </w:tcPr>
          <w:p w:rsidR="007A57FB" w:rsidRPr="00A21278" w:rsidRDefault="005A6971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A57FB" w:rsidRPr="00A21278" w:rsidTr="00BD4349">
        <w:tc>
          <w:tcPr>
            <w:tcW w:w="8472" w:type="dxa"/>
          </w:tcPr>
          <w:p w:rsidR="007A57FB" w:rsidRPr="00A21278" w:rsidRDefault="007A57FB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Пневмоторакс</w:t>
            </w:r>
          </w:p>
        </w:tc>
        <w:tc>
          <w:tcPr>
            <w:tcW w:w="1099" w:type="dxa"/>
          </w:tcPr>
          <w:p w:rsidR="007A57FB" w:rsidRPr="00A21278" w:rsidRDefault="002D5C1A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A57FB" w:rsidRPr="00A21278" w:rsidTr="00BD4349">
        <w:tc>
          <w:tcPr>
            <w:tcW w:w="8472" w:type="dxa"/>
          </w:tcPr>
          <w:p w:rsidR="007A57FB" w:rsidRPr="00A21278" w:rsidRDefault="00E8440F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Попереково-rрижова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дуральна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ектазія</w:t>
            </w:r>
          </w:p>
        </w:tc>
        <w:tc>
          <w:tcPr>
            <w:tcW w:w="1099" w:type="dxa"/>
          </w:tcPr>
          <w:p w:rsidR="007A57FB" w:rsidRPr="00A21278" w:rsidRDefault="005A6971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D5C1A" w:rsidRPr="00A21278" w:rsidTr="00BD4349">
        <w:tc>
          <w:tcPr>
            <w:tcW w:w="8472" w:type="dxa"/>
          </w:tcPr>
          <w:p w:rsidR="002D5C1A" w:rsidRPr="00A21278" w:rsidRDefault="002D5C1A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Протрузія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вертулужної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западини підтверджена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рентгенологічно</w:t>
            </w:r>
            <w:proofErr w:type="spellEnd"/>
          </w:p>
        </w:tc>
        <w:tc>
          <w:tcPr>
            <w:tcW w:w="1099" w:type="dxa"/>
          </w:tcPr>
          <w:p w:rsidR="002D5C1A" w:rsidRPr="00A21278" w:rsidRDefault="002D5C1A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D5C1A" w:rsidRPr="00A21278" w:rsidTr="00BD4349">
        <w:tc>
          <w:tcPr>
            <w:tcW w:w="8472" w:type="dxa"/>
          </w:tcPr>
          <w:p w:rsidR="002D5C1A" w:rsidRPr="00A21278" w:rsidRDefault="002D5C1A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Зниження співвідношення верхнього та нижнього сегментів тулуба*</w:t>
            </w:r>
          </w:p>
        </w:tc>
        <w:tc>
          <w:tcPr>
            <w:tcW w:w="1099" w:type="dxa"/>
          </w:tcPr>
          <w:p w:rsidR="002D5C1A" w:rsidRPr="00A21278" w:rsidRDefault="002D5C1A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5C1A" w:rsidRPr="00A21278" w:rsidTr="00BD4349">
        <w:tc>
          <w:tcPr>
            <w:tcW w:w="8472" w:type="dxa"/>
          </w:tcPr>
          <w:p w:rsidR="002D5C1A" w:rsidRPr="00A21278" w:rsidRDefault="002D5C1A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Сколіоз чи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кіфосколіоз</w:t>
            </w:r>
            <w:proofErr w:type="spellEnd"/>
          </w:p>
        </w:tc>
        <w:tc>
          <w:tcPr>
            <w:tcW w:w="1099" w:type="dxa"/>
          </w:tcPr>
          <w:p w:rsidR="002D5C1A" w:rsidRPr="00A21278" w:rsidRDefault="002D5C1A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5C1A" w:rsidRPr="00A21278" w:rsidTr="00BD4349">
        <w:tc>
          <w:tcPr>
            <w:tcW w:w="8472" w:type="dxa"/>
          </w:tcPr>
          <w:p w:rsidR="002D5C1A" w:rsidRPr="00A21278" w:rsidRDefault="002D5C1A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Зниження можливості випрямлення ліктя ≤170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099" w:type="dxa"/>
          </w:tcPr>
          <w:p w:rsidR="002D5C1A" w:rsidRPr="00A21278" w:rsidRDefault="002D5C1A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5C1A" w:rsidRPr="00A21278" w:rsidTr="00BD4349">
        <w:tc>
          <w:tcPr>
            <w:tcW w:w="8472" w:type="dxa"/>
          </w:tcPr>
          <w:p w:rsidR="002D5C1A" w:rsidRPr="00A21278" w:rsidRDefault="002D5C1A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Присутність трьох з перерахованих черепно-лицьових ознак:</w:t>
            </w:r>
            <w:r w:rsidR="0090369D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369D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доліхоцефалія</w:t>
            </w:r>
            <w:proofErr w:type="spellEnd"/>
            <w:r w:rsidR="0090369D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енофтальм, </w:t>
            </w:r>
            <w:proofErr w:type="spellStart"/>
            <w:r w:rsidR="0090369D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монголоїдний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розріз очей, гіпоплазія </w:t>
            </w:r>
            <w:r w:rsidR="005A6971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виличних кісток, </w:t>
            </w:r>
            <w:proofErr w:type="spellStart"/>
            <w:r w:rsidR="005A6971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ретрогнатія</w:t>
            </w:r>
            <w:proofErr w:type="spellEnd"/>
          </w:p>
        </w:tc>
        <w:tc>
          <w:tcPr>
            <w:tcW w:w="1099" w:type="dxa"/>
          </w:tcPr>
          <w:p w:rsidR="002D5C1A" w:rsidRPr="00A21278" w:rsidRDefault="005A6971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A6971" w:rsidRPr="00A21278" w:rsidTr="00BD4349">
        <w:tc>
          <w:tcPr>
            <w:tcW w:w="8472" w:type="dxa"/>
          </w:tcPr>
          <w:p w:rsidR="005A6971" w:rsidRPr="00A21278" w:rsidRDefault="005A6971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Шкірні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стрії</w:t>
            </w:r>
            <w:proofErr w:type="spellEnd"/>
          </w:p>
        </w:tc>
        <w:tc>
          <w:tcPr>
            <w:tcW w:w="1099" w:type="dxa"/>
          </w:tcPr>
          <w:p w:rsidR="005A6971" w:rsidRPr="00A21278" w:rsidRDefault="005A6971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A6971" w:rsidRPr="00A21278" w:rsidTr="00BD4349">
        <w:tc>
          <w:tcPr>
            <w:tcW w:w="8472" w:type="dxa"/>
          </w:tcPr>
          <w:p w:rsidR="005A6971" w:rsidRPr="00A21278" w:rsidRDefault="005A6971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Міопія ≥3D</w:t>
            </w:r>
          </w:p>
        </w:tc>
        <w:tc>
          <w:tcPr>
            <w:tcW w:w="1099" w:type="dxa"/>
          </w:tcPr>
          <w:p w:rsidR="005A6971" w:rsidRPr="00A21278" w:rsidRDefault="005A6971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A6971" w:rsidRPr="00A21278" w:rsidTr="00BD4349">
        <w:tc>
          <w:tcPr>
            <w:tcW w:w="8472" w:type="dxa"/>
          </w:tcPr>
          <w:p w:rsidR="005A6971" w:rsidRPr="00A21278" w:rsidRDefault="005A6971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Пролапс</w:t>
            </w:r>
            <w:proofErr w:type="spellEnd"/>
            <w:r w:rsidR="0090369D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369D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трального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клапану (усі типи)</w:t>
            </w:r>
          </w:p>
        </w:tc>
        <w:tc>
          <w:tcPr>
            <w:tcW w:w="1099" w:type="dxa"/>
          </w:tcPr>
          <w:p w:rsidR="005A6971" w:rsidRPr="00A21278" w:rsidRDefault="005A6971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A6971" w:rsidRPr="00A21278" w:rsidTr="002A123A">
        <w:tc>
          <w:tcPr>
            <w:tcW w:w="9571" w:type="dxa"/>
            <w:gridSpan w:val="2"/>
          </w:tcPr>
          <w:p w:rsidR="005A6971" w:rsidRPr="00A21278" w:rsidRDefault="005A6971" w:rsidP="00BD434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Максимально: 20 балів; </w:t>
            </w:r>
            <w:proofErr w:type="spellStart"/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діагностично</w:t>
            </w:r>
            <w:proofErr w:type="spellEnd"/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значущі ≥ 7 балів</w:t>
            </w:r>
          </w:p>
        </w:tc>
      </w:tr>
    </w:tbl>
    <w:p w:rsidR="005A6971" w:rsidRPr="00A21278" w:rsidRDefault="005A6971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78">
        <w:rPr>
          <w:rFonts w:ascii="Times New Roman" w:hAnsi="Times New Roman" w:cs="Times New Roman"/>
          <w:sz w:val="28"/>
          <w:szCs w:val="28"/>
          <w:lang w:val="uk-UA"/>
        </w:rPr>
        <w:t>* У дітей 0-5 років – ≤1; 6-7 років – ≤0,95; 8-9 років – 0,9; старше 10 років – ≤0,85 + співвідношення розмаху рук к ДТ ≥ 1,05 + сколіоз І-ІІ ступенів.</w:t>
      </w:r>
    </w:p>
    <w:p w:rsidR="008E7BC8" w:rsidRPr="00A21278" w:rsidRDefault="008E7BC8" w:rsidP="00846F48">
      <w:pPr>
        <w:shd w:val="clear" w:color="auto" w:fill="FFFFFF"/>
        <w:spacing w:before="150" w:after="3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Таблиця 2.</w:t>
      </w:r>
    </w:p>
    <w:p w:rsidR="0090369D" w:rsidRPr="00A21278" w:rsidRDefault="0090369D" w:rsidP="00BD43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278">
        <w:rPr>
          <w:rFonts w:ascii="Times New Roman" w:hAnsi="Times New Roman" w:cs="Times New Roman"/>
          <w:sz w:val="28"/>
          <w:szCs w:val="28"/>
          <w:lang w:val="uk-UA"/>
        </w:rPr>
        <w:t>Діагностика Д</w:t>
      </w:r>
      <w:r w:rsidR="008F4A7A" w:rsidRPr="00A212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7BC8" w:rsidRPr="00A21278">
        <w:rPr>
          <w:rFonts w:ascii="Times New Roman" w:hAnsi="Times New Roman" w:cs="Times New Roman"/>
          <w:sz w:val="28"/>
          <w:szCs w:val="28"/>
          <w:lang w:val="uk-UA"/>
        </w:rPr>
        <w:t>Т у дітей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8E7BC8" w:rsidRPr="00A21278" w:rsidTr="00846F48">
        <w:tc>
          <w:tcPr>
            <w:tcW w:w="534" w:type="dxa"/>
          </w:tcPr>
          <w:p w:rsidR="008E7BC8" w:rsidRPr="00A21278" w:rsidRDefault="008E7BC8" w:rsidP="00BD434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</w:tcPr>
          <w:p w:rsidR="008E7BC8" w:rsidRPr="00A21278" w:rsidRDefault="008E7BC8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Виключення </w:t>
            </w:r>
            <w:r w:rsidR="00FA1FCB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спадкові порушення сполучної тканини (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СППТ</w:t>
            </w:r>
            <w:r w:rsidR="00FA1FCB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</w:t>
            </w:r>
          </w:p>
        </w:tc>
      </w:tr>
      <w:tr w:rsidR="008E7BC8" w:rsidRPr="00A21278" w:rsidTr="00846F48">
        <w:tc>
          <w:tcPr>
            <w:tcW w:w="534" w:type="dxa"/>
          </w:tcPr>
          <w:p w:rsidR="008E7BC8" w:rsidRPr="00A21278" w:rsidRDefault="008E7BC8" w:rsidP="00BD434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</w:tcPr>
          <w:p w:rsidR="008E7BC8" w:rsidRPr="00A21278" w:rsidRDefault="008E7BC8" w:rsidP="00FA1F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Клініко-інструментальне обстеження. Виявлення ≥6 малих зовнішніх та/або вісцеральних проявів</w:t>
            </w:r>
            <w:r w:rsidR="00FA1FCB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системного залучення сполучної тканини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1FCB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СЗСТ</w:t>
            </w:r>
            <w:r w:rsidR="00FA1FCB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залученням ≥3 різних органів з різних систем*</w:t>
            </w:r>
          </w:p>
        </w:tc>
      </w:tr>
      <w:tr w:rsidR="008E7BC8" w:rsidRPr="00A21278" w:rsidTr="00846F48">
        <w:tc>
          <w:tcPr>
            <w:tcW w:w="534" w:type="dxa"/>
          </w:tcPr>
          <w:p w:rsidR="008E7BC8" w:rsidRPr="00A21278" w:rsidRDefault="008E7BC8" w:rsidP="00BD434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</w:tcPr>
          <w:p w:rsidR="008E7BC8" w:rsidRPr="00A21278" w:rsidRDefault="008E7BC8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родоводу. Встановлення факту накопичення ознак сполучнотканинної</w:t>
            </w:r>
            <w:r w:rsidR="00846F48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патології в родині*;</w:t>
            </w:r>
          </w:p>
        </w:tc>
      </w:tr>
      <w:tr w:rsidR="008E7BC8" w:rsidRPr="00A21278" w:rsidTr="00846F48">
        <w:tc>
          <w:tcPr>
            <w:tcW w:w="534" w:type="dxa"/>
          </w:tcPr>
          <w:p w:rsidR="008E7BC8" w:rsidRPr="00A21278" w:rsidRDefault="008E7BC8" w:rsidP="00BD434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</w:tcPr>
          <w:p w:rsidR="008E7BC8" w:rsidRPr="00A21278" w:rsidRDefault="008E7BC8" w:rsidP="00FA1F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Лабораторне обстеження. Виявлення біохімічних маркерів порушення метаболізму </w:t>
            </w:r>
            <w:r w:rsidR="00FA1FCB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сполучної тканини (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FA1FCB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</w:tr>
      <w:tr w:rsidR="008E7BC8" w:rsidRPr="00A21278" w:rsidTr="00846F48">
        <w:tc>
          <w:tcPr>
            <w:tcW w:w="9747" w:type="dxa"/>
            <w:gridSpan w:val="2"/>
          </w:tcPr>
          <w:p w:rsidR="008E7BC8" w:rsidRPr="00A21278" w:rsidRDefault="008E7BC8" w:rsidP="00BD4349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- обов'язковий критерій, ** - бажаний критерій.</w:t>
            </w:r>
          </w:p>
        </w:tc>
      </w:tr>
    </w:tbl>
    <w:p w:rsidR="009D4904" w:rsidRPr="00A21278" w:rsidRDefault="009D4904" w:rsidP="009D4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CB4" w:rsidRPr="00A21278" w:rsidRDefault="00A86CB4" w:rsidP="009D49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Перший етап діагностики </w:t>
      </w:r>
      <w:r w:rsidR="007D17F4" w:rsidRPr="00A2127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D17F4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Таблиця 3) 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в умовах первинної медико-санітарної допомоги дітям. Максимальне число (22,5 бала) припадає на патологію кісткової системи. Найбільш значима для діагностики ДСТ у дітей (3 бали) </w:t>
      </w:r>
      <w:r w:rsidR="00FA1FCB" w:rsidRPr="00A212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FCB" w:rsidRPr="00A21278">
        <w:rPr>
          <w:rFonts w:ascii="Times New Roman" w:hAnsi="Times New Roman" w:cs="Times New Roman"/>
          <w:sz w:val="28"/>
          <w:szCs w:val="28"/>
          <w:lang w:val="uk-UA"/>
        </w:rPr>
        <w:t>воронкоподібна деформація грудної клітини (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>ВДГК</w:t>
      </w:r>
      <w:r w:rsidR="00FA1FCB" w:rsidRPr="00A212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>. На шкірні прояви сполучнотканинної патології довелося 12, а на м'язові - 5 балів. В умовах діагностичного центру, стаціонару або спеціалізованого кабінету/центру для дітей із захворюваннями СТ проводиться поглиблене клініко-інструментальне обстеження (2-й етап діагностики) з метою виявлення вісцеральних проявів ДСТ</w:t>
      </w:r>
      <w:r w:rsidR="007D17F4"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D17F4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Таблиця 4)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7BC8" w:rsidRPr="00A21278" w:rsidRDefault="008E7BC8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лише за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фенотипической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діагностиці - 42,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діагностично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значущі: ≥12 балів. Максимальна кількість балів лише при вісцеральній діагностиці - 24.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Діагностично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значущіє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≥3 органів в різних системах. Максимальне сумарне число балів - 66. Оцінка ступеня тяжкості ДСТ: від 12 до 20 - I (варіант норми), від 20 до 30 - II, більше 30 балів - III ступінь.</w:t>
      </w:r>
    </w:p>
    <w:p w:rsidR="008F4A7A" w:rsidRPr="00A21278" w:rsidRDefault="008E7BC8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Слід пам'ятати, що вірогідність діагностики ДСТ можлива тільки при комплексній оцінці зовнішніх та вісцеральних ознак, а отримання дуже високих балів вимагає додаткової верифікації діагнозу для виключення </w:t>
      </w:r>
      <w:r w:rsidR="000A71A3" w:rsidRPr="00A21278">
        <w:rPr>
          <w:rFonts w:ascii="Times New Roman" w:hAnsi="Times New Roman" w:cs="Times New Roman"/>
          <w:sz w:val="28"/>
          <w:szCs w:val="28"/>
          <w:lang w:val="uk-UA"/>
        </w:rPr>
        <w:t>СПСТ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69D" w:rsidRPr="00A21278" w:rsidRDefault="0090369D" w:rsidP="00BD4349">
      <w:pPr>
        <w:shd w:val="clear" w:color="auto" w:fill="FFFFFF"/>
        <w:spacing w:before="150" w:after="3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Таблиця </w:t>
      </w:r>
      <w:r w:rsidR="008E7BC8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32397A" w:rsidRPr="00A21278" w:rsidRDefault="005A6971" w:rsidP="00F2440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Бальна оцінка зовнішніх ознак системного залучення </w:t>
      </w:r>
      <w:proofErr w:type="spellStart"/>
      <w:r w:rsidR="00257A90" w:rsidRPr="00A21278">
        <w:rPr>
          <w:rFonts w:ascii="Times New Roman" w:hAnsi="Times New Roman" w:cs="Times New Roman"/>
          <w:sz w:val="28"/>
          <w:szCs w:val="28"/>
          <w:lang w:val="uk-UA"/>
        </w:rPr>
        <w:t>поєднувальної</w:t>
      </w:r>
      <w:proofErr w:type="spellEnd"/>
      <w:r w:rsidR="00257A90"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 тканини у дітей (</w:t>
      </w:r>
      <w:proofErr w:type="spellStart"/>
      <w:r w:rsidR="00257A90" w:rsidRPr="00A21278">
        <w:rPr>
          <w:rFonts w:ascii="Times New Roman" w:hAnsi="Times New Roman" w:cs="Times New Roman"/>
          <w:sz w:val="28"/>
          <w:szCs w:val="28"/>
          <w:lang w:val="uk-UA"/>
        </w:rPr>
        <w:t>скринінг-алгоритм</w:t>
      </w:r>
      <w:proofErr w:type="spellEnd"/>
      <w:r w:rsidR="00257A90" w:rsidRPr="00A21278">
        <w:rPr>
          <w:rFonts w:ascii="Times New Roman" w:hAnsi="Times New Roman" w:cs="Times New Roman"/>
          <w:sz w:val="28"/>
          <w:szCs w:val="28"/>
          <w:lang w:val="uk-UA"/>
        </w:rPr>
        <w:t>, 1-й етап діагностики)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68"/>
        <w:gridCol w:w="851"/>
      </w:tblGrid>
      <w:tr w:rsidR="00257A90" w:rsidRPr="00A21278" w:rsidTr="009D4904">
        <w:trPr>
          <w:trHeight w:val="108"/>
        </w:trPr>
        <w:tc>
          <w:tcPr>
            <w:tcW w:w="6487" w:type="dxa"/>
          </w:tcPr>
          <w:p w:rsidR="00E8440F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Зовнішні ознаки</w:t>
            </w:r>
          </w:p>
        </w:tc>
        <w:tc>
          <w:tcPr>
            <w:tcW w:w="2268" w:type="dxa"/>
          </w:tcPr>
          <w:p w:rsidR="00257A90" w:rsidRPr="00A21278" w:rsidRDefault="00257A90" w:rsidP="00BD434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Шифр, МКХ-10</w:t>
            </w:r>
          </w:p>
        </w:tc>
        <w:tc>
          <w:tcPr>
            <w:tcW w:w="851" w:type="dxa"/>
          </w:tcPr>
          <w:p w:rsidR="00257A90" w:rsidRPr="00A21278" w:rsidRDefault="00257A90" w:rsidP="009D4904">
            <w:pPr>
              <w:ind w:left="-726"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E8440F" w:rsidRPr="00A21278" w:rsidTr="009D4904">
        <w:trPr>
          <w:trHeight w:val="223"/>
        </w:trPr>
        <w:tc>
          <w:tcPr>
            <w:tcW w:w="9606" w:type="dxa"/>
            <w:gridSpan w:val="3"/>
          </w:tcPr>
          <w:p w:rsidR="00E8440F" w:rsidRPr="00A21278" w:rsidRDefault="00E8440F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Кістково-суглобові: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257A90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Воронкоподібна деформація грудної клітки</w:t>
            </w:r>
          </w:p>
        </w:tc>
        <w:tc>
          <w:tcPr>
            <w:tcW w:w="2268" w:type="dxa"/>
          </w:tcPr>
          <w:p w:rsidR="00257A90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М94.4</w:t>
            </w:r>
          </w:p>
        </w:tc>
        <w:tc>
          <w:tcPr>
            <w:tcW w:w="851" w:type="dxa"/>
          </w:tcPr>
          <w:p w:rsidR="00257A90" w:rsidRPr="00A21278" w:rsidRDefault="00257A90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257A90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Килеподібна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деформація грудної клітки</w:t>
            </w:r>
          </w:p>
        </w:tc>
        <w:tc>
          <w:tcPr>
            <w:tcW w:w="2268" w:type="dxa"/>
          </w:tcPr>
          <w:p w:rsidR="00257A90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Q67.7</w:t>
            </w:r>
          </w:p>
        </w:tc>
        <w:tc>
          <w:tcPr>
            <w:tcW w:w="851" w:type="dxa"/>
          </w:tcPr>
          <w:p w:rsidR="00257A90" w:rsidRPr="00A21278" w:rsidRDefault="00257A90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257A90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Доліхостеномелія</w:t>
            </w:r>
            <w:proofErr w:type="spellEnd"/>
          </w:p>
        </w:tc>
        <w:tc>
          <w:tcPr>
            <w:tcW w:w="2268" w:type="dxa"/>
          </w:tcPr>
          <w:p w:rsidR="00257A90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Q87.4</w:t>
            </w:r>
          </w:p>
        </w:tc>
        <w:tc>
          <w:tcPr>
            <w:tcW w:w="851" w:type="dxa"/>
          </w:tcPr>
          <w:p w:rsidR="00257A90" w:rsidRPr="00A21278" w:rsidRDefault="00257A90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257A90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Сколіоз</w:t>
            </w:r>
          </w:p>
        </w:tc>
        <w:tc>
          <w:tcPr>
            <w:tcW w:w="2268" w:type="dxa"/>
          </w:tcPr>
          <w:p w:rsidR="00257A90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М41.0</w:t>
            </w:r>
          </w:p>
        </w:tc>
        <w:tc>
          <w:tcPr>
            <w:tcW w:w="851" w:type="dxa"/>
          </w:tcPr>
          <w:p w:rsidR="00257A90" w:rsidRPr="00A21278" w:rsidRDefault="00257A90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257A90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Кіфоз</w:t>
            </w:r>
          </w:p>
        </w:tc>
        <w:tc>
          <w:tcPr>
            <w:tcW w:w="2268" w:type="dxa"/>
          </w:tcPr>
          <w:p w:rsidR="00257A90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М40.0</w:t>
            </w:r>
          </w:p>
        </w:tc>
        <w:tc>
          <w:tcPr>
            <w:tcW w:w="851" w:type="dxa"/>
          </w:tcPr>
          <w:p w:rsidR="00257A90" w:rsidRPr="00A21278" w:rsidRDefault="00257A90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0A71A3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синдром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гіпермобільності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суглобів (</w:t>
            </w:r>
            <w:r w:rsidR="008F4A7A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57A90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ГМС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257A90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М35.7</w:t>
            </w:r>
          </w:p>
        </w:tc>
        <w:tc>
          <w:tcPr>
            <w:tcW w:w="851" w:type="dxa"/>
          </w:tcPr>
          <w:p w:rsidR="00257A90" w:rsidRPr="00A21278" w:rsidRDefault="00257A90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257A90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Hallux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valgus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п`ятково-вальгусна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косолапість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257A90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Q66.4</w:t>
            </w:r>
          </w:p>
        </w:tc>
        <w:tc>
          <w:tcPr>
            <w:tcW w:w="851" w:type="dxa"/>
          </w:tcPr>
          <w:p w:rsidR="00257A90" w:rsidRPr="00A21278" w:rsidRDefault="00257A90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257A90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Арахнодактилія</w:t>
            </w:r>
            <w:proofErr w:type="spellEnd"/>
          </w:p>
        </w:tc>
        <w:tc>
          <w:tcPr>
            <w:tcW w:w="2268" w:type="dxa"/>
          </w:tcPr>
          <w:p w:rsidR="00257A90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Q87.4</w:t>
            </w:r>
          </w:p>
        </w:tc>
        <w:tc>
          <w:tcPr>
            <w:tcW w:w="851" w:type="dxa"/>
          </w:tcPr>
          <w:p w:rsidR="00257A90" w:rsidRPr="00A21278" w:rsidRDefault="00257A90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257A90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 деформація грудної клітки</w:t>
            </w:r>
          </w:p>
        </w:tc>
        <w:tc>
          <w:tcPr>
            <w:tcW w:w="2268" w:type="dxa"/>
          </w:tcPr>
          <w:p w:rsidR="00257A90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Q67.8</w:t>
            </w:r>
          </w:p>
        </w:tc>
        <w:tc>
          <w:tcPr>
            <w:tcW w:w="851" w:type="dxa"/>
          </w:tcPr>
          <w:p w:rsidR="00257A90" w:rsidRPr="00A21278" w:rsidRDefault="00257A90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E8440F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Плоскостопість</w:t>
            </w:r>
          </w:p>
        </w:tc>
        <w:tc>
          <w:tcPr>
            <w:tcW w:w="2268" w:type="dxa"/>
          </w:tcPr>
          <w:p w:rsidR="00257A90" w:rsidRPr="00A21278" w:rsidRDefault="00257A90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Q66.5</w:t>
            </w:r>
          </w:p>
        </w:tc>
        <w:tc>
          <w:tcPr>
            <w:tcW w:w="851" w:type="dxa"/>
          </w:tcPr>
          <w:p w:rsidR="00257A90" w:rsidRPr="00A21278" w:rsidRDefault="00257A90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8440F" w:rsidRPr="00A21278" w:rsidTr="009D4904">
        <w:tc>
          <w:tcPr>
            <w:tcW w:w="9606" w:type="dxa"/>
            <w:gridSpan w:val="3"/>
          </w:tcPr>
          <w:p w:rsidR="00E8440F" w:rsidRPr="00A21278" w:rsidRDefault="00E8440F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Ектодермальні</w:t>
            </w:r>
            <w:proofErr w:type="spellEnd"/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(шкіра, зуби):</w:t>
            </w:r>
          </w:p>
        </w:tc>
      </w:tr>
      <w:tr w:rsidR="00257A90" w:rsidRPr="00A21278" w:rsidTr="009D4904">
        <w:tc>
          <w:tcPr>
            <w:tcW w:w="6487" w:type="dxa"/>
          </w:tcPr>
          <w:p w:rsidR="00257A90" w:rsidRPr="00A21278" w:rsidRDefault="00E8440F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Гіперпігментація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шкіри над остистими відростками хребців</w:t>
            </w:r>
          </w:p>
        </w:tc>
        <w:tc>
          <w:tcPr>
            <w:tcW w:w="2268" w:type="dxa"/>
          </w:tcPr>
          <w:p w:rsidR="00257A90" w:rsidRPr="00A21278" w:rsidRDefault="00D012B4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L81.9</w:t>
            </w:r>
          </w:p>
        </w:tc>
        <w:tc>
          <w:tcPr>
            <w:tcW w:w="851" w:type="dxa"/>
          </w:tcPr>
          <w:p w:rsidR="00257A90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440F" w:rsidRPr="00A21278" w:rsidTr="009D4904">
        <w:tc>
          <w:tcPr>
            <w:tcW w:w="6487" w:type="dxa"/>
          </w:tcPr>
          <w:p w:rsidR="00E8440F" w:rsidRPr="00A21278" w:rsidRDefault="00E8440F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Підвищена еластичність шкіри</w:t>
            </w:r>
          </w:p>
        </w:tc>
        <w:tc>
          <w:tcPr>
            <w:tcW w:w="2268" w:type="dxa"/>
          </w:tcPr>
          <w:p w:rsidR="00E8440F" w:rsidRPr="00A21278" w:rsidRDefault="00D012B4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L99.8</w:t>
            </w:r>
          </w:p>
        </w:tc>
        <w:tc>
          <w:tcPr>
            <w:tcW w:w="851" w:type="dxa"/>
          </w:tcPr>
          <w:p w:rsidR="00E8440F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E8440F" w:rsidRPr="00A21278" w:rsidTr="009D4904">
        <w:tc>
          <w:tcPr>
            <w:tcW w:w="6487" w:type="dxa"/>
          </w:tcPr>
          <w:p w:rsidR="00E8440F" w:rsidRPr="00A21278" w:rsidRDefault="00E8440F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Екхімози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петехії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носові кровотечі</w:t>
            </w:r>
          </w:p>
        </w:tc>
        <w:tc>
          <w:tcPr>
            <w:tcW w:w="2268" w:type="dxa"/>
          </w:tcPr>
          <w:p w:rsidR="00E8440F" w:rsidRPr="00A21278" w:rsidRDefault="00D012B4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D69.0</w:t>
            </w:r>
          </w:p>
        </w:tc>
        <w:tc>
          <w:tcPr>
            <w:tcW w:w="851" w:type="dxa"/>
          </w:tcPr>
          <w:p w:rsidR="00E8440F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1,5</w:t>
            </w:r>
          </w:p>
        </w:tc>
      </w:tr>
      <w:tr w:rsidR="00E8440F" w:rsidRPr="00A21278" w:rsidTr="009D4904">
        <w:tc>
          <w:tcPr>
            <w:tcW w:w="6487" w:type="dxa"/>
          </w:tcPr>
          <w:p w:rsidR="00E8440F" w:rsidRPr="00A21278" w:rsidRDefault="00E8440F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Колоїдні рубці</w:t>
            </w:r>
          </w:p>
        </w:tc>
        <w:tc>
          <w:tcPr>
            <w:tcW w:w="2268" w:type="dxa"/>
          </w:tcPr>
          <w:p w:rsidR="00E8440F" w:rsidRPr="00A21278" w:rsidRDefault="00D012B4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L91.0</w:t>
            </w:r>
          </w:p>
        </w:tc>
        <w:tc>
          <w:tcPr>
            <w:tcW w:w="851" w:type="dxa"/>
          </w:tcPr>
          <w:p w:rsidR="00E8440F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E8440F" w:rsidRPr="00A21278" w:rsidTr="009D4904">
        <w:tc>
          <w:tcPr>
            <w:tcW w:w="6487" w:type="dxa"/>
          </w:tcPr>
          <w:p w:rsidR="00E8440F" w:rsidRPr="00A21278" w:rsidRDefault="00D012B4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Атрофічні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стрії</w:t>
            </w:r>
            <w:proofErr w:type="spellEnd"/>
          </w:p>
        </w:tc>
        <w:tc>
          <w:tcPr>
            <w:tcW w:w="2268" w:type="dxa"/>
          </w:tcPr>
          <w:p w:rsidR="00E8440F" w:rsidRPr="00A21278" w:rsidRDefault="00D012B4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L90.6</w:t>
            </w:r>
          </w:p>
        </w:tc>
        <w:tc>
          <w:tcPr>
            <w:tcW w:w="851" w:type="dxa"/>
          </w:tcPr>
          <w:p w:rsidR="00E8440F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E8440F" w:rsidRPr="00A21278" w:rsidTr="009D4904">
        <w:tc>
          <w:tcPr>
            <w:tcW w:w="6487" w:type="dxa"/>
          </w:tcPr>
          <w:p w:rsidR="00E8440F" w:rsidRPr="00A21278" w:rsidRDefault="00D012B4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Натоптиші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тильному боці стопи</w:t>
            </w:r>
          </w:p>
        </w:tc>
        <w:tc>
          <w:tcPr>
            <w:tcW w:w="2268" w:type="dxa"/>
          </w:tcPr>
          <w:p w:rsidR="00E8440F" w:rsidRPr="00A21278" w:rsidRDefault="00D012B4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L91.9</w:t>
            </w:r>
          </w:p>
        </w:tc>
        <w:tc>
          <w:tcPr>
            <w:tcW w:w="851" w:type="dxa"/>
          </w:tcPr>
          <w:p w:rsidR="00E8440F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D012B4" w:rsidRPr="00A21278" w:rsidTr="009D4904">
        <w:tc>
          <w:tcPr>
            <w:tcW w:w="6487" w:type="dxa"/>
          </w:tcPr>
          <w:p w:rsidR="00D012B4" w:rsidRPr="00A21278" w:rsidRDefault="00D012B4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Видима венозна мережа</w:t>
            </w:r>
          </w:p>
        </w:tc>
        <w:tc>
          <w:tcPr>
            <w:tcW w:w="2268" w:type="dxa"/>
          </w:tcPr>
          <w:p w:rsidR="00D012B4" w:rsidRPr="00A21278" w:rsidRDefault="00D012B4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L80.0</w:t>
            </w:r>
          </w:p>
        </w:tc>
        <w:tc>
          <w:tcPr>
            <w:tcW w:w="851" w:type="dxa"/>
          </w:tcPr>
          <w:p w:rsidR="00D012B4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12B4" w:rsidRPr="00A21278" w:rsidTr="009D4904">
        <w:tc>
          <w:tcPr>
            <w:tcW w:w="6487" w:type="dxa"/>
          </w:tcPr>
          <w:p w:rsidR="00D012B4" w:rsidRPr="00A21278" w:rsidRDefault="00D012B4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Аномалії прорізування зубів</w:t>
            </w:r>
          </w:p>
        </w:tc>
        <w:tc>
          <w:tcPr>
            <w:tcW w:w="2268" w:type="dxa"/>
          </w:tcPr>
          <w:p w:rsidR="00D012B4" w:rsidRPr="00A21278" w:rsidRDefault="00D012B4" w:rsidP="00BD4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K07.3</w:t>
            </w:r>
          </w:p>
        </w:tc>
        <w:tc>
          <w:tcPr>
            <w:tcW w:w="851" w:type="dxa"/>
          </w:tcPr>
          <w:p w:rsidR="00D012B4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12B4" w:rsidRPr="00A21278" w:rsidTr="009D4904">
        <w:tc>
          <w:tcPr>
            <w:tcW w:w="9606" w:type="dxa"/>
            <w:gridSpan w:val="3"/>
          </w:tcPr>
          <w:p w:rsidR="00D012B4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М'язові:</w:t>
            </w:r>
          </w:p>
        </w:tc>
      </w:tr>
      <w:tr w:rsidR="00D012B4" w:rsidRPr="00A21278" w:rsidTr="009D4904">
        <w:tc>
          <w:tcPr>
            <w:tcW w:w="6487" w:type="dxa"/>
          </w:tcPr>
          <w:p w:rsidR="00D012B4" w:rsidRPr="00A21278" w:rsidRDefault="00D012B4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Діастаз прямих м'язів живота</w:t>
            </w:r>
          </w:p>
        </w:tc>
        <w:tc>
          <w:tcPr>
            <w:tcW w:w="2268" w:type="dxa"/>
          </w:tcPr>
          <w:p w:rsidR="00D012B4" w:rsidRPr="00A21278" w:rsidRDefault="00D012B4" w:rsidP="00BD434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Q79.5</w:t>
            </w:r>
          </w:p>
        </w:tc>
        <w:tc>
          <w:tcPr>
            <w:tcW w:w="851" w:type="dxa"/>
          </w:tcPr>
          <w:p w:rsidR="00D012B4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12B4" w:rsidRPr="00A21278" w:rsidTr="009D4904">
        <w:tc>
          <w:tcPr>
            <w:tcW w:w="6487" w:type="dxa"/>
          </w:tcPr>
          <w:p w:rsidR="00D012B4" w:rsidRPr="00A21278" w:rsidRDefault="00D012B4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Кила пупкова</w:t>
            </w:r>
          </w:p>
        </w:tc>
        <w:tc>
          <w:tcPr>
            <w:tcW w:w="2268" w:type="dxa"/>
          </w:tcPr>
          <w:p w:rsidR="00D012B4" w:rsidRPr="00A21278" w:rsidRDefault="00D012B4" w:rsidP="00BD434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К42.9</w:t>
            </w:r>
          </w:p>
        </w:tc>
        <w:tc>
          <w:tcPr>
            <w:tcW w:w="851" w:type="dxa"/>
          </w:tcPr>
          <w:p w:rsidR="00D012B4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12B4" w:rsidRPr="00A21278" w:rsidTr="009D4904">
        <w:tc>
          <w:tcPr>
            <w:tcW w:w="6487" w:type="dxa"/>
          </w:tcPr>
          <w:p w:rsidR="00D012B4" w:rsidRPr="00A21278" w:rsidRDefault="00D012B4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Кила пахова/калиткова</w:t>
            </w:r>
          </w:p>
        </w:tc>
        <w:tc>
          <w:tcPr>
            <w:tcW w:w="2268" w:type="dxa"/>
          </w:tcPr>
          <w:p w:rsidR="00D012B4" w:rsidRPr="00A21278" w:rsidRDefault="00D012B4" w:rsidP="00BD434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К40.9</w:t>
            </w:r>
          </w:p>
        </w:tc>
        <w:tc>
          <w:tcPr>
            <w:tcW w:w="851" w:type="dxa"/>
          </w:tcPr>
          <w:p w:rsidR="00D012B4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12B4" w:rsidRPr="00A21278" w:rsidTr="009D4904">
        <w:tc>
          <w:tcPr>
            <w:tcW w:w="6487" w:type="dxa"/>
          </w:tcPr>
          <w:p w:rsidR="00D012B4" w:rsidRPr="00A21278" w:rsidRDefault="00D012B4" w:rsidP="00BD43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М'язова гіпотонія</w:t>
            </w:r>
          </w:p>
        </w:tc>
        <w:tc>
          <w:tcPr>
            <w:tcW w:w="2268" w:type="dxa"/>
          </w:tcPr>
          <w:p w:rsidR="00D012B4" w:rsidRPr="00A21278" w:rsidRDefault="00D012B4" w:rsidP="00BD434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G98.0</w:t>
            </w:r>
          </w:p>
        </w:tc>
        <w:tc>
          <w:tcPr>
            <w:tcW w:w="851" w:type="dxa"/>
          </w:tcPr>
          <w:p w:rsidR="00D012B4" w:rsidRPr="00A21278" w:rsidRDefault="00D012B4" w:rsidP="00BD4349">
            <w:pPr>
              <w:ind w:left="-726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D012B4" w:rsidRPr="00A21278" w:rsidTr="009D4904">
        <w:tc>
          <w:tcPr>
            <w:tcW w:w="9606" w:type="dxa"/>
            <w:gridSpan w:val="3"/>
          </w:tcPr>
          <w:p w:rsidR="00D012B4" w:rsidRPr="00A21278" w:rsidRDefault="00D012B4" w:rsidP="00BD434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Максимальна кількість балів - 42; </w:t>
            </w:r>
            <w:proofErr w:type="spellStart"/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діагностично</w:t>
            </w:r>
            <w:proofErr w:type="spellEnd"/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значущі: ≥ 12</w:t>
            </w:r>
          </w:p>
        </w:tc>
      </w:tr>
    </w:tbl>
    <w:p w:rsidR="008E7BC8" w:rsidRPr="00A21278" w:rsidRDefault="008E7BC8" w:rsidP="00BD4349">
      <w:pPr>
        <w:shd w:val="clear" w:color="auto" w:fill="FFFFFF"/>
        <w:spacing w:before="150" w:after="30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8E7BC8" w:rsidRPr="00A21278" w:rsidRDefault="008E7BC8" w:rsidP="00BD4349">
      <w:pPr>
        <w:shd w:val="clear" w:color="auto" w:fill="FFFFFF"/>
        <w:spacing w:before="150" w:after="3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Таблиця </w:t>
      </w:r>
      <w:r w:rsidR="007D17F4"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Pr="00A2127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9D4904" w:rsidRPr="00A21278" w:rsidRDefault="008E7BC8" w:rsidP="009D490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278">
        <w:rPr>
          <w:rFonts w:ascii="Times New Roman" w:hAnsi="Times New Roman" w:cs="Times New Roman"/>
          <w:sz w:val="28"/>
          <w:szCs w:val="28"/>
          <w:lang w:val="uk-UA"/>
        </w:rPr>
        <w:t>Бальна оцінка вісцеральних ознак системного залучення СТ у дітей</w:t>
      </w:r>
    </w:p>
    <w:p w:rsidR="0032397A" w:rsidRPr="00A21278" w:rsidRDefault="008E7BC8" w:rsidP="009D490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278">
        <w:rPr>
          <w:rFonts w:ascii="Times New Roman" w:hAnsi="Times New Roman" w:cs="Times New Roman"/>
          <w:sz w:val="28"/>
          <w:szCs w:val="28"/>
          <w:lang w:val="uk-UA"/>
        </w:rPr>
        <w:t>(2-й етап діагностики)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409"/>
        <w:gridCol w:w="958"/>
      </w:tblGrid>
      <w:tr w:rsidR="008E7BC8" w:rsidRPr="00A21278" w:rsidTr="00F2440E">
        <w:trPr>
          <w:trHeight w:val="108"/>
        </w:trPr>
        <w:tc>
          <w:tcPr>
            <w:tcW w:w="6204" w:type="dxa"/>
          </w:tcPr>
          <w:p w:rsidR="008E7BC8" w:rsidRPr="00A21278" w:rsidRDefault="008E7BC8" w:rsidP="00F244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Вісцеральні ознаки</w:t>
            </w:r>
          </w:p>
        </w:tc>
        <w:tc>
          <w:tcPr>
            <w:tcW w:w="2409" w:type="dxa"/>
          </w:tcPr>
          <w:p w:rsidR="008E7BC8" w:rsidRPr="00A21278" w:rsidRDefault="008E7BC8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Шифр, МКХ-10</w:t>
            </w:r>
          </w:p>
        </w:tc>
        <w:tc>
          <w:tcPr>
            <w:tcW w:w="958" w:type="dxa"/>
          </w:tcPr>
          <w:p w:rsidR="008E7BC8" w:rsidRPr="00A21278" w:rsidRDefault="008E7BC8" w:rsidP="00F244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8E7BC8" w:rsidRPr="00A21278" w:rsidTr="00F2440E">
        <w:tc>
          <w:tcPr>
            <w:tcW w:w="6204" w:type="dxa"/>
          </w:tcPr>
          <w:p w:rsidR="008E7BC8" w:rsidRPr="00A21278" w:rsidRDefault="008E7BC8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Остеопенія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виражена/помірна</w:t>
            </w:r>
          </w:p>
        </w:tc>
        <w:tc>
          <w:tcPr>
            <w:tcW w:w="2409" w:type="dxa"/>
          </w:tcPr>
          <w:p w:rsidR="008E7BC8" w:rsidRPr="00A21278" w:rsidRDefault="008E7BC8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М81.0</w:t>
            </w:r>
          </w:p>
        </w:tc>
        <w:tc>
          <w:tcPr>
            <w:tcW w:w="958" w:type="dxa"/>
          </w:tcPr>
          <w:p w:rsidR="008E7BC8" w:rsidRPr="00A21278" w:rsidRDefault="008E7BC8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2,5/2</w:t>
            </w:r>
          </w:p>
        </w:tc>
      </w:tr>
      <w:tr w:rsidR="008E7BC8" w:rsidRPr="00A21278" w:rsidTr="00F2440E">
        <w:tc>
          <w:tcPr>
            <w:tcW w:w="6204" w:type="dxa"/>
          </w:tcPr>
          <w:p w:rsidR="008E7BC8" w:rsidRPr="00A21278" w:rsidRDefault="000A71A3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пролапс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мітрального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клапану </w:t>
            </w:r>
            <w:r w:rsidR="008E7BC8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(всі типи)/інші 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 аномалії серця (</w:t>
            </w:r>
            <w:r w:rsidR="008E7BC8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8E7BC8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I34.1</w:t>
            </w:r>
          </w:p>
        </w:tc>
        <w:tc>
          <w:tcPr>
            <w:tcW w:w="958" w:type="dxa"/>
          </w:tcPr>
          <w:p w:rsidR="008E7BC8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E7BC8" w:rsidRPr="00A21278" w:rsidTr="00F2440E">
        <w:tc>
          <w:tcPr>
            <w:tcW w:w="6204" w:type="dxa"/>
          </w:tcPr>
          <w:p w:rsidR="008E7BC8" w:rsidRPr="00A21278" w:rsidRDefault="008E7BC8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Ювенільний остеохондроз</w:t>
            </w:r>
          </w:p>
        </w:tc>
        <w:tc>
          <w:tcPr>
            <w:tcW w:w="2409" w:type="dxa"/>
          </w:tcPr>
          <w:p w:rsidR="008E7BC8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M42.0</w:t>
            </w:r>
          </w:p>
        </w:tc>
        <w:tc>
          <w:tcPr>
            <w:tcW w:w="958" w:type="dxa"/>
          </w:tcPr>
          <w:p w:rsidR="008E7BC8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E7BC8" w:rsidRPr="00A21278" w:rsidTr="00F2440E">
        <w:tc>
          <w:tcPr>
            <w:tcW w:w="6204" w:type="dxa"/>
          </w:tcPr>
          <w:p w:rsidR="008E7BC8" w:rsidRPr="00A21278" w:rsidRDefault="008E7BC8" w:rsidP="00F2440E">
            <w:pPr>
              <w:tabs>
                <w:tab w:val="left" w:pos="1054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Вертебробазилярна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недостатність</w:t>
            </w:r>
          </w:p>
        </w:tc>
        <w:tc>
          <w:tcPr>
            <w:tcW w:w="2409" w:type="dxa"/>
          </w:tcPr>
          <w:p w:rsidR="008E7BC8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G63.4</w:t>
            </w:r>
          </w:p>
        </w:tc>
        <w:tc>
          <w:tcPr>
            <w:tcW w:w="958" w:type="dxa"/>
          </w:tcPr>
          <w:p w:rsidR="008E7BC8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E7BC8" w:rsidRPr="00A21278" w:rsidTr="00F2440E">
        <w:tc>
          <w:tcPr>
            <w:tcW w:w="6204" w:type="dxa"/>
          </w:tcPr>
          <w:p w:rsidR="008E7BC8" w:rsidRPr="00A21278" w:rsidRDefault="00CD5EA0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МАС</w:t>
            </w:r>
          </w:p>
        </w:tc>
        <w:tc>
          <w:tcPr>
            <w:tcW w:w="2409" w:type="dxa"/>
          </w:tcPr>
          <w:p w:rsidR="008E7BC8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Q24.8</w:t>
            </w:r>
          </w:p>
        </w:tc>
        <w:tc>
          <w:tcPr>
            <w:tcW w:w="958" w:type="dxa"/>
          </w:tcPr>
          <w:p w:rsidR="008E7BC8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CD5EA0" w:rsidRPr="00A21278" w:rsidTr="00F2440E">
        <w:tc>
          <w:tcPr>
            <w:tcW w:w="6204" w:type="dxa"/>
          </w:tcPr>
          <w:p w:rsidR="00CD5EA0" w:rsidRPr="00A21278" w:rsidRDefault="00CD5EA0" w:rsidP="00F2440E">
            <w:pPr>
              <w:tabs>
                <w:tab w:val="left" w:pos="109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Нестабільність шийного відділу хребта </w:t>
            </w:r>
          </w:p>
        </w:tc>
        <w:tc>
          <w:tcPr>
            <w:tcW w:w="2409" w:type="dxa"/>
          </w:tcPr>
          <w:p w:rsidR="00CD5EA0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G55.3</w:t>
            </w:r>
          </w:p>
        </w:tc>
        <w:tc>
          <w:tcPr>
            <w:tcW w:w="958" w:type="dxa"/>
          </w:tcPr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CD5EA0" w:rsidRPr="00A21278" w:rsidTr="00F2440E">
        <w:tc>
          <w:tcPr>
            <w:tcW w:w="6204" w:type="dxa"/>
          </w:tcPr>
          <w:p w:rsidR="00CD5EA0" w:rsidRPr="00A21278" w:rsidRDefault="00CD5EA0" w:rsidP="00F2440E">
            <w:pPr>
              <w:tabs>
                <w:tab w:val="left" w:pos="2271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Мальформація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судин </w:t>
            </w:r>
          </w:p>
        </w:tc>
        <w:tc>
          <w:tcPr>
            <w:tcW w:w="2409" w:type="dxa"/>
          </w:tcPr>
          <w:p w:rsidR="00CD5EA0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D18.0</w:t>
            </w:r>
          </w:p>
        </w:tc>
        <w:tc>
          <w:tcPr>
            <w:tcW w:w="958" w:type="dxa"/>
          </w:tcPr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CD5EA0" w:rsidRPr="00A21278" w:rsidTr="00F2440E">
        <w:tc>
          <w:tcPr>
            <w:tcW w:w="6204" w:type="dxa"/>
          </w:tcPr>
          <w:p w:rsidR="00CD5EA0" w:rsidRPr="00A21278" w:rsidRDefault="00CD5EA0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Патологія органів зору </w:t>
            </w:r>
          </w:p>
        </w:tc>
        <w:tc>
          <w:tcPr>
            <w:tcW w:w="2409" w:type="dxa"/>
          </w:tcPr>
          <w:p w:rsidR="00CD5EA0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Н52</w:t>
            </w:r>
          </w:p>
        </w:tc>
        <w:tc>
          <w:tcPr>
            <w:tcW w:w="958" w:type="dxa"/>
          </w:tcPr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CD5EA0" w:rsidRPr="00A21278" w:rsidTr="00F2440E">
        <w:tc>
          <w:tcPr>
            <w:tcW w:w="6204" w:type="dxa"/>
          </w:tcPr>
          <w:p w:rsidR="00CD5EA0" w:rsidRPr="00A21278" w:rsidRDefault="000A71A3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дисфункція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жовчовивідних шляхів (</w:t>
            </w:r>
            <w:r w:rsidR="00CD5EA0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ДЖВШ</w:t>
            </w: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D5EA0"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тлі аномалії розвитку жовчного міхура </w:t>
            </w:r>
          </w:p>
        </w:tc>
        <w:tc>
          <w:tcPr>
            <w:tcW w:w="2409" w:type="dxa"/>
          </w:tcPr>
          <w:p w:rsidR="00CD5EA0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K82.8</w:t>
            </w:r>
          </w:p>
        </w:tc>
        <w:tc>
          <w:tcPr>
            <w:tcW w:w="958" w:type="dxa"/>
          </w:tcPr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CD5EA0" w:rsidRPr="00A21278" w:rsidTr="00F2440E">
        <w:tc>
          <w:tcPr>
            <w:tcW w:w="6204" w:type="dxa"/>
          </w:tcPr>
          <w:p w:rsidR="00CD5EA0" w:rsidRPr="00A21278" w:rsidRDefault="000A71A3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розширений корінь аорти</w:t>
            </w:r>
          </w:p>
        </w:tc>
        <w:tc>
          <w:tcPr>
            <w:tcW w:w="2409" w:type="dxa"/>
          </w:tcPr>
          <w:p w:rsidR="00CD5EA0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І71.9</w:t>
            </w:r>
          </w:p>
        </w:tc>
        <w:tc>
          <w:tcPr>
            <w:tcW w:w="958" w:type="dxa"/>
          </w:tcPr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D5EA0" w:rsidRPr="00A21278" w:rsidTr="00F2440E">
        <w:tc>
          <w:tcPr>
            <w:tcW w:w="6204" w:type="dxa"/>
          </w:tcPr>
          <w:p w:rsidR="00CD5EA0" w:rsidRPr="00A21278" w:rsidRDefault="00CD5EA0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Нефроптоз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птоз інших органів </w:t>
            </w:r>
          </w:p>
        </w:tc>
        <w:tc>
          <w:tcPr>
            <w:tcW w:w="2409" w:type="dxa"/>
          </w:tcPr>
          <w:p w:rsidR="00CD5EA0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N28.8</w:t>
            </w:r>
          </w:p>
        </w:tc>
        <w:tc>
          <w:tcPr>
            <w:tcW w:w="958" w:type="dxa"/>
          </w:tcPr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</w:t>
            </w:r>
          </w:p>
        </w:tc>
      </w:tr>
      <w:tr w:rsidR="00CD5EA0" w:rsidRPr="00A21278" w:rsidTr="00F2440E">
        <w:tc>
          <w:tcPr>
            <w:tcW w:w="6204" w:type="dxa"/>
          </w:tcPr>
          <w:p w:rsidR="00CD5EA0" w:rsidRPr="00A21278" w:rsidRDefault="00CD5EA0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Рефлюксна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хвороба</w:t>
            </w:r>
          </w:p>
        </w:tc>
        <w:tc>
          <w:tcPr>
            <w:tcW w:w="2409" w:type="dxa"/>
          </w:tcPr>
          <w:p w:rsidR="00CD5EA0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R21.0</w:t>
            </w:r>
          </w:p>
        </w:tc>
        <w:tc>
          <w:tcPr>
            <w:tcW w:w="958" w:type="dxa"/>
          </w:tcPr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D5EA0" w:rsidRPr="00A21278" w:rsidTr="00F2440E">
        <w:tc>
          <w:tcPr>
            <w:tcW w:w="6204" w:type="dxa"/>
          </w:tcPr>
          <w:p w:rsidR="00CD5EA0" w:rsidRPr="00A21278" w:rsidRDefault="00CD5EA0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Спонтанний пневмоторакс </w:t>
            </w:r>
          </w:p>
        </w:tc>
        <w:tc>
          <w:tcPr>
            <w:tcW w:w="2409" w:type="dxa"/>
          </w:tcPr>
          <w:p w:rsidR="00CD5EA0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J93.0</w:t>
            </w:r>
          </w:p>
        </w:tc>
        <w:tc>
          <w:tcPr>
            <w:tcW w:w="958" w:type="dxa"/>
          </w:tcPr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D5EA0" w:rsidRPr="00A21278" w:rsidTr="00F2440E">
        <w:tc>
          <w:tcPr>
            <w:tcW w:w="6204" w:type="dxa"/>
          </w:tcPr>
          <w:p w:rsidR="00CD5EA0" w:rsidRPr="00A21278" w:rsidRDefault="00CD5EA0" w:rsidP="00F2440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Мегаколон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</w:t>
            </w:r>
            <w:proofErr w:type="spellStart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долихосигма</w:t>
            </w:r>
            <w:proofErr w:type="spellEnd"/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CD5EA0" w:rsidRPr="00A21278" w:rsidRDefault="00CD5EA0" w:rsidP="00F2440E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K59.1</w:t>
            </w:r>
          </w:p>
        </w:tc>
        <w:tc>
          <w:tcPr>
            <w:tcW w:w="958" w:type="dxa"/>
          </w:tcPr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0,5</w:t>
            </w:r>
          </w:p>
        </w:tc>
      </w:tr>
      <w:tr w:rsidR="00CD5EA0" w:rsidRPr="00A21278" w:rsidTr="002A123A">
        <w:tc>
          <w:tcPr>
            <w:tcW w:w="9571" w:type="dxa"/>
            <w:gridSpan w:val="3"/>
          </w:tcPr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Максимальна кількість балів - 24</w:t>
            </w:r>
          </w:p>
          <w:p w:rsidR="00CD5EA0" w:rsidRPr="00A21278" w:rsidRDefault="00CD5EA0" w:rsidP="00F2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Діагностично</w:t>
            </w:r>
            <w:proofErr w:type="spellEnd"/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значущє</w:t>
            </w:r>
            <w:proofErr w:type="spellEnd"/>
            <w:r w:rsidRPr="00A2127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залучення ≥3 органів в різних системах</w:t>
            </w:r>
          </w:p>
        </w:tc>
      </w:tr>
    </w:tbl>
    <w:p w:rsidR="0032397A" w:rsidRPr="00A21278" w:rsidRDefault="0032397A" w:rsidP="00BD434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2072D" w:rsidRPr="00A21278" w:rsidRDefault="00D8585D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Деформація грудини, ребер, хребта та пов'язане з ними високе стояння діафрагми призводять до зменшення обсягу грудної порожнини,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здавлення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, зміщення серця,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перекруту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великих судин з порушенням притоку та відтоку. Зменшення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стерно-вертебрального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викликає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здавлення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легенів, зниження їх обсягу та вентиляційної здатності [</w:t>
      </w:r>
      <w:r w:rsidR="00A21278" w:rsidRPr="00A21278">
        <w:rPr>
          <w:rFonts w:ascii="Times New Roman" w:hAnsi="Times New Roman" w:cs="Times New Roman"/>
          <w:sz w:val="28"/>
          <w:szCs w:val="28"/>
          <w:lang w:val="uk-UA"/>
        </w:rPr>
        <w:t>8,9,</w:t>
      </w:r>
      <w:r w:rsidR="009666C5" w:rsidRPr="00A2127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>]. Погіршення легеневої вентиляції може бути наслідком парадоксального дихання, обумовленого рестрикції легких в деформованої грудній клітці при високому стоянні купола діафрагми і недостатньою функцією міжреберних м'язів [</w:t>
      </w:r>
      <w:r w:rsidR="00A21278" w:rsidRPr="00A21278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9666C5" w:rsidRPr="00A212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1278" w:rsidRPr="00A212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Здавлювальні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торакальні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умови ведуть до редукції судинного русла малого кола кровообігу, що викликає підвищення тиску в системі легеневої артерії. Поєднані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кардіо-пульмональні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призводять до гіпоксії </w:t>
      </w:r>
      <w:r w:rsidR="0022072D" w:rsidRPr="00A2127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включенню компенсаторних механізмів збільшення легеневої вентиляції</w:t>
      </w:r>
      <w:r w:rsidR="0022072D" w:rsidRPr="00A21278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тахікардії</w:t>
      </w:r>
      <w:r w:rsidR="0022072D"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. Навіть невелика </w:t>
      </w:r>
      <w:proofErr w:type="spellStart"/>
      <w:r w:rsidR="0022072D" w:rsidRPr="00A21278">
        <w:rPr>
          <w:rFonts w:ascii="Times New Roman" w:hAnsi="Times New Roman" w:cs="Times New Roman"/>
          <w:sz w:val="28"/>
          <w:szCs w:val="28"/>
          <w:lang w:val="uk-UA"/>
        </w:rPr>
        <w:t>воронкооподібна</w:t>
      </w:r>
      <w:proofErr w:type="spellEnd"/>
      <w:r w:rsidR="0022072D"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деформація грудної клітини зменшує життєву ємність та вентиляцію легенів, знижує дихальний резерв. Причиною погіршення легеневої вентиляції є порушення дренажної функції бронхів внаслідок парадоксального дихання. В результаті цього розвиваються гіпоксія та </w:t>
      </w:r>
      <w:proofErr w:type="spellStart"/>
      <w:r w:rsidR="0022072D" w:rsidRPr="00A21278">
        <w:rPr>
          <w:rFonts w:ascii="Times New Roman" w:hAnsi="Times New Roman" w:cs="Times New Roman"/>
          <w:sz w:val="28"/>
          <w:szCs w:val="28"/>
          <w:lang w:val="uk-UA"/>
        </w:rPr>
        <w:t>гіперкапнія</w:t>
      </w:r>
      <w:proofErr w:type="spellEnd"/>
      <w:r w:rsidR="0022072D" w:rsidRPr="00A21278">
        <w:rPr>
          <w:rFonts w:ascii="Times New Roman" w:hAnsi="Times New Roman" w:cs="Times New Roman"/>
          <w:sz w:val="28"/>
          <w:szCs w:val="28"/>
          <w:lang w:val="uk-UA"/>
        </w:rPr>
        <w:t>, які викликають подальші зміни в системі органів дихання [</w:t>
      </w:r>
      <w:r w:rsidR="00A21278" w:rsidRPr="00A212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66C5" w:rsidRPr="00A21278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A21278" w:rsidRPr="00A212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2072D" w:rsidRPr="00A21278">
        <w:rPr>
          <w:rFonts w:ascii="Times New Roman" w:hAnsi="Times New Roman" w:cs="Times New Roman"/>
          <w:sz w:val="28"/>
          <w:szCs w:val="28"/>
          <w:lang w:val="uk-UA"/>
        </w:rPr>
        <w:t>]. Інші автори пов'язують формування запальних захворювань у хворих ДСТ з порушеннями в імунній системі [</w:t>
      </w:r>
      <w:r w:rsidR="00A21278" w:rsidRPr="00A212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2072D" w:rsidRPr="00A2127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2072D" w:rsidRPr="00A21278" w:rsidRDefault="0022072D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У дітей з фенотипічними проявами ДСТ відзначаються особливості перебігу обструктивних бронхітів та бронхіальної астми. Так, при важкому перебігу під час нападу у хворих дітей спостерігався синдром вираженої дихальної аритмії. </w:t>
      </w:r>
    </w:p>
    <w:p w:rsidR="0022072D" w:rsidRPr="00A21278" w:rsidRDefault="0022072D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Бронхологічне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дозволяє встановити наявність </w:t>
      </w:r>
      <w:proofErr w:type="spellStart"/>
      <w:r w:rsidRPr="00A21278">
        <w:rPr>
          <w:rFonts w:ascii="Times New Roman" w:hAnsi="Times New Roman" w:cs="Times New Roman"/>
          <w:sz w:val="28"/>
          <w:szCs w:val="28"/>
          <w:lang w:val="uk-UA"/>
        </w:rPr>
        <w:t>трахеобронх</w:t>
      </w:r>
      <w:r w:rsidR="007D17F4" w:rsidRPr="00A212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21278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 w:rsidR="007D17F4" w:rsidRPr="00A21278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A21278">
        <w:rPr>
          <w:rFonts w:ascii="Times New Roman" w:hAnsi="Times New Roman" w:cs="Times New Roman"/>
          <w:sz w:val="28"/>
          <w:szCs w:val="28"/>
          <w:lang w:val="uk-UA"/>
        </w:rPr>
        <w:t xml:space="preserve"> дистонії та аномалії розгалуження бронхів.</w:t>
      </w:r>
    </w:p>
    <w:p w:rsidR="007F29A9" w:rsidRPr="00BD4349" w:rsidRDefault="007F29A9" w:rsidP="00BD434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b/>
          <w:sz w:val="28"/>
          <w:szCs w:val="28"/>
          <w:lang w:val="uk-UA"/>
        </w:rPr>
        <w:t>Клінічне спостереження.</w:t>
      </w:r>
    </w:p>
    <w:p w:rsidR="007F29A9" w:rsidRPr="00BD4349" w:rsidRDefault="007F29A9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Хлопчик Р., 2-х років, перебував на обстеженні і лікуванні в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пульмонологічному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відділенні багатопрофільного стаціонару, зі скаргами на 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малопродуктивний кашель, задишку, дистанційні хрипи,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субфебрильну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температуру, млявість, щомісячні захворювання бронхолегеневої системи</w:t>
      </w:r>
    </w:p>
    <w:p w:rsidR="0022072D" w:rsidRPr="00BD4349" w:rsidRDefault="007F29A9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>З анамнезу життя та захворювання відомо, що дитина від шостої вагітності, що протікала на тлі анемії, Д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ЦП, </w:t>
      </w:r>
      <w:proofErr w:type="spellStart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інфікованості</w:t>
      </w:r>
      <w:proofErr w:type="spellEnd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туберкульозом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у біологічної мами. Пологи п'яті в терміні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гестації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39 тижнів. Маса тіла при народженні 3500 грамів, на штучному вигодовуванні з народження. Хлопчик до року спостерігався у невролога з діагнозом: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гіпоксично-ішемічна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енцефалопатія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синдром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гіперзбудливості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гіпертензійно-лікворн</w:t>
      </w:r>
      <w:r w:rsidR="002A123A" w:rsidRPr="00BD4349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синдром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123A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Відмічено пізнє прорізування зубів.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У віці 1 року 4 місяців дитині оформлена інвалідність з приводу органічного ураження ЦНС (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атонически-астатичний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синдром зі стійкими вираженими руховими порушеннями, затримка етапів розвитку). Серед перенесених захворювань - повторні ГРВІ, обструктивні бронхіти (до 10 разів), пневмонії (3 рази). Дитина до 1,5 років виховувався в домі дитини (повних даних про біологічн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мат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спадков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немає), у віці 1 року 7 місяців усиновлен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​​в прийомну сім'ю.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При надходженні до клініки: стан дитини важкий за рахунок виражених проявів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бронхообструктивного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синдрому. Хлопчик відстає в психомоторному розвитку: стоїть нестійко, ходить з підтримкою, вимовляє окремі склади, намагаючись поєднати їх в слова, розуміє звернену до нього мову. При огляді звертає увагу фенотип дитини: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макросомія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, виступаючий лоб, широке перенісся, коротка шия, низько розташоване пупкове кільце, короткі пальці, залишкові прояви перенесеного рахіту у вигляді "браслетів", "ребрових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чіток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". Не лихоманить. Маса тіла 16 кг. Зріст 84 см. ІМТ - 22,8 кг/м</w:t>
      </w:r>
      <w:r w:rsidRPr="00BD4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. Фізичний розвиток дисгармонійний, ожиріння. Підшкірно-жирова клітковина розвинена надмірно, розподілена нерівномірно, з переважанням на грудях, животі, стегнах. Набряків немає. Тонус м'язів та тургор тканин знижений</w:t>
      </w:r>
      <w:r w:rsidR="005E4D6B" w:rsidRPr="00BD4349">
        <w:rPr>
          <w:rFonts w:ascii="Times New Roman" w:hAnsi="Times New Roman" w:cs="Times New Roman"/>
          <w:sz w:val="28"/>
          <w:szCs w:val="28"/>
          <w:lang w:val="uk-UA"/>
        </w:rPr>
        <w:t>, діастаз прямих м’язів живота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123A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СГМС.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Шкірні покриви бліді, вільні від висипань, підвищена еластичність</w:t>
      </w:r>
      <w:r w:rsidR="005E4D6B" w:rsidRPr="00BD4349">
        <w:rPr>
          <w:rFonts w:ascii="Times New Roman" w:hAnsi="Times New Roman" w:cs="Times New Roman"/>
          <w:sz w:val="28"/>
          <w:szCs w:val="28"/>
          <w:lang w:val="uk-UA"/>
        </w:rPr>
        <w:t>, видима венозна сітка на грудях та плечах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Периорбітальні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тіні. Слизова зіву рожева, волога, чиста.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Пальпуються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підщелепні лімфатичні вузли - до 0,7-0,9 см в діаметрі, рухливі, безболісні. 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Носове дихання утруднене, слизової виділення. Дистанційні хрипи.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Тахипное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до 40 в хвилину. Участь допоміжної мускулатури в акті дихання.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Перкуторно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над легенями коробковий відтінок легеневого звуку,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аускультативно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ослаблене дихання, видих подовжений, сухі свистячі та різнокаліберні вологі хрипи з обох сторін. Область серця без видимих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​​деформацій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ЧСС 110-120 за хвилину. Тони серця ритмічні, помірно приглушені, короткий систолічний шум на верхівці. Язик вологий, чистий. Живіт м'який, доступний глибокій пальпації. Печінка +2,5 см нижче краю реберної дуги, край еластичний, безболісний. Селезінка не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пальпується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. Стілець оформлений, без патологічних домішок. Сечовиділення вільне, безболісне. Діурез адекватний.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>Дані додаткових досліджень: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У клінічному аналізі крові: відносна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лімфопенія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(38%), </w:t>
      </w:r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>помірний лейкоцитоз (13,5*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D4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/л).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>- Клінічний аналіз сечі - в нормі.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У мазку з зіву на флору та чутливість до антибіотиків: S.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viridans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значне зростання (10</w:t>
      </w:r>
      <w:r w:rsidRPr="00BD4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), гриби роду </w:t>
      </w:r>
      <w:proofErr w:type="spellStart"/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>Candida</w:t>
      </w:r>
      <w:proofErr w:type="spellEnd"/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5*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D4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КУО,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N.haemolyticum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значне зростання (10</w:t>
      </w:r>
      <w:r w:rsidRPr="00BD4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>- У носоглоткових змиву на віруси виявлено РС - вірус.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Біохімічне дослідження крові: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креатинін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крові - 55,9 (N 27-62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мкмоль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/л), сечовина крові - 5,38 (N 1,8 - 6,4ммоль/л); фосфор - 1,58 (N 1,45-1,78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/л); магній - 1,0 (N 0,7 - 0,95ммоль/л); кальцій - 2,2 (N 2,02-2,6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/л); глюкоза крові - 5,5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/л.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Біохімічне дослідження функцій печінки: АЛТ-24,2 МО/л (N 5-30 МО/л), АСТ-21,6 МО/л (N 7-40 МО/л), загальний білірубін9,9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мкмоль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/л ( N 8,6-20,5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мкмоль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/л), пов'язаний - 3,3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мкмоль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/л (N до 5,1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мкмоль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/л), вільне володіння - 6,6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мкмоль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/л (N до 15,4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мкмоль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/л) .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Пілокарпінова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проба: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+ - 27,2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/л.</w:t>
      </w:r>
    </w:p>
    <w:p w:rsidR="008036BC" w:rsidRPr="00BD4349" w:rsidRDefault="00991003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Імунограма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: лейкоцити 13,5*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036BC" w:rsidRPr="00BD4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л (N 7,9-8,5*10</w:t>
      </w:r>
      <w:r w:rsidRPr="00BD4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л), лімфоцити - 30% (N 34-38,5%), л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імфоцити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абс.ч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- 4,1 (N 2,6-3,2*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036BC" w:rsidRPr="00BD4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л), СД</w:t>
      </w:r>
      <w:r w:rsidR="008036BC" w:rsidRPr="00BD43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- 68% (N 66-76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%), СД</w:t>
      </w:r>
      <w:r w:rsidRPr="00BD43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абс.ч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- 2,79 (N 1.4-2.0*10</w:t>
      </w:r>
      <w:r w:rsidRPr="00BD4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л), СД</w:t>
      </w:r>
      <w:r w:rsidR="008036BC" w:rsidRPr="00BD43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22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- 28% (N 17-31),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СД</w:t>
      </w:r>
      <w:r w:rsidRPr="00BD43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22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абс.ч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- 1,15 (N 0.13-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lastRenderedPageBreak/>
        <w:t>0.87*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036BC" w:rsidRPr="00BD4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/л), СД</w:t>
      </w:r>
      <w:r w:rsidR="008036BC" w:rsidRPr="00BD43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- 41% (N 33-41%), СД</w:t>
      </w:r>
      <w:r w:rsidR="008036BC" w:rsidRPr="00BD43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-2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6% (N 27-35%), СД</w:t>
      </w:r>
      <w:r w:rsidRPr="00BD43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СД</w:t>
      </w:r>
      <w:r w:rsidR="008036BC" w:rsidRPr="00BD43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- 1,57 (N1.1-1.4), СД</w:t>
      </w:r>
      <w:r w:rsidR="008036BC" w:rsidRPr="00BD43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16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- 22% (N 9-16%),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IgA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- 0,90 г/л (N 1.24 ± 0.45 г/л),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IgM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-1,26 г</w:t>
      </w:r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/л (N 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0,65 ± 0,25 г / л),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- 6,8 г/л (N 9,23 ± 2,56 г/л),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IgE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- 64,76 МЕ/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(N 50 МО/</w:t>
      </w:r>
      <w:proofErr w:type="spellStart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) , 44% </w:t>
      </w:r>
      <w:proofErr w:type="spellStart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фагоцитуючими</w:t>
      </w:r>
      <w:proofErr w:type="spellEnd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нейтрофіл</w:t>
      </w:r>
      <w:proofErr w:type="spellEnd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(N 40-90%), фагоцит. </w:t>
      </w:r>
      <w:proofErr w:type="spellStart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кол-во</w:t>
      </w:r>
      <w:proofErr w:type="spellEnd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1,7 (1-2), комплемент СН 50-68 (N 40-80), </w:t>
      </w:r>
      <w:proofErr w:type="spellStart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НСТ-тест</w:t>
      </w:r>
      <w:proofErr w:type="spellEnd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>спонт</w:t>
      </w:r>
      <w:proofErr w:type="spellEnd"/>
      <w:r w:rsidR="008036BC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-27% (N 8-12%).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Аналіз крові на гормони щитовидної </w:t>
      </w:r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залози: Т4 вільний - 10,6 </w:t>
      </w:r>
      <w:proofErr w:type="spellStart"/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>пмоль</w:t>
      </w:r>
      <w:proofErr w:type="spellEnd"/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л (при нормі 10-23,2); </w:t>
      </w:r>
      <w:proofErr w:type="spellStart"/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>тиреотропний</w:t>
      </w:r>
      <w:proofErr w:type="spellEnd"/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гормон - 5,03 </w:t>
      </w:r>
      <w:proofErr w:type="spellStart"/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>мкМЕ</w:t>
      </w:r>
      <w:proofErr w:type="spellEnd"/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(при нормі 0,23-3,4); антитіла д</w:t>
      </w:r>
      <w:r w:rsidR="005E4D6B" w:rsidRPr="00BD4349">
        <w:rPr>
          <w:rFonts w:ascii="Times New Roman" w:hAnsi="Times New Roman" w:cs="Times New Roman"/>
          <w:sz w:val="28"/>
          <w:szCs w:val="28"/>
          <w:lang w:val="uk-UA"/>
        </w:rPr>
        <w:t>о ТПО - 12 (в нормі до 30 МО/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4D6B" w:rsidRPr="00BD4349">
        <w:rPr>
          <w:rFonts w:ascii="Times New Roman" w:hAnsi="Times New Roman" w:cs="Times New Roman"/>
          <w:sz w:val="28"/>
          <w:szCs w:val="28"/>
          <w:lang w:val="uk-UA"/>
        </w:rPr>
        <w:t>інсулін</w:t>
      </w:r>
      <w:proofErr w:type="spellEnd"/>
      <w:r w:rsidR="005E4D6B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(ІФА) - 24,65 </w:t>
      </w:r>
      <w:proofErr w:type="spellStart"/>
      <w:r w:rsidR="005E4D6B" w:rsidRPr="00BD4349">
        <w:rPr>
          <w:rFonts w:ascii="Times New Roman" w:hAnsi="Times New Roman" w:cs="Times New Roman"/>
          <w:sz w:val="28"/>
          <w:szCs w:val="28"/>
          <w:lang w:val="uk-UA"/>
        </w:rPr>
        <w:t>мкМЕ</w:t>
      </w:r>
      <w:proofErr w:type="spellEnd"/>
      <w:r w:rsidR="005E4D6B" w:rsidRPr="00BD434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(при нормі 3-15).</w:t>
      </w:r>
    </w:p>
    <w:p w:rsidR="008036BC" w:rsidRPr="00BD4349" w:rsidRDefault="008036BC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>- ІФА сумарні антитіла до гельмінт</w:t>
      </w:r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: лямблії,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токсокар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, аскариди АТ IgG- негативн</w:t>
      </w:r>
      <w:r w:rsidR="00991003" w:rsidRPr="00BD43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1003" w:rsidRPr="00BD4349" w:rsidRDefault="00991003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ІФА: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IgM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: ЦМВ (0.12),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Chlamydia</w:t>
      </w:r>
      <w:proofErr w:type="spellEnd"/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pneumonia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(0.10),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Mycoplasma</w:t>
      </w:r>
      <w:proofErr w:type="spellEnd"/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pneumonia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(0,07)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-негативно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1003" w:rsidRPr="00BD4349" w:rsidRDefault="00991003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: ЦМВ (0,97 - позитивно),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Chlamydia</w:t>
      </w:r>
      <w:proofErr w:type="spellEnd"/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pneumonia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(0.08),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Mycoplasma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pneumonia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(0,05) негативно;</w:t>
      </w:r>
    </w:p>
    <w:p w:rsidR="00991003" w:rsidRPr="00BD4349" w:rsidRDefault="00991003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Рентгенографія органів грудної клітки: легеневі поля підвищеної прозорості. Легеневий малюнок посилений, збагачений з обох сторін. Корені розширені,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малоструктурні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. Синуси вільні. Серце - в межах норми.</w:t>
      </w:r>
    </w:p>
    <w:p w:rsidR="00991003" w:rsidRPr="00BD4349" w:rsidRDefault="00991003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УЗД: печінка збільшена (вертикальний косий розмір 96 мм (N - до 85)), край гострий, контури гострі, структура однорідна,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ехогенність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не змінена. Жовчний міхур: 46×16 мм, перегин дна та шийки, стінка не потовщені,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холедох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в нормі, каменів немає. Підшлункова залоза - без особливостей. Селезінка: 71×32 мм, не збільшена. Нирки - права 61×26 мм, ліва 63×35 мм, паренхіма 13 мм, однорідна, ЧЛС не розширені, каменів немає. Сечовий міхур норма.</w:t>
      </w:r>
    </w:p>
    <w:p w:rsidR="00991003" w:rsidRPr="00BD4349" w:rsidRDefault="00991003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ЕКГ: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синусова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брадикардія. ЧСС = 72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в хвилину. Неповна блокада правої ніжки пучка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Гіса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072D" w:rsidRPr="00BD4349" w:rsidRDefault="00991003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ДпЕ</w:t>
      </w:r>
      <w:r w:rsidR="002F0CA5" w:rsidRPr="00BD4349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КГ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: виявлено ліво-правий шунт (d = 2,5 мм) в середній третині МПП. Функціонуюче овальне вікно. Аномальна хорда лівого шлуночка.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Ультразвукове дослідження щитовидної залози. Обсяг щитовидної залози дещо перевищує нормативні значення, але не є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гіперплазованим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для даного фізичного розвитку,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ехоструктура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не змінена.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>- Е</w:t>
      </w:r>
      <w:r w:rsidR="002F0CA5" w:rsidRPr="00BD4349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ЕГ: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Мехоd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Мехоs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= 70 мм. Ширина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М-ехо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6,5. Зсуву не виявлено. Ознаки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лікворної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гіпертензії.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Бронхоскопія: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трахеобронхомаляція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Двосторонній дифузний катарально-гнійний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ендобронхіт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При комп'ютерній томографії органів грудної клітки, проведеної в спіральному режимі кроком 3 мм, та на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мультіпланарних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реконструкціях вогнищевих та інфільтративних змін в легенях не вия</w:t>
      </w:r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влено. Мають місце </w:t>
      </w:r>
      <w:proofErr w:type="spellStart"/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>субплевральн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ущільнення паренхіми лег</w:t>
      </w:r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>енів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, більше справа. Трахея та великі бронхи прохідні. Просвіт трахеї в формі витягнутого овалу. Легенев</w:t>
      </w:r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малюнок </w:t>
      </w:r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>дещо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посилений за рахунок судинного компонент</w:t>
      </w:r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. Кор</w:t>
      </w:r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лег</w:t>
      </w:r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>енів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не розширені.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Медіастинальні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бронхопульмональні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лімфовузли не збільшені. Вільної рідини в плевральних порожнинах немає. Тінь середостіння не розширена. Кістково-деструктивних змін не виявлено. Висновок: описані зміни паренхіми легенів, ймовірно,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постзапального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генезу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>Консультації фахівців: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Невролог: Вроджена патологія ЦНС,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субкомпенсированная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гідроцефалія з нижнім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парапарезом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, затримкою психомоторного розвитку.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Ендокринолог: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Гіпоталамічне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ожиріння. Субклінічний гіпотиреоз.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Гиперінсулінізм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Імунолог: у дитини має місце аномалія будови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трахеобронхіального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дерева: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трахеобронхомаляція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. Хронічний бронхіт, період загострення (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РС-вірусна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інфекція).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Офтальмолог.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Ангіопатія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сітківки за гіпертонічним типом обох очей.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- Фтизіатр.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Хлопчсик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не інфікований МБТ. В даний час даних за активний туберкульозний процес немає.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на підставі проведеного обстеження було встановлено клінічний діагноз: </w:t>
      </w:r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Вроджена аномалія будови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трахеобронхіального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дерева: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трахеобронхомаляція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Вторинний хронічний бронхіт з синдромом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бронхообструкції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період загострення.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РС-вірусна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інфекція. Дихальна недостатність </w:t>
      </w:r>
      <w:r w:rsidR="00BD4349" w:rsidRPr="00BD4349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Супутній діагноз: </w:t>
      </w:r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Вроджена патологія ЦНС,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субкомпенсована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гідроцефалія з нижнім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парапарезом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затримкою психомоторного розвитку.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Гіпоталамічне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ожиріння. Субклінічний гіпотиреоз.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Гиперінсулінізм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>Ангіопатія</w:t>
      </w:r>
      <w:proofErr w:type="spellEnd"/>
      <w:r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сітківки за гіпертонічним типом обох очей. Функціонуюче овальне вікно. Аномальна хорда лівого шлуночка. Аномалія будови жовчного міхура.</w:t>
      </w:r>
      <w:r w:rsidR="002A123A" w:rsidRPr="00BD4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Недиференційована дисплазія сполучної тканини І ст.</w:t>
      </w:r>
    </w:p>
    <w:p w:rsidR="00991003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>Дитині проведено лікування: стіл «дитячий»; враховуючи тяжкість та затяжний характер захворювання дитина отримала 2 курси антибактеріальної терапії (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Цефограм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амікацин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, потім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левоцин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); противірусна терапія (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віферон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дезінтоксикаційна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терапія; з метою поліпшення дренажної функції легенів дитина отримувала внутрішньовенну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інфузію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з еуфіліном та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дексаметазоном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лазолекс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внутрішньовенно,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β-адреноміметики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інгаляційно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вентолін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беродуал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), інгаляційні стероїди (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фліксотид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пульмікорт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антигістамінна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терапія (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лоратадин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); протигрибкову терапію (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флуконазол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пробіотики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флувір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); фізіотерапія - спелеотерапія,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цуботерапія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, масаж, ЛФК.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В динаміці прояви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бронхообструктивного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синдрому куповані, загальний стан дитини стабілізувався. Дитина виписаний під спостереження педіатра,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пульмонолога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, невролога, ендокринолога за місцем проживання з реко</w:t>
      </w:r>
      <w:r w:rsidR="008053A1" w:rsidRPr="00BD4349">
        <w:rPr>
          <w:rFonts w:ascii="Times New Roman" w:hAnsi="Times New Roman" w:cs="Times New Roman"/>
          <w:sz w:val="28"/>
          <w:szCs w:val="28"/>
          <w:lang w:val="uk-UA"/>
        </w:rPr>
        <w:t>мендаціями: дієта №8, 1200 ккал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053A1" w:rsidRPr="00BD4349">
        <w:rPr>
          <w:rFonts w:ascii="Times New Roman" w:hAnsi="Times New Roman" w:cs="Times New Roman"/>
          <w:sz w:val="28"/>
          <w:szCs w:val="28"/>
          <w:lang w:val="uk-UA"/>
        </w:rPr>
        <w:t>добу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, обмежити легко засвоювані вуглеводи; контроль </w:t>
      </w:r>
      <w:r w:rsidR="008053A1" w:rsidRPr="00BD4349">
        <w:rPr>
          <w:rFonts w:ascii="Times New Roman" w:hAnsi="Times New Roman" w:cs="Times New Roman"/>
          <w:sz w:val="28"/>
          <w:szCs w:val="28"/>
          <w:lang w:val="uk-UA"/>
        </w:rPr>
        <w:t>аналізу крові на ТТГ, Т4 св., а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/т до ТПО через 1 місяць з повторною консультацією ендокринолога; повторна консультація невролога через 2 тижні з метою вирішення питання про проведення МРТ головного мозку </w:t>
      </w:r>
      <w:r w:rsidR="008053A1" w:rsidRPr="00BD434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поперекового відділу спинного мозку, з подальшою консультацією нейрохірурга; консультація генетика в зв'язку з протипоказанням прийому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Кардонату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пірацетаму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3A1" w:rsidRPr="00BD434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його аналогів. Медикаментозне</w:t>
      </w:r>
      <w:r w:rsidR="008053A1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лікування: L-тироксин 12,5 </w:t>
      </w:r>
      <w:proofErr w:type="spellStart"/>
      <w:r w:rsidR="008053A1" w:rsidRPr="00BD4349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3A1" w:rsidRPr="00BD434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D4349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1 раз в</w:t>
      </w:r>
      <w:r w:rsidR="008053A1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день - 10 днів, потім 25 мкгх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1 раз в день - постійно вранці до сніданку;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бронхомунал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3,5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1 раз на день - 10 днів, потім 20 днів 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перерва - курс 3 місяці;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Магне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В6 ¼ таблетки х 2 рази в день - 1 місяць;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армадін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0,125 по 1/3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табл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х 2 рази в день - 1 місяць;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внутрішньом'язово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кортексин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5 мг х 1 раз в день - №10.</w:t>
      </w:r>
    </w:p>
    <w:p w:rsidR="00464166" w:rsidRPr="00BD4349" w:rsidRDefault="00464166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Труднощі ведення даного пацієнта обумовлені поєднанням вродженої аномалії будови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трахеобронхіального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дерева у дитини з хронічною соматичною патологією інших органів</w:t>
      </w:r>
      <w:r w:rsidR="002A123A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: органічне ураження ЦНС, ураження ендокринної системи та  </w:t>
      </w:r>
      <w:proofErr w:type="spellStart"/>
      <w:r w:rsidR="002A123A" w:rsidRPr="00BD4349">
        <w:rPr>
          <w:rFonts w:ascii="Times New Roman" w:hAnsi="Times New Roman" w:cs="Times New Roman"/>
          <w:sz w:val="28"/>
          <w:szCs w:val="28"/>
          <w:lang w:val="uk-UA"/>
        </w:rPr>
        <w:t>диспластичні</w:t>
      </w:r>
      <w:proofErr w:type="spellEnd"/>
      <w:r w:rsidR="002A123A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зміни за зовнішніми (СГМС, видима венозна сітка, пізнє прорізування зубів, діастаз прямих м’язів живота, підвищена еластичність шкіри)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23A"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та вісцеральними ознаками (патологія органів зору, </w:t>
      </w:r>
      <w:r w:rsidR="00FA1FCB" w:rsidRPr="00BD4349">
        <w:rPr>
          <w:rFonts w:ascii="Times New Roman" w:hAnsi="Times New Roman" w:cs="Times New Roman"/>
          <w:sz w:val="28"/>
          <w:szCs w:val="28"/>
          <w:lang w:val="uk-UA"/>
        </w:rPr>
        <w:t>аномальна хорда лівого шлуночка</w:t>
      </w:r>
      <w:r w:rsidR="002A123A" w:rsidRPr="00BD4349">
        <w:rPr>
          <w:rFonts w:ascii="Times New Roman" w:hAnsi="Times New Roman" w:cs="Times New Roman"/>
          <w:sz w:val="28"/>
          <w:szCs w:val="28"/>
          <w:lang w:val="uk-UA"/>
        </w:rPr>
        <w:t>, аномалія будови жовчного міхура)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166" w:rsidRPr="00BD4349" w:rsidRDefault="00464166" w:rsidP="00BD434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2397A" w:rsidRPr="00BD4349" w:rsidRDefault="003C2FE5" w:rsidP="00BD43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дітей з сполучнотканинною патологією є складним та мало розробленим. Етіологічне лікування відсутнє, лікувальні курси патогенетичної терапії, як правило, досить тривалі, а ефект - далеко нешвидкий. Ефективність ведення дітей з </w:t>
      </w:r>
      <w:r w:rsidR="000A71A3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СТ та ДСТ багато в чому визначається їх ранньою діагностикою, що дозволить почати своєчасну профілактику розвитку можливих ускладнень та уповільнити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прогредиентность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перебігу даної патології. Запорукою успіху є спадкоємність ведення пацієнта на всіх етапах: акушер-гінеколог -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неонатолог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- педіатр - терапевт.</w:t>
      </w:r>
    </w:p>
    <w:p w:rsidR="003C2FE5" w:rsidRPr="00BD4349" w:rsidRDefault="003C2FE5" w:rsidP="00BD43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Важливим моментом є </w:t>
      </w:r>
      <w:proofErr w:type="spellStart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мультидисциплінарний</w:t>
      </w:r>
      <w:proofErr w:type="spellEnd"/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підхід: своєчасна допомога фахівців (кардіолог, офтальмолог, ортопед, гастроентеролог, невролог, гематолог, ендокринолог та лікарі інших спеціальностей), які працюють єдиною командою </w:t>
      </w:r>
      <w:r w:rsidR="000F16EF"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знають проблему ДСТ.</w:t>
      </w:r>
    </w:p>
    <w:p w:rsidR="0032397A" w:rsidRPr="00BD4349" w:rsidRDefault="003C2FE5" w:rsidP="00BD43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Необхідна розробка індивідуального комплексного підходу до кожної дитини з урахуванням виявлених клініко-інструментальних та лабораторних порушень. Важливо домогтися активної участі самого пацієнта </w:t>
      </w:r>
      <w:r w:rsidR="000F16EF"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сім'ї</w:t>
      </w:r>
      <w:r w:rsidR="000F16EF"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дитини в процесі лікування і повного розуміння основного гасла ведення: </w:t>
      </w:r>
      <w:r w:rsidR="000F16EF"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«ДИСПЛАЗІЯ СПОЛУЧНОЇ ТКАНИНИ - ЦЕ СПОСІБ ЖИТТЯ!»</w:t>
      </w:r>
      <w:r w:rsidR="000F08BA"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</w:t>
      </w:r>
      <w:r w:rsidR="00A2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F08BA" w:rsidRPr="00BD4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32397A" w:rsidRPr="00BD4349" w:rsidRDefault="0032397A" w:rsidP="00BD434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666C5" w:rsidRPr="00BD4349" w:rsidRDefault="009666C5" w:rsidP="00BD434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56DFE" w:rsidRPr="00BD4349" w:rsidRDefault="001E057C" w:rsidP="00A2127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4349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50B5A" w:rsidRPr="00BD4349" w:rsidRDefault="00C50B5A" w:rsidP="00A2127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349">
        <w:rPr>
          <w:rFonts w:ascii="Times New Roman" w:hAnsi="Times New Roman" w:cs="Times New Roman"/>
          <w:sz w:val="28"/>
          <w:szCs w:val="28"/>
        </w:rPr>
        <w:t xml:space="preserve">Нечаева Г. И., Яковлев В. М., Громова О. А., </w:t>
      </w:r>
      <w:proofErr w:type="spellStart"/>
      <w:r w:rsidRPr="00BD4349">
        <w:rPr>
          <w:rFonts w:ascii="Times New Roman" w:hAnsi="Times New Roman" w:cs="Times New Roman"/>
          <w:sz w:val="28"/>
          <w:szCs w:val="28"/>
        </w:rPr>
        <w:t>Торшин</w:t>
      </w:r>
      <w:proofErr w:type="spellEnd"/>
      <w:r w:rsidRPr="00BD4349">
        <w:rPr>
          <w:rFonts w:ascii="Times New Roman" w:hAnsi="Times New Roman" w:cs="Times New Roman"/>
          <w:sz w:val="28"/>
          <w:szCs w:val="28"/>
        </w:rPr>
        <w:t xml:space="preserve"> И. Ю. с </w:t>
      </w:r>
      <w:proofErr w:type="spellStart"/>
      <w:r w:rsidRPr="00BD434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D4349">
        <w:rPr>
          <w:rFonts w:ascii="Times New Roman" w:hAnsi="Times New Roman" w:cs="Times New Roman"/>
          <w:sz w:val="28"/>
          <w:szCs w:val="28"/>
        </w:rPr>
        <w:t>. Дисплазии соединительной ткани у детей и подростков</w:t>
      </w:r>
      <w:proofErr w:type="gramStart"/>
      <w:r w:rsidRPr="00BD43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4349">
        <w:rPr>
          <w:rFonts w:ascii="Times New Roman" w:hAnsi="Times New Roman" w:cs="Times New Roman"/>
          <w:sz w:val="28"/>
          <w:szCs w:val="28"/>
        </w:rPr>
        <w:t>Союз педиатров России, 2009, 96 с.</w:t>
      </w:r>
    </w:p>
    <w:p w:rsidR="008B1E28" w:rsidRPr="00BD4349" w:rsidRDefault="00196A06" w:rsidP="00A2127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349">
        <w:rPr>
          <w:rFonts w:ascii="Times New Roman" w:hAnsi="Times New Roman" w:cs="Times New Roman"/>
          <w:sz w:val="28"/>
          <w:szCs w:val="28"/>
        </w:rPr>
        <w:t xml:space="preserve">А.В. Чурилина, О.Н. </w:t>
      </w:r>
      <w:proofErr w:type="spellStart"/>
      <w:r w:rsidRPr="00BD4349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Pr="00BD4349">
        <w:rPr>
          <w:rFonts w:ascii="Times New Roman" w:hAnsi="Times New Roman" w:cs="Times New Roman"/>
          <w:sz w:val="28"/>
          <w:szCs w:val="28"/>
        </w:rPr>
        <w:t xml:space="preserve">. </w:t>
      </w:r>
      <w:r w:rsidR="008B1E28" w:rsidRPr="00BD4349">
        <w:rPr>
          <w:rFonts w:ascii="Times New Roman" w:hAnsi="Times New Roman" w:cs="Times New Roman"/>
          <w:sz w:val="28"/>
          <w:szCs w:val="28"/>
        </w:rPr>
        <w:t>К вопросу о роли магния в формировании дисплазии соединительной ткани. Журнал «Здоровье ребенка» 5 (26) 2010</w:t>
      </w:r>
    </w:p>
    <w:p w:rsidR="001E057C" w:rsidRPr="00BD4349" w:rsidRDefault="001E057C" w:rsidP="00A2127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349">
        <w:rPr>
          <w:rFonts w:ascii="Times New Roman" w:hAnsi="Times New Roman" w:cs="Times New Roman"/>
          <w:color w:val="000000"/>
          <w:sz w:val="28"/>
          <w:szCs w:val="28"/>
        </w:rPr>
        <w:t>Наследственные нарушения соединительной ткани. Российские</w:t>
      </w:r>
      <w:r w:rsidRPr="00BD4349">
        <w:rPr>
          <w:rFonts w:ascii="Times New Roman" w:hAnsi="Times New Roman" w:cs="Times New Roman"/>
          <w:color w:val="000000"/>
          <w:sz w:val="28"/>
          <w:szCs w:val="28"/>
        </w:rPr>
        <w:br/>
        <w:t>рекомендации. М., 2012. 49 c.</w:t>
      </w:r>
    </w:p>
    <w:p w:rsidR="001E057C" w:rsidRPr="00BD4349" w:rsidRDefault="001E057C" w:rsidP="00A2127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349">
        <w:rPr>
          <w:rFonts w:ascii="Times New Roman" w:hAnsi="Times New Roman" w:cs="Times New Roman"/>
          <w:color w:val="000000"/>
          <w:sz w:val="28"/>
          <w:szCs w:val="28"/>
        </w:rPr>
        <w:t>О.В. Тихонова, О.В. Дрокина, Н.Е. Моисеева, Г.И. Нечаева, А.И. Мартынов.</w:t>
      </w:r>
      <w:r w:rsidRPr="00BD4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Оценка </w:t>
      </w:r>
      <w:proofErr w:type="gramStart"/>
      <w:r w:rsidRPr="00BD4349">
        <w:rPr>
          <w:rFonts w:ascii="Times New Roman" w:hAnsi="Times New Roman" w:cs="Times New Roman"/>
          <w:bCs/>
          <w:color w:val="000000"/>
          <w:sz w:val="28"/>
          <w:szCs w:val="28"/>
        </w:rPr>
        <w:t>информативности методов</w:t>
      </w:r>
      <w:r w:rsidRPr="00BD4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349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определения содержания магния</w:t>
      </w:r>
      <w:proofErr w:type="gramEnd"/>
      <w:r w:rsidRPr="00BD4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349">
        <w:rPr>
          <w:rFonts w:ascii="Times New Roman" w:hAnsi="Times New Roman" w:cs="Times New Roman"/>
          <w:bCs/>
          <w:color w:val="000000"/>
          <w:sz w:val="28"/>
          <w:szCs w:val="28"/>
        </w:rPr>
        <w:t>в организме на примере пациентов</w:t>
      </w:r>
      <w:r w:rsidRPr="00BD4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349">
        <w:rPr>
          <w:rFonts w:ascii="Times New Roman" w:hAnsi="Times New Roman" w:cs="Times New Roman"/>
          <w:bCs/>
          <w:color w:val="000000"/>
          <w:sz w:val="28"/>
          <w:szCs w:val="28"/>
        </w:rPr>
        <w:t>с признаками дисплазии</w:t>
      </w:r>
      <w:r w:rsidRPr="00BD4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соединительной ткани. </w:t>
      </w:r>
      <w:proofErr w:type="spellStart"/>
      <w:r w:rsidRPr="00BD4349">
        <w:rPr>
          <w:rFonts w:ascii="Times New Roman" w:hAnsi="Times New Roman" w:cs="Times New Roman"/>
          <w:bCs/>
          <w:color w:val="000000"/>
          <w:sz w:val="28"/>
          <w:szCs w:val="28"/>
        </w:rPr>
        <w:t>Архивъ</w:t>
      </w:r>
      <w:proofErr w:type="spellEnd"/>
      <w:r w:rsidRPr="00BD4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внутренней медицины № 1(15) 2014. с.19-24.</w:t>
      </w:r>
    </w:p>
    <w:p w:rsidR="008B1E28" w:rsidRPr="00BD4349" w:rsidRDefault="0032397A" w:rsidP="00A2127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349">
        <w:rPr>
          <w:rFonts w:ascii="Times New Roman" w:hAnsi="Times New Roman" w:cs="Times New Roman"/>
          <w:sz w:val="28"/>
          <w:szCs w:val="28"/>
        </w:rPr>
        <w:t>Торшин</w:t>
      </w:r>
      <w:proofErr w:type="spellEnd"/>
      <w:r w:rsidRPr="00BD4349">
        <w:rPr>
          <w:rFonts w:ascii="Times New Roman" w:hAnsi="Times New Roman" w:cs="Times New Roman"/>
          <w:sz w:val="28"/>
          <w:szCs w:val="28"/>
        </w:rPr>
        <w:t xml:space="preserve"> И.Ю., Громова О.А. Дисплазия соединительной ткани, клеточная биология и молекулярные механизмы воздействия магния // РМЖ. 2008. №4. С. 230</w:t>
      </w:r>
    </w:p>
    <w:p w:rsidR="0032397A" w:rsidRPr="00BD4349" w:rsidRDefault="00947D3E" w:rsidP="00A2127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349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Pr="00BD4349">
        <w:rPr>
          <w:rFonts w:ascii="Times New Roman" w:hAnsi="Times New Roman" w:cs="Times New Roman"/>
          <w:sz w:val="28"/>
          <w:szCs w:val="28"/>
        </w:rPr>
        <w:t xml:space="preserve"> Т.М., Воробьева А.С. Недифференцированная дисплазия соединительной ткани с позиции </w:t>
      </w:r>
      <w:proofErr w:type="spellStart"/>
      <w:r w:rsidRPr="00BD4349">
        <w:rPr>
          <w:rFonts w:ascii="Times New Roman" w:hAnsi="Times New Roman" w:cs="Times New Roman"/>
          <w:sz w:val="28"/>
          <w:szCs w:val="28"/>
        </w:rPr>
        <w:t>дизэлементоза</w:t>
      </w:r>
      <w:proofErr w:type="spellEnd"/>
      <w:r w:rsidRPr="00BD4349">
        <w:rPr>
          <w:rFonts w:ascii="Times New Roman" w:hAnsi="Times New Roman" w:cs="Times New Roman"/>
          <w:sz w:val="28"/>
          <w:szCs w:val="28"/>
        </w:rPr>
        <w:t xml:space="preserve"> у детей и подростков // РМЖ. 2012. №24. С. 1215</w:t>
      </w:r>
    </w:p>
    <w:p w:rsidR="003C2FE5" w:rsidRPr="00BD4349" w:rsidRDefault="003C2FE5" w:rsidP="00A2127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349">
        <w:rPr>
          <w:rFonts w:ascii="Times New Roman" w:hAnsi="Times New Roman" w:cs="Times New Roman"/>
          <w:sz w:val="28"/>
          <w:szCs w:val="28"/>
        </w:rPr>
        <w:t xml:space="preserve">Арсентьев В.Г., Баранов В.С., </w:t>
      </w:r>
      <w:proofErr w:type="spellStart"/>
      <w:r w:rsidRPr="00BD4349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BD4349">
        <w:rPr>
          <w:rFonts w:ascii="Times New Roman" w:hAnsi="Times New Roman" w:cs="Times New Roman"/>
          <w:sz w:val="28"/>
          <w:szCs w:val="28"/>
        </w:rPr>
        <w:t xml:space="preserve"> Н.П. Наследственные заболевания соединительной ткани как конституциональная причина </w:t>
      </w:r>
      <w:proofErr w:type="spellStart"/>
      <w:r w:rsidRPr="00BD4349">
        <w:rPr>
          <w:rFonts w:ascii="Times New Roman" w:hAnsi="Times New Roman" w:cs="Times New Roman"/>
          <w:sz w:val="28"/>
          <w:szCs w:val="28"/>
        </w:rPr>
        <w:t>полиорганных</w:t>
      </w:r>
      <w:proofErr w:type="spellEnd"/>
      <w:r w:rsidRPr="00BD4349">
        <w:rPr>
          <w:rFonts w:ascii="Times New Roman" w:hAnsi="Times New Roman" w:cs="Times New Roman"/>
          <w:sz w:val="28"/>
          <w:szCs w:val="28"/>
        </w:rPr>
        <w:t xml:space="preserve"> нарушений у детей. СПб</w:t>
      </w:r>
      <w:proofErr w:type="gramStart"/>
      <w:r w:rsidRPr="00BD434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BD4349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BD4349">
        <w:rPr>
          <w:rFonts w:ascii="Times New Roman" w:hAnsi="Times New Roman" w:cs="Times New Roman"/>
          <w:sz w:val="28"/>
          <w:szCs w:val="28"/>
        </w:rPr>
        <w:t xml:space="preserve">, 2014: </w:t>
      </w:r>
      <w:r w:rsidRPr="00BD4349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D4349">
        <w:rPr>
          <w:rFonts w:ascii="Times New Roman" w:hAnsi="Times New Roman" w:cs="Times New Roman"/>
          <w:sz w:val="28"/>
          <w:szCs w:val="28"/>
        </w:rPr>
        <w:t xml:space="preserve">188 </w:t>
      </w:r>
    </w:p>
    <w:p w:rsidR="003C2FE5" w:rsidRPr="00BD4349" w:rsidRDefault="003C2FE5" w:rsidP="00A2127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Земцовский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Э.В., Малев Э.Г.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Малые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аномалии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сердца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диспластические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фенотипы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ИВЭСЭП, 2012:  160 с.</w:t>
      </w:r>
    </w:p>
    <w:p w:rsidR="003C2FE5" w:rsidRPr="00BD4349" w:rsidRDefault="003C2FE5" w:rsidP="00A2127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Castori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Camerota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F,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Celletti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C,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Ehlers-Danlos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syndrome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hypermobility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excess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affected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females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possible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mechanisms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perspectives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J.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Med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Genet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. 2010; 152A (9): 2406–2408.</w:t>
      </w:r>
    </w:p>
    <w:p w:rsidR="003C2FE5" w:rsidRPr="00BD4349" w:rsidRDefault="003C2FE5" w:rsidP="00A2127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Veldhoen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S,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Stark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V,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Mueller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GC,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Pediatric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Marfan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syndrome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dural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ectasia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correlation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common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cardiovascular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manifestations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D4349">
        <w:rPr>
          <w:rFonts w:ascii="Times New Roman" w:hAnsi="Times New Roman" w:cs="Times New Roman"/>
          <w:sz w:val="28"/>
          <w:szCs w:val="28"/>
          <w:lang w:val="uk-UA"/>
        </w:rPr>
        <w:t>RoFo</w:t>
      </w:r>
      <w:proofErr w:type="spellEnd"/>
      <w:r w:rsidRPr="00BD4349">
        <w:rPr>
          <w:rFonts w:ascii="Times New Roman" w:hAnsi="Times New Roman" w:cs="Times New Roman"/>
          <w:sz w:val="28"/>
          <w:szCs w:val="28"/>
          <w:lang w:val="uk-UA"/>
        </w:rPr>
        <w:t>. 2014; 186 (1): 61–66.</w:t>
      </w:r>
    </w:p>
    <w:sectPr w:rsidR="003C2FE5" w:rsidRPr="00BD4349" w:rsidSect="00BD43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2F" w:rsidRDefault="0022412F" w:rsidP="009666C5">
      <w:pPr>
        <w:spacing w:after="0" w:line="240" w:lineRule="auto"/>
      </w:pPr>
      <w:r>
        <w:separator/>
      </w:r>
    </w:p>
  </w:endnote>
  <w:endnote w:type="continuationSeparator" w:id="0">
    <w:p w:rsidR="0022412F" w:rsidRDefault="0022412F" w:rsidP="0096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2F" w:rsidRDefault="0022412F" w:rsidP="009666C5">
      <w:pPr>
        <w:spacing w:after="0" w:line="240" w:lineRule="auto"/>
      </w:pPr>
      <w:r>
        <w:separator/>
      </w:r>
    </w:p>
  </w:footnote>
  <w:footnote w:type="continuationSeparator" w:id="0">
    <w:p w:rsidR="0022412F" w:rsidRDefault="0022412F" w:rsidP="0096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F6F"/>
    <w:multiLevelType w:val="hybridMultilevel"/>
    <w:tmpl w:val="20FA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70244"/>
    <w:multiLevelType w:val="hybridMultilevel"/>
    <w:tmpl w:val="4EDC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A2"/>
    <w:rsid w:val="000767A2"/>
    <w:rsid w:val="0007788C"/>
    <w:rsid w:val="000A71A3"/>
    <w:rsid w:val="000F08BA"/>
    <w:rsid w:val="000F16EF"/>
    <w:rsid w:val="00156DFE"/>
    <w:rsid w:val="00166B16"/>
    <w:rsid w:val="00196A06"/>
    <w:rsid w:val="001E057C"/>
    <w:rsid w:val="0022072D"/>
    <w:rsid w:val="0022412F"/>
    <w:rsid w:val="00241C39"/>
    <w:rsid w:val="00257A90"/>
    <w:rsid w:val="002A123A"/>
    <w:rsid w:val="002D5C1A"/>
    <w:rsid w:val="002F0CA5"/>
    <w:rsid w:val="0032397A"/>
    <w:rsid w:val="00381BFE"/>
    <w:rsid w:val="00395314"/>
    <w:rsid w:val="003C0C79"/>
    <w:rsid w:val="003C2FE5"/>
    <w:rsid w:val="00464166"/>
    <w:rsid w:val="0046568C"/>
    <w:rsid w:val="005A6971"/>
    <w:rsid w:val="005E4D6B"/>
    <w:rsid w:val="00651320"/>
    <w:rsid w:val="00655174"/>
    <w:rsid w:val="006E4EE9"/>
    <w:rsid w:val="007A173D"/>
    <w:rsid w:val="007A57FB"/>
    <w:rsid w:val="007D17F4"/>
    <w:rsid w:val="007F29A9"/>
    <w:rsid w:val="008036BC"/>
    <w:rsid w:val="008053A1"/>
    <w:rsid w:val="00846F48"/>
    <w:rsid w:val="008B1E28"/>
    <w:rsid w:val="008B56D6"/>
    <w:rsid w:val="008D53C4"/>
    <w:rsid w:val="008E7BC8"/>
    <w:rsid w:val="008F4A7A"/>
    <w:rsid w:val="0090369D"/>
    <w:rsid w:val="00947D3E"/>
    <w:rsid w:val="009666C5"/>
    <w:rsid w:val="00991003"/>
    <w:rsid w:val="009D4904"/>
    <w:rsid w:val="00A205E7"/>
    <w:rsid w:val="00A21278"/>
    <w:rsid w:val="00A32DC3"/>
    <w:rsid w:val="00A35128"/>
    <w:rsid w:val="00A71F04"/>
    <w:rsid w:val="00A86CB4"/>
    <w:rsid w:val="00BD4349"/>
    <w:rsid w:val="00C50B5A"/>
    <w:rsid w:val="00CD5EA0"/>
    <w:rsid w:val="00D012B4"/>
    <w:rsid w:val="00D33E01"/>
    <w:rsid w:val="00D4770F"/>
    <w:rsid w:val="00D57EFE"/>
    <w:rsid w:val="00D8585D"/>
    <w:rsid w:val="00DF384C"/>
    <w:rsid w:val="00E170A1"/>
    <w:rsid w:val="00E63858"/>
    <w:rsid w:val="00E8440F"/>
    <w:rsid w:val="00F2440E"/>
    <w:rsid w:val="00FA1FCB"/>
    <w:rsid w:val="00F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7C"/>
    <w:pPr>
      <w:ind w:left="720"/>
      <w:contextualSpacing/>
    </w:pPr>
  </w:style>
  <w:style w:type="table" w:styleId="a4">
    <w:name w:val="Table Grid"/>
    <w:basedOn w:val="a1"/>
    <w:uiPriority w:val="59"/>
    <w:rsid w:val="00A2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6C5"/>
  </w:style>
  <w:style w:type="paragraph" w:styleId="a7">
    <w:name w:val="footer"/>
    <w:basedOn w:val="a"/>
    <w:link w:val="a8"/>
    <w:uiPriority w:val="99"/>
    <w:unhideWhenUsed/>
    <w:rsid w:val="0096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6C5"/>
  </w:style>
  <w:style w:type="paragraph" w:styleId="a9">
    <w:name w:val="Balloon Text"/>
    <w:basedOn w:val="a"/>
    <w:link w:val="aa"/>
    <w:uiPriority w:val="99"/>
    <w:semiHidden/>
    <w:unhideWhenUsed/>
    <w:rsid w:val="0096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7C"/>
    <w:pPr>
      <w:ind w:left="720"/>
      <w:contextualSpacing/>
    </w:pPr>
  </w:style>
  <w:style w:type="table" w:styleId="a4">
    <w:name w:val="Table Grid"/>
    <w:basedOn w:val="a1"/>
    <w:uiPriority w:val="59"/>
    <w:rsid w:val="00A2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6C5"/>
  </w:style>
  <w:style w:type="paragraph" w:styleId="a7">
    <w:name w:val="footer"/>
    <w:basedOn w:val="a"/>
    <w:link w:val="a8"/>
    <w:uiPriority w:val="99"/>
    <w:unhideWhenUsed/>
    <w:rsid w:val="0096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6C5"/>
  </w:style>
  <w:style w:type="paragraph" w:styleId="a9">
    <w:name w:val="Balloon Text"/>
    <w:basedOn w:val="a"/>
    <w:link w:val="aa"/>
    <w:uiPriority w:val="99"/>
    <w:semiHidden/>
    <w:unhideWhenUsed/>
    <w:rsid w:val="0096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1143-AECE-4244-88B6-9030A683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16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Kafedra1</cp:lastModifiedBy>
  <cp:revision>4</cp:revision>
  <cp:lastPrinted>2017-10-13T10:05:00Z</cp:lastPrinted>
  <dcterms:created xsi:type="dcterms:W3CDTF">2017-10-25T08:47:00Z</dcterms:created>
  <dcterms:modified xsi:type="dcterms:W3CDTF">2017-10-27T10:17:00Z</dcterms:modified>
</cp:coreProperties>
</file>